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1AC40">
      <w:pPr>
        <w:autoSpaceDE w:val="0"/>
        <w:autoSpaceDN w:val="0"/>
        <w:adjustRightInd w:val="0"/>
        <w:spacing w:line="360" w:lineRule="auto"/>
        <w:ind w:left="640" w:hanging="640"/>
        <w:rPr>
          <w:rFonts w:hint="default" w:ascii="Times New Roman" w:hAnsi="Times New Roman" w:cs="Times New Roman" w:eastAsiaTheme="minorEastAsia"/>
          <w:b/>
          <w:kern w:val="2"/>
          <w:sz w:val="28"/>
          <w:szCs w:val="28"/>
          <w:lang w:val="en-GB"/>
        </w:rPr>
      </w:pPr>
      <w:r>
        <w:rPr>
          <w:rFonts w:hint="default" w:ascii="Times New Roman" w:hAnsi="Times New Roman" w:cs="Times New Roman" w:eastAsiaTheme="minorEastAsia"/>
          <w:b/>
          <w:kern w:val="2"/>
          <w:sz w:val="28"/>
          <w:szCs w:val="28"/>
          <w:lang w:val="en-GB"/>
        </w:rPr>
        <w:t>Supplementa</w:t>
      </w:r>
      <w:r>
        <w:rPr>
          <w:rFonts w:hint="default" w:ascii="Times New Roman" w:hAnsi="Times New Roman" w:cs="Times New Roman" w:eastAsiaTheme="minorEastAsia"/>
          <w:b/>
          <w:kern w:val="2"/>
          <w:sz w:val="28"/>
          <w:szCs w:val="28"/>
          <w:lang w:val="en-US"/>
        </w:rPr>
        <w:t>l</w:t>
      </w:r>
      <w:r>
        <w:rPr>
          <w:rFonts w:hint="default" w:ascii="Times New Roman" w:hAnsi="Times New Roman" w:cs="Times New Roman" w:eastAsiaTheme="minorEastAsia"/>
          <w:b/>
          <w:kern w:val="2"/>
          <w:sz w:val="28"/>
          <w:szCs w:val="28"/>
          <w:lang w:val="en-GB"/>
        </w:rPr>
        <w:t xml:space="preserve"> Materials</w:t>
      </w:r>
    </w:p>
    <w:p w14:paraId="2FB363F3">
      <w:pPr>
        <w:spacing w:line="360" w:lineRule="auto"/>
        <w:rPr>
          <w:rFonts w:eastAsia="宋体"/>
          <w:b/>
          <w:bCs/>
          <w:lang w:val="en-US"/>
        </w:rPr>
      </w:pPr>
      <w:r>
        <w:rPr>
          <w:rFonts w:hint="eastAsia"/>
          <w:b/>
          <w:bCs/>
          <w:lang w:val="en-GB"/>
        </w:rPr>
        <w:t>Supplemental</w:t>
      </w:r>
      <w:r>
        <w:rPr>
          <w:rFonts w:hint="eastAsia"/>
          <w:b/>
          <w:bCs/>
          <w:lang w:val="en-US"/>
        </w:rPr>
        <w:t xml:space="preserve"> Method</w:t>
      </w:r>
      <w:r>
        <w:rPr>
          <w:rFonts w:hint="eastAsia" w:eastAsia="宋体"/>
          <w:b/>
          <w:bCs/>
          <w:lang w:val="en-US"/>
        </w:rPr>
        <w:t>:</w:t>
      </w:r>
    </w:p>
    <w:p w14:paraId="30D3A878">
      <w:pPr>
        <w:spacing w:line="360" w:lineRule="auto"/>
        <w:jc w:val="both"/>
        <w:rPr>
          <w:rFonts w:cs="Times New Roman"/>
          <w:i/>
          <w:iCs/>
          <w:sz w:val="24"/>
          <w:szCs w:val="24"/>
          <w:lang w:val="en-GB"/>
        </w:rPr>
      </w:pPr>
      <w:r>
        <w:rPr>
          <w:b/>
          <w:bCs/>
          <w:lang w:val="en-GB"/>
        </w:rPr>
        <w:t>Metagenomic Next-Generation Sequencing and analysis</w:t>
      </w:r>
    </w:p>
    <w:p w14:paraId="2935CDF0">
      <w:pPr>
        <w:spacing w:line="360" w:lineRule="auto"/>
        <w:jc w:val="both"/>
        <w:rPr>
          <w:rFonts w:cs="Times New Roman"/>
          <w:sz w:val="24"/>
          <w:szCs w:val="24"/>
          <w:lang w:val="en-GB"/>
        </w:rPr>
      </w:pPr>
      <w:r>
        <w:rPr>
          <w:b/>
          <w:bCs/>
          <w:lang w:val="en-GB"/>
        </w:rPr>
        <w:t>Sample Collection</w:t>
      </w:r>
    </w:p>
    <w:p w14:paraId="5755CD41">
      <w:pPr>
        <w:autoSpaceDE/>
        <w:autoSpaceDN/>
        <w:adjustRightInd/>
        <w:spacing w:line="360" w:lineRule="auto"/>
        <w:ind w:left="0" w:firstLine="480" w:firstLineChars="200"/>
        <w:jc w:val="both"/>
        <w:rPr>
          <w:rFonts w:hint="default" w:ascii="Times New Roman" w:hAnsi="Times New Roman" w:eastAsia="Times New Roman" w:cs="Times New Roman"/>
          <w:b w:val="0"/>
          <w:kern w:val="0"/>
          <w:sz w:val="24"/>
          <w:szCs w:val="24"/>
          <w:lang w:val="en-GB"/>
        </w:rPr>
      </w:pPr>
      <w:r>
        <w:rPr>
          <w:rFonts w:hint="default" w:ascii="Times New Roman" w:hAnsi="Times New Roman" w:eastAsia="Times New Roman" w:cs="Times New Roman"/>
          <w:b w:val="0"/>
          <w:kern w:val="0"/>
          <w:sz w:val="24"/>
          <w:szCs w:val="24"/>
          <w:lang w:val="en-GB"/>
        </w:rPr>
        <w:t>Peripheral venous blood samples were collected using BCT tubes, centrifuged at 1600g for 10 min, and the plasma supernatant was used for cfDNA extraction. Experiments had QC using both internal controls and external negative controls</w:t>
      </w:r>
    </w:p>
    <w:p w14:paraId="0626C0CF">
      <w:pPr>
        <w:spacing w:line="360" w:lineRule="auto"/>
        <w:jc w:val="both"/>
        <w:rPr>
          <w:rFonts w:cs="Times New Roman"/>
          <w:sz w:val="24"/>
          <w:szCs w:val="24"/>
          <w:lang w:val="en-GB"/>
        </w:rPr>
      </w:pPr>
      <w:r>
        <w:rPr>
          <w:b/>
          <w:bCs/>
          <w:lang w:val="en-GB"/>
        </w:rPr>
        <w:t>Nucleic Acid Extraction</w:t>
      </w:r>
    </w:p>
    <w:p w14:paraId="03589251">
      <w:pPr>
        <w:autoSpaceDE/>
        <w:autoSpaceDN/>
        <w:adjustRightInd/>
        <w:spacing w:line="360" w:lineRule="auto"/>
        <w:ind w:left="0" w:firstLine="480" w:firstLineChars="200"/>
        <w:jc w:val="both"/>
        <w:rPr>
          <w:rFonts w:hint="default" w:eastAsia="Times New Roman"/>
          <w:shd w:val="clear"/>
          <w:lang w:val="en-GB"/>
        </w:rPr>
      </w:pPr>
      <w:r>
        <w:rPr>
          <w:lang w:val="en-GB"/>
        </w:rPr>
        <w:t xml:space="preserve">Nucleic acid </w:t>
      </w:r>
      <w:r>
        <w:rPr>
          <w:rFonts w:hint="default"/>
          <w:lang w:val="en-GB"/>
        </w:rPr>
        <w:t xml:space="preserve">extracted </w:t>
      </w:r>
      <w:r>
        <w:rPr>
          <w:lang w:val="en-GB"/>
        </w:rPr>
        <w:t xml:space="preserve">from all samples, including the negative controls (water </w:t>
      </w:r>
      <w:r>
        <w:rPr>
          <w:rFonts w:hint="default"/>
          <w:lang w:val="en-GB"/>
        </w:rPr>
        <w:t>and</w:t>
      </w:r>
      <w:r>
        <w:rPr>
          <w:lang w:val="en-GB"/>
        </w:rPr>
        <w:t xml:space="preserve"> extraction buffer), were acquired using the TIANamp Micro DNA Kit (TIANGEN Biotech, Beijing, China), which followed the manufacturer’s manual. According to the manufacturer's manual, the Qubit dsDNA HS Assay Kit (ThermoFisher Scientific) were used for nucleic acid concentration determination. </w:t>
      </w:r>
      <w:r>
        <w:rPr>
          <w:rFonts w:hint="default" w:eastAsia="Times New Roman"/>
          <w:color w:val="auto"/>
          <w:shd w:val="clear" w:color="auto" w:fill="auto"/>
          <w:lang w:val="en-GB"/>
        </w:rPr>
        <w:t>External negative control (non-template control, NTC (sterile deionized water)) w</w:t>
      </w:r>
      <w:r>
        <w:rPr>
          <w:rFonts w:eastAsia="Times New Roman"/>
          <w:color w:val="auto"/>
          <w:shd w:val="clear" w:color="auto" w:fill="auto"/>
          <w:lang w:val="en-GB"/>
        </w:rPr>
        <w:t>as</w:t>
      </w:r>
      <w:r>
        <w:rPr>
          <w:rFonts w:hint="default" w:eastAsia="Times New Roman"/>
          <w:color w:val="auto"/>
          <w:shd w:val="clear" w:color="auto" w:fill="auto"/>
          <w:lang w:val="en-GB"/>
        </w:rPr>
        <w:t xml:space="preserve"> also set for each batch of experiments using the same wet lab procedures from DNA extraction to end of sequencing and bioinformatics analysis. Internal controls (IC) were used to ensure no mistakes in sample tracking. Each IC</w:t>
      </w:r>
      <w:r>
        <w:rPr>
          <w:rFonts w:eastAsia="Times New Roman"/>
          <w:color w:val="auto"/>
          <w:shd w:val="clear" w:color="auto" w:fill="auto"/>
          <w:lang w:val="en-GB"/>
        </w:rPr>
        <w:t xml:space="preserve"> comprises a pair of unique synthetic DNA sequences not found in nature</w:t>
      </w:r>
      <w:r>
        <w:rPr>
          <w:rFonts w:hint="default" w:eastAsia="Times New Roman"/>
          <w:color w:val="auto"/>
          <w:shd w:val="clear" w:color="auto" w:fill="auto"/>
          <w:lang w:val="en-GB"/>
        </w:rPr>
        <w:t xml:space="preserve">. </w:t>
      </w:r>
    </w:p>
    <w:p w14:paraId="40B7C56B">
      <w:pPr>
        <w:spacing w:line="360" w:lineRule="auto"/>
        <w:jc w:val="left"/>
        <w:rPr>
          <w:b/>
          <w:bCs/>
          <w:lang w:val="en-GB" w:eastAsia="en-US"/>
        </w:rPr>
      </w:pPr>
      <w:r>
        <w:rPr>
          <w:b/>
          <w:bCs/>
          <w:lang w:val="en-GB" w:eastAsia="en-US"/>
        </w:rPr>
        <w:t>Library Construction and sequencing</w:t>
      </w:r>
    </w:p>
    <w:p w14:paraId="3AC36AAB">
      <w:pPr>
        <w:spacing w:line="360" w:lineRule="auto"/>
        <w:ind w:firstLine="480" w:firstLineChars="200"/>
        <w:jc w:val="both"/>
        <w:rPr>
          <w:rFonts w:eastAsia="宋体"/>
          <w:lang w:val="en-US"/>
        </w:rPr>
      </w:pPr>
      <w:r>
        <w:rPr>
          <w:rFonts w:eastAsia="宋体"/>
          <w:lang w:val="en-US"/>
        </w:rPr>
        <w:t>DNA libraries were constructed using an NGS library construction kit (Enzymatics) with unit dual index adapters. Samples with</w:t>
      </w:r>
      <w:r>
        <w:rPr>
          <w:rFonts w:hint="eastAsia" w:eastAsia="宋体"/>
          <w:lang w:val="en-US" w:eastAsia="zh-CN"/>
        </w:rPr>
        <w:t xml:space="preserve"> a DNA concentration</w:t>
      </w:r>
      <w:bookmarkStart w:id="0" w:name="_GoBack"/>
      <w:bookmarkEnd w:id="0"/>
      <w:r>
        <w:rPr>
          <w:rFonts w:hint="eastAsia" w:eastAsia="宋体"/>
          <w:lang w:val="en-US" w:eastAsia="zh-CN"/>
        </w:rPr>
        <w:t>&lt;1 ng/ul were subjected to additional PCR with the following program: initiation at 95</w:t>
      </w:r>
      <w:r>
        <w:rPr>
          <w:rFonts w:hint="default" w:eastAsia="宋体"/>
          <w:lang w:val="en-US" w:eastAsia="zh-CN"/>
        </w:rPr>
        <w:t>°</w:t>
      </w:r>
      <w:r>
        <w:rPr>
          <w:rFonts w:hint="eastAsia" w:eastAsia="宋体"/>
          <w:lang w:val="en-US" w:eastAsia="zh-CN"/>
        </w:rPr>
        <w:t>C 3min, then 5 or 10 cycles of 98</w:t>
      </w:r>
      <w:r>
        <w:rPr>
          <w:rFonts w:hint="default" w:ascii="Times New Roman" w:hAnsi="Times New Roman" w:eastAsia="宋体" w:cs="Times New Roman"/>
          <w:lang w:val="en-US" w:eastAsia="zh-CN"/>
        </w:rPr>
        <w:t>°</w:t>
      </w:r>
      <w:r>
        <w:rPr>
          <w:rFonts w:hint="eastAsia" w:eastAsia="宋体" w:cs="Times New Roman"/>
          <w:lang w:val="en-US" w:eastAsia="zh-CN"/>
        </w:rPr>
        <w:t>C</w:t>
      </w:r>
      <w:r>
        <w:rPr>
          <w:rFonts w:hint="eastAsia" w:eastAsia="宋体"/>
          <w:lang w:val="en-US" w:eastAsia="zh-CN"/>
        </w:rPr>
        <w:t xml:space="preserve"> for 20 s, 60</w:t>
      </w:r>
      <w:r>
        <w:rPr>
          <w:rFonts w:hint="default" w:ascii="Times New Roman" w:hAnsi="Times New Roman" w:eastAsia="宋体" w:cs="Times New Roman"/>
          <w:lang w:val="en-US" w:eastAsia="zh-CN"/>
        </w:rPr>
        <w:t>°</w:t>
      </w:r>
      <w:r>
        <w:rPr>
          <w:rFonts w:hint="eastAsia" w:eastAsia="宋体" w:cs="Times New Roman"/>
          <w:lang w:val="en-US" w:eastAsia="zh-CN"/>
        </w:rPr>
        <w:t>C</w:t>
      </w:r>
      <w:r>
        <w:rPr>
          <w:rFonts w:hint="eastAsia" w:eastAsia="宋体"/>
          <w:lang w:val="en-US" w:eastAsia="zh-CN"/>
        </w:rPr>
        <w:t xml:space="preserve"> for 15 s, 72</w:t>
      </w:r>
      <w:r>
        <w:rPr>
          <w:rFonts w:hint="default" w:ascii="Times New Roman" w:hAnsi="Times New Roman" w:eastAsia="宋体" w:cs="Times New Roman"/>
          <w:lang w:val="en-US" w:eastAsia="zh-CN"/>
        </w:rPr>
        <w:t>°</w:t>
      </w:r>
      <w:r>
        <w:rPr>
          <w:rFonts w:hint="eastAsia" w:eastAsia="宋体" w:cs="Times New Roman"/>
          <w:lang w:val="en-US" w:eastAsia="zh-CN"/>
        </w:rPr>
        <w:t>C</w:t>
      </w:r>
      <w:r>
        <w:rPr>
          <w:rFonts w:hint="eastAsia" w:eastAsia="宋体"/>
          <w:lang w:val="en-US" w:eastAsia="zh-CN"/>
        </w:rPr>
        <w:t xml:space="preserve"> for 30 s, and a final extension of 72</w:t>
      </w:r>
      <w:r>
        <w:rPr>
          <w:rFonts w:hint="default" w:ascii="Times New Roman" w:hAnsi="Times New Roman" w:eastAsia="宋体" w:cs="Times New Roman"/>
          <w:lang w:val="en-US" w:eastAsia="zh-CN"/>
        </w:rPr>
        <w:t>°</w:t>
      </w:r>
      <w:r>
        <w:rPr>
          <w:rFonts w:hint="eastAsia" w:eastAsia="宋体" w:cs="Times New Roman"/>
          <w:lang w:val="en-US" w:eastAsia="zh-CN"/>
        </w:rPr>
        <w:t>C</w:t>
      </w:r>
      <w:r>
        <w:rPr>
          <w:rFonts w:hint="eastAsia" w:eastAsia="宋体"/>
          <w:lang w:val="en-US" w:eastAsia="zh-CN"/>
        </w:rPr>
        <w:t xml:space="preserve"> for 5min. </w:t>
      </w:r>
      <w:r>
        <w:rPr>
          <w:rFonts w:hint="eastAsia" w:eastAsia="宋体"/>
          <w:lang w:val="en-US"/>
        </w:rPr>
        <w:t>Qubit (Thermo Fisher Scientific, MA, USA) and Agilent 2100 Bioanalyzer (Agilent Technologies, Palo Alto, USA) were used for library quality control.</w:t>
      </w:r>
      <w:r>
        <w:rPr>
          <w:rFonts w:hint="eastAsia" w:eastAsia="宋体"/>
          <w:lang w:val="en-US" w:eastAsia="zh-CN"/>
        </w:rPr>
        <w:t xml:space="preserve"> Up to 20 libraries per batch were pooled to be sequenced on Illumina NextSeq 550 sequencers using a 75-cycle single-end sequencing strategy.</w:t>
      </w:r>
    </w:p>
    <w:p w14:paraId="5D15C480">
      <w:pPr>
        <w:spacing w:line="360" w:lineRule="auto"/>
        <w:jc w:val="both"/>
        <w:rPr>
          <w:rFonts w:cs="Times New Roman"/>
          <w:color w:val="auto"/>
          <w:sz w:val="24"/>
          <w:szCs w:val="24"/>
          <w:lang w:val="en-GB" w:eastAsia="en-US"/>
        </w:rPr>
      </w:pPr>
      <w:r>
        <w:rPr>
          <w:b/>
          <w:bCs/>
          <w:color w:val="auto"/>
          <w:lang w:val="en-GB" w:eastAsia="en-US"/>
        </w:rPr>
        <w:t>Bioinformatics Analysis</w:t>
      </w:r>
    </w:p>
    <w:p w14:paraId="71AA7EB5">
      <w:pPr>
        <w:spacing w:line="360" w:lineRule="auto"/>
        <w:ind w:firstLine="480" w:firstLineChars="200"/>
        <w:jc w:val="both"/>
        <w:rPr>
          <w:rFonts w:eastAsia="Times New Roman"/>
          <w:b w:val="0"/>
          <w:bCs w:val="0"/>
          <w:color w:val="auto"/>
          <w:lang w:val="en-US" w:eastAsia="en-US"/>
        </w:rPr>
      </w:pPr>
      <w:r>
        <w:rPr>
          <w:lang w:val="en-US"/>
        </w:rPr>
        <w:t>Bcl2fastq</w:t>
      </w:r>
      <w:r>
        <w:rPr>
          <w:rFonts w:hint="eastAsia"/>
          <w:lang w:val="en-US"/>
        </w:rPr>
        <w:t xml:space="preserve"> </w:t>
      </w:r>
      <w:r>
        <w:rPr>
          <w:lang w:val="en-US"/>
        </w:rPr>
        <w:t xml:space="preserve">v2.20.0.422 with default parameters was applied to demultiplex the primary sequencing output. For quality control adapter contamination and low-quality and low-complexity reads, raw reads and adapter removal were filtered by fastp (v0.19.5) </w:t>
      </w:r>
      <w:r>
        <w:rPr>
          <w:rFonts w:hint="eastAsia"/>
          <w:vertAlign w:val="superscript"/>
          <w:lang w:val="en-US"/>
        </w:rPr>
        <w:t>1</w:t>
      </w:r>
      <w:r>
        <w:rPr>
          <w:lang w:val="en-US"/>
        </w:rPr>
        <w:t>and Komplexity v0.3.6</w:t>
      </w:r>
      <w:r>
        <w:rPr>
          <w:rFonts w:hint="eastAsia"/>
          <w:vertAlign w:val="superscript"/>
          <w:lang w:val="en-US"/>
        </w:rPr>
        <w:t>2</w:t>
      </w:r>
      <w:r>
        <w:rPr>
          <w:lang w:val="en-US"/>
        </w:rPr>
        <w:t>. Samples with &lt;10 million reads after QC were excluded from this study</w:t>
      </w:r>
      <w:r>
        <w:rPr>
          <w:rFonts w:hint="eastAsia"/>
          <w:lang w:val="en-US"/>
        </w:rPr>
        <w:t>.</w:t>
      </w:r>
      <w:r>
        <w:rPr>
          <w:lang w:val="en-US"/>
        </w:rPr>
        <w:t xml:space="preserve"> Reads mapped to the human reference assembly GRCh38 were removed with Bowtie2 v2.3.4.3</w:t>
      </w:r>
      <w:r>
        <w:rPr>
          <w:rFonts w:hint="eastAsia"/>
          <w:vertAlign w:val="superscript"/>
          <w:lang w:val="en-US"/>
        </w:rPr>
        <w:t>3</w:t>
      </w:r>
      <w:r>
        <w:rPr>
          <w:lang w:val="en-US"/>
        </w:rPr>
        <w:t>.</w:t>
      </w:r>
      <w:r>
        <w:rPr>
          <w:rFonts w:hint="eastAsia"/>
          <w:lang w:val="en-US"/>
        </w:rPr>
        <w:t xml:space="preserve"> </w:t>
      </w:r>
      <w:r>
        <w:rPr>
          <w:lang w:val="en-US"/>
        </w:rPr>
        <w:t>Then, reads were aligned to the microorganism database consisting of approximately 12000 genomes with SNAP v1.0 beta.18</w:t>
      </w:r>
      <w:r>
        <w:rPr>
          <w:rFonts w:hint="eastAsia"/>
          <w:vertAlign w:val="superscript"/>
          <w:lang w:val="en-US"/>
        </w:rPr>
        <w:t>4</w:t>
      </w:r>
      <w:r>
        <w:rPr>
          <w:lang w:val="en-US"/>
        </w:rPr>
        <w:t xml:space="preserve"> as previously described</w:t>
      </w:r>
      <w:r>
        <w:rPr>
          <w:rFonts w:hint="eastAsia"/>
          <w:vertAlign w:val="superscript"/>
          <w:lang w:val="en-US"/>
        </w:rPr>
        <w:t>5</w:t>
      </w:r>
      <w:r>
        <w:rPr>
          <w:lang w:val="en-US"/>
        </w:rPr>
        <w:t>. The mapped reads were classified based on the NCBI RefSeq genome database, or the NCBI GenBank genome database (ftp://ftp.ncbi.nlm.nih.gov/genomes/)was selected for each species. After filtering low-complexity reads</w:t>
      </w:r>
      <w:r>
        <w:rPr>
          <w:rFonts w:hint="eastAsia"/>
          <w:vertAlign w:val="superscript"/>
          <w:lang w:val="en-US"/>
        </w:rPr>
        <w:t>6</w:t>
      </w:r>
      <w:r>
        <w:rPr>
          <w:lang w:val="en-US"/>
        </w:rPr>
        <w:t>, we counted the species or genus abundance with Perl scripts.</w:t>
      </w:r>
    </w:p>
    <w:p w14:paraId="7C3324AF">
      <w:pPr>
        <w:spacing w:line="360" w:lineRule="auto"/>
        <w:jc w:val="both"/>
        <w:rPr>
          <w:b/>
          <w:bCs/>
          <w:lang w:val="en-US" w:eastAsia="en-US"/>
        </w:rPr>
      </w:pPr>
      <w:r>
        <w:rPr>
          <w:b/>
          <w:bCs/>
          <w:lang w:val="en-US" w:eastAsia="en-US"/>
        </w:rPr>
        <w:t>Reporting</w:t>
      </w:r>
    </w:p>
    <w:p w14:paraId="1034B1A9">
      <w:pPr>
        <w:spacing w:line="360" w:lineRule="auto"/>
        <w:jc w:val="both"/>
        <w:rPr>
          <w:b/>
          <w:bCs/>
          <w:lang w:val="en-US" w:eastAsia="en-US"/>
        </w:rPr>
      </w:pPr>
      <w:r>
        <w:rPr>
          <w:b w:val="0"/>
          <w:bCs w:val="0"/>
          <w:lang w:val="en-US" w:eastAsia="zh-CN"/>
        </w:rPr>
        <w:t xml:space="preserve">The </w:t>
      </w:r>
      <w:r>
        <w:rPr>
          <w:lang w:val="en-US"/>
        </w:rPr>
        <w:t>precise</w:t>
      </w:r>
      <w:r>
        <w:rPr>
          <w:b w:val="0"/>
          <w:bCs w:val="0"/>
          <w:lang w:val="en-US" w:eastAsia="zh-CN"/>
        </w:rPr>
        <w:t>ly mapped read number (SMRN) of each microbial taxonomy was standardized to SMRN per 20 million (M) of total sequencing reads (SDSMRN, standardized SMRN).</w:t>
      </w:r>
    </w:p>
    <w:p w14:paraId="21409A04">
      <w:pPr>
        <w:spacing w:line="360" w:lineRule="auto"/>
        <w:jc w:val="center"/>
        <w:rPr>
          <w:lang w:val="en-US"/>
        </w:rPr>
      </w:pPr>
      <w:r>
        <w:rPr>
          <w:b w:val="0"/>
          <w:bCs w:val="0"/>
          <w:lang w:val="en-US" w:eastAsia="zh-CN"/>
        </w:rPr>
        <w:t>SDSMRN=SMRN×20 million/total reads.</w:t>
      </w:r>
    </w:p>
    <w:p w14:paraId="59FD3358">
      <w:pPr>
        <w:numPr>
          <w:ilvl w:val="0"/>
          <w:numId w:val="1"/>
        </w:numPr>
        <w:spacing w:line="360" w:lineRule="auto"/>
        <w:jc w:val="both"/>
      </w:pPr>
      <w:r>
        <w:t>For the detected bacteria (Mycobacterium excluded)</w:t>
      </w:r>
      <w:r>
        <w:rPr>
          <w:rFonts w:hint="eastAsia" w:eastAsia="宋体"/>
          <w:lang w:val="en-US"/>
        </w:rPr>
        <w:t xml:space="preserve"> </w:t>
      </w:r>
      <w:r>
        <w:t>and fungi (Cryptococcus excluded), the positive criteria for the mNGS result were set as follows:</w:t>
      </w:r>
      <w:r>
        <w:rPr>
          <w:rFonts w:hint="eastAsia" w:eastAsia="宋体"/>
          <w:lang w:val="en-US"/>
        </w:rPr>
        <w:t xml:space="preserve"> </w:t>
      </w:r>
      <w:r>
        <w:t>(a) The</w:t>
      </w:r>
      <w:r>
        <w:rPr>
          <w:rFonts w:hint="eastAsia" w:eastAsia="宋体"/>
          <w:lang w:val="en-US"/>
        </w:rPr>
        <w:t xml:space="preserve"> </w:t>
      </w:r>
      <w:r>
        <w:t>specifically mapped read number (SMRN) of each microbial taxonomy ranked top10 of the same kind of microbes and the microorganism was not detected in the NTC; or (b)</w:t>
      </w:r>
      <w:r>
        <w:rPr>
          <w:rFonts w:hint="eastAsia"/>
          <w:lang w:val="en-US"/>
        </w:rPr>
        <w:t>Standardized SMRN(</w:t>
      </w:r>
      <w:r>
        <w:t>SDSMRN</w:t>
      </w:r>
      <w:r>
        <w:rPr>
          <w:rFonts w:hint="eastAsia" w:eastAsia="宋体"/>
          <w:lang w:val="en-US"/>
        </w:rPr>
        <w:t>)</w:t>
      </w:r>
      <w:r>
        <w:t>&gt; 1 (SDSMRN=SMRN×20 million/total reads).</w:t>
      </w:r>
    </w:p>
    <w:p w14:paraId="7F5165F0">
      <w:pPr>
        <w:numPr>
          <w:ilvl w:val="0"/>
          <w:numId w:val="1"/>
        </w:numPr>
        <w:spacing w:line="360" w:lineRule="auto"/>
        <w:jc w:val="both"/>
      </w:pPr>
      <w:r>
        <w:t>For the detected</w:t>
      </w:r>
      <w:r>
        <w:rPr>
          <w:rFonts w:hint="eastAsia" w:eastAsia="宋体"/>
          <w:lang w:val="en-US"/>
        </w:rPr>
        <w:t xml:space="preserve"> </w:t>
      </w:r>
      <w:r>
        <w:t>viruses,</w:t>
      </w:r>
      <w:r>
        <w:rPr>
          <w:rFonts w:hint="eastAsia" w:eastAsia="宋体"/>
          <w:lang w:val="en-US"/>
        </w:rPr>
        <w:t xml:space="preserve"> </w:t>
      </w:r>
      <w:r>
        <w:t>the positive criteria for the mNGS result were set as follows:(a) SDSMRN ranked top</w:t>
      </w:r>
      <w:r>
        <w:rPr>
          <w:rFonts w:hint="eastAsia" w:eastAsiaTheme="minorEastAsia"/>
        </w:rPr>
        <w:t xml:space="preserve"> </w:t>
      </w:r>
      <w:r>
        <w:rPr>
          <w:rFonts w:hint="eastAsia" w:eastAsia="宋体"/>
          <w:lang w:val="en-US"/>
        </w:rPr>
        <w:t>3</w:t>
      </w:r>
      <w:r>
        <w:rPr>
          <w:rFonts w:eastAsia="宋体"/>
          <w:lang w:val="en-US"/>
        </w:rPr>
        <w:t>,</w:t>
      </w:r>
      <w:r>
        <w:t xml:space="preserve"> and the microorganism was not detected in the NTC; </w:t>
      </w:r>
      <w:r>
        <w:rPr>
          <w:rFonts w:hint="eastAsia" w:eastAsia="宋体"/>
          <w:lang w:val="en-US"/>
        </w:rPr>
        <w:t>and</w:t>
      </w:r>
      <w:r>
        <w:t xml:space="preserve"> (b)</w:t>
      </w:r>
      <w:r>
        <w:rPr>
          <w:rFonts w:hint="eastAsia" w:eastAsia="宋体"/>
          <w:lang w:val="en-US"/>
        </w:rPr>
        <w:t xml:space="preserve"> </w:t>
      </w:r>
      <w:r>
        <w:t>SDSMRN&gt;</w:t>
      </w:r>
      <w:r>
        <w:rPr>
          <w:rFonts w:hint="eastAsia" w:eastAsia="宋体"/>
          <w:lang w:val="en-US"/>
        </w:rPr>
        <w:t>5.</w:t>
      </w:r>
    </w:p>
    <w:p w14:paraId="335B71AB">
      <w:pPr>
        <w:numPr>
          <w:ilvl w:val="0"/>
          <w:numId w:val="1"/>
        </w:numPr>
        <w:spacing w:line="360" w:lineRule="auto"/>
        <w:jc w:val="both"/>
        <w:rPr>
          <w:b w:val="0"/>
          <w:bCs w:val="0"/>
          <w:lang w:val="en-US" w:eastAsia="zh-CN"/>
        </w:rPr>
      </w:pPr>
      <w:r>
        <w:t xml:space="preserve">Because of the low yield of DNA extraction and </w:t>
      </w:r>
      <w:r>
        <w:rPr>
          <w:rFonts w:hint="eastAsia" w:eastAsia="宋体"/>
          <w:lang w:val="en-US"/>
        </w:rPr>
        <w:t>l</w:t>
      </w:r>
      <w:r>
        <w:t>ow possibility of contamination</w:t>
      </w:r>
      <w:r>
        <w:rPr>
          <w:rFonts w:hint="eastAsia" w:eastAsia="宋体"/>
          <w:lang w:val="en-US"/>
        </w:rPr>
        <w:t xml:space="preserve">, pathogens such as parasites, </w:t>
      </w:r>
      <w:r>
        <w:rPr>
          <w:rFonts w:hint="eastAsia" w:eastAsia="宋体"/>
          <w:i/>
          <w:iCs/>
          <w:lang w:val="en-US"/>
        </w:rPr>
        <w:t>Mycobacterium spp</w:t>
      </w:r>
      <w:r>
        <w:rPr>
          <w:rFonts w:hint="eastAsia" w:eastAsia="宋体"/>
          <w:lang w:val="en-US"/>
        </w:rPr>
        <w:t>.,</w:t>
      </w:r>
      <w:r>
        <w:rPr>
          <w:rFonts w:hint="eastAsia" w:eastAsia="宋体"/>
          <w:i/>
          <w:iCs/>
          <w:lang w:val="en-US"/>
        </w:rPr>
        <w:t xml:space="preserve"> Rickettsia spp</w:t>
      </w:r>
      <w:r>
        <w:rPr>
          <w:rFonts w:hint="eastAsia" w:eastAsia="宋体"/>
          <w:lang w:val="en-US"/>
        </w:rPr>
        <w:t xml:space="preserve">., were considered identified when </w:t>
      </w:r>
      <w:r>
        <w:t>SDSMRN&gt; </w:t>
      </w:r>
      <w:r>
        <w:rPr>
          <w:rFonts w:hint="eastAsia" w:eastAsia="宋体"/>
          <w:lang w:val="en-US"/>
        </w:rPr>
        <w:t>1, or it positioned first within the top 20 genus with the highest SDSMRN.</w:t>
      </w:r>
    </w:p>
    <w:p w14:paraId="71A62C17">
      <w:pPr>
        <w:numPr>
          <w:ilvl w:val="255"/>
          <w:numId w:val="0"/>
        </w:numPr>
        <w:spacing w:line="360" w:lineRule="auto"/>
        <w:jc w:val="left"/>
        <w:rPr>
          <w:lang w:val="en-US"/>
        </w:rPr>
      </w:pPr>
      <w:r>
        <w:rPr>
          <w:rFonts w:eastAsia="宋体"/>
          <w:b/>
        </w:rPr>
        <w:t>Supplementary Methods References</w:t>
      </w:r>
    </w:p>
    <w:p w14:paraId="02A11C9E">
      <w:pPr>
        <w:widowControl w:val="0"/>
        <w:numPr>
          <w:ilvl w:val="0"/>
          <w:numId w:val="2"/>
        </w:numPr>
        <w:spacing w:line="360" w:lineRule="auto"/>
        <w:ind w:left="0" w:firstLine="0"/>
        <w:jc w:val="both"/>
        <w:rPr>
          <w:lang w:val="en-US" w:eastAsia="en-US"/>
        </w:rPr>
      </w:pPr>
      <w:r>
        <w:rPr>
          <w:lang w:val="en-US" w:eastAsia="en-US"/>
        </w:rPr>
        <w:t xml:space="preserve">Chen S, Zhou Y, Chen Y, Gu J. fastp: an ultra-fast all-in-one FASTQ preprocessor. Bioinformatics. 2018;34(17):i884-i890. </w:t>
      </w:r>
    </w:p>
    <w:p w14:paraId="34D11E96">
      <w:pPr>
        <w:widowControl w:val="0"/>
        <w:numPr>
          <w:ilvl w:val="0"/>
          <w:numId w:val="2"/>
        </w:numPr>
        <w:spacing w:line="360" w:lineRule="auto"/>
        <w:ind w:left="0" w:firstLine="0"/>
        <w:jc w:val="both"/>
        <w:rPr>
          <w:lang w:val="en-US" w:eastAsia="en-US"/>
        </w:rPr>
      </w:pPr>
      <w:r>
        <w:rPr>
          <w:lang w:val="en-US" w:eastAsia="en-US"/>
        </w:rPr>
        <w:t xml:space="preserve">Clarke EL, Taylor LJ, Zhao C, et al. Sunbeam: an extensible pipeline for analyzing metagenomic sequencing experiments. Microbiome. 2019;7(1):46. </w:t>
      </w:r>
    </w:p>
    <w:p w14:paraId="52EBB64E">
      <w:pPr>
        <w:widowControl w:val="0"/>
        <w:numPr>
          <w:ilvl w:val="0"/>
          <w:numId w:val="2"/>
        </w:numPr>
        <w:spacing w:line="360" w:lineRule="auto"/>
        <w:ind w:left="0" w:firstLine="0"/>
        <w:jc w:val="both"/>
        <w:rPr>
          <w:lang w:val="en-US" w:eastAsia="en-US"/>
        </w:rPr>
      </w:pPr>
      <w:r>
        <w:rPr>
          <w:lang w:val="en-US" w:eastAsia="en-US"/>
        </w:rPr>
        <w:t xml:space="preserve">Langmead B, Salzberg SL. Fast gapped-read alignment with Bowtie 2. Nat Methods. 2012;9(4):357-359. </w:t>
      </w:r>
    </w:p>
    <w:p w14:paraId="559BC701">
      <w:pPr>
        <w:widowControl w:val="0"/>
        <w:numPr>
          <w:ilvl w:val="0"/>
          <w:numId w:val="2"/>
        </w:numPr>
        <w:spacing w:line="360" w:lineRule="auto"/>
        <w:ind w:left="0" w:firstLine="0"/>
        <w:jc w:val="both"/>
        <w:rPr>
          <w:lang w:val="en-US" w:eastAsia="en-US"/>
        </w:rPr>
      </w:pPr>
      <w:r>
        <w:rPr>
          <w:lang w:val="en-US" w:eastAsia="en-US"/>
        </w:rPr>
        <w:t xml:space="preserve">Naccache SN, Federman S, Veeraraghavan N, et al. A cloud-compatible bioinformatics pipeline for ultrarapid pathogen identification from next-generation sequencing of clinical samples. Genome Res. 2014;24(7):1180-1192. </w:t>
      </w:r>
    </w:p>
    <w:p w14:paraId="2EA915C0">
      <w:pPr>
        <w:widowControl w:val="0"/>
        <w:numPr>
          <w:ilvl w:val="0"/>
          <w:numId w:val="2"/>
        </w:numPr>
        <w:spacing w:line="360" w:lineRule="auto"/>
        <w:ind w:left="0" w:firstLine="0"/>
        <w:jc w:val="both"/>
        <w:rPr>
          <w:lang w:val="en-US" w:eastAsia="en-US"/>
        </w:rPr>
      </w:pPr>
      <w:r>
        <w:rPr>
          <w:lang w:val="en-US" w:eastAsia="en-US"/>
        </w:rPr>
        <w:t xml:space="preserve">Schmieder R, Edwards R. Quality control and preprocessing of metagenomic datasets. Bioinformatics. 2011;27(6):863-864. </w:t>
      </w:r>
    </w:p>
    <w:p w14:paraId="32B44876">
      <w:pPr>
        <w:widowControl w:val="0"/>
        <w:numPr>
          <w:ilvl w:val="0"/>
          <w:numId w:val="2"/>
        </w:numPr>
        <w:spacing w:line="360" w:lineRule="auto"/>
        <w:ind w:left="0" w:firstLine="0"/>
        <w:jc w:val="both"/>
        <w:rPr>
          <w:lang w:val="en-US" w:eastAsia="en-US"/>
        </w:rPr>
      </w:pPr>
      <w:r>
        <w:rPr>
          <w:lang w:val="en-US" w:eastAsia="en-US"/>
        </w:rPr>
        <w:t xml:space="preserve">Zaragoza R, Ramírez P, López-Pueyo MJ. Infección nosocomial en las unidades de cuidados intensivos [Nosocomial infections in intensive care units]. Enferm Infecc Microbiol Clin. 2014;32(5):320-327. </w:t>
      </w:r>
    </w:p>
    <w:p w14:paraId="375D7EA7">
      <w:pPr>
        <w:autoSpaceDE/>
        <w:autoSpaceDN/>
        <w:adjustRightInd/>
        <w:spacing w:line="360" w:lineRule="auto"/>
        <w:ind w:left="0" w:firstLine="480" w:firstLineChars="200"/>
        <w:jc w:val="both"/>
        <w:rPr>
          <w:rFonts w:hint="default" w:ascii="Times New Roman" w:hAnsi="Times New Roman" w:eastAsia="Times New Roman" w:cs="Times New Roman"/>
          <w:b w:val="0"/>
          <w:kern w:val="0"/>
          <w:sz w:val="24"/>
          <w:szCs w:val="24"/>
          <w:lang w:val="en-GB"/>
        </w:rPr>
      </w:pPr>
    </w:p>
    <w:p w14:paraId="7009F1DD">
      <w:pPr>
        <w:spacing w:line="360" w:lineRule="auto"/>
        <w:rPr>
          <w:rFonts w:hint="default" w:ascii="Times New Roman" w:hAnsi="Times New Roman" w:cs="Times New Roman" w:eastAsiaTheme="minorEastAsia"/>
          <w:b/>
          <w:kern w:val="2"/>
          <w:lang w:val="en-US" w:eastAsia="zh-CN"/>
        </w:rPr>
      </w:pPr>
      <w:r>
        <w:rPr>
          <w:rFonts w:hint="default" w:ascii="Times New Roman" w:hAnsi="Times New Roman" w:cs="Times New Roman" w:eastAsiaTheme="minorEastAsia"/>
          <w:b/>
          <w:kern w:val="2"/>
          <w:lang w:val="en-GB"/>
        </w:rPr>
        <w:t xml:space="preserve">Supplemental Table </w:t>
      </w:r>
      <w:r>
        <w:rPr>
          <w:rFonts w:hint="default" w:ascii="Times New Roman" w:hAnsi="Times New Roman" w:cs="Times New Roman" w:eastAsiaTheme="minorEastAsia"/>
          <w:b/>
          <w:kern w:val="2"/>
          <w:lang w:val="en-US" w:eastAsia="zh-CN"/>
        </w:rPr>
        <w:t>S1</w:t>
      </w:r>
    </w:p>
    <w:p w14:paraId="5D139048">
      <w:pPr>
        <w:spacing w:line="360" w:lineRule="auto"/>
        <w:rPr>
          <w:rFonts w:hint="default" w:ascii="Times New Roman" w:hAnsi="Times New Roman" w:cs="Times New Roman" w:eastAsiaTheme="minorEastAsia"/>
          <w:b/>
          <w:kern w:val="2"/>
          <w:sz w:val="24"/>
          <w:szCs w:val="24"/>
          <w:lang w:val="en-US" w:eastAsia="zh-CN"/>
        </w:rPr>
      </w:pPr>
      <w:r>
        <w:rPr>
          <w:rFonts w:hint="default" w:ascii="Times New Roman" w:hAnsi="Times New Roman" w:cs="Times New Roman"/>
          <w:sz w:val="24"/>
          <w:szCs w:val="24"/>
          <w:lang w:val="en-US" w:eastAsia="zh-CN"/>
        </w:rPr>
        <w:t>Theoretical routes for clinical interpretation from plasma mNGS-based detection of sepsis and other system infections.</w:t>
      </w:r>
    </w:p>
    <w:p w14:paraId="30B0E8DA">
      <w:pPr>
        <w:spacing w:line="360" w:lineRule="auto"/>
        <w:rPr>
          <w:rFonts w:hint="default" w:ascii="Times New Roman" w:hAnsi="Times New Roman" w:cs="Times New Roman" w:eastAsiaTheme="minorEastAsia"/>
          <w:b/>
          <w:kern w:val="2"/>
          <w:lang w:val="en-US" w:eastAsia="zh-CN"/>
        </w:rPr>
      </w:pPr>
      <w:r>
        <w:rPr>
          <w:rFonts w:hint="default" w:ascii="Times New Roman" w:hAnsi="Times New Roman" w:cs="Times New Roman" w:eastAsiaTheme="minorEastAsia"/>
          <w:b/>
          <w:kern w:val="2"/>
          <w:lang w:val="en-GB"/>
        </w:rPr>
        <w:t xml:space="preserve">Supplemental Table </w:t>
      </w:r>
      <w:r>
        <w:rPr>
          <w:rFonts w:hint="default" w:ascii="Times New Roman" w:hAnsi="Times New Roman" w:cs="Times New Roman" w:eastAsiaTheme="minorEastAsia"/>
          <w:b/>
          <w:kern w:val="2"/>
          <w:lang w:val="en-US" w:eastAsia="zh-CN"/>
        </w:rPr>
        <w:t>S</w:t>
      </w:r>
      <w:r>
        <w:rPr>
          <w:rFonts w:hint="eastAsia" w:cs="Times New Roman" w:eastAsiaTheme="minorEastAsia"/>
          <w:b/>
          <w:kern w:val="2"/>
          <w:lang w:val="en-US" w:eastAsia="zh-CN"/>
        </w:rPr>
        <w:t>2</w:t>
      </w:r>
    </w:p>
    <w:p w14:paraId="73E7926F">
      <w:pPr>
        <w:spacing w:line="360" w:lineRule="auto"/>
        <w:rPr>
          <w:rFonts w:hint="default" w:ascii="Times New Roman" w:hAnsi="Times New Roman" w:cs="Times New Roman" w:eastAsiaTheme="minorEastAsia"/>
          <w:b w:val="0"/>
          <w:bCs/>
          <w:kern w:val="2"/>
          <w:lang w:val="en-US" w:eastAsia="zh-CN"/>
        </w:rPr>
      </w:pPr>
      <w:r>
        <w:rPr>
          <w:rFonts w:hint="default" w:ascii="Times New Roman" w:hAnsi="Times New Roman" w:cs="Times New Roman" w:eastAsiaTheme="minorEastAsia"/>
          <w:b w:val="0"/>
          <w:bCs/>
          <w:kern w:val="2"/>
          <w:lang w:val="en-US" w:eastAsia="zh-CN"/>
        </w:rPr>
        <w:t>Comparison of the etiological results between conventional detection methods and mNGS.</w:t>
      </w:r>
    </w:p>
    <w:p w14:paraId="15171EB2">
      <w:pPr>
        <w:spacing w:line="360" w:lineRule="auto"/>
        <w:rPr>
          <w:rFonts w:hint="default" w:ascii="Times New Roman" w:hAnsi="Times New Roman" w:cs="Times New Roman" w:eastAsiaTheme="minorEastAsia"/>
          <w:b w:val="0"/>
          <w:bCs/>
          <w:kern w:val="2"/>
          <w:lang w:val="en-US" w:eastAsia="zh-CN"/>
        </w:rPr>
        <w:sectPr>
          <w:pgSz w:w="11906" w:h="16838"/>
          <w:pgMar w:top="1440" w:right="1800" w:bottom="1440" w:left="1800" w:header="851" w:footer="992" w:gutter="0"/>
          <w:cols w:space="425" w:num="1"/>
          <w:docGrid w:type="lines" w:linePitch="312" w:charSpace="0"/>
        </w:sectPr>
      </w:pPr>
    </w:p>
    <w:p w14:paraId="1A553D5A">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Supplementary Table S</w:t>
      </w:r>
      <w:r>
        <w:rPr>
          <w:rFonts w:hint="eastAsia" w:cs="Times New Roman"/>
          <w:sz w:val="21"/>
          <w:szCs w:val="21"/>
          <w:lang w:val="en-US" w:eastAsia="zh-CN"/>
        </w:rPr>
        <w:t>1</w:t>
      </w:r>
      <w:r>
        <w:rPr>
          <w:rFonts w:hint="default" w:ascii="Times New Roman" w:hAnsi="Times New Roman" w:cs="Times New Roman"/>
          <w:sz w:val="21"/>
          <w:szCs w:val="21"/>
          <w:lang w:val="en-US" w:eastAsia="zh-CN"/>
        </w:rPr>
        <w:t>：Theoretical routes for clinical interpretation from plasma mNGS-based detection of sepsis and other system infections.</w:t>
      </w:r>
    </w:p>
    <w:tbl>
      <w:tblPr>
        <w:tblStyle w:val="2"/>
        <w:tblW w:w="0" w:type="auto"/>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780"/>
        <w:gridCol w:w="12346"/>
      </w:tblGrid>
      <w:tr w14:paraId="6379F87E">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1780" w:type="dxa"/>
            <w:tcBorders>
              <w:top w:val="nil"/>
              <w:left w:val="nil"/>
              <w:bottom w:val="nil"/>
              <w:right w:val="nil"/>
            </w:tcBorders>
            <w:shd w:val="clear" w:color="auto" w:fill="FFFFFF"/>
            <w:tcMar>
              <w:top w:w="42" w:type="dxa"/>
              <w:left w:w="84" w:type="dxa"/>
              <w:bottom w:w="42" w:type="dxa"/>
              <w:right w:w="84" w:type="dxa"/>
            </w:tcMar>
            <w:vAlign w:val="top"/>
          </w:tcPr>
          <w:p w14:paraId="7C235695">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Clinical interpretation</w:t>
            </w:r>
          </w:p>
        </w:tc>
        <w:tc>
          <w:tcPr>
            <w:tcW w:w="12346" w:type="dxa"/>
            <w:tcBorders>
              <w:top w:val="nil"/>
              <w:left w:val="nil"/>
              <w:bottom w:val="nil"/>
              <w:right w:val="nil"/>
            </w:tcBorders>
            <w:shd w:val="clear" w:color="auto" w:fill="FFFFFF"/>
            <w:tcMar>
              <w:top w:w="42" w:type="dxa"/>
              <w:left w:w="84" w:type="dxa"/>
              <w:bottom w:w="42" w:type="dxa"/>
              <w:right w:w="84" w:type="dxa"/>
            </w:tcMar>
            <w:vAlign w:val="top"/>
          </w:tcPr>
          <w:p w14:paraId="0A5626EF">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Theoretical routes</w:t>
            </w:r>
          </w:p>
        </w:tc>
      </w:tr>
      <w:tr w14:paraId="766900C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780" w:type="dxa"/>
            <w:vMerge w:val="restart"/>
            <w:tcBorders>
              <w:top w:val="nil"/>
              <w:left w:val="nil"/>
              <w:bottom w:val="nil"/>
              <w:right w:val="nil"/>
            </w:tcBorders>
            <w:shd w:val="clear" w:color="auto" w:fill="FFFFFF"/>
            <w:tcMar>
              <w:top w:w="42" w:type="dxa"/>
              <w:left w:w="84" w:type="dxa"/>
              <w:bottom w:w="42" w:type="dxa"/>
              <w:right w:w="84" w:type="dxa"/>
            </w:tcMar>
            <w:vAlign w:val="top"/>
          </w:tcPr>
          <w:p w14:paraId="4399F09D">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• True positive</w:t>
            </w:r>
          </w:p>
        </w:tc>
        <w:tc>
          <w:tcPr>
            <w:tcW w:w="12346" w:type="dxa"/>
            <w:tcBorders>
              <w:top w:val="nil"/>
              <w:left w:val="nil"/>
              <w:bottom w:val="nil"/>
              <w:right w:val="nil"/>
            </w:tcBorders>
            <w:shd w:val="clear" w:color="auto" w:fill="FFFFFF"/>
            <w:tcMar>
              <w:top w:w="42" w:type="dxa"/>
              <w:left w:w="84" w:type="dxa"/>
              <w:bottom w:w="42" w:type="dxa"/>
              <w:right w:w="84" w:type="dxa"/>
            </w:tcMar>
            <w:vAlign w:val="top"/>
          </w:tcPr>
          <w:p w14:paraId="00AC2467">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• In sepsis, confirmed positive and primary etiology of disease: e.g., sepsis in patients with blood cultures showing the same bacteria as mNGS testing</w:t>
            </w:r>
            <w:r>
              <w:rPr>
                <w:rFonts w:hint="default" w:ascii="Times New Roman" w:hAnsi="Times New Roman" w:cs="Times New Roman"/>
                <w:sz w:val="21"/>
                <w:szCs w:val="21"/>
                <w:lang w:val="en-US" w:eastAsia="zh-CN"/>
              </w:rPr>
              <w:br w:type="textWrapping"/>
            </w:r>
            <w:r>
              <w:rPr>
                <w:rFonts w:hint="default" w:ascii="Times New Roman" w:hAnsi="Times New Roman" w:cs="Times New Roman"/>
                <w:sz w:val="21"/>
                <w:szCs w:val="21"/>
                <w:lang w:val="en-US" w:eastAsia="zh-CN"/>
              </w:rPr>
              <w:t>• In other system infections, the diagnosis is clinically confirmed even without culture validation (no optimal local specimen). e.g., Aspergillus sequences were detected in plasma mNGS, and pulmonary aspergillosis was confirmed by lung CT and G test/GM test</w:t>
            </w:r>
          </w:p>
        </w:tc>
      </w:tr>
      <w:tr w14:paraId="2C8B930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780" w:type="dxa"/>
            <w:vMerge w:val="continue"/>
            <w:tcBorders>
              <w:top w:val="nil"/>
              <w:left w:val="nil"/>
              <w:bottom w:val="nil"/>
              <w:right w:val="nil"/>
            </w:tcBorders>
            <w:shd w:val="clear" w:color="auto" w:fill="FFFFFF"/>
            <w:tcMar>
              <w:top w:w="42" w:type="dxa"/>
              <w:left w:w="84" w:type="dxa"/>
              <w:bottom w:w="42" w:type="dxa"/>
              <w:right w:w="84" w:type="dxa"/>
            </w:tcMar>
            <w:vAlign w:val="top"/>
          </w:tcPr>
          <w:p w14:paraId="4D49D64A">
            <w:pPr>
              <w:rPr>
                <w:rFonts w:hint="default" w:ascii="Times New Roman" w:hAnsi="Times New Roman" w:cs="Times New Roman"/>
                <w:sz w:val="21"/>
                <w:szCs w:val="21"/>
                <w:lang w:val="en-US" w:eastAsia="zh-CN"/>
              </w:rPr>
            </w:pPr>
          </w:p>
        </w:tc>
        <w:tc>
          <w:tcPr>
            <w:tcW w:w="12346" w:type="dxa"/>
            <w:tcBorders>
              <w:top w:val="nil"/>
              <w:left w:val="nil"/>
              <w:bottom w:val="nil"/>
              <w:right w:val="nil"/>
            </w:tcBorders>
            <w:shd w:val="clear" w:color="auto" w:fill="FFFFFF"/>
            <w:tcMar>
              <w:top w:w="42" w:type="dxa"/>
              <w:left w:w="84" w:type="dxa"/>
              <w:bottom w:w="42" w:type="dxa"/>
              <w:right w:w="84" w:type="dxa"/>
            </w:tcMar>
            <w:vAlign w:val="top"/>
          </w:tcPr>
          <w:p w14:paraId="0A8A6E90">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• Confirmed positive but not the primary cause of disease: e.g., colonization of EBV was detected by mNGS in the plasma of patients with S. aureus-induced sepsis, and EBV was confirmed by PCR</w:t>
            </w:r>
          </w:p>
        </w:tc>
      </w:tr>
      <w:tr w14:paraId="44E1CBED">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1780" w:type="dxa"/>
            <w:vMerge w:val="continue"/>
            <w:tcBorders>
              <w:top w:val="nil"/>
              <w:left w:val="nil"/>
              <w:bottom w:val="nil"/>
              <w:right w:val="nil"/>
            </w:tcBorders>
            <w:shd w:val="clear" w:color="auto" w:fill="FFFFFF"/>
            <w:tcMar>
              <w:top w:w="42" w:type="dxa"/>
              <w:left w:w="84" w:type="dxa"/>
              <w:bottom w:w="42" w:type="dxa"/>
              <w:right w:w="84" w:type="dxa"/>
            </w:tcMar>
            <w:vAlign w:val="top"/>
          </w:tcPr>
          <w:p w14:paraId="0168718F">
            <w:pPr>
              <w:rPr>
                <w:rFonts w:hint="default" w:ascii="Times New Roman" w:hAnsi="Times New Roman" w:cs="Times New Roman"/>
                <w:sz w:val="21"/>
                <w:szCs w:val="21"/>
                <w:lang w:val="en-US" w:eastAsia="zh-CN"/>
              </w:rPr>
            </w:pPr>
          </w:p>
        </w:tc>
        <w:tc>
          <w:tcPr>
            <w:tcW w:w="12346" w:type="dxa"/>
            <w:tcBorders>
              <w:top w:val="nil"/>
              <w:left w:val="nil"/>
              <w:bottom w:val="nil"/>
              <w:right w:val="nil"/>
            </w:tcBorders>
            <w:shd w:val="clear" w:color="auto" w:fill="FFFFFF"/>
            <w:tcMar>
              <w:top w:w="42" w:type="dxa"/>
              <w:left w:w="84" w:type="dxa"/>
              <w:bottom w:w="42" w:type="dxa"/>
              <w:right w:w="84" w:type="dxa"/>
            </w:tcMar>
            <w:vAlign w:val="top"/>
          </w:tcPr>
          <w:p w14:paraId="16E68A7B">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• Other conditions not confirmed positive but consistent with infectious diagnosis: e.g., in patients with clinically diagnosed disseminated tuberculosis, Mycobacterium tuberculosis was identified on mNGS testing but not by standard microbiological testing</w:t>
            </w:r>
          </w:p>
        </w:tc>
      </w:tr>
      <w:tr w14:paraId="02D0077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780" w:type="dxa"/>
            <w:vMerge w:val="restart"/>
            <w:tcBorders>
              <w:top w:val="nil"/>
              <w:left w:val="nil"/>
              <w:bottom w:val="nil"/>
              <w:right w:val="nil"/>
            </w:tcBorders>
            <w:shd w:val="clear" w:color="auto" w:fill="FFFFFF"/>
            <w:tcMar>
              <w:top w:w="42" w:type="dxa"/>
              <w:left w:w="84" w:type="dxa"/>
              <w:bottom w:w="42" w:type="dxa"/>
              <w:right w:w="84" w:type="dxa"/>
            </w:tcMar>
            <w:vAlign w:val="top"/>
          </w:tcPr>
          <w:p w14:paraId="54FCE01D">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• False positive</w:t>
            </w:r>
          </w:p>
        </w:tc>
        <w:tc>
          <w:tcPr>
            <w:tcW w:w="12346" w:type="dxa"/>
            <w:tcBorders>
              <w:top w:val="nil"/>
              <w:left w:val="nil"/>
              <w:bottom w:val="nil"/>
              <w:right w:val="nil"/>
            </w:tcBorders>
            <w:shd w:val="clear" w:color="auto" w:fill="FFFFFF"/>
            <w:tcMar>
              <w:top w:w="42" w:type="dxa"/>
              <w:left w:w="84" w:type="dxa"/>
              <w:bottom w:w="42" w:type="dxa"/>
              <w:right w:w="84" w:type="dxa"/>
            </w:tcMar>
            <w:vAlign w:val="top"/>
          </w:tcPr>
          <w:p w14:paraId="4BAC8D27">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• Sequences may originate from interference or contamination: e.g., reagents or environmental contamination during production</w:t>
            </w:r>
          </w:p>
        </w:tc>
      </w:tr>
      <w:tr w14:paraId="77A1AA51">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780" w:type="dxa"/>
            <w:vMerge w:val="continue"/>
            <w:tcBorders>
              <w:top w:val="nil"/>
              <w:left w:val="nil"/>
              <w:bottom w:val="nil"/>
              <w:right w:val="nil"/>
            </w:tcBorders>
            <w:shd w:val="clear" w:color="auto" w:fill="FFFFFF"/>
            <w:tcMar>
              <w:top w:w="42" w:type="dxa"/>
              <w:left w:w="84" w:type="dxa"/>
              <w:bottom w:w="42" w:type="dxa"/>
              <w:right w:w="84" w:type="dxa"/>
            </w:tcMar>
            <w:vAlign w:val="top"/>
          </w:tcPr>
          <w:p w14:paraId="56D302F3">
            <w:pPr>
              <w:rPr>
                <w:rFonts w:hint="default" w:ascii="Times New Roman" w:hAnsi="Times New Roman" w:cs="Times New Roman"/>
                <w:sz w:val="21"/>
                <w:szCs w:val="21"/>
                <w:lang w:val="en-US" w:eastAsia="zh-CN"/>
              </w:rPr>
            </w:pPr>
          </w:p>
        </w:tc>
        <w:tc>
          <w:tcPr>
            <w:tcW w:w="12346" w:type="dxa"/>
            <w:tcBorders>
              <w:top w:val="nil"/>
              <w:left w:val="nil"/>
              <w:bottom w:val="nil"/>
              <w:right w:val="nil"/>
            </w:tcBorders>
            <w:shd w:val="clear" w:color="auto" w:fill="FFFFFF"/>
            <w:tcMar>
              <w:top w:w="42" w:type="dxa"/>
              <w:left w:w="84" w:type="dxa"/>
              <w:bottom w:w="42" w:type="dxa"/>
              <w:right w:w="84" w:type="dxa"/>
            </w:tcMar>
            <w:vAlign w:val="top"/>
          </w:tcPr>
          <w:p w14:paraId="7984351F">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• User normal gastrointestinal/skin/respiratory colonization flora but have no apparent infectious manifestations in patients: e.g., plasma mNGS detected Neisseria. subflava, which is generally considered normal flora of the upper respiratory tract</w:t>
            </w:r>
          </w:p>
        </w:tc>
      </w:tr>
      <w:tr w14:paraId="3DE5F718">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780" w:type="dxa"/>
            <w:vMerge w:val="continue"/>
            <w:tcBorders>
              <w:top w:val="nil"/>
              <w:left w:val="nil"/>
              <w:bottom w:val="nil"/>
              <w:right w:val="nil"/>
            </w:tcBorders>
            <w:shd w:val="clear" w:color="auto" w:fill="FFFFFF"/>
            <w:tcMar>
              <w:top w:w="42" w:type="dxa"/>
              <w:left w:w="84" w:type="dxa"/>
              <w:bottom w:w="42" w:type="dxa"/>
              <w:right w:w="84" w:type="dxa"/>
            </w:tcMar>
            <w:vAlign w:val="top"/>
          </w:tcPr>
          <w:p w14:paraId="3CA5F545">
            <w:pPr>
              <w:rPr>
                <w:rFonts w:hint="default" w:ascii="Times New Roman" w:hAnsi="Times New Roman" w:cs="Times New Roman"/>
                <w:sz w:val="21"/>
                <w:szCs w:val="21"/>
                <w:lang w:val="en-US" w:eastAsia="zh-CN"/>
              </w:rPr>
            </w:pPr>
          </w:p>
        </w:tc>
        <w:tc>
          <w:tcPr>
            <w:tcW w:w="12346" w:type="dxa"/>
            <w:tcBorders>
              <w:top w:val="nil"/>
              <w:left w:val="nil"/>
              <w:bottom w:val="nil"/>
              <w:right w:val="nil"/>
            </w:tcBorders>
            <w:shd w:val="clear" w:color="auto" w:fill="FFFFFF"/>
            <w:tcMar>
              <w:top w:w="42" w:type="dxa"/>
              <w:left w:w="84" w:type="dxa"/>
              <w:bottom w:w="42" w:type="dxa"/>
              <w:right w:w="84" w:type="dxa"/>
            </w:tcMar>
            <w:vAlign w:val="top"/>
          </w:tcPr>
          <w:p w14:paraId="5A043B0E">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Microorganisms with no known clinical significance: e.g., Caballeronia telluris was identified on mNGS in plasma, but its pathogenicity has not been proven</w:t>
            </w:r>
          </w:p>
        </w:tc>
      </w:tr>
      <w:tr w14:paraId="4CDDC056">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1780" w:type="dxa"/>
            <w:vMerge w:val="continue"/>
            <w:tcBorders>
              <w:top w:val="nil"/>
              <w:left w:val="nil"/>
              <w:bottom w:val="nil"/>
              <w:right w:val="nil"/>
            </w:tcBorders>
            <w:shd w:val="clear" w:color="auto" w:fill="FFFFFF"/>
            <w:tcMar>
              <w:top w:w="42" w:type="dxa"/>
              <w:left w:w="84" w:type="dxa"/>
              <w:bottom w:w="42" w:type="dxa"/>
              <w:right w:w="84" w:type="dxa"/>
            </w:tcMar>
            <w:vAlign w:val="top"/>
          </w:tcPr>
          <w:p w14:paraId="0473310E">
            <w:pPr>
              <w:rPr>
                <w:rFonts w:hint="default" w:ascii="Times New Roman" w:hAnsi="Times New Roman" w:cs="Times New Roman"/>
                <w:sz w:val="21"/>
                <w:szCs w:val="21"/>
                <w:lang w:val="en-US" w:eastAsia="zh-CN"/>
              </w:rPr>
            </w:pPr>
          </w:p>
        </w:tc>
        <w:tc>
          <w:tcPr>
            <w:tcW w:w="12346" w:type="dxa"/>
            <w:tcBorders>
              <w:top w:val="nil"/>
              <w:left w:val="nil"/>
              <w:bottom w:val="nil"/>
              <w:right w:val="nil"/>
            </w:tcBorders>
            <w:shd w:val="clear" w:color="auto" w:fill="FFFFFF"/>
            <w:tcMar>
              <w:top w:w="42" w:type="dxa"/>
              <w:left w:w="84" w:type="dxa"/>
              <w:bottom w:w="42" w:type="dxa"/>
              <w:right w:w="84" w:type="dxa"/>
            </w:tcMar>
            <w:vAlign w:val="top"/>
          </w:tcPr>
          <w:p w14:paraId="7F429F15">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• In sepsis and other system infections, pathogens identified on plasma mNGS were inconsistent with final clinical diagnosis: Staphylococcus epidermidis was identified on mNGS in plasma without evidence of infection</w:t>
            </w:r>
          </w:p>
        </w:tc>
      </w:tr>
      <w:tr w14:paraId="5F32A59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1780" w:type="dxa"/>
            <w:tcBorders>
              <w:top w:val="nil"/>
              <w:left w:val="nil"/>
              <w:bottom w:val="nil"/>
              <w:right w:val="nil"/>
            </w:tcBorders>
            <w:shd w:val="clear" w:color="auto" w:fill="FFFFFF"/>
            <w:tcMar>
              <w:top w:w="42" w:type="dxa"/>
              <w:left w:w="84" w:type="dxa"/>
              <w:bottom w:w="42" w:type="dxa"/>
              <w:right w:w="84" w:type="dxa"/>
            </w:tcMar>
            <w:vAlign w:val="top"/>
          </w:tcPr>
          <w:p w14:paraId="4C8B7E5B">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• True negative</w:t>
            </w:r>
          </w:p>
        </w:tc>
        <w:tc>
          <w:tcPr>
            <w:tcW w:w="12346" w:type="dxa"/>
            <w:tcBorders>
              <w:top w:val="nil"/>
              <w:left w:val="nil"/>
              <w:bottom w:val="nil"/>
              <w:right w:val="nil"/>
            </w:tcBorders>
            <w:shd w:val="clear" w:color="auto" w:fill="FFFFFF"/>
            <w:tcMar>
              <w:top w:w="42" w:type="dxa"/>
              <w:left w:w="84" w:type="dxa"/>
              <w:bottom w:w="42" w:type="dxa"/>
              <w:right w:w="84" w:type="dxa"/>
            </w:tcMar>
            <w:vAlign w:val="top"/>
          </w:tcPr>
          <w:p w14:paraId="6612099D">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• No positive DNA fragments were detected, and clinical interpretation ruled out sepsis and other system infections</w:t>
            </w:r>
          </w:p>
        </w:tc>
      </w:tr>
      <w:tr w14:paraId="5A0EBA75">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780" w:type="dxa"/>
            <w:tcBorders>
              <w:top w:val="nil"/>
              <w:left w:val="nil"/>
              <w:bottom w:val="nil"/>
              <w:right w:val="nil"/>
            </w:tcBorders>
            <w:shd w:val="clear" w:color="auto" w:fill="FFFFFF"/>
            <w:tcMar>
              <w:top w:w="42" w:type="dxa"/>
              <w:left w:w="84" w:type="dxa"/>
              <w:bottom w:w="42" w:type="dxa"/>
              <w:right w:w="84" w:type="dxa"/>
            </w:tcMar>
            <w:vAlign w:val="top"/>
          </w:tcPr>
          <w:p w14:paraId="28ACD9E9">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• False negative</w:t>
            </w:r>
          </w:p>
        </w:tc>
        <w:tc>
          <w:tcPr>
            <w:tcW w:w="12346" w:type="dxa"/>
            <w:tcBorders>
              <w:top w:val="nil"/>
              <w:left w:val="nil"/>
              <w:bottom w:val="nil"/>
              <w:right w:val="nil"/>
            </w:tcBorders>
            <w:shd w:val="clear" w:color="auto" w:fill="FFFFFF"/>
            <w:tcMar>
              <w:top w:w="42" w:type="dxa"/>
              <w:left w:w="84" w:type="dxa"/>
              <w:bottom w:w="42" w:type="dxa"/>
              <w:right w:w="84" w:type="dxa"/>
            </w:tcMar>
            <w:vAlign w:val="top"/>
          </w:tcPr>
          <w:p w14:paraId="6F40A9F8">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• Plasma mNGS did not detect DNA fragments, and sepsis or other system infections were finally diagnosed by other experiments. Local infection pathogen fragments that do not spread into the blood may occur</w:t>
            </w:r>
          </w:p>
        </w:tc>
      </w:tr>
    </w:tbl>
    <w:p w14:paraId="42E12CD9">
      <w:pPr>
        <w:rPr>
          <w:rFonts w:hint="default" w:ascii="Times New Roman" w:hAnsi="Times New Roman" w:cs="Times New Roman" w:eastAsiaTheme="minorEastAsia"/>
          <w:b/>
          <w:kern w:val="2"/>
          <w:lang w:val="en-US" w:eastAsia="zh-CN"/>
        </w:rPr>
      </w:pPr>
      <w:r>
        <w:rPr>
          <w:rFonts w:hint="default" w:ascii="Times New Roman" w:hAnsi="Times New Roman" w:cs="Times New Roman"/>
          <w:sz w:val="21"/>
          <w:szCs w:val="21"/>
          <w:lang w:val="en-US" w:eastAsia="zh-CN"/>
        </w:rPr>
        <w:t>mNGS, metagenomic next-generation sequencing; CT, computed tomography; G test, β-d-glucan test; GM test, galactomannan test; EBV, Epstein-Barr virus</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2DE5BB"/>
    <w:multiLevelType w:val="singleLevel"/>
    <w:tmpl w:val="882DE5BB"/>
    <w:lvl w:ilvl="0" w:tentative="0">
      <w:start w:val="1"/>
      <w:numFmt w:val="decimal"/>
      <w:suff w:val="space"/>
      <w:lvlText w:val="%1."/>
      <w:lvlJc w:val="left"/>
    </w:lvl>
  </w:abstractNum>
  <w:abstractNum w:abstractNumId="1">
    <w:nsid w:val="7461C855"/>
    <w:multiLevelType w:val="singleLevel"/>
    <w:tmpl w:val="7461C855"/>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wMTcxMjY4ZDRlNTA2MTJmMjMzMjhkNTFiMmRmMTIifQ=="/>
  </w:docVars>
  <w:rsids>
    <w:rsidRoot w:val="62281104"/>
    <w:rsid w:val="0EB83A78"/>
    <w:rsid w:val="10484987"/>
    <w:rsid w:val="10D40911"/>
    <w:rsid w:val="10DD6A08"/>
    <w:rsid w:val="1139154F"/>
    <w:rsid w:val="18E53E6C"/>
    <w:rsid w:val="191C10A7"/>
    <w:rsid w:val="1B554868"/>
    <w:rsid w:val="262E7A20"/>
    <w:rsid w:val="26CD1C32"/>
    <w:rsid w:val="27555C49"/>
    <w:rsid w:val="2885560B"/>
    <w:rsid w:val="2B1A4D1A"/>
    <w:rsid w:val="2C4232C2"/>
    <w:rsid w:val="451C43A8"/>
    <w:rsid w:val="49E3262A"/>
    <w:rsid w:val="4BBF610E"/>
    <w:rsid w:val="4E1E04FA"/>
    <w:rsid w:val="52B02200"/>
    <w:rsid w:val="5CC20D5E"/>
    <w:rsid w:val="5CDB39D5"/>
    <w:rsid w:val="5E9B5B97"/>
    <w:rsid w:val="5FE547B7"/>
    <w:rsid w:val="61614E76"/>
    <w:rsid w:val="62281104"/>
    <w:rsid w:val="62C51434"/>
    <w:rsid w:val="62C844F3"/>
    <w:rsid w:val="64730D7E"/>
    <w:rsid w:val="666B22F3"/>
    <w:rsid w:val="68582CC6"/>
    <w:rsid w:val="688B27D8"/>
    <w:rsid w:val="6A9040D6"/>
    <w:rsid w:val="6D8E6FF3"/>
    <w:rsid w:val="762E4C77"/>
    <w:rsid w:val="7B825F3C"/>
    <w:rsid w:val="7F2D7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v-SE"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1003</Words>
  <Characters>6249</Characters>
  <Lines>0</Lines>
  <Paragraphs>0</Paragraphs>
  <TotalTime>9</TotalTime>
  <ScaleCrop>false</ScaleCrop>
  <LinksUpToDate>false</LinksUpToDate>
  <CharactersWithSpaces>7211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2024-06-14T07:18:00Z</dcterms:created>
  <dc:creator>Author</dc:creator>
  <cp:lastModifiedBy>Author</cp:lastModifiedBy>
  <dcterms:modified xsi:type="dcterms:W3CDTF">2025-04-08T12:14:48Z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BA69B2F7414A4E7A954E6B8E7A4AA1E9_13</vt:lpwstr>
  </property>
  <property fmtid="{D5CDD505-2E9C-101B-9397-08002B2CF9AE}" pid="4" name="KSOTemplateDocerSaveRecord">
    <vt:lpwstr>eyJoZGlkIjoiNzMwMTcxMjY4ZDRlNTA2MTJmMjMzMjhkNTFiMmRmMTIiLCJ1c2VySWQiOiIxNjgyMDU4MDg3In0=</vt:lpwstr>
  </property>
</Properties>
</file>