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D37167" w14:textId="7B79BA12" w:rsidR="004E19AF" w:rsidRDefault="00B00C2E" w:rsidP="00F15ECC">
      <w:r w:rsidRPr="0056484D">
        <w:rPr>
          <w:noProof/>
        </w:rPr>
        <w:drawing>
          <wp:inline distT="0" distB="0" distL="0" distR="0" wp14:anchorId="507E12CD" wp14:editId="0FA410ED">
            <wp:extent cx="5943600" cy="356616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566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35BD2">
        <w:rPr>
          <w:b/>
          <w:bCs/>
        </w:rPr>
        <w:t>Supplementary</w:t>
      </w:r>
      <w:r w:rsidR="00F15ECC" w:rsidRPr="00735BD2">
        <w:rPr>
          <w:b/>
          <w:bCs/>
        </w:rPr>
        <w:t xml:space="preserve"> File </w:t>
      </w:r>
      <w:r w:rsidR="005C5162" w:rsidRPr="00735BD2">
        <w:rPr>
          <w:b/>
          <w:bCs/>
        </w:rPr>
        <w:t>6</w:t>
      </w:r>
      <w:r>
        <w:t xml:space="preserve">. </w:t>
      </w:r>
      <w:r w:rsidR="00423867">
        <w:t xml:space="preserve">Obesity and Tracheostomy: Protective Effects and </w:t>
      </w:r>
      <w:r w:rsidR="00423867" w:rsidRPr="00423867">
        <w:rPr>
          <w:rFonts w:ascii="Calibri" w:hAnsi="Calibri" w:cs="Calibri"/>
        </w:rPr>
        <w:t xml:space="preserve">additive interaction </w:t>
      </w:r>
      <w:r w:rsidR="00423867">
        <w:t>on ECMO ICU Outcome</w:t>
      </w:r>
    </w:p>
    <w:p w14:paraId="64B33549" w14:textId="77777777" w:rsidR="008039E7" w:rsidRDefault="008039E7" w:rsidP="00F15ECC"/>
    <w:p w14:paraId="6817317C" w14:textId="5CD245C6" w:rsidR="008039E7" w:rsidRPr="008039E7" w:rsidRDefault="008039E7" w:rsidP="008039E7">
      <w:pPr>
        <w:jc w:val="both"/>
        <w:rPr>
          <w:color w:val="7030A0"/>
        </w:rPr>
      </w:pPr>
      <w:r w:rsidRPr="007F3F13">
        <w:rPr>
          <w:rFonts w:ascii="Calibri" w:hAnsi="Calibri" w:cs="Calibri"/>
          <w:color w:val="7030A0"/>
          <w:lang w:bidi="fa-IR"/>
        </w:rPr>
        <w:t>Logistic regression revealed significant individual and joint protective effects for obesity and tracheostomy. While the Relative Excess Risk due to Interaction (RERI) was positive (0.516–0.564, p&lt;0.01), the Synergy Index remained &lt;1 (0.627–0.667, p&lt;0.01), indicating an antagonistic additive interaction where the combined benefit is less than the theoretical sum of individual effects</w:t>
      </w:r>
    </w:p>
    <w:sectPr w:rsidR="008039E7" w:rsidRPr="008039E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7F55"/>
    <w:rsid w:val="00083FD5"/>
    <w:rsid w:val="0031563D"/>
    <w:rsid w:val="00423867"/>
    <w:rsid w:val="004900A4"/>
    <w:rsid w:val="004E19AF"/>
    <w:rsid w:val="005C5162"/>
    <w:rsid w:val="00735BD2"/>
    <w:rsid w:val="008039E7"/>
    <w:rsid w:val="00827F55"/>
    <w:rsid w:val="00852AA4"/>
    <w:rsid w:val="008A52E7"/>
    <w:rsid w:val="009C5C7B"/>
    <w:rsid w:val="00B00C2E"/>
    <w:rsid w:val="00E804EE"/>
    <w:rsid w:val="00F15ECC"/>
    <w:rsid w:val="00FB3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33BBED"/>
  <w15:chartTrackingRefBased/>
  <w15:docId w15:val="{632DAF4E-1DD1-4866-9731-798DD3D658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74</Words>
  <Characters>427</Characters>
  <Application>Microsoft Office Word</Application>
  <DocSecurity>0</DocSecurity>
  <Lines>3</Lines>
  <Paragraphs>1</Paragraphs>
  <ScaleCrop>false</ScaleCrop>
  <Company/>
  <LinksUpToDate>false</LinksUpToDate>
  <CharactersWithSpaces>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mobosoft</dc:creator>
  <cp:keywords/>
  <dc:description/>
  <cp:lastModifiedBy>amir vahedian-azimi</cp:lastModifiedBy>
  <cp:revision>13</cp:revision>
  <dcterms:created xsi:type="dcterms:W3CDTF">2025-08-19T17:09:00Z</dcterms:created>
  <dcterms:modified xsi:type="dcterms:W3CDTF">2026-01-19T23:39:00Z</dcterms:modified>
</cp:coreProperties>
</file>