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E4174">
      <w:pPr>
        <w:spacing w:line="480" w:lineRule="auto"/>
        <w:rPr>
          <w:rFonts w:eastAsia="宋体" w:asciiTheme="majorBidi" w:hAnsiTheme="majorBidi" w:cstheme="majorBidi"/>
          <w:color w:val="auto"/>
          <w:sz w:val="24"/>
          <w:szCs w:val="24"/>
        </w:rPr>
      </w:pPr>
      <w:bookmarkStart w:id="0" w:name="_GoBack"/>
      <w:r>
        <w:rPr>
          <w:rFonts w:eastAsia="宋体" w:asciiTheme="majorBidi" w:hAnsiTheme="majorBidi" w:cstheme="majorBidi"/>
          <w:color w:val="auto"/>
          <w:sz w:val="24"/>
          <w:szCs w:val="24"/>
        </w:rPr>
        <w:t xml:space="preserve">Table S1: Model comparison of ARIMA, SARIMA for monthly human brucellosis incidence in Xinjiang </w:t>
      </w:r>
    </w:p>
    <w:tbl>
      <w:tblPr>
        <w:tblStyle w:val="7"/>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3"/>
        <w:gridCol w:w="2196"/>
        <w:gridCol w:w="1956"/>
        <w:gridCol w:w="1896"/>
      </w:tblGrid>
      <w:tr w14:paraId="51AF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tcPr>
          <w:p w14:paraId="1359B6C0">
            <w:pPr>
              <w:widowControl w:val="0"/>
              <w:spacing w:line="480" w:lineRule="auto"/>
              <w:jc w:val="both"/>
              <w:rPr>
                <w:rFonts w:asciiTheme="majorBidi" w:hAnsiTheme="majorBidi" w:cstheme="majorBidi"/>
                <w:b/>
                <w:bCs/>
                <w:color w:val="auto"/>
                <w:sz w:val="24"/>
                <w:szCs w:val="24"/>
              </w:rPr>
            </w:pPr>
            <w:r>
              <w:rPr>
                <w:rFonts w:eastAsia="宋体" w:asciiTheme="majorBidi" w:hAnsiTheme="majorBidi" w:cstheme="majorBidi"/>
                <w:b/>
                <w:bCs/>
                <w:color w:val="auto"/>
                <w:sz w:val="24"/>
                <w:szCs w:val="24"/>
              </w:rPr>
              <w:t>Model Specification</w:t>
            </w:r>
          </w:p>
        </w:tc>
        <w:tc>
          <w:tcPr>
            <w:tcW w:w="2196" w:type="dxa"/>
          </w:tcPr>
          <w:p w14:paraId="73C4AA41">
            <w:pPr>
              <w:widowControl w:val="0"/>
              <w:spacing w:line="480" w:lineRule="auto"/>
              <w:jc w:val="both"/>
              <w:rPr>
                <w:rFonts w:asciiTheme="majorBidi" w:hAnsiTheme="majorBidi" w:cstheme="majorBidi"/>
                <w:b/>
                <w:bCs/>
                <w:color w:val="auto"/>
                <w:sz w:val="24"/>
                <w:szCs w:val="24"/>
              </w:rPr>
            </w:pPr>
            <w:r>
              <w:rPr>
                <w:rFonts w:eastAsia="宋体" w:asciiTheme="majorBidi" w:hAnsiTheme="majorBidi" w:cstheme="majorBidi"/>
                <w:b/>
                <w:bCs/>
                <w:color w:val="auto"/>
                <w:sz w:val="24"/>
                <w:szCs w:val="24"/>
              </w:rPr>
              <w:t>AIC</w:t>
            </w:r>
          </w:p>
        </w:tc>
        <w:tc>
          <w:tcPr>
            <w:tcW w:w="1956" w:type="dxa"/>
          </w:tcPr>
          <w:p w14:paraId="5AC47CE4">
            <w:pPr>
              <w:widowControl w:val="0"/>
              <w:spacing w:line="480" w:lineRule="auto"/>
              <w:jc w:val="both"/>
              <w:rPr>
                <w:rFonts w:asciiTheme="majorBidi" w:hAnsiTheme="majorBidi" w:cstheme="majorBidi"/>
                <w:b/>
                <w:bCs/>
                <w:color w:val="auto"/>
                <w:sz w:val="24"/>
                <w:szCs w:val="24"/>
              </w:rPr>
            </w:pPr>
            <w:r>
              <w:rPr>
                <w:rFonts w:eastAsia="宋体" w:asciiTheme="majorBidi" w:hAnsiTheme="majorBidi" w:cstheme="majorBidi"/>
                <w:b/>
                <w:bCs/>
                <w:color w:val="auto"/>
                <w:sz w:val="24"/>
                <w:szCs w:val="24"/>
              </w:rPr>
              <w:t>BIC</w:t>
            </w:r>
          </w:p>
        </w:tc>
        <w:tc>
          <w:tcPr>
            <w:tcW w:w="1896" w:type="dxa"/>
          </w:tcPr>
          <w:p w14:paraId="3EF82BA4">
            <w:pPr>
              <w:widowControl w:val="0"/>
              <w:spacing w:line="480" w:lineRule="auto"/>
              <w:jc w:val="both"/>
              <w:rPr>
                <w:rFonts w:asciiTheme="majorBidi" w:hAnsiTheme="majorBidi" w:cstheme="majorBidi"/>
                <w:b/>
                <w:bCs/>
                <w:color w:val="auto"/>
                <w:sz w:val="24"/>
                <w:szCs w:val="24"/>
              </w:rPr>
            </w:pPr>
            <w:r>
              <w:rPr>
                <w:rFonts w:eastAsia="宋体" w:asciiTheme="majorBidi" w:hAnsiTheme="majorBidi" w:cstheme="majorBidi"/>
                <w:b/>
                <w:bCs/>
                <w:color w:val="auto"/>
                <w:sz w:val="24"/>
                <w:szCs w:val="24"/>
              </w:rPr>
              <w:t>Adjusted R²</w:t>
            </w:r>
          </w:p>
        </w:tc>
      </w:tr>
      <w:tr w14:paraId="619C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tcPr>
          <w:p w14:paraId="4481CAC6">
            <w:pPr>
              <w:widowControl w:val="0"/>
              <w:spacing w:line="480" w:lineRule="auto"/>
              <w:jc w:val="both"/>
              <w:rPr>
                <w:rFonts w:asciiTheme="majorBidi" w:hAnsiTheme="majorBidi" w:cstheme="majorBidi"/>
                <w:color w:val="auto"/>
                <w:sz w:val="24"/>
                <w:szCs w:val="24"/>
              </w:rPr>
            </w:pPr>
            <w:r>
              <w:rPr>
                <w:rFonts w:eastAsia="宋体" w:asciiTheme="majorBidi" w:hAnsiTheme="majorBidi" w:cstheme="majorBidi"/>
                <w:color w:val="auto"/>
                <w:sz w:val="24"/>
                <w:szCs w:val="24"/>
              </w:rPr>
              <w:t>ARIMA (2,1,1)</w:t>
            </w:r>
          </w:p>
        </w:tc>
        <w:tc>
          <w:tcPr>
            <w:tcW w:w="2196" w:type="dxa"/>
            <w:vAlign w:val="center"/>
          </w:tcPr>
          <w:p w14:paraId="424CEFF0">
            <w:pPr>
              <w:widowControl w:val="0"/>
              <w:spacing w:line="480" w:lineRule="auto"/>
              <w:jc w:val="both"/>
              <w:rPr>
                <w:rFonts w:asciiTheme="majorBidi" w:hAnsiTheme="majorBidi" w:cstheme="majorBidi"/>
                <w:b/>
                <w:bCs/>
                <w:color w:val="auto"/>
                <w:sz w:val="24"/>
                <w:szCs w:val="24"/>
              </w:rPr>
            </w:pPr>
            <w:r>
              <w:rPr>
                <w:rStyle w:val="6"/>
                <w:rFonts w:asciiTheme="majorBidi" w:hAnsiTheme="majorBidi" w:cstheme="majorBidi"/>
                <w:b w:val="0"/>
                <w:bCs w:val="0"/>
                <w:color w:val="auto"/>
                <w:sz w:val="24"/>
                <w:szCs w:val="24"/>
              </w:rPr>
              <w:t>1685.42</w:t>
            </w:r>
          </w:p>
        </w:tc>
        <w:tc>
          <w:tcPr>
            <w:tcW w:w="1956" w:type="dxa"/>
            <w:vAlign w:val="center"/>
          </w:tcPr>
          <w:p w14:paraId="1C9D9425">
            <w:pPr>
              <w:widowControl w:val="0"/>
              <w:spacing w:line="480" w:lineRule="auto"/>
              <w:jc w:val="both"/>
              <w:rPr>
                <w:rFonts w:asciiTheme="majorBidi" w:hAnsiTheme="majorBidi" w:cstheme="majorBidi"/>
                <w:b/>
                <w:bCs/>
                <w:color w:val="auto"/>
                <w:sz w:val="24"/>
                <w:szCs w:val="24"/>
              </w:rPr>
            </w:pPr>
            <w:r>
              <w:rPr>
                <w:rStyle w:val="6"/>
                <w:rFonts w:asciiTheme="majorBidi" w:hAnsiTheme="majorBidi" w:cstheme="majorBidi"/>
                <w:b w:val="0"/>
                <w:bCs w:val="0"/>
                <w:color w:val="auto"/>
                <w:sz w:val="24"/>
                <w:szCs w:val="24"/>
              </w:rPr>
              <w:t>1697.65</w:t>
            </w:r>
          </w:p>
        </w:tc>
        <w:tc>
          <w:tcPr>
            <w:tcW w:w="1896" w:type="dxa"/>
            <w:vAlign w:val="center"/>
          </w:tcPr>
          <w:p w14:paraId="64490DA1">
            <w:pPr>
              <w:widowControl w:val="0"/>
              <w:spacing w:line="480" w:lineRule="auto"/>
              <w:jc w:val="both"/>
              <w:rPr>
                <w:rFonts w:asciiTheme="majorBidi" w:hAnsiTheme="majorBidi" w:cstheme="majorBidi"/>
                <w:b/>
                <w:bCs/>
                <w:color w:val="auto"/>
                <w:sz w:val="24"/>
                <w:szCs w:val="24"/>
              </w:rPr>
            </w:pPr>
            <w:r>
              <w:rPr>
                <w:rStyle w:val="6"/>
                <w:rFonts w:asciiTheme="majorBidi" w:hAnsiTheme="majorBidi" w:cstheme="majorBidi"/>
                <w:b w:val="0"/>
                <w:bCs w:val="0"/>
                <w:color w:val="auto"/>
                <w:sz w:val="24"/>
                <w:szCs w:val="24"/>
              </w:rPr>
              <w:t>0.892</w:t>
            </w:r>
          </w:p>
        </w:tc>
      </w:tr>
      <w:tr w14:paraId="5201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tcPr>
          <w:p w14:paraId="57F97CC0">
            <w:pPr>
              <w:widowControl w:val="0"/>
              <w:spacing w:line="480" w:lineRule="auto"/>
              <w:jc w:val="both"/>
              <w:rPr>
                <w:rFonts w:asciiTheme="majorBidi" w:hAnsiTheme="majorBidi" w:cstheme="majorBidi"/>
                <w:color w:val="auto"/>
                <w:sz w:val="24"/>
                <w:szCs w:val="24"/>
              </w:rPr>
            </w:pPr>
            <w:r>
              <w:rPr>
                <w:rFonts w:eastAsia="宋体" w:asciiTheme="majorBidi" w:hAnsiTheme="majorBidi" w:cstheme="majorBidi"/>
                <w:color w:val="auto"/>
                <w:sz w:val="24"/>
                <w:szCs w:val="24"/>
              </w:rPr>
              <w:t>SARIMA (2,1,1)(1,1,1)₁₂</w:t>
            </w:r>
          </w:p>
        </w:tc>
        <w:tc>
          <w:tcPr>
            <w:tcW w:w="2196" w:type="dxa"/>
            <w:vAlign w:val="center"/>
          </w:tcPr>
          <w:p w14:paraId="1933AF30">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1698.76</w:t>
            </w:r>
          </w:p>
        </w:tc>
        <w:tc>
          <w:tcPr>
            <w:tcW w:w="1956" w:type="dxa"/>
            <w:vAlign w:val="center"/>
          </w:tcPr>
          <w:p w14:paraId="6ED48B51">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1715.23</w:t>
            </w:r>
          </w:p>
        </w:tc>
        <w:tc>
          <w:tcPr>
            <w:tcW w:w="1896" w:type="dxa"/>
            <w:vAlign w:val="center"/>
          </w:tcPr>
          <w:p w14:paraId="6AF19C2F">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0.878</w:t>
            </w:r>
          </w:p>
        </w:tc>
      </w:tr>
      <w:tr w14:paraId="3142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vAlign w:val="center"/>
          </w:tcPr>
          <w:p w14:paraId="221867A2">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SARIMA (2,1,1)(0,1,1)₁₂</w:t>
            </w:r>
          </w:p>
        </w:tc>
        <w:tc>
          <w:tcPr>
            <w:tcW w:w="2196" w:type="dxa"/>
            <w:vAlign w:val="center"/>
          </w:tcPr>
          <w:p w14:paraId="1D4C8912">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1702.18</w:t>
            </w:r>
          </w:p>
        </w:tc>
        <w:tc>
          <w:tcPr>
            <w:tcW w:w="1956" w:type="dxa"/>
            <w:vAlign w:val="center"/>
          </w:tcPr>
          <w:p w14:paraId="1C333B80">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1714.41</w:t>
            </w:r>
          </w:p>
        </w:tc>
        <w:tc>
          <w:tcPr>
            <w:tcW w:w="1896" w:type="dxa"/>
            <w:vAlign w:val="center"/>
          </w:tcPr>
          <w:p w14:paraId="747E6DAC">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0.872</w:t>
            </w:r>
          </w:p>
        </w:tc>
      </w:tr>
      <w:tr w14:paraId="2282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vAlign w:val="center"/>
          </w:tcPr>
          <w:p w14:paraId="56A91F5C">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SARIMA (1,1,1)(1,1,1)₁₂</w:t>
            </w:r>
          </w:p>
        </w:tc>
        <w:tc>
          <w:tcPr>
            <w:tcW w:w="2196" w:type="dxa"/>
            <w:vAlign w:val="center"/>
          </w:tcPr>
          <w:p w14:paraId="3124FE04">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1712.45</w:t>
            </w:r>
          </w:p>
        </w:tc>
        <w:tc>
          <w:tcPr>
            <w:tcW w:w="1956" w:type="dxa"/>
            <w:vAlign w:val="center"/>
          </w:tcPr>
          <w:p w14:paraId="7331A103">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1728.92</w:t>
            </w:r>
          </w:p>
        </w:tc>
        <w:tc>
          <w:tcPr>
            <w:tcW w:w="1896" w:type="dxa"/>
            <w:vAlign w:val="center"/>
          </w:tcPr>
          <w:p w14:paraId="51FAEDD2">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0.865</w:t>
            </w:r>
          </w:p>
        </w:tc>
      </w:tr>
      <w:tr w14:paraId="4CF1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3" w:type="dxa"/>
            <w:vAlign w:val="center"/>
          </w:tcPr>
          <w:p w14:paraId="7F29B01B">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SARIMA (0,1,1)(1,1,1)₁₂</w:t>
            </w:r>
          </w:p>
        </w:tc>
        <w:tc>
          <w:tcPr>
            <w:tcW w:w="2196" w:type="dxa"/>
            <w:vAlign w:val="center"/>
          </w:tcPr>
          <w:p w14:paraId="7D560227">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1720.83</w:t>
            </w:r>
          </w:p>
        </w:tc>
        <w:tc>
          <w:tcPr>
            <w:tcW w:w="1956" w:type="dxa"/>
            <w:vAlign w:val="center"/>
          </w:tcPr>
          <w:p w14:paraId="679D863B">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1737.30</w:t>
            </w:r>
          </w:p>
        </w:tc>
        <w:tc>
          <w:tcPr>
            <w:tcW w:w="1896" w:type="dxa"/>
            <w:vAlign w:val="center"/>
          </w:tcPr>
          <w:p w14:paraId="21336D36">
            <w:pPr>
              <w:widowControl w:val="0"/>
              <w:spacing w:line="480" w:lineRule="auto"/>
              <w:jc w:val="both"/>
              <w:rPr>
                <w:rFonts w:asciiTheme="majorBidi" w:hAnsiTheme="majorBidi" w:cstheme="majorBidi"/>
                <w:color w:val="auto"/>
                <w:sz w:val="24"/>
                <w:szCs w:val="24"/>
              </w:rPr>
            </w:pPr>
            <w:r>
              <w:rPr>
                <w:rFonts w:asciiTheme="majorBidi" w:hAnsiTheme="majorBidi" w:cstheme="majorBidi"/>
                <w:color w:val="auto"/>
                <w:sz w:val="24"/>
                <w:szCs w:val="24"/>
              </w:rPr>
              <w:t>0.854</w:t>
            </w:r>
          </w:p>
        </w:tc>
      </w:tr>
    </w:tbl>
    <w:p w14:paraId="46A96DFC">
      <w:pPr>
        <w:spacing w:line="480" w:lineRule="auto"/>
        <w:rPr>
          <w:rFonts w:hint="eastAsia" w:eastAsia="宋体" w:asciiTheme="majorBidi" w:hAnsiTheme="majorBidi" w:cstheme="majorBidi"/>
          <w:color w:val="auto"/>
          <w:sz w:val="24"/>
          <w:szCs w:val="24"/>
        </w:rPr>
      </w:pPr>
    </w:p>
    <w:p w14:paraId="5A31CA4B">
      <w:pPr>
        <w:adjustRightInd w:val="0"/>
        <w:snapToGrid w:val="0"/>
        <w:spacing w:line="360" w:lineRule="auto"/>
        <w:rPr>
          <w:rFonts w:asciiTheme="majorBidi" w:hAnsiTheme="majorBidi" w:cstheme="majorBidi"/>
          <w:color w:val="auto"/>
          <w:sz w:val="24"/>
          <w:szCs w:val="24"/>
        </w:rPr>
      </w:pPr>
      <w:r>
        <w:rPr>
          <w:rFonts w:asciiTheme="majorBidi" w:hAnsiTheme="majorBidi" w:cstheme="majorBidi"/>
          <w:color w:val="auto"/>
          <w:sz w:val="24"/>
          <w:szCs w:val="24"/>
        </w:rPr>
        <w:t>Formal model comparison revealed ARIMA(2,1,1) as the optimal specification for brucellosis forecasting in Xinjiang. The model achieved the lowest AIC (1685.42) and BIC (1697.65) values among all candidate specifications, along with the highest adjusted R² (0.892). SARIMA models incorporating seasonal parameters exhibited inferior performance (AIC: 1698-1721; BIC: 1714-1737; adjusted R²: 0.854-0.878), indicating overfitting due to redundant seasonal components. This finding aligns with the epidemiological characteristics of brucellosis in Xinjiang, where seasonal patterns are driven by fixed pastoral and livestock breeding practices rather than stochastic seasonal processes.</w:t>
      </w:r>
    </w:p>
    <w:p w14:paraId="432A8034">
      <w:pPr>
        <w:rPr>
          <w:rFonts w:asciiTheme="majorBidi" w:hAnsiTheme="majorBidi" w:cstheme="majorBidi"/>
          <w:color w:val="auto"/>
          <w:sz w:val="24"/>
          <w:szCs w:val="24"/>
        </w:rPr>
      </w:pPr>
    </w:p>
    <w:p w14:paraId="726E2F54">
      <w:pPr>
        <w:rPr>
          <w:rFonts w:asciiTheme="majorBidi" w:hAnsiTheme="majorBidi" w:cstheme="majorBidi"/>
          <w:color w:val="auto"/>
          <w:sz w:val="24"/>
          <w:szCs w:val="24"/>
        </w:rPr>
      </w:pPr>
    </w:p>
    <w:p w14:paraId="081AA287">
      <w:pPr>
        <w:rPr>
          <w:rFonts w:asciiTheme="majorBidi" w:hAnsiTheme="majorBidi" w:cstheme="majorBidi"/>
          <w:color w:val="auto"/>
          <w:sz w:val="24"/>
          <w:szCs w:val="24"/>
        </w:rPr>
      </w:pPr>
      <w:r>
        <w:rPr>
          <w:rFonts w:asciiTheme="majorBidi" w:hAnsiTheme="majorBidi" w:cstheme="majorBidi"/>
          <w:color w:val="auto"/>
          <w:sz w:val="24"/>
          <w:szCs w:val="24"/>
        </w:rPr>
        <w:drawing>
          <wp:inline distT="0" distB="0" distL="0" distR="0">
            <wp:extent cx="5274310" cy="19500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1950085"/>
                    </a:xfrm>
                    <a:prstGeom prst="rect">
                      <a:avLst/>
                    </a:prstGeom>
                    <a:noFill/>
                    <a:ln>
                      <a:noFill/>
                    </a:ln>
                  </pic:spPr>
                </pic:pic>
              </a:graphicData>
            </a:graphic>
          </wp:inline>
        </w:drawing>
      </w:r>
    </w:p>
    <w:p w14:paraId="0FBC1F79">
      <w:pPr>
        <w:adjustRightInd w:val="0"/>
        <w:snapToGrid w:val="0"/>
        <w:spacing w:line="360" w:lineRule="auto"/>
        <w:rPr>
          <w:rFonts w:asciiTheme="majorBidi" w:hAnsiTheme="majorBidi" w:cstheme="majorBidi"/>
          <w:color w:val="auto"/>
          <w:sz w:val="24"/>
          <w:szCs w:val="24"/>
        </w:rPr>
      </w:pPr>
      <w:r>
        <w:rPr>
          <w:rFonts w:asciiTheme="majorBidi" w:hAnsiTheme="majorBidi" w:cstheme="majorBidi"/>
          <w:color w:val="auto"/>
          <w:sz w:val="24"/>
          <w:szCs w:val="24"/>
        </w:rPr>
        <w:t>Supplementary Figure S1. Residual diagnostics for the ARIMA(2,1,1) model.</w:t>
      </w:r>
    </w:p>
    <w:p w14:paraId="7CE29C2C">
      <w:pPr>
        <w:adjustRightInd w:val="0"/>
        <w:snapToGrid w:val="0"/>
        <w:spacing w:line="360" w:lineRule="auto"/>
        <w:rPr>
          <w:rFonts w:hint="eastAsia" w:asciiTheme="majorBidi" w:hAnsiTheme="majorBidi" w:cstheme="majorBidi"/>
          <w:color w:val="auto"/>
          <w:sz w:val="24"/>
          <w:szCs w:val="24"/>
        </w:rPr>
      </w:pPr>
      <w:r>
        <w:rPr>
          <w:rFonts w:asciiTheme="majorBidi" w:hAnsiTheme="majorBidi" w:cstheme="majorBidi"/>
          <w:color w:val="auto"/>
          <w:sz w:val="24"/>
          <w:szCs w:val="24"/>
        </w:rPr>
        <w:t>Panel A displays the Q–Q plot of model residuals against the theoretical normal distribution. Residual points show moderate deviation from the 45° reference line, particularly in the tails, indicating non-normality.</w:t>
      </w:r>
    </w:p>
    <w:p w14:paraId="1978D026">
      <w:pPr>
        <w:adjustRightInd w:val="0"/>
        <w:snapToGrid w:val="0"/>
        <w:spacing w:line="360" w:lineRule="auto"/>
        <w:rPr>
          <w:rFonts w:hint="eastAsia" w:asciiTheme="majorBidi" w:hAnsiTheme="majorBidi" w:cstheme="majorBidi"/>
          <w:color w:val="auto"/>
          <w:sz w:val="24"/>
          <w:szCs w:val="24"/>
        </w:rPr>
      </w:pPr>
      <w:r>
        <w:rPr>
          <w:rFonts w:asciiTheme="majorBidi" w:hAnsiTheme="majorBidi" w:cstheme="majorBidi"/>
          <w:color w:val="auto"/>
          <w:sz w:val="24"/>
          <w:szCs w:val="24"/>
        </w:rPr>
        <w:t>Panel B presents the histogram of residuals with an overlaid normal distribution curve (red line). The residuals are centered near zero (mean = 0.72, SD = 131.2) but exhibit left skew and excess kurtosis. The distribution deviates visibly from the theoretical normal curve.</w:t>
      </w:r>
    </w:p>
    <w:p w14:paraId="3FF3D0B6">
      <w:pPr>
        <w:adjustRightInd w:val="0"/>
        <w:snapToGrid w:val="0"/>
        <w:spacing w:line="360" w:lineRule="auto"/>
        <w:rPr>
          <w:rFonts w:asciiTheme="majorBidi" w:hAnsiTheme="majorBidi" w:cstheme="majorBidi"/>
          <w:color w:val="auto"/>
          <w:sz w:val="24"/>
          <w:szCs w:val="24"/>
        </w:rPr>
      </w:pPr>
      <w:r>
        <w:rPr>
          <w:rFonts w:asciiTheme="majorBidi" w:hAnsiTheme="majorBidi" w:cstheme="majorBidi"/>
          <w:color w:val="auto"/>
          <w:sz w:val="24"/>
          <w:szCs w:val="24"/>
        </w:rPr>
        <w:t>The Shapiro–Wilk test rejected the null hypothesis of normality (W = 0.987, p = 0.014). These diagnostics collectively indicate that the model assumptions of normally distributed, zero-centered residuals are only partially satisfied, and forecast confidence intervals should be interpreted with caution.</w:t>
      </w:r>
    </w:p>
    <w:p w14:paraId="079AA2A0">
      <w:pPr>
        <w:rPr>
          <w:rFonts w:asciiTheme="majorBidi" w:hAnsiTheme="majorBidi" w:cstheme="majorBidi"/>
          <w:color w:val="auto"/>
          <w:sz w:val="24"/>
          <w:szCs w:val="24"/>
        </w:rPr>
      </w:pPr>
    </w:p>
    <w:p w14:paraId="525D7E29">
      <w:pPr>
        <w:rPr>
          <w:rFonts w:asciiTheme="majorBidi" w:hAnsiTheme="majorBidi" w:cstheme="majorBidi"/>
          <w:color w:val="auto"/>
          <w:sz w:val="24"/>
          <w:szCs w:val="24"/>
        </w:rPr>
      </w:pPr>
    </w:p>
    <w:p w14:paraId="67BDC0E9">
      <w:pPr>
        <w:rPr>
          <w:rFonts w:asciiTheme="majorBidi" w:hAnsiTheme="majorBidi" w:cstheme="majorBidi"/>
          <w:color w:val="auto"/>
          <w:sz w:val="24"/>
          <w:szCs w:val="24"/>
        </w:rPr>
      </w:pPr>
    </w:p>
    <w:p w14:paraId="759E9890">
      <w:pPr>
        <w:rPr>
          <w:rFonts w:asciiTheme="majorBidi" w:hAnsiTheme="majorBidi" w:cstheme="majorBidi"/>
          <w:color w:val="auto"/>
          <w:sz w:val="24"/>
          <w:szCs w:val="24"/>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noPunctuationKerning w:val="1"/>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6786D"/>
    <w:rsid w:val="0029535E"/>
    <w:rsid w:val="00355F34"/>
    <w:rsid w:val="00527251"/>
    <w:rsid w:val="00864856"/>
    <w:rsid w:val="00A437B0"/>
    <w:rsid w:val="00B7223B"/>
    <w:rsid w:val="00C94DD1"/>
    <w:rsid w:val="00D33CD8"/>
    <w:rsid w:val="00DC6419"/>
    <w:rsid w:val="00EA292C"/>
    <w:rsid w:val="00EC7D9B"/>
    <w:rsid w:val="340F5141"/>
    <w:rsid w:val="3F0B1EDE"/>
    <w:rsid w:val="41236910"/>
    <w:rsid w:val="48B43FFA"/>
    <w:rsid w:val="491D1B81"/>
    <w:rsid w:val="58594ABB"/>
    <w:rsid w:val="59F6786D"/>
    <w:rsid w:val="607E16C7"/>
    <w:rsid w:val="62F7456C"/>
    <w:rsid w:val="764A21F9"/>
    <w:rsid w:val="7AAE70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qFormat/>
    <w:uiPriority w:val="0"/>
    <w:pPr>
      <w:tabs>
        <w:tab w:val="center" w:pos="4153"/>
        <w:tab w:val="right" w:pos="8306"/>
      </w:tabs>
      <w:snapToGrid w:val="0"/>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styleId="6">
    <w:name w:val="Strong"/>
    <w:basedOn w:val="2"/>
    <w:qFormat/>
    <w:uiPriority w:val="22"/>
    <w:rPr>
      <w:b/>
      <w:bCs/>
    </w:rPr>
  </w:style>
  <w:style w:type="table" w:styleId="7">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Header Char"/>
    <w:basedOn w:val="2"/>
    <w:link w:val="5"/>
    <w:qFormat/>
    <w:uiPriority w:val="0"/>
    <w:rPr>
      <w:rFonts w:asciiTheme="minorHAnsi" w:hAnsiTheme="minorHAnsi" w:eastAsiaTheme="minorEastAsia" w:cstheme="minorBidi"/>
      <w:sz w:val="18"/>
      <w:szCs w:val="18"/>
    </w:rPr>
  </w:style>
  <w:style w:type="character" w:customStyle="1" w:styleId="9">
    <w:name w:val="Footer Char"/>
    <w:basedOn w:val="2"/>
    <w:link w:val="4"/>
    <w:qFormat/>
    <w:uiPriority w:val="0"/>
    <w:rPr>
      <w:rFonts w:asciiTheme="minorHAnsi" w:hAnsiTheme="minorHAnsi" w:eastAsiaTheme="minorEastAsia" w:cstheme="minorBidi"/>
      <w:sz w:val="18"/>
      <w:szCs w:val="18"/>
    </w:rPr>
  </w:style>
  <w:style w:type="paragraph" w:customStyle="1" w:styleId="10">
    <w:name w:val="Revision"/>
    <w:hidden/>
    <w:unhideWhenUsed/>
    <w:qFormat/>
    <w:uiPriority w:val="99"/>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254</Words>
  <Characters>1653</Characters>
  <Lines>21</Lines>
  <Paragraphs>5</Paragraphs>
  <TotalTime>2</TotalTime>
  <ScaleCrop>false</ScaleCrop>
  <LinksUpToDate>false</LinksUpToDate>
  <CharactersWithSpaces>1878</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2026-02-12T09:59:00Z</dcterms:created>
  <dc:creator>Mehdi Borhani Zarandi</dc:creator>
  <cp:lastModifiedBy>MBZ</cp:lastModifiedBy>
  <dcterms:modified xsi:type="dcterms:W3CDTF">2026-03-27T14:23:42Z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9DC855AB81B3456BB8EDE34569736237_13</vt:lpwstr>
  </property>
  <property fmtid="{D5CDD505-2E9C-101B-9397-08002B2CF9AE}" pid="4" name="KSOTemplateDocerSaveRecord">
    <vt:lpwstr>eyJoZGlkIjoiZTUxNGI2ZTk3NDNlMTU3MDRiYzZjMjVhMmY5NTgzYmYiLCJ1c2VySWQiOiIzNzI4MjEzMTIxMjUxIn0=</vt:lpwstr>
  </property>
</Properties>
</file>