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03DB3" w14:textId="318815B3" w:rsidR="00E44E65" w:rsidRDefault="000F47C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5F76992D" wp14:editId="0E66968C">
            <wp:extent cx="2215243" cy="1857261"/>
            <wp:effectExtent l="0" t="0" r="0" b="0"/>
            <wp:docPr id="11602205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430" cy="186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A14C4" w14:textId="7DB43A58" w:rsidR="00E44E65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5679">
        <w:rPr>
          <w:rFonts w:ascii="Times New Roman" w:hAnsi="Times New Roman" w:cs="Times New Roman" w:hint="eastAsia"/>
          <w:b/>
          <w:bCs/>
          <w:sz w:val="24"/>
          <w:szCs w:val="24"/>
        </w:rPr>
        <w:t>Fig. S1:</w:t>
      </w:r>
      <w:r w:rsidR="005C4A62" w:rsidRPr="00045679">
        <w:rPr>
          <w:b/>
          <w:bCs/>
        </w:rPr>
        <w:t xml:space="preserve"> </w:t>
      </w:r>
      <w:r w:rsidR="005C4A62" w:rsidRPr="00045679">
        <w:rPr>
          <w:rFonts w:ascii="Times New Roman" w:hAnsi="Times New Roman" w:cs="Times New Roman"/>
          <w:b/>
          <w:bCs/>
          <w:sz w:val="24"/>
          <w:szCs w:val="24"/>
        </w:rPr>
        <w:t xml:space="preserve">Replicate identification of plasma </w:t>
      </w:r>
      <w:r w:rsidR="000F47C3" w:rsidRPr="000F47C3">
        <w:rPr>
          <w:rFonts w:ascii="Times New Roman" w:hAnsi="Times New Roman" w:cs="Times New Roman"/>
          <w:b/>
          <w:bCs/>
          <w:sz w:val="24"/>
          <w:szCs w:val="24"/>
        </w:rPr>
        <w:t>extracellular vesicle</w:t>
      </w:r>
      <w:r w:rsidR="005C4A62" w:rsidRPr="00045679">
        <w:rPr>
          <w:rFonts w:ascii="Times New Roman" w:hAnsi="Times New Roman" w:cs="Times New Roman"/>
          <w:b/>
          <w:bCs/>
          <w:sz w:val="24"/>
          <w:szCs w:val="24"/>
        </w:rPr>
        <w:t xml:space="preserve"> markers</w:t>
      </w:r>
      <w:r w:rsidRPr="0004567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9A476F" w:rsidRPr="00490BCF">
        <w:rPr>
          <w:rFonts w:ascii="Times New Roman" w:hAnsi="Times New Roman" w:cs="Times New Roman"/>
          <w:sz w:val="24"/>
          <w:szCs w:val="24"/>
        </w:rPr>
        <w:t>Western blot analysis was performed on another set of samples, including total cell lysate, plasma, and</w:t>
      </w:r>
      <w:r w:rsidR="009A476F" w:rsidRPr="00490BC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90BCF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="00576F3F" w:rsidRPr="00490BCF">
        <w:rPr>
          <w:rFonts w:ascii="Times New Roman" w:hAnsi="Times New Roman" w:cs="Times New Roman"/>
          <w:sz w:val="24"/>
          <w:szCs w:val="24"/>
        </w:rPr>
        <w:t xml:space="preserve">corresponding purified </w:t>
      </w:r>
      <w:r w:rsidR="000F47C3" w:rsidRPr="000F47C3">
        <w:rPr>
          <w:rFonts w:ascii="Times New Roman" w:hAnsi="Times New Roman" w:cs="Times New Roman"/>
          <w:sz w:val="24"/>
          <w:szCs w:val="24"/>
        </w:rPr>
        <w:t xml:space="preserve">extracellular </w:t>
      </w:r>
      <w:proofErr w:type="spellStart"/>
      <w:r w:rsidR="000F47C3" w:rsidRPr="000F47C3">
        <w:rPr>
          <w:rFonts w:ascii="Times New Roman" w:hAnsi="Times New Roman" w:cs="Times New Roman"/>
          <w:sz w:val="24"/>
          <w:szCs w:val="24"/>
        </w:rPr>
        <w:t>vesicle</w:t>
      </w:r>
      <w:r w:rsidR="00576F3F" w:rsidRPr="00490BC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0F47C3">
        <w:rPr>
          <w:rFonts w:ascii="Times New Roman" w:hAnsi="Times New Roman" w:cs="Times New Roman" w:hint="eastAsia"/>
          <w:sz w:val="24"/>
          <w:szCs w:val="24"/>
        </w:rPr>
        <w:t xml:space="preserve"> (EVs)</w:t>
      </w:r>
      <w:r w:rsidRPr="00490BCF">
        <w:rPr>
          <w:rFonts w:ascii="Times New Roman" w:hAnsi="Times New Roman" w:cs="Times New Roman" w:hint="eastAsia"/>
          <w:sz w:val="24"/>
          <w:szCs w:val="24"/>
        </w:rPr>
        <w:t xml:space="preserve"> derived from the plasma sample</w:t>
      </w:r>
      <w:r w:rsidR="00490BCF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90BCF" w:rsidRPr="00490BCF">
        <w:rPr>
          <w:rFonts w:ascii="Times New Roman" w:hAnsi="Times New Roman" w:cs="Times New Roman"/>
          <w:sz w:val="24"/>
          <w:szCs w:val="24"/>
        </w:rPr>
        <w:t xml:space="preserve">The blot was probed for </w:t>
      </w:r>
      <w:r w:rsidR="000F47C3">
        <w:rPr>
          <w:rFonts w:ascii="Times New Roman" w:hAnsi="Times New Roman" w:cs="Times New Roman" w:hint="eastAsia"/>
          <w:sz w:val="24"/>
          <w:szCs w:val="24"/>
        </w:rPr>
        <w:t>EV</w:t>
      </w:r>
      <w:r w:rsidR="00490BCF" w:rsidRPr="00490BCF">
        <w:rPr>
          <w:rFonts w:ascii="Times New Roman" w:hAnsi="Times New Roman" w:cs="Times New Roman"/>
          <w:sz w:val="24"/>
          <w:szCs w:val="24"/>
        </w:rPr>
        <w:t xml:space="preserve">-positive markers (HSP70, Tsg101, and CD9) and the </w:t>
      </w:r>
      <w:r w:rsidR="000F47C3">
        <w:rPr>
          <w:rFonts w:ascii="Times New Roman" w:hAnsi="Times New Roman" w:cs="Times New Roman" w:hint="eastAsia"/>
          <w:sz w:val="24"/>
          <w:szCs w:val="24"/>
        </w:rPr>
        <w:t>EV</w:t>
      </w:r>
      <w:r w:rsidR="00490BCF" w:rsidRPr="00490BCF">
        <w:rPr>
          <w:rFonts w:ascii="Times New Roman" w:hAnsi="Times New Roman" w:cs="Times New Roman"/>
          <w:sz w:val="24"/>
          <w:szCs w:val="24"/>
        </w:rPr>
        <w:t>-negative marker, calnexin.</w:t>
      </w:r>
    </w:p>
    <w:p w14:paraId="19E69016" w14:textId="7A88D2E0" w:rsidR="009C6A31" w:rsidRDefault="002E2629" w:rsidP="0006171E">
      <w:pPr>
        <w:spacing w:line="480" w:lineRule="auto"/>
        <w:ind w:firstLineChars="100" w:firstLin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7FF8FC" wp14:editId="34C8A4FC">
                <wp:simplePos x="0" y="0"/>
                <wp:positionH relativeFrom="column">
                  <wp:posOffset>2910840</wp:posOffset>
                </wp:positionH>
                <wp:positionV relativeFrom="paragraph">
                  <wp:posOffset>940254</wp:posOffset>
                </wp:positionV>
                <wp:extent cx="1518285" cy="2285365"/>
                <wp:effectExtent l="0" t="0" r="24765" b="19685"/>
                <wp:wrapNone/>
                <wp:docPr id="18105525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285" cy="22853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74437D" id="矩形 2" o:spid="_x0000_s1026" style="position:absolute;margin-left:229.2pt;margin-top:74.05pt;width:119.55pt;height:17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" filled="f" strokecolor="#c00000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E1D421" wp14:editId="21874088">
                <wp:simplePos x="0" y="0"/>
                <wp:positionH relativeFrom="column">
                  <wp:posOffset>238760</wp:posOffset>
                </wp:positionH>
                <wp:positionV relativeFrom="paragraph">
                  <wp:posOffset>944608</wp:posOffset>
                </wp:positionV>
                <wp:extent cx="2426970" cy="2286000"/>
                <wp:effectExtent l="0" t="0" r="11430" b="19050"/>
                <wp:wrapNone/>
                <wp:docPr id="190346520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6970" cy="2286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49C749" id="矩形 2" o:spid="_x0000_s1026" style="position:absolute;margin-left:18.8pt;margin-top:74.4pt;width:191.1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" filled="f" strokecolor="#c00000" strokeweight="1pt"/>
            </w:pict>
          </mc:Fallback>
        </mc:AlternateContent>
      </w:r>
      <w:r w:rsidR="0006171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693708" wp14:editId="687AFCA1">
            <wp:extent cx="4343437" cy="865414"/>
            <wp:effectExtent l="0" t="0" r="0" b="0"/>
            <wp:docPr id="30757658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459" cy="876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C638C4" w14:textId="2F055489" w:rsidR="009C6A31" w:rsidRDefault="009C5F36" w:rsidP="0004567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F3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C8A5CB1" wp14:editId="1BE588F2">
            <wp:extent cx="4885392" cy="2367643"/>
            <wp:effectExtent l="0" t="0" r="0" b="0"/>
            <wp:docPr id="7596508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131" cy="2368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2A752F" w14:textId="0AE39BD5" w:rsidR="00045679" w:rsidRDefault="009C6A31" w:rsidP="00045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5679">
        <w:rPr>
          <w:rFonts w:ascii="Times New Roman" w:hAnsi="Times New Roman" w:cs="Times New Roman" w:hint="eastAsia"/>
          <w:sz w:val="24"/>
          <w:szCs w:val="24"/>
        </w:rPr>
        <w:t xml:space="preserve">               Figure 1B                    Figure S1</w:t>
      </w:r>
    </w:p>
    <w:p w14:paraId="786B78C5" w14:textId="2AA48AEC" w:rsidR="00E44E65" w:rsidRPr="00045679" w:rsidRDefault="0004567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5679">
        <w:rPr>
          <w:rFonts w:ascii="Times New Roman" w:hAnsi="Times New Roman" w:cs="Times New Roman" w:hint="eastAsia"/>
          <w:b/>
          <w:bCs/>
          <w:sz w:val="24"/>
          <w:szCs w:val="24"/>
        </w:rPr>
        <w:t>Fig. S2:</w:t>
      </w:r>
      <w:r w:rsidRPr="00045679">
        <w:rPr>
          <w:rFonts w:ascii="Ubuntu" w:hAnsi="Ubuntu"/>
          <w:b/>
          <w:bCs/>
          <w:color w:val="000000"/>
          <w:szCs w:val="21"/>
          <w:shd w:val="clear" w:color="auto" w:fill="FFFFFF"/>
        </w:rPr>
        <w:t xml:space="preserve"> </w:t>
      </w:r>
      <w:r w:rsidRPr="00045679">
        <w:rPr>
          <w:rFonts w:ascii="Times New Roman" w:hAnsi="Times New Roman" w:cs="Times New Roman"/>
          <w:b/>
          <w:bCs/>
          <w:sz w:val="24"/>
          <w:szCs w:val="24"/>
        </w:rPr>
        <w:t>Coomassie brilliant blue-stained images corresponding to the loading amount of each group in Figure 1B and Figure S1.</w:t>
      </w:r>
    </w:p>
    <w:p w14:paraId="75CF4273" w14:textId="77777777" w:rsidR="00E44E65" w:rsidRDefault="00E44E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353F1F" w14:textId="7CC4ED92" w:rsidR="00E44E65" w:rsidRDefault="00F7317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4A3D8BA1" wp14:editId="29DB064E">
            <wp:extent cx="5156200" cy="2605405"/>
            <wp:effectExtent l="0" t="0" r="6350" b="4445"/>
            <wp:docPr id="447734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57F94" w14:textId="77777777" w:rsidR="008340E1" w:rsidRDefault="00000000" w:rsidP="008340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OLE_LINK8"/>
      <w:r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The protein expression levels of WARS in plasma </w:t>
      </w:r>
      <w:r w:rsidR="002E2629" w:rsidRPr="002E2629">
        <w:rPr>
          <w:rFonts w:ascii="Times New Roman" w:hAnsi="Times New Roman" w:cs="Times New Roman"/>
          <w:b/>
          <w:bCs/>
          <w:sz w:val="24"/>
          <w:szCs w:val="24"/>
        </w:rPr>
        <w:t>extracellular vesicle</w:t>
      </w:r>
      <w:r w:rsidR="002E262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between other healthy controls and IM patients. </w:t>
      </w:r>
      <w:r>
        <w:rPr>
          <w:rFonts w:ascii="Times New Roman" w:hAnsi="Times New Roman" w:cs="Times New Roman"/>
          <w:sz w:val="24"/>
          <w:szCs w:val="24"/>
        </w:rPr>
        <w:t xml:space="preserve">Other samples were used to extract plasma </w:t>
      </w:r>
      <w:r w:rsidR="002E2629" w:rsidRPr="002E2629">
        <w:rPr>
          <w:rFonts w:ascii="Times New Roman" w:hAnsi="Times New Roman" w:cs="Times New Roman"/>
          <w:sz w:val="24"/>
          <w:szCs w:val="24"/>
        </w:rPr>
        <w:t>extracellular vesicle</w:t>
      </w:r>
      <w:r>
        <w:rPr>
          <w:rFonts w:ascii="Times New Roman" w:hAnsi="Times New Roman" w:cs="Times New Roman"/>
          <w:sz w:val="24"/>
          <w:szCs w:val="24"/>
        </w:rPr>
        <w:t xml:space="preserve">s and then evaluated the WARS proteins level by </w:t>
      </w:r>
      <w:r w:rsidR="00FB405F"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estern blotting.</w:t>
      </w:r>
      <w:r w:rsidR="00FB40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B405F">
        <w:rPr>
          <w:rFonts w:ascii="Times New Roman" w:eastAsia="宋体" w:hAnsi="Times New Roman" w:cs="Times New Roman"/>
          <w:sz w:val="24"/>
          <w:szCs w:val="24"/>
        </w:rPr>
        <w:t>(C: healthy control; I: IM patient).</w:t>
      </w:r>
      <w:r w:rsidR="00FB405F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93E3E0D" w14:textId="77777777" w:rsidR="008340E1" w:rsidRDefault="008340E1" w:rsidP="008340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4C36027" w14:textId="0EADA209" w:rsidR="00E44E65" w:rsidRDefault="00C6276C" w:rsidP="008340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751AF90" wp14:editId="362DF38F">
            <wp:extent cx="3837940" cy="2719070"/>
            <wp:effectExtent l="0" t="0" r="0" b="0"/>
            <wp:docPr id="9268562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940" cy="271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C947B" w14:textId="72867B0B" w:rsidR="00E44E65" w:rsidRDefault="008340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OLE_LINK1"/>
      <w:r w:rsidRPr="006C2314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Pr="006C2314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6C231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D4B16" w:rsidRPr="006C231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76FE9">
        <w:rPr>
          <w:rFonts w:ascii="Times New Roman" w:hAnsi="Times New Roman" w:cs="Times New Roman" w:hint="eastAsia"/>
          <w:b/>
          <w:bCs/>
          <w:sz w:val="24"/>
          <w:szCs w:val="24"/>
        </w:rPr>
        <w:t>The c</w:t>
      </w:r>
      <w:r w:rsidR="00176FE9" w:rsidRPr="00176FE9">
        <w:rPr>
          <w:rFonts w:ascii="Times New Roman" w:hAnsi="Times New Roman" w:cs="Times New Roman"/>
          <w:b/>
          <w:bCs/>
          <w:sz w:val="24"/>
          <w:szCs w:val="24"/>
        </w:rPr>
        <w:t xml:space="preserve">orrelation </w:t>
      </w:r>
      <w:r w:rsidR="00176FE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analysis </w:t>
      </w:r>
      <w:r w:rsidR="00176FE9" w:rsidRPr="00176FE9">
        <w:rPr>
          <w:rFonts w:ascii="Times New Roman" w:hAnsi="Times New Roman" w:cs="Times New Roman"/>
          <w:b/>
          <w:bCs/>
          <w:sz w:val="24"/>
          <w:szCs w:val="24"/>
        </w:rPr>
        <w:t>between EBV viral load</w:t>
      </w:r>
      <w:r w:rsidR="004A40D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76FE9" w:rsidRPr="00176FE9">
        <w:rPr>
          <w:rFonts w:ascii="Times New Roman" w:hAnsi="Times New Roman" w:cs="Times New Roman"/>
          <w:b/>
          <w:bCs/>
          <w:sz w:val="24"/>
          <w:szCs w:val="24"/>
        </w:rPr>
        <w:t>and WARS levels in plasma EVs of IM patients</w:t>
      </w:r>
      <w:r w:rsidR="006C2314" w:rsidRPr="006C2314">
        <w:rPr>
          <w:rFonts w:ascii="Times New Roman" w:hAnsi="Times New Roman" w:cs="Times New Roman"/>
          <w:sz w:val="24"/>
          <w:szCs w:val="24"/>
        </w:rPr>
        <w:t xml:space="preserve">. </w:t>
      </w:r>
      <w:r w:rsidR="007D06CD" w:rsidRPr="007D06CD">
        <w:rPr>
          <w:rFonts w:ascii="Times New Roman" w:hAnsi="Times New Roman" w:cs="Times New Roman"/>
          <w:sz w:val="24"/>
          <w:szCs w:val="24"/>
        </w:rPr>
        <w:t xml:space="preserve">The scatter plot illustrates a positive correlation between the concentration of WARS in plasma EVs (measured by ELISA) and the EBV viral </w:t>
      </w:r>
      <w:r w:rsidR="007D06CD" w:rsidRPr="007D06CD">
        <w:rPr>
          <w:rFonts w:ascii="Times New Roman" w:hAnsi="Times New Roman" w:cs="Times New Roman"/>
          <w:sz w:val="24"/>
          <w:szCs w:val="24"/>
        </w:rPr>
        <w:lastRenderedPageBreak/>
        <w:t>load in the plasma of IM patients. Due to the non-normal distribution of the data, statistical analysis was performed using Spearman's rank correlation analysis (</w:t>
      </w:r>
      <w:r w:rsidR="007D06CD">
        <w:rPr>
          <w:rFonts w:ascii="Times New Roman" w:hAnsi="Times New Roman" w:cs="Times New Roman" w:hint="eastAsia"/>
          <w:sz w:val="24"/>
          <w:szCs w:val="24"/>
        </w:rPr>
        <w:t>r=0.4980</w:t>
      </w:r>
      <w:r w:rsidR="007D06CD" w:rsidRPr="007D06CD">
        <w:rPr>
          <w:rFonts w:ascii="Times New Roman" w:hAnsi="Times New Roman" w:cs="Times New Roman"/>
          <w:sz w:val="24"/>
          <w:szCs w:val="24"/>
        </w:rPr>
        <w:t xml:space="preserve">, </w:t>
      </w:r>
      <w:r w:rsidR="007D06CD" w:rsidRPr="007D06CD">
        <w:rPr>
          <w:rFonts w:ascii="Times New Roman" w:hAnsi="Times New Roman" w:cs="Times New Roman" w:hint="eastAsia"/>
          <w:i/>
          <w:iCs/>
          <w:sz w:val="24"/>
          <w:szCs w:val="24"/>
        </w:rPr>
        <w:t>p</w:t>
      </w:r>
      <w:r w:rsidR="007D06CD">
        <w:rPr>
          <w:rFonts w:ascii="Times New Roman" w:hAnsi="Times New Roman" w:cs="Times New Roman" w:hint="eastAsia"/>
          <w:sz w:val="24"/>
          <w:szCs w:val="24"/>
        </w:rPr>
        <w:t>=0.0044</w:t>
      </w:r>
      <w:r w:rsidR="007D06CD" w:rsidRPr="007D06CD">
        <w:rPr>
          <w:rFonts w:ascii="Times New Roman" w:hAnsi="Times New Roman" w:cs="Times New Roman"/>
          <w:sz w:val="24"/>
          <w:szCs w:val="24"/>
        </w:rPr>
        <w:t>). The blue line represents the linear regression fit.</w:t>
      </w:r>
    </w:p>
    <w:bookmarkEnd w:id="1"/>
    <w:p w14:paraId="02E90422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5050D6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39FC55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F922A83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75B111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F16ABF9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D03E48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F22D4B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23C0679F" w14:textId="77777777" w:rsidR="00E44E65" w:rsidRDefault="00E44E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4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2AAB4" w14:textId="77777777" w:rsidR="000D57CF" w:rsidRDefault="000D57CF">
      <w:r>
        <w:separator/>
      </w:r>
    </w:p>
  </w:endnote>
  <w:endnote w:type="continuationSeparator" w:id="0">
    <w:p w14:paraId="1AD9467D" w14:textId="77777777" w:rsidR="000D57CF" w:rsidRDefault="000D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2B03A" w14:textId="77777777" w:rsidR="000D57CF" w:rsidRDefault="000D57CF">
      <w:r>
        <w:separator/>
      </w:r>
    </w:p>
  </w:footnote>
  <w:footnote w:type="continuationSeparator" w:id="0">
    <w:p w14:paraId="31468DCD" w14:textId="77777777" w:rsidR="000D57CF" w:rsidRDefault="000D57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DBA"/>
    <w:rsid w:val="0001462B"/>
    <w:rsid w:val="00017F8D"/>
    <w:rsid w:val="0004391C"/>
    <w:rsid w:val="00045679"/>
    <w:rsid w:val="00052665"/>
    <w:rsid w:val="0006171E"/>
    <w:rsid w:val="000820B8"/>
    <w:rsid w:val="0009641B"/>
    <w:rsid w:val="000D1569"/>
    <w:rsid w:val="000D57CF"/>
    <w:rsid w:val="000F47C3"/>
    <w:rsid w:val="001112CD"/>
    <w:rsid w:val="00132DA3"/>
    <w:rsid w:val="0013406D"/>
    <w:rsid w:val="00156983"/>
    <w:rsid w:val="001645A2"/>
    <w:rsid w:val="00164B25"/>
    <w:rsid w:val="00176FE9"/>
    <w:rsid w:val="001B1637"/>
    <w:rsid w:val="001B632C"/>
    <w:rsid w:val="001F6E50"/>
    <w:rsid w:val="00216181"/>
    <w:rsid w:val="002264EE"/>
    <w:rsid w:val="00240E5C"/>
    <w:rsid w:val="00263E78"/>
    <w:rsid w:val="00271F4B"/>
    <w:rsid w:val="00276CA6"/>
    <w:rsid w:val="002801BB"/>
    <w:rsid w:val="002834E8"/>
    <w:rsid w:val="00285F42"/>
    <w:rsid w:val="0029487E"/>
    <w:rsid w:val="002A5FFB"/>
    <w:rsid w:val="002A6F4E"/>
    <w:rsid w:val="002B351E"/>
    <w:rsid w:val="002D4B16"/>
    <w:rsid w:val="002E2629"/>
    <w:rsid w:val="00302AFD"/>
    <w:rsid w:val="003547CD"/>
    <w:rsid w:val="003A1A7A"/>
    <w:rsid w:val="003D0470"/>
    <w:rsid w:val="00424D22"/>
    <w:rsid w:val="00425AEA"/>
    <w:rsid w:val="004314B8"/>
    <w:rsid w:val="00435D8B"/>
    <w:rsid w:val="004617D0"/>
    <w:rsid w:val="00471EA0"/>
    <w:rsid w:val="0047785C"/>
    <w:rsid w:val="00490BCF"/>
    <w:rsid w:val="004A40D5"/>
    <w:rsid w:val="004D4ABB"/>
    <w:rsid w:val="00525E05"/>
    <w:rsid w:val="00551AB1"/>
    <w:rsid w:val="00576F3F"/>
    <w:rsid w:val="00587739"/>
    <w:rsid w:val="005A4CB0"/>
    <w:rsid w:val="005B0C82"/>
    <w:rsid w:val="005C4A62"/>
    <w:rsid w:val="005E5D67"/>
    <w:rsid w:val="005E7E87"/>
    <w:rsid w:val="00611A3B"/>
    <w:rsid w:val="00621EDA"/>
    <w:rsid w:val="006839F9"/>
    <w:rsid w:val="0069193B"/>
    <w:rsid w:val="006C2314"/>
    <w:rsid w:val="00711388"/>
    <w:rsid w:val="00715C12"/>
    <w:rsid w:val="007176C1"/>
    <w:rsid w:val="007471CD"/>
    <w:rsid w:val="00794EB8"/>
    <w:rsid w:val="007B5ECB"/>
    <w:rsid w:val="007C4E84"/>
    <w:rsid w:val="007D06CD"/>
    <w:rsid w:val="007E0538"/>
    <w:rsid w:val="007E5A63"/>
    <w:rsid w:val="008340E1"/>
    <w:rsid w:val="00854031"/>
    <w:rsid w:val="00865E1E"/>
    <w:rsid w:val="008827A6"/>
    <w:rsid w:val="00884B47"/>
    <w:rsid w:val="0089271C"/>
    <w:rsid w:val="00914880"/>
    <w:rsid w:val="00921497"/>
    <w:rsid w:val="009A16BB"/>
    <w:rsid w:val="009A476F"/>
    <w:rsid w:val="009B7752"/>
    <w:rsid w:val="009C5F36"/>
    <w:rsid w:val="009C6A31"/>
    <w:rsid w:val="009C73C9"/>
    <w:rsid w:val="009E6BBE"/>
    <w:rsid w:val="00A0787F"/>
    <w:rsid w:val="00A51E8A"/>
    <w:rsid w:val="00A97512"/>
    <w:rsid w:val="00AD7B81"/>
    <w:rsid w:val="00B00055"/>
    <w:rsid w:val="00B11743"/>
    <w:rsid w:val="00B12993"/>
    <w:rsid w:val="00B16873"/>
    <w:rsid w:val="00B33CF3"/>
    <w:rsid w:val="00B54BC1"/>
    <w:rsid w:val="00B60DE5"/>
    <w:rsid w:val="00B754EE"/>
    <w:rsid w:val="00BA7A4A"/>
    <w:rsid w:val="00BB3A60"/>
    <w:rsid w:val="00BD75EE"/>
    <w:rsid w:val="00C069ED"/>
    <w:rsid w:val="00C12DC6"/>
    <w:rsid w:val="00C22679"/>
    <w:rsid w:val="00C32091"/>
    <w:rsid w:val="00C55DBA"/>
    <w:rsid w:val="00C6276C"/>
    <w:rsid w:val="00C707DC"/>
    <w:rsid w:val="00C73A07"/>
    <w:rsid w:val="00CC4CEC"/>
    <w:rsid w:val="00CF5DED"/>
    <w:rsid w:val="00D00E60"/>
    <w:rsid w:val="00D175FC"/>
    <w:rsid w:val="00D26C2A"/>
    <w:rsid w:val="00DA380D"/>
    <w:rsid w:val="00DD7CA9"/>
    <w:rsid w:val="00DE1F08"/>
    <w:rsid w:val="00DE5CFE"/>
    <w:rsid w:val="00DF42F5"/>
    <w:rsid w:val="00E06B12"/>
    <w:rsid w:val="00E16182"/>
    <w:rsid w:val="00E44E65"/>
    <w:rsid w:val="00E53764"/>
    <w:rsid w:val="00E6413C"/>
    <w:rsid w:val="00E722BA"/>
    <w:rsid w:val="00E92007"/>
    <w:rsid w:val="00ED4B3B"/>
    <w:rsid w:val="00EE0807"/>
    <w:rsid w:val="00EF4D64"/>
    <w:rsid w:val="00EF5358"/>
    <w:rsid w:val="00EF7B38"/>
    <w:rsid w:val="00F03861"/>
    <w:rsid w:val="00F61D9E"/>
    <w:rsid w:val="00F70F1F"/>
    <w:rsid w:val="00F7317D"/>
    <w:rsid w:val="00FA76B4"/>
    <w:rsid w:val="00FB405F"/>
    <w:rsid w:val="00FC3173"/>
    <w:rsid w:val="00FD75FC"/>
    <w:rsid w:val="02481E8C"/>
    <w:rsid w:val="0B8502B4"/>
    <w:rsid w:val="0CE90C33"/>
    <w:rsid w:val="12E729F3"/>
    <w:rsid w:val="2C13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94FF9C"/>
  <w15:docId w15:val="{D4BA3BCB-3B21-4BB3-B0DE-58454D8C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  <w14:ligatures w14:val="none"/>
    </w:rPr>
  </w:style>
  <w:style w:type="paragraph" w:customStyle="1" w:styleId="13">
    <w:name w:val="修订1"/>
    <w:hidden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51263-E525-417E-82FE-C6EFE17E1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201</Words>
  <Characters>1149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 li</dc:creator>
  <cp:lastModifiedBy>yang li</cp:lastModifiedBy>
  <cp:revision>4</cp:revision>
  <dcterms:created xsi:type="dcterms:W3CDTF">2026-02-25T15:05:00Z</dcterms:created>
  <dcterms:modified xsi:type="dcterms:W3CDTF">2026-03-02T02:42:00Z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eyJoZGlkIjoiZjIzNjA2ZjBmYThkODA1NTU2YWU4MDNjNmZlNGI4NmYiLCJ1c2VySWQiOiIyNTA4MDIxNjgifQ==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2D606F9033E54743949970D9CBC7D057_12</vt:lpwstr>
  </property>
</Properties>
</file>