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BA16F" w14:textId="1B4AC8B2" w:rsidR="009405C7" w:rsidRDefault="00543762" w:rsidP="00EB7123">
      <w:pPr>
        <w:pStyle w:val="MDPI31text"/>
        <w:ind w:left="0" w:firstLine="0"/>
        <w:rPr>
          <w:rFonts w:asciiTheme="majorBidi" w:hAnsiTheme="majorBidi" w:cstheme="majorBidi"/>
          <w:color w:val="auto"/>
          <w:sz w:val="24"/>
          <w:szCs w:val="24"/>
        </w:rPr>
      </w:pPr>
      <w:r w:rsidRPr="00543762">
        <w:rPr>
          <w:rFonts w:asciiTheme="majorBidi" w:hAnsiTheme="majorBidi" w:cstheme="majorBidi"/>
          <w:color w:val="auto"/>
          <w:sz w:val="24"/>
          <w:szCs w:val="24"/>
        </w:rPr>
        <w:t>Supplementary Table S</w:t>
      </w:r>
      <w:r>
        <w:rPr>
          <w:rFonts w:asciiTheme="majorBidi" w:hAnsiTheme="majorBidi" w:cstheme="majorBidi"/>
          <w:color w:val="auto"/>
          <w:sz w:val="24"/>
          <w:szCs w:val="24"/>
        </w:rPr>
        <w:t>2</w:t>
      </w:r>
      <w:r w:rsidRPr="00543762">
        <w:rPr>
          <w:rFonts w:asciiTheme="majorBidi" w:hAnsiTheme="majorBidi" w:cstheme="majorBidi"/>
          <w:color w:val="auto"/>
          <w:sz w:val="24"/>
          <w:szCs w:val="24"/>
        </w:rPr>
        <w:t>. Studies excluded at full-text stage.</w:t>
      </w:r>
    </w:p>
    <w:tbl>
      <w:tblPr>
        <w:tblStyle w:val="TableGrid"/>
        <w:tblW w:w="11341" w:type="dxa"/>
        <w:tblInd w:w="-998" w:type="dxa"/>
        <w:tblLook w:val="04A0" w:firstRow="1" w:lastRow="0" w:firstColumn="1" w:lastColumn="0" w:noHBand="0" w:noVBand="1"/>
      </w:tblPr>
      <w:tblGrid>
        <w:gridCol w:w="5403"/>
        <w:gridCol w:w="5938"/>
      </w:tblGrid>
      <w:tr w:rsidR="009405C7" w14:paraId="2FCFACE5" w14:textId="77777777" w:rsidTr="00B20255">
        <w:tc>
          <w:tcPr>
            <w:tcW w:w="5403" w:type="dxa"/>
          </w:tcPr>
          <w:p w14:paraId="0E1C5984" w14:textId="77777777" w:rsidR="009405C7" w:rsidRPr="00950AFE" w:rsidRDefault="009405C7" w:rsidP="009405C7">
            <w:pPr>
              <w:pStyle w:val="MDPI31text"/>
              <w:ind w:left="0" w:firstLine="0"/>
              <w:rPr>
                <w:rFonts w:asciiTheme="majorBidi" w:hAnsiTheme="majorBidi" w:cstheme="majorBidi"/>
                <w:color w:val="auto"/>
                <w:sz w:val="24"/>
                <w:szCs w:val="24"/>
              </w:rPr>
            </w:pPr>
            <w:r w:rsidRPr="00950AFE">
              <w:rPr>
                <w:rFonts w:asciiTheme="majorBidi" w:hAnsiTheme="majorBidi" w:cstheme="majorBidi"/>
                <w:color w:val="auto"/>
                <w:sz w:val="24"/>
                <w:szCs w:val="24"/>
              </w:rPr>
              <w:t>Article excluded</w:t>
            </w:r>
          </w:p>
        </w:tc>
        <w:tc>
          <w:tcPr>
            <w:tcW w:w="5938" w:type="dxa"/>
          </w:tcPr>
          <w:p w14:paraId="70A2C796" w14:textId="77777777" w:rsidR="009405C7" w:rsidRPr="00950AFE" w:rsidRDefault="009405C7" w:rsidP="009405C7">
            <w:pPr>
              <w:pStyle w:val="MDPI31text"/>
              <w:ind w:left="0" w:firstLine="0"/>
              <w:rPr>
                <w:rFonts w:asciiTheme="majorBidi" w:hAnsiTheme="majorBidi" w:cstheme="majorBidi"/>
                <w:color w:val="auto"/>
                <w:sz w:val="24"/>
                <w:szCs w:val="24"/>
              </w:rPr>
            </w:pPr>
            <w:r w:rsidRPr="00950AFE">
              <w:rPr>
                <w:rFonts w:asciiTheme="majorBidi" w:hAnsiTheme="majorBidi" w:cstheme="majorBidi"/>
                <w:color w:val="auto"/>
                <w:sz w:val="24"/>
                <w:szCs w:val="24"/>
              </w:rPr>
              <w:t>Reason for exclusion</w:t>
            </w:r>
          </w:p>
        </w:tc>
      </w:tr>
      <w:tr w:rsidR="009405C7" w14:paraId="1DB974F7" w14:textId="77777777" w:rsidTr="00B20255">
        <w:tc>
          <w:tcPr>
            <w:tcW w:w="5403" w:type="dxa"/>
          </w:tcPr>
          <w:p w14:paraId="4D289A24" w14:textId="080B4459" w:rsidR="009405C7" w:rsidRPr="00931226" w:rsidRDefault="00931226" w:rsidP="009405C7">
            <w:pPr>
              <w:pStyle w:val="MDPI31text"/>
              <w:ind w:left="0" w:firstLine="0"/>
              <w:rPr>
                <w:rFonts w:asciiTheme="majorBidi" w:hAnsiTheme="majorBidi" w:cstheme="majorBidi"/>
                <w:color w:val="auto"/>
                <w:sz w:val="24"/>
                <w:szCs w:val="24"/>
              </w:rPr>
            </w:pPr>
            <w:r w:rsidRPr="00931226">
              <w:rPr>
                <w:rFonts w:asciiTheme="majorBidi" w:hAnsiTheme="majorBidi" w:cstheme="majorBidi"/>
                <w:color w:val="auto"/>
                <w:sz w:val="24"/>
                <w:szCs w:val="24"/>
              </w:rPr>
              <w:t>Abu-</w:t>
            </w:r>
            <w:proofErr w:type="spellStart"/>
            <w:r w:rsidRPr="00931226">
              <w:rPr>
                <w:rFonts w:asciiTheme="majorBidi" w:hAnsiTheme="majorBidi" w:cstheme="majorBidi"/>
                <w:color w:val="auto"/>
                <w:sz w:val="24"/>
                <w:szCs w:val="24"/>
              </w:rPr>
              <w:t>Raddad</w:t>
            </w:r>
            <w:proofErr w:type="spellEnd"/>
            <w:r w:rsidRPr="00931226">
              <w:rPr>
                <w:rFonts w:asciiTheme="majorBidi" w:hAnsiTheme="majorBidi" w:cstheme="majorBidi"/>
                <w:color w:val="auto"/>
                <w:sz w:val="24"/>
                <w:szCs w:val="24"/>
              </w:rPr>
              <w:t xml:space="preserve"> LJ, </w:t>
            </w:r>
            <w:proofErr w:type="spellStart"/>
            <w:r w:rsidRPr="00931226">
              <w:rPr>
                <w:rFonts w:asciiTheme="majorBidi" w:hAnsiTheme="majorBidi" w:cstheme="majorBidi"/>
                <w:color w:val="auto"/>
                <w:sz w:val="24"/>
                <w:szCs w:val="24"/>
              </w:rPr>
              <w:t>Chemaitelly</w:t>
            </w:r>
            <w:proofErr w:type="spellEnd"/>
            <w:r w:rsidRPr="00931226">
              <w:rPr>
                <w:rFonts w:asciiTheme="majorBidi" w:hAnsiTheme="majorBidi" w:cstheme="majorBidi"/>
                <w:color w:val="auto"/>
                <w:sz w:val="24"/>
                <w:szCs w:val="24"/>
              </w:rPr>
              <w:t xml:space="preserve"> H, Ayoub HH, et al. Effect of mRNA vaccine boosters against SARS-CoV-2 Omicron infection in Qatar. N Engl J Med. 2022;386(19):1804–1816. https://doi.org/10.1056/NEJMoa2200797</w:t>
            </w:r>
          </w:p>
        </w:tc>
        <w:tc>
          <w:tcPr>
            <w:tcW w:w="5938" w:type="dxa"/>
          </w:tcPr>
          <w:p w14:paraId="29AE45D3" w14:textId="77777777" w:rsidR="009405C7" w:rsidRPr="00931226" w:rsidRDefault="009405C7" w:rsidP="009405C7">
            <w:pPr>
              <w:pStyle w:val="MDPI31text"/>
              <w:ind w:left="0" w:firstLine="0"/>
              <w:rPr>
                <w:rFonts w:asciiTheme="majorBidi" w:hAnsiTheme="majorBidi" w:cstheme="majorBidi"/>
                <w:color w:val="auto"/>
                <w:sz w:val="24"/>
                <w:szCs w:val="24"/>
              </w:rPr>
            </w:pPr>
            <w:r w:rsidRPr="00931226">
              <w:rPr>
                <w:rFonts w:asciiTheme="majorBidi" w:hAnsiTheme="majorBidi" w:cstheme="majorBidi"/>
                <w:color w:val="auto"/>
                <w:sz w:val="24"/>
                <w:szCs w:val="24"/>
              </w:rPr>
              <w:t>Outside the prespecified review scope. This matched cohort study evaluates the effectiveness of ancestral-strain mRNA booster doses during the early Omicron (BA.1-dominant) period in late 2021–early 2022, comparing booster vaccination with a two-dose primary series. The study does not assess later Omicron subvariants (e.g., BA.5, XBB, JN.1) or variant-adapted vaccines relevant to the Omicron evolutionary spectrum synthesised in this review.</w:t>
            </w:r>
          </w:p>
        </w:tc>
      </w:tr>
      <w:tr w:rsidR="009405C7" w14:paraId="11638395" w14:textId="77777777" w:rsidTr="00B20255">
        <w:tc>
          <w:tcPr>
            <w:tcW w:w="5403" w:type="dxa"/>
          </w:tcPr>
          <w:p w14:paraId="6EC8DBE1" w14:textId="6C531224" w:rsidR="009405C7" w:rsidRPr="00157873" w:rsidRDefault="00157873" w:rsidP="009405C7">
            <w:pPr>
              <w:pStyle w:val="MDPI31text"/>
              <w:ind w:left="0" w:firstLine="0"/>
              <w:rPr>
                <w:rFonts w:asciiTheme="majorBidi" w:hAnsiTheme="majorBidi" w:cstheme="majorBidi"/>
                <w:color w:val="auto"/>
                <w:sz w:val="24"/>
                <w:szCs w:val="24"/>
              </w:rPr>
            </w:pPr>
            <w:proofErr w:type="spellStart"/>
            <w:r w:rsidRPr="00157873">
              <w:rPr>
                <w:rFonts w:asciiTheme="majorBidi" w:hAnsiTheme="majorBidi" w:cstheme="majorBidi"/>
                <w:color w:val="auto"/>
                <w:sz w:val="24"/>
                <w:szCs w:val="24"/>
                <w:lang w:val="nb-NO"/>
              </w:rPr>
              <w:t>Abul</w:t>
            </w:r>
            <w:proofErr w:type="spellEnd"/>
            <w:r w:rsidRPr="00157873">
              <w:rPr>
                <w:rFonts w:asciiTheme="majorBidi" w:hAnsiTheme="majorBidi" w:cstheme="majorBidi"/>
                <w:color w:val="auto"/>
                <w:sz w:val="24"/>
                <w:szCs w:val="24"/>
                <w:lang w:val="nb-NO"/>
              </w:rPr>
              <w:t xml:space="preserve"> Y, </w:t>
            </w:r>
            <w:proofErr w:type="spellStart"/>
            <w:r w:rsidRPr="00157873">
              <w:rPr>
                <w:rFonts w:asciiTheme="majorBidi" w:hAnsiTheme="majorBidi" w:cstheme="majorBidi"/>
                <w:color w:val="auto"/>
                <w:sz w:val="24"/>
                <w:szCs w:val="24"/>
                <w:lang w:val="nb-NO"/>
              </w:rPr>
              <w:t>Nugent</w:t>
            </w:r>
            <w:proofErr w:type="spellEnd"/>
            <w:r w:rsidRPr="00157873">
              <w:rPr>
                <w:rFonts w:asciiTheme="majorBidi" w:hAnsiTheme="majorBidi" w:cstheme="majorBidi"/>
                <w:color w:val="auto"/>
                <w:sz w:val="24"/>
                <w:szCs w:val="24"/>
                <w:lang w:val="nb-NO"/>
              </w:rPr>
              <w:t xml:space="preserve"> C, </w:t>
            </w:r>
            <w:proofErr w:type="spellStart"/>
            <w:r w:rsidRPr="00157873">
              <w:rPr>
                <w:rFonts w:asciiTheme="majorBidi" w:hAnsiTheme="majorBidi" w:cstheme="majorBidi"/>
                <w:color w:val="auto"/>
                <w:sz w:val="24"/>
                <w:szCs w:val="24"/>
                <w:lang w:val="nb-NO"/>
              </w:rPr>
              <w:t>Vishnepolskiy</w:t>
            </w:r>
            <w:proofErr w:type="spellEnd"/>
            <w:r w:rsidRPr="00157873">
              <w:rPr>
                <w:rFonts w:asciiTheme="majorBidi" w:hAnsiTheme="majorBidi" w:cstheme="majorBidi"/>
                <w:color w:val="auto"/>
                <w:sz w:val="24"/>
                <w:szCs w:val="24"/>
                <w:lang w:val="nb-NO"/>
              </w:rPr>
              <w:t xml:space="preserve"> I, et al. </w:t>
            </w:r>
            <w:r w:rsidRPr="00157873">
              <w:rPr>
                <w:rFonts w:asciiTheme="majorBidi" w:hAnsiTheme="majorBidi" w:cstheme="majorBidi"/>
                <w:color w:val="auto"/>
                <w:sz w:val="24"/>
                <w:szCs w:val="24"/>
                <w:lang w:val="en-AU"/>
              </w:rPr>
              <w:t xml:space="preserve">Broad immunogenicity to prior SARS-CoV-2 strains and JN.1 variant elicited by XBB.1.5 vaccination in nursing home residents. </w:t>
            </w:r>
            <w:proofErr w:type="spellStart"/>
            <w:r w:rsidRPr="00157873">
              <w:rPr>
                <w:rFonts w:asciiTheme="majorBidi" w:hAnsiTheme="majorBidi" w:cstheme="majorBidi"/>
                <w:color w:val="auto"/>
                <w:sz w:val="24"/>
                <w:szCs w:val="24"/>
                <w:lang w:val="nb-NO"/>
              </w:rPr>
              <w:t>GeroScience</w:t>
            </w:r>
            <w:proofErr w:type="spellEnd"/>
            <w:r w:rsidRPr="00157873">
              <w:rPr>
                <w:rFonts w:asciiTheme="majorBidi" w:hAnsiTheme="majorBidi" w:cstheme="majorBidi"/>
                <w:color w:val="auto"/>
                <w:sz w:val="24"/>
                <w:szCs w:val="24"/>
                <w:lang w:val="nb-NO"/>
              </w:rPr>
              <w:t>. 2025;47:1887–1896. https://doi.org/10.1007/s11357-024-01346-2</w:t>
            </w:r>
          </w:p>
        </w:tc>
        <w:tc>
          <w:tcPr>
            <w:tcW w:w="5938" w:type="dxa"/>
          </w:tcPr>
          <w:p w14:paraId="2AA830C3" w14:textId="7E9EC617" w:rsidR="009405C7" w:rsidRPr="00157873" w:rsidRDefault="009405C7" w:rsidP="009405C7">
            <w:pPr>
              <w:pStyle w:val="MDPI31text"/>
              <w:ind w:left="0" w:firstLine="0"/>
              <w:rPr>
                <w:rFonts w:asciiTheme="majorBidi" w:hAnsiTheme="majorBidi" w:cstheme="majorBidi"/>
                <w:color w:val="auto"/>
                <w:sz w:val="24"/>
                <w:szCs w:val="24"/>
              </w:rPr>
            </w:pPr>
            <w:r w:rsidRPr="00157873">
              <w:rPr>
                <w:rFonts w:asciiTheme="majorBidi" w:hAnsiTheme="majorBidi" w:cstheme="majorBidi"/>
                <w:color w:val="auto"/>
                <w:sz w:val="24"/>
                <w:szCs w:val="24"/>
              </w:rPr>
              <w:t xml:space="preserve">Outside the prespecified review scope. This longitudinal cohort study assesses immunogenicity and </w:t>
            </w:r>
            <w:r w:rsidR="006B6983" w:rsidRPr="00157873">
              <w:rPr>
                <w:rFonts w:asciiTheme="majorBidi" w:hAnsiTheme="majorBidi" w:cstheme="majorBidi"/>
                <w:color w:val="auto"/>
                <w:sz w:val="24"/>
                <w:szCs w:val="24"/>
              </w:rPr>
              <w:t>neutralizing</w:t>
            </w:r>
            <w:r w:rsidRPr="00157873">
              <w:rPr>
                <w:rFonts w:asciiTheme="majorBidi" w:hAnsiTheme="majorBidi" w:cstheme="majorBidi"/>
                <w:color w:val="auto"/>
                <w:sz w:val="24"/>
                <w:szCs w:val="24"/>
              </w:rPr>
              <w:t xml:space="preserve"> antibody responses to the XBB.1.5 monovalent vaccine against XBB.1.5 and JN.1 variants in nursing home residents and healthcare workers, but does not report vaccine effectiveness against clinical outcomes (e.g., hospitali</w:t>
            </w:r>
            <w:r w:rsidR="001B2851" w:rsidRPr="00157873">
              <w:rPr>
                <w:rFonts w:asciiTheme="majorBidi" w:hAnsiTheme="majorBidi" w:cstheme="majorBidi"/>
                <w:color w:val="auto"/>
                <w:sz w:val="24"/>
                <w:szCs w:val="24"/>
              </w:rPr>
              <w:t>z</w:t>
            </w:r>
            <w:r w:rsidRPr="00157873">
              <w:rPr>
                <w:rFonts w:asciiTheme="majorBidi" w:hAnsiTheme="majorBidi" w:cstheme="majorBidi"/>
                <w:color w:val="auto"/>
                <w:sz w:val="24"/>
                <w:szCs w:val="24"/>
              </w:rPr>
              <w:t>ation, ICU admission, or death) or population-level VE estimates suitable for synthesis.</w:t>
            </w:r>
          </w:p>
        </w:tc>
      </w:tr>
      <w:tr w:rsidR="009405C7" w14:paraId="70347B6E" w14:textId="77777777" w:rsidTr="00B20255">
        <w:tc>
          <w:tcPr>
            <w:tcW w:w="5403" w:type="dxa"/>
          </w:tcPr>
          <w:p w14:paraId="31BB9D55" w14:textId="73D49CDC" w:rsidR="009405C7" w:rsidRPr="00563C4D" w:rsidRDefault="00563C4D" w:rsidP="009405C7">
            <w:pPr>
              <w:pStyle w:val="MDPI31text"/>
              <w:ind w:left="0" w:firstLine="0"/>
              <w:rPr>
                <w:rFonts w:asciiTheme="majorBidi" w:hAnsiTheme="majorBidi" w:cstheme="majorBidi"/>
                <w:color w:val="auto"/>
                <w:sz w:val="24"/>
                <w:szCs w:val="24"/>
              </w:rPr>
            </w:pPr>
            <w:proofErr w:type="spellStart"/>
            <w:r w:rsidRPr="00563C4D">
              <w:rPr>
                <w:rFonts w:asciiTheme="majorBidi" w:hAnsiTheme="majorBidi" w:cstheme="majorBidi"/>
                <w:color w:val="auto"/>
                <w:sz w:val="24"/>
                <w:szCs w:val="24"/>
                <w:lang w:val="nb-NO"/>
              </w:rPr>
              <w:t>Abuyadek</w:t>
            </w:r>
            <w:proofErr w:type="spellEnd"/>
            <w:r w:rsidRPr="00563C4D">
              <w:rPr>
                <w:rFonts w:asciiTheme="majorBidi" w:hAnsiTheme="majorBidi" w:cstheme="majorBidi"/>
                <w:color w:val="auto"/>
                <w:sz w:val="24"/>
                <w:szCs w:val="24"/>
                <w:lang w:val="nb-NO"/>
              </w:rPr>
              <w:t xml:space="preserve"> R, </w:t>
            </w:r>
            <w:proofErr w:type="spellStart"/>
            <w:r w:rsidRPr="00563C4D">
              <w:rPr>
                <w:rFonts w:asciiTheme="majorBidi" w:hAnsiTheme="majorBidi" w:cstheme="majorBidi"/>
                <w:color w:val="auto"/>
                <w:sz w:val="24"/>
                <w:szCs w:val="24"/>
                <w:lang w:val="nb-NO"/>
              </w:rPr>
              <w:t>Mousa</w:t>
            </w:r>
            <w:proofErr w:type="spellEnd"/>
            <w:r w:rsidRPr="00563C4D">
              <w:rPr>
                <w:rFonts w:asciiTheme="majorBidi" w:hAnsiTheme="majorBidi" w:cstheme="majorBidi"/>
                <w:color w:val="auto"/>
                <w:sz w:val="24"/>
                <w:szCs w:val="24"/>
                <w:lang w:val="nb-NO"/>
              </w:rPr>
              <w:t xml:space="preserve"> M, </w:t>
            </w:r>
            <w:proofErr w:type="spellStart"/>
            <w:r w:rsidRPr="00563C4D">
              <w:rPr>
                <w:rFonts w:asciiTheme="majorBidi" w:hAnsiTheme="majorBidi" w:cstheme="majorBidi"/>
                <w:color w:val="auto"/>
                <w:sz w:val="24"/>
                <w:szCs w:val="24"/>
                <w:lang w:val="nb-NO"/>
              </w:rPr>
              <w:t>AlAzazi</w:t>
            </w:r>
            <w:proofErr w:type="spellEnd"/>
            <w:r w:rsidRPr="00563C4D">
              <w:rPr>
                <w:rFonts w:asciiTheme="majorBidi" w:hAnsiTheme="majorBidi" w:cstheme="majorBidi"/>
                <w:color w:val="auto"/>
                <w:sz w:val="24"/>
                <w:szCs w:val="24"/>
                <w:lang w:val="nb-NO"/>
              </w:rPr>
              <w:t xml:space="preserve"> J, et al. </w:t>
            </w:r>
            <w:r w:rsidRPr="00563C4D">
              <w:rPr>
                <w:rFonts w:asciiTheme="majorBidi" w:hAnsiTheme="majorBidi" w:cstheme="majorBidi"/>
                <w:color w:val="auto"/>
                <w:sz w:val="24"/>
                <w:szCs w:val="24"/>
                <w:lang w:val="en-AU"/>
              </w:rPr>
              <w:t xml:space="preserve">Genomic characteristics, disease outcome and heterologous vaccine effectiveness among cases with SARS-CoV-2 infection. </w:t>
            </w:r>
            <w:r w:rsidRPr="00563C4D">
              <w:rPr>
                <w:rFonts w:asciiTheme="majorBidi" w:hAnsiTheme="majorBidi" w:cstheme="majorBidi"/>
                <w:color w:val="auto"/>
                <w:sz w:val="24"/>
                <w:szCs w:val="24"/>
                <w:lang w:val="nb-NO"/>
              </w:rPr>
              <w:t xml:space="preserve">BMC </w:t>
            </w:r>
            <w:proofErr w:type="spellStart"/>
            <w:r w:rsidRPr="00563C4D">
              <w:rPr>
                <w:rFonts w:asciiTheme="majorBidi" w:hAnsiTheme="majorBidi" w:cstheme="majorBidi"/>
                <w:color w:val="auto"/>
                <w:sz w:val="24"/>
                <w:szCs w:val="24"/>
                <w:lang w:val="nb-NO"/>
              </w:rPr>
              <w:t>Infect</w:t>
            </w:r>
            <w:proofErr w:type="spellEnd"/>
            <w:r w:rsidRPr="00563C4D">
              <w:rPr>
                <w:rFonts w:asciiTheme="majorBidi" w:hAnsiTheme="majorBidi" w:cstheme="majorBidi"/>
                <w:color w:val="auto"/>
                <w:sz w:val="24"/>
                <w:szCs w:val="24"/>
                <w:lang w:val="nb-NO"/>
              </w:rPr>
              <w:t xml:space="preserve"> Dis. 2024;24:1266. https://doi.org/10.1186/s12879-024-10124-6</w:t>
            </w:r>
          </w:p>
        </w:tc>
        <w:tc>
          <w:tcPr>
            <w:tcW w:w="5938" w:type="dxa"/>
          </w:tcPr>
          <w:p w14:paraId="058F942F" w14:textId="77777777" w:rsidR="009405C7" w:rsidRPr="00563C4D" w:rsidRDefault="009405C7" w:rsidP="009405C7">
            <w:pPr>
              <w:pStyle w:val="MDPI31text"/>
              <w:ind w:left="0" w:firstLine="0"/>
              <w:rPr>
                <w:rFonts w:asciiTheme="majorBidi" w:hAnsiTheme="majorBidi" w:cstheme="majorBidi"/>
                <w:color w:val="auto"/>
                <w:sz w:val="24"/>
                <w:szCs w:val="24"/>
              </w:rPr>
            </w:pPr>
            <w:r w:rsidRPr="00563C4D">
              <w:rPr>
                <w:rFonts w:asciiTheme="majorBidi" w:hAnsiTheme="majorBidi" w:cstheme="majorBidi"/>
                <w:color w:val="auto"/>
                <w:sz w:val="24"/>
                <w:szCs w:val="24"/>
              </w:rPr>
              <w:t>Outside the prespecified review scope. This retrospective cohort study evaluates vaccine and booster effectiveness during Delta-dominant and early Omicron (BA.1) periods between February 2021 and May 2022, focusing on homologous and heterologous booster strategies using non-variant-adapted vaccines. The study does not assess later Omicron subvariants (e.g., BA.5, XBB, JN.1) or variant-adapted vaccines relevant to the Omicron evolutionary spectrum synthesised in this review.</w:t>
            </w:r>
          </w:p>
        </w:tc>
      </w:tr>
      <w:tr w:rsidR="009405C7" w14:paraId="0A1A0CF7" w14:textId="77777777" w:rsidTr="00B20255">
        <w:tc>
          <w:tcPr>
            <w:tcW w:w="5403" w:type="dxa"/>
          </w:tcPr>
          <w:p w14:paraId="2870192F" w14:textId="153A95F0" w:rsidR="009405C7" w:rsidRPr="001D23C2" w:rsidRDefault="001D23C2" w:rsidP="009405C7">
            <w:pPr>
              <w:pStyle w:val="MDPI31text"/>
              <w:ind w:left="0" w:firstLine="0"/>
              <w:rPr>
                <w:rFonts w:asciiTheme="majorBidi" w:hAnsiTheme="majorBidi" w:cstheme="majorBidi"/>
                <w:color w:val="auto"/>
                <w:sz w:val="24"/>
                <w:szCs w:val="24"/>
              </w:rPr>
            </w:pPr>
            <w:proofErr w:type="spellStart"/>
            <w:r w:rsidRPr="001D23C2">
              <w:rPr>
                <w:rFonts w:asciiTheme="majorBidi" w:hAnsiTheme="majorBidi" w:cstheme="majorBidi"/>
                <w:color w:val="auto"/>
                <w:sz w:val="24"/>
                <w:szCs w:val="24"/>
                <w:lang w:val="en-AU"/>
              </w:rPr>
              <w:t>Acuti</w:t>
            </w:r>
            <w:proofErr w:type="spellEnd"/>
            <w:r w:rsidRPr="001D23C2">
              <w:rPr>
                <w:rFonts w:asciiTheme="majorBidi" w:hAnsiTheme="majorBidi" w:cstheme="majorBidi"/>
                <w:color w:val="auto"/>
                <w:sz w:val="24"/>
                <w:szCs w:val="24"/>
                <w:lang w:val="en-AU"/>
              </w:rPr>
              <w:t xml:space="preserve"> Martellucci C, Flacco ME, Soldato G, et al. Effectiveness of COVID-19 vaccines in the general population of an Italian region before and during the Omicron wave. </w:t>
            </w:r>
            <w:r w:rsidRPr="004F6C90">
              <w:rPr>
                <w:rFonts w:asciiTheme="majorBidi" w:hAnsiTheme="majorBidi" w:cstheme="majorBidi"/>
                <w:color w:val="auto"/>
                <w:sz w:val="24"/>
                <w:szCs w:val="24"/>
                <w:lang w:val="en-AU"/>
              </w:rPr>
              <w:t>Vaccines (Basel). 2022;10(5):662. https://doi.org/10.3390/vaccines10050662</w:t>
            </w:r>
          </w:p>
        </w:tc>
        <w:tc>
          <w:tcPr>
            <w:tcW w:w="5938" w:type="dxa"/>
          </w:tcPr>
          <w:p w14:paraId="6F82DB0A" w14:textId="2B2CCE80" w:rsidR="009405C7" w:rsidRPr="001D23C2" w:rsidRDefault="009405C7" w:rsidP="009405C7">
            <w:pPr>
              <w:pStyle w:val="MDPI31text"/>
              <w:ind w:left="0" w:firstLine="0"/>
              <w:rPr>
                <w:rFonts w:asciiTheme="majorBidi" w:hAnsiTheme="majorBidi" w:cstheme="majorBidi"/>
                <w:color w:val="auto"/>
                <w:sz w:val="24"/>
                <w:szCs w:val="24"/>
              </w:rPr>
            </w:pPr>
            <w:r w:rsidRPr="001D23C2">
              <w:rPr>
                <w:rFonts w:asciiTheme="majorBidi" w:hAnsiTheme="majorBidi" w:cstheme="majorBidi"/>
                <w:color w:val="auto"/>
                <w:sz w:val="24"/>
                <w:szCs w:val="24"/>
              </w:rPr>
              <w:t>Outside the prespecified review scope. The study evaluates effectiveness of ancestral (monovalent) COVID-19 vaccines in a regional Italian cohort with follow-up limited to pre-Omicron and early Omicron (BA.1) circulation (data through February 2022). It predates the variant-adapted/bivalent vaccine era and does not provide effectiveness estimates for later Omicron subvariants prioritized in this review (e.g., BA.5 late phase, XBB, JN.1, KP.3).</w:t>
            </w:r>
          </w:p>
        </w:tc>
      </w:tr>
      <w:tr w:rsidR="009405C7" w14:paraId="30C1B47E" w14:textId="77777777" w:rsidTr="00B20255">
        <w:tc>
          <w:tcPr>
            <w:tcW w:w="5403" w:type="dxa"/>
          </w:tcPr>
          <w:p w14:paraId="24701CCD" w14:textId="3A5D591A" w:rsidR="009405C7" w:rsidRPr="006C51D2" w:rsidRDefault="006C51D2" w:rsidP="009405C7">
            <w:pPr>
              <w:pStyle w:val="MDPI31text"/>
              <w:ind w:left="0" w:firstLine="0"/>
              <w:rPr>
                <w:rFonts w:asciiTheme="majorBidi" w:hAnsiTheme="majorBidi" w:cstheme="majorBidi"/>
                <w:color w:val="auto"/>
                <w:sz w:val="24"/>
                <w:szCs w:val="24"/>
              </w:rPr>
            </w:pPr>
            <w:r w:rsidRPr="006C51D2">
              <w:rPr>
                <w:rFonts w:asciiTheme="majorBidi" w:hAnsiTheme="majorBidi" w:cstheme="majorBidi"/>
                <w:color w:val="auto"/>
                <w:sz w:val="24"/>
                <w:szCs w:val="24"/>
              </w:rPr>
              <w:t>Adams K, Rhoads JP, Surie D, et al. Vaccine effectiveness of primary series and booster doses against COVID-19–associated hospital admission in the United States: a living test-negative design study. BMJ. 2022;379:e072065. https://doi.org/10.1136/bmj-2022-072065</w:t>
            </w:r>
          </w:p>
        </w:tc>
        <w:tc>
          <w:tcPr>
            <w:tcW w:w="5938" w:type="dxa"/>
          </w:tcPr>
          <w:p w14:paraId="7C0D995E" w14:textId="3F0FD1FD" w:rsidR="009405C7" w:rsidRPr="006C51D2" w:rsidRDefault="009405C7" w:rsidP="009405C7">
            <w:pPr>
              <w:pStyle w:val="MDPI31text"/>
              <w:ind w:left="0" w:firstLine="0"/>
              <w:rPr>
                <w:rFonts w:asciiTheme="majorBidi" w:hAnsiTheme="majorBidi" w:cstheme="majorBidi"/>
                <w:color w:val="auto"/>
                <w:sz w:val="24"/>
                <w:szCs w:val="24"/>
              </w:rPr>
            </w:pPr>
            <w:r w:rsidRPr="006C51D2">
              <w:rPr>
                <w:rFonts w:asciiTheme="majorBidi" w:hAnsiTheme="majorBidi" w:cstheme="majorBidi"/>
                <w:color w:val="auto"/>
                <w:sz w:val="24"/>
                <w:szCs w:val="24"/>
              </w:rPr>
              <w:t xml:space="preserve">Outside the prespecified review scope. This </w:t>
            </w:r>
            <w:r w:rsidR="006B6983" w:rsidRPr="006C51D2">
              <w:rPr>
                <w:rFonts w:asciiTheme="majorBidi" w:hAnsiTheme="majorBidi" w:cstheme="majorBidi"/>
                <w:color w:val="auto"/>
                <w:sz w:val="24"/>
                <w:szCs w:val="24"/>
              </w:rPr>
              <w:t>multicenter</w:t>
            </w:r>
            <w:r w:rsidRPr="006C51D2">
              <w:rPr>
                <w:rFonts w:asciiTheme="majorBidi" w:hAnsiTheme="majorBidi" w:cstheme="majorBidi"/>
                <w:color w:val="auto"/>
                <w:sz w:val="24"/>
                <w:szCs w:val="24"/>
              </w:rPr>
              <w:t xml:space="preserve"> test-negative case-control study evaluates vaccine effectiveness against hospital admission during the early Omicron period (BA.1- and BA.2-dominant, December 2021–June 2022) using ancestral-strain vaccines, with analyses focused on booster dosing strategies. The study does not assess later Omicron subvariants (e.g., BA.5, XBB, JN.1) or variant-adapted vaccines relevant to the Omicron evolutionary spectrum synthesised in this review.</w:t>
            </w:r>
          </w:p>
        </w:tc>
      </w:tr>
      <w:tr w:rsidR="009405C7" w14:paraId="0BA686FD" w14:textId="77777777" w:rsidTr="00B20255">
        <w:tc>
          <w:tcPr>
            <w:tcW w:w="5403" w:type="dxa"/>
          </w:tcPr>
          <w:p w14:paraId="12361DAB" w14:textId="405043A8" w:rsidR="009405C7" w:rsidRPr="00DD2434" w:rsidRDefault="00DD2434" w:rsidP="009405C7">
            <w:pPr>
              <w:pStyle w:val="MDPI31text"/>
              <w:ind w:left="0" w:firstLine="0"/>
              <w:rPr>
                <w:rFonts w:asciiTheme="majorBidi" w:hAnsiTheme="majorBidi" w:cstheme="majorBidi"/>
                <w:color w:val="auto"/>
                <w:sz w:val="24"/>
                <w:szCs w:val="24"/>
              </w:rPr>
            </w:pPr>
            <w:r w:rsidRPr="00DD2434">
              <w:rPr>
                <w:rFonts w:asciiTheme="majorBidi" w:hAnsiTheme="majorBidi" w:cstheme="majorBidi"/>
                <w:color w:val="auto"/>
                <w:sz w:val="24"/>
                <w:szCs w:val="24"/>
              </w:rPr>
              <w:t xml:space="preserve">Aglipay M, Maguire JL, Swayze S, et al. Initial effectiveness of mRNA-1273 against SARS-CoV-2 infection and hospitalization in young children. Open </w:t>
            </w:r>
            <w:r w:rsidRPr="00DD2434">
              <w:rPr>
                <w:rFonts w:asciiTheme="majorBidi" w:hAnsiTheme="majorBidi" w:cstheme="majorBidi"/>
                <w:color w:val="auto"/>
                <w:sz w:val="24"/>
                <w:szCs w:val="24"/>
              </w:rPr>
              <w:lastRenderedPageBreak/>
              <w:t>Forum Infect Dis. 2025;12(1):ofae718. https://doi.org/10.1093/ofid/ofae718</w:t>
            </w:r>
          </w:p>
        </w:tc>
        <w:tc>
          <w:tcPr>
            <w:tcW w:w="5938" w:type="dxa"/>
          </w:tcPr>
          <w:p w14:paraId="411CDF12" w14:textId="77777777" w:rsidR="009405C7" w:rsidRPr="00DD2434" w:rsidRDefault="009405C7" w:rsidP="009405C7">
            <w:pPr>
              <w:pStyle w:val="MDPI31text"/>
              <w:ind w:left="0" w:firstLine="0"/>
              <w:rPr>
                <w:rFonts w:asciiTheme="majorBidi" w:hAnsiTheme="majorBidi" w:cstheme="majorBidi"/>
                <w:color w:val="auto"/>
                <w:sz w:val="24"/>
                <w:szCs w:val="24"/>
              </w:rPr>
            </w:pPr>
            <w:r w:rsidRPr="00DD2434">
              <w:rPr>
                <w:rFonts w:asciiTheme="majorBidi" w:hAnsiTheme="majorBidi" w:cstheme="majorBidi"/>
                <w:color w:val="auto"/>
                <w:sz w:val="24"/>
                <w:szCs w:val="24"/>
              </w:rPr>
              <w:lastRenderedPageBreak/>
              <w:t xml:space="preserve">Outside the prespecified review scope. This test-negative study evaluates initial vaccine effectiveness of mRNA-1273 in young children aged 6 months to 5 years during an early Omicron (BA.4/BA.5-dominant) period in 2022, focusing </w:t>
            </w:r>
            <w:r w:rsidRPr="00DD2434">
              <w:rPr>
                <w:rFonts w:asciiTheme="majorBidi" w:hAnsiTheme="majorBidi" w:cstheme="majorBidi"/>
                <w:color w:val="auto"/>
                <w:sz w:val="24"/>
                <w:szCs w:val="24"/>
              </w:rPr>
              <w:lastRenderedPageBreak/>
              <w:t>on short-term effectiveness following primary series rollout. The paediatric population and early Omicron timeframe fall outside the adolescent/adult focus and later Omicron evolutionary spectrum addressed in this review.</w:t>
            </w:r>
          </w:p>
        </w:tc>
      </w:tr>
      <w:tr w:rsidR="009405C7" w14:paraId="7801B9C8" w14:textId="77777777" w:rsidTr="00B20255">
        <w:tc>
          <w:tcPr>
            <w:tcW w:w="5403" w:type="dxa"/>
          </w:tcPr>
          <w:p w14:paraId="0E955C66" w14:textId="190A2C1E" w:rsidR="009405C7" w:rsidRPr="00B300D1" w:rsidRDefault="00B300D1" w:rsidP="009405C7">
            <w:pPr>
              <w:pStyle w:val="MDPI31text"/>
              <w:ind w:left="0" w:firstLine="0"/>
              <w:rPr>
                <w:rFonts w:asciiTheme="majorBidi" w:hAnsiTheme="majorBidi" w:cstheme="majorBidi"/>
                <w:color w:val="auto"/>
                <w:sz w:val="24"/>
                <w:szCs w:val="24"/>
              </w:rPr>
            </w:pPr>
            <w:proofErr w:type="spellStart"/>
            <w:r w:rsidRPr="00B300D1">
              <w:rPr>
                <w:rFonts w:asciiTheme="majorBidi" w:hAnsiTheme="majorBidi" w:cstheme="majorBidi"/>
                <w:color w:val="auto"/>
                <w:sz w:val="24"/>
                <w:szCs w:val="24"/>
                <w:lang w:val="nb-NO"/>
              </w:rPr>
              <w:lastRenderedPageBreak/>
              <w:t>Agrupis</w:t>
            </w:r>
            <w:proofErr w:type="spellEnd"/>
            <w:r w:rsidRPr="00B300D1">
              <w:rPr>
                <w:rFonts w:asciiTheme="majorBidi" w:hAnsiTheme="majorBidi" w:cstheme="majorBidi"/>
                <w:color w:val="auto"/>
                <w:sz w:val="24"/>
                <w:szCs w:val="24"/>
                <w:lang w:val="nb-NO"/>
              </w:rPr>
              <w:t xml:space="preserve"> KA, </w:t>
            </w:r>
            <w:proofErr w:type="spellStart"/>
            <w:r w:rsidRPr="00B300D1">
              <w:rPr>
                <w:rFonts w:asciiTheme="majorBidi" w:hAnsiTheme="majorBidi" w:cstheme="majorBidi"/>
                <w:color w:val="auto"/>
                <w:sz w:val="24"/>
                <w:szCs w:val="24"/>
                <w:lang w:val="nb-NO"/>
              </w:rPr>
              <w:t>Ylade</w:t>
            </w:r>
            <w:proofErr w:type="spellEnd"/>
            <w:r w:rsidRPr="00B300D1">
              <w:rPr>
                <w:rFonts w:asciiTheme="majorBidi" w:hAnsiTheme="majorBidi" w:cstheme="majorBidi"/>
                <w:color w:val="auto"/>
                <w:sz w:val="24"/>
                <w:szCs w:val="24"/>
                <w:lang w:val="nb-NO"/>
              </w:rPr>
              <w:t xml:space="preserve"> M, Qi YY, et al. </w:t>
            </w:r>
            <w:r w:rsidRPr="00B300D1">
              <w:rPr>
                <w:rFonts w:asciiTheme="majorBidi" w:hAnsiTheme="majorBidi" w:cstheme="majorBidi"/>
                <w:color w:val="auto"/>
                <w:sz w:val="24"/>
                <w:szCs w:val="24"/>
                <w:lang w:val="en-AU"/>
              </w:rPr>
              <w:t xml:space="preserve">Effectiveness of CoronaVac primary series with and without booster against hospitalized COVID-19 during the Omicron-predominant epidemic wave in the Philippines: a test-negative case–control study. </w:t>
            </w:r>
            <w:r w:rsidRPr="00B300D1">
              <w:rPr>
                <w:rFonts w:asciiTheme="majorBidi" w:hAnsiTheme="majorBidi" w:cstheme="majorBidi"/>
                <w:color w:val="auto"/>
                <w:sz w:val="24"/>
                <w:szCs w:val="24"/>
                <w:lang w:val="nb-NO"/>
              </w:rPr>
              <w:t xml:space="preserve">Expert Rev </w:t>
            </w:r>
            <w:proofErr w:type="spellStart"/>
            <w:r w:rsidRPr="00B300D1">
              <w:rPr>
                <w:rFonts w:asciiTheme="majorBidi" w:hAnsiTheme="majorBidi" w:cstheme="majorBidi"/>
                <w:color w:val="auto"/>
                <w:sz w:val="24"/>
                <w:szCs w:val="24"/>
                <w:lang w:val="nb-NO"/>
              </w:rPr>
              <w:t>Vaccines</w:t>
            </w:r>
            <w:proofErr w:type="spellEnd"/>
            <w:r w:rsidRPr="00B300D1">
              <w:rPr>
                <w:rFonts w:asciiTheme="majorBidi" w:hAnsiTheme="majorBidi" w:cstheme="majorBidi"/>
                <w:color w:val="auto"/>
                <w:sz w:val="24"/>
                <w:szCs w:val="24"/>
                <w:lang w:val="nb-NO"/>
              </w:rPr>
              <w:t>. 2025;24(1):738–749. https://doi.org/10.1080/14760584.2025.2539889</w:t>
            </w:r>
          </w:p>
        </w:tc>
        <w:tc>
          <w:tcPr>
            <w:tcW w:w="5938" w:type="dxa"/>
          </w:tcPr>
          <w:p w14:paraId="13066948" w14:textId="77777777" w:rsidR="009405C7" w:rsidRPr="00B300D1" w:rsidRDefault="009405C7" w:rsidP="009405C7">
            <w:pPr>
              <w:pStyle w:val="MDPI31text"/>
              <w:ind w:left="0" w:firstLine="0"/>
              <w:rPr>
                <w:rFonts w:asciiTheme="majorBidi" w:hAnsiTheme="majorBidi" w:cstheme="majorBidi"/>
                <w:color w:val="auto"/>
                <w:sz w:val="24"/>
                <w:szCs w:val="24"/>
              </w:rPr>
            </w:pPr>
            <w:r w:rsidRPr="00B300D1">
              <w:rPr>
                <w:rFonts w:asciiTheme="majorBidi" w:hAnsiTheme="majorBidi" w:cstheme="majorBidi"/>
                <w:color w:val="auto"/>
                <w:sz w:val="24"/>
                <w:szCs w:val="24"/>
              </w:rPr>
              <w:t>Outside the prespecified review scope. This test-negative case–control study evaluates the effectiveness of the inactivated CoronaVac vaccine primary series with and without heterologous booster doses during an Omicron-predominant period. The study does not assess updated or variant-adapted COVID-19 vaccines (e.g., BA.4/BA.5-, XBB.1.5-, or JN.1-adapted formulations) and focuses on durability and booster strategies following inactivated vaccine priming. As such, its vaccine platform and comparator framework are not directly comparable with the late-Omicron, updated-vaccine effectiveness analyses synthesized in this review.</w:t>
            </w:r>
          </w:p>
        </w:tc>
      </w:tr>
      <w:tr w:rsidR="009405C7" w14:paraId="13E9A75E" w14:textId="77777777" w:rsidTr="00B20255">
        <w:tc>
          <w:tcPr>
            <w:tcW w:w="5403" w:type="dxa"/>
          </w:tcPr>
          <w:p w14:paraId="75412A8F" w14:textId="542B7BC7" w:rsidR="009405C7" w:rsidRPr="007F17B4" w:rsidRDefault="007F17B4" w:rsidP="009405C7">
            <w:pPr>
              <w:pStyle w:val="MDPI31text"/>
              <w:ind w:left="0" w:firstLine="0"/>
              <w:rPr>
                <w:rFonts w:asciiTheme="majorBidi" w:hAnsiTheme="majorBidi" w:cstheme="majorBidi"/>
                <w:color w:val="auto"/>
                <w:sz w:val="24"/>
                <w:szCs w:val="24"/>
              </w:rPr>
            </w:pPr>
            <w:proofErr w:type="spellStart"/>
            <w:r w:rsidRPr="007F17B4">
              <w:rPr>
                <w:rFonts w:asciiTheme="majorBidi" w:hAnsiTheme="majorBidi" w:cstheme="majorBidi"/>
                <w:color w:val="auto"/>
                <w:sz w:val="24"/>
                <w:szCs w:val="24"/>
                <w:lang w:val="nb-NO"/>
              </w:rPr>
              <w:t>Akaishi</w:t>
            </w:r>
            <w:proofErr w:type="spellEnd"/>
            <w:r w:rsidRPr="007F17B4">
              <w:rPr>
                <w:rFonts w:asciiTheme="majorBidi" w:hAnsiTheme="majorBidi" w:cstheme="majorBidi"/>
                <w:color w:val="auto"/>
                <w:sz w:val="24"/>
                <w:szCs w:val="24"/>
                <w:lang w:val="nb-NO"/>
              </w:rPr>
              <w:t xml:space="preserve"> T, </w:t>
            </w:r>
            <w:proofErr w:type="spellStart"/>
            <w:r w:rsidRPr="007F17B4">
              <w:rPr>
                <w:rFonts w:asciiTheme="majorBidi" w:hAnsiTheme="majorBidi" w:cstheme="majorBidi"/>
                <w:color w:val="auto"/>
                <w:sz w:val="24"/>
                <w:szCs w:val="24"/>
                <w:lang w:val="nb-NO"/>
              </w:rPr>
              <w:t>Kushimoto</w:t>
            </w:r>
            <w:proofErr w:type="spellEnd"/>
            <w:r w:rsidRPr="007F17B4">
              <w:rPr>
                <w:rFonts w:asciiTheme="majorBidi" w:hAnsiTheme="majorBidi" w:cstheme="majorBidi"/>
                <w:color w:val="auto"/>
                <w:sz w:val="24"/>
                <w:szCs w:val="24"/>
                <w:lang w:val="nb-NO"/>
              </w:rPr>
              <w:t xml:space="preserve"> S, </w:t>
            </w:r>
            <w:proofErr w:type="spellStart"/>
            <w:r w:rsidRPr="007F17B4">
              <w:rPr>
                <w:rFonts w:asciiTheme="majorBidi" w:hAnsiTheme="majorBidi" w:cstheme="majorBidi"/>
                <w:color w:val="auto"/>
                <w:sz w:val="24"/>
                <w:szCs w:val="24"/>
                <w:lang w:val="nb-NO"/>
              </w:rPr>
              <w:t>Katori</w:t>
            </w:r>
            <w:proofErr w:type="spellEnd"/>
            <w:r w:rsidRPr="007F17B4">
              <w:rPr>
                <w:rFonts w:asciiTheme="majorBidi" w:hAnsiTheme="majorBidi" w:cstheme="majorBidi"/>
                <w:color w:val="auto"/>
                <w:sz w:val="24"/>
                <w:szCs w:val="24"/>
                <w:lang w:val="nb-NO"/>
              </w:rPr>
              <w:t xml:space="preserve"> Y, et al. </w:t>
            </w:r>
            <w:r w:rsidRPr="007F17B4">
              <w:rPr>
                <w:rFonts w:asciiTheme="majorBidi" w:hAnsiTheme="majorBidi" w:cstheme="majorBidi"/>
                <w:color w:val="auto"/>
                <w:sz w:val="24"/>
                <w:szCs w:val="24"/>
                <w:lang w:val="en-AU"/>
              </w:rPr>
              <w:t xml:space="preserve">Effectiveness of third vaccine dose for coronavirus disease 2019 during the Omicron variant pandemic: a prospective observational study in Japan. </w:t>
            </w:r>
            <w:proofErr w:type="spellStart"/>
            <w:r w:rsidRPr="007F17B4">
              <w:rPr>
                <w:rFonts w:asciiTheme="majorBidi" w:hAnsiTheme="majorBidi" w:cstheme="majorBidi"/>
                <w:color w:val="auto"/>
                <w:sz w:val="24"/>
                <w:szCs w:val="24"/>
                <w:lang w:val="nb-NO"/>
              </w:rPr>
              <w:t>Sci</w:t>
            </w:r>
            <w:proofErr w:type="spellEnd"/>
            <w:r w:rsidRPr="007F17B4">
              <w:rPr>
                <w:rFonts w:asciiTheme="majorBidi" w:hAnsiTheme="majorBidi" w:cstheme="majorBidi"/>
                <w:color w:val="auto"/>
                <w:sz w:val="24"/>
                <w:szCs w:val="24"/>
                <w:lang w:val="nb-NO"/>
              </w:rPr>
              <w:t xml:space="preserve"> Rep. 2022;12:13589. https://doi.org/10.1038/s41598-022-17990-7</w:t>
            </w:r>
          </w:p>
        </w:tc>
        <w:tc>
          <w:tcPr>
            <w:tcW w:w="5938" w:type="dxa"/>
          </w:tcPr>
          <w:p w14:paraId="600AA85B" w14:textId="455DEA69" w:rsidR="009405C7" w:rsidRPr="007F17B4" w:rsidRDefault="009405C7" w:rsidP="009405C7">
            <w:pPr>
              <w:pStyle w:val="MDPI31text"/>
              <w:ind w:left="0" w:firstLine="0"/>
              <w:rPr>
                <w:rFonts w:asciiTheme="majorBidi" w:hAnsiTheme="majorBidi" w:cstheme="majorBidi"/>
                <w:color w:val="auto"/>
                <w:sz w:val="24"/>
                <w:szCs w:val="24"/>
              </w:rPr>
            </w:pPr>
            <w:r w:rsidRPr="007F17B4">
              <w:rPr>
                <w:rFonts w:asciiTheme="majorBidi" w:hAnsiTheme="majorBidi" w:cstheme="majorBidi"/>
                <w:color w:val="auto"/>
                <w:sz w:val="24"/>
                <w:szCs w:val="24"/>
              </w:rPr>
              <w:t>Outside the prespecified review scope. This prospective observational study evaluates the effectiveness of a third mRNA vaccine dose against RT-PCR–confirmed SARS-CoV-2 infection following close contact during an early Omicron (BA.1/BA.2) period in 2022, with outcomes limited to infection and early symptoms. The study does not assess vaccine effectiveness against severe clinical outcomes (hospitali</w:t>
            </w:r>
            <w:r w:rsidR="001B2851" w:rsidRPr="007F17B4">
              <w:rPr>
                <w:rFonts w:asciiTheme="majorBidi" w:hAnsiTheme="majorBidi" w:cstheme="majorBidi"/>
                <w:color w:val="auto"/>
                <w:sz w:val="24"/>
                <w:szCs w:val="24"/>
              </w:rPr>
              <w:t>z</w:t>
            </w:r>
            <w:r w:rsidRPr="007F17B4">
              <w:rPr>
                <w:rFonts w:asciiTheme="majorBidi" w:hAnsiTheme="majorBidi" w:cstheme="majorBidi"/>
                <w:color w:val="auto"/>
                <w:sz w:val="24"/>
                <w:szCs w:val="24"/>
              </w:rPr>
              <w:t>ation, ICU admission, or death) relevant to the severe-outcome Omicron evolutionary framework of this review.</w:t>
            </w:r>
          </w:p>
        </w:tc>
      </w:tr>
      <w:tr w:rsidR="009405C7" w14:paraId="6842A15D" w14:textId="77777777" w:rsidTr="00B20255">
        <w:tc>
          <w:tcPr>
            <w:tcW w:w="5403" w:type="dxa"/>
          </w:tcPr>
          <w:p w14:paraId="05C681BE" w14:textId="694BA5BF" w:rsidR="009405C7" w:rsidRPr="00FC315B" w:rsidRDefault="00FC315B" w:rsidP="009405C7">
            <w:pPr>
              <w:pStyle w:val="MDPI31text"/>
              <w:ind w:left="0" w:firstLine="0"/>
              <w:rPr>
                <w:rFonts w:asciiTheme="majorBidi" w:hAnsiTheme="majorBidi" w:cstheme="majorBidi"/>
                <w:color w:val="auto"/>
                <w:sz w:val="24"/>
                <w:szCs w:val="24"/>
              </w:rPr>
            </w:pPr>
            <w:proofErr w:type="spellStart"/>
            <w:r w:rsidRPr="00FC315B">
              <w:rPr>
                <w:rFonts w:asciiTheme="majorBidi" w:hAnsiTheme="majorBidi" w:cstheme="majorBidi"/>
                <w:color w:val="auto"/>
                <w:sz w:val="24"/>
                <w:szCs w:val="24"/>
              </w:rPr>
              <w:t>Aldawish</w:t>
            </w:r>
            <w:proofErr w:type="spellEnd"/>
            <w:r w:rsidRPr="00FC315B">
              <w:rPr>
                <w:rFonts w:asciiTheme="majorBidi" w:hAnsiTheme="majorBidi" w:cstheme="majorBidi"/>
                <w:color w:val="auto"/>
                <w:sz w:val="24"/>
                <w:szCs w:val="24"/>
              </w:rPr>
              <w:t xml:space="preserve"> S, </w:t>
            </w:r>
            <w:proofErr w:type="spellStart"/>
            <w:r w:rsidRPr="00FC315B">
              <w:rPr>
                <w:rFonts w:asciiTheme="majorBidi" w:hAnsiTheme="majorBidi" w:cstheme="majorBidi"/>
                <w:color w:val="auto"/>
                <w:sz w:val="24"/>
                <w:szCs w:val="24"/>
              </w:rPr>
              <w:t>Abusaris</w:t>
            </w:r>
            <w:proofErr w:type="spellEnd"/>
            <w:r w:rsidRPr="00FC315B">
              <w:rPr>
                <w:rFonts w:asciiTheme="majorBidi" w:hAnsiTheme="majorBidi" w:cstheme="majorBidi"/>
                <w:color w:val="auto"/>
                <w:sz w:val="24"/>
                <w:szCs w:val="24"/>
              </w:rPr>
              <w:t xml:space="preserve"> R, </w:t>
            </w:r>
            <w:proofErr w:type="spellStart"/>
            <w:r w:rsidRPr="00FC315B">
              <w:rPr>
                <w:rFonts w:asciiTheme="majorBidi" w:hAnsiTheme="majorBidi" w:cstheme="majorBidi"/>
                <w:color w:val="auto"/>
                <w:sz w:val="24"/>
                <w:szCs w:val="24"/>
              </w:rPr>
              <w:t>Almohammadi</w:t>
            </w:r>
            <w:proofErr w:type="spellEnd"/>
            <w:r w:rsidRPr="00FC315B">
              <w:rPr>
                <w:rFonts w:asciiTheme="majorBidi" w:hAnsiTheme="majorBidi" w:cstheme="majorBidi"/>
                <w:color w:val="auto"/>
                <w:sz w:val="24"/>
                <w:szCs w:val="24"/>
              </w:rPr>
              <w:t xml:space="preserve"> E, et al. Effectiveness of COVID-19 vaccines against ICU admission during Omicron surge in Saudi Arabia: a nationwide retrospective cohort study. BMC Infect Dis. 2023;23:746. https://doi.org/10.1186/s12879-023-08686-y</w:t>
            </w:r>
          </w:p>
        </w:tc>
        <w:tc>
          <w:tcPr>
            <w:tcW w:w="5938" w:type="dxa"/>
          </w:tcPr>
          <w:p w14:paraId="2B6BF92B" w14:textId="13B101E6" w:rsidR="009405C7" w:rsidRPr="00FC315B" w:rsidRDefault="009405C7" w:rsidP="009405C7">
            <w:pPr>
              <w:pStyle w:val="MDPI31text"/>
              <w:ind w:left="0" w:firstLine="0"/>
              <w:rPr>
                <w:rFonts w:asciiTheme="majorBidi" w:hAnsiTheme="majorBidi" w:cstheme="majorBidi"/>
                <w:color w:val="auto"/>
                <w:sz w:val="24"/>
                <w:szCs w:val="24"/>
              </w:rPr>
            </w:pPr>
            <w:r w:rsidRPr="00FC315B">
              <w:rPr>
                <w:rFonts w:asciiTheme="majorBidi" w:hAnsiTheme="majorBidi" w:cstheme="majorBidi"/>
                <w:color w:val="auto"/>
                <w:sz w:val="24"/>
                <w:szCs w:val="24"/>
              </w:rPr>
              <w:t xml:space="preserve">Outside the prespecified review scope. The study was conducted during early Omicron circulation (2022) and evaluates ancestral (non–variant-adapted) COVID-19 vaccines only, with no assessment of variant-adapted vaccines (e.g., bivalent </w:t>
            </w:r>
            <w:r w:rsidR="00A13B79" w:rsidRPr="00FC315B">
              <w:rPr>
                <w:rFonts w:asciiTheme="majorBidi" w:hAnsiTheme="majorBidi" w:cstheme="majorBidi"/>
                <w:color w:val="auto"/>
                <w:sz w:val="24"/>
                <w:szCs w:val="24"/>
              </w:rPr>
              <w:t xml:space="preserve">BA.4/BA.5 </w:t>
            </w:r>
            <w:r w:rsidRPr="00FC315B">
              <w:rPr>
                <w:rFonts w:asciiTheme="majorBidi" w:hAnsiTheme="majorBidi" w:cstheme="majorBidi"/>
                <w:color w:val="auto"/>
                <w:sz w:val="24"/>
                <w:szCs w:val="24"/>
              </w:rPr>
              <w:t>or updated XBB/JN.1 formulations) that are the focus of this review.</w:t>
            </w:r>
          </w:p>
        </w:tc>
      </w:tr>
      <w:tr w:rsidR="009405C7" w14:paraId="566329C1" w14:textId="77777777" w:rsidTr="00B20255">
        <w:tc>
          <w:tcPr>
            <w:tcW w:w="5403" w:type="dxa"/>
          </w:tcPr>
          <w:p w14:paraId="5F355635" w14:textId="12DECF71" w:rsidR="009405C7" w:rsidRPr="00950ECE" w:rsidRDefault="00950ECE" w:rsidP="009405C7">
            <w:pPr>
              <w:pStyle w:val="MDPI31text"/>
              <w:ind w:left="0" w:firstLine="0"/>
              <w:rPr>
                <w:rFonts w:asciiTheme="majorBidi" w:hAnsiTheme="majorBidi" w:cstheme="majorBidi"/>
                <w:color w:val="auto"/>
                <w:sz w:val="24"/>
                <w:szCs w:val="24"/>
              </w:rPr>
            </w:pPr>
            <w:proofErr w:type="spellStart"/>
            <w:r w:rsidRPr="00950ECE">
              <w:rPr>
                <w:rFonts w:asciiTheme="majorBidi" w:hAnsiTheme="majorBidi" w:cstheme="majorBidi"/>
                <w:color w:val="auto"/>
                <w:sz w:val="24"/>
                <w:szCs w:val="24"/>
                <w:lang w:val="nb-NO"/>
              </w:rPr>
              <w:t>Aldecoa</w:t>
            </w:r>
            <w:proofErr w:type="spellEnd"/>
            <w:r w:rsidRPr="00950ECE">
              <w:rPr>
                <w:rFonts w:asciiTheme="majorBidi" w:hAnsiTheme="majorBidi" w:cstheme="majorBidi"/>
                <w:color w:val="auto"/>
                <w:sz w:val="24"/>
                <w:szCs w:val="24"/>
                <w:lang w:val="nb-NO"/>
              </w:rPr>
              <w:t xml:space="preserve"> KAT, </w:t>
            </w:r>
            <w:proofErr w:type="spellStart"/>
            <w:r w:rsidRPr="00950ECE">
              <w:rPr>
                <w:rFonts w:asciiTheme="majorBidi" w:hAnsiTheme="majorBidi" w:cstheme="majorBidi"/>
                <w:color w:val="auto"/>
                <w:sz w:val="24"/>
                <w:szCs w:val="24"/>
                <w:lang w:val="nb-NO"/>
              </w:rPr>
              <w:t>Arsene</w:t>
            </w:r>
            <w:proofErr w:type="spellEnd"/>
            <w:r w:rsidRPr="00950ECE">
              <w:rPr>
                <w:rFonts w:asciiTheme="majorBidi" w:hAnsiTheme="majorBidi" w:cstheme="majorBidi"/>
                <w:color w:val="auto"/>
                <w:sz w:val="24"/>
                <w:szCs w:val="24"/>
                <w:lang w:val="nb-NO"/>
              </w:rPr>
              <w:t xml:space="preserve"> C, </w:t>
            </w:r>
            <w:proofErr w:type="spellStart"/>
            <w:r w:rsidRPr="00950ECE">
              <w:rPr>
                <w:rFonts w:asciiTheme="majorBidi" w:hAnsiTheme="majorBidi" w:cstheme="majorBidi"/>
                <w:color w:val="auto"/>
                <w:sz w:val="24"/>
                <w:szCs w:val="24"/>
                <w:lang w:val="nb-NO"/>
              </w:rPr>
              <w:t>Chng</w:t>
            </w:r>
            <w:proofErr w:type="spellEnd"/>
            <w:r w:rsidRPr="00950ECE">
              <w:rPr>
                <w:rFonts w:asciiTheme="majorBidi" w:hAnsiTheme="majorBidi" w:cstheme="majorBidi"/>
                <w:color w:val="auto"/>
                <w:sz w:val="24"/>
                <w:szCs w:val="24"/>
                <w:lang w:val="nb-NO"/>
              </w:rPr>
              <w:t xml:space="preserve"> T, et al. </w:t>
            </w:r>
            <w:r w:rsidRPr="00950ECE">
              <w:rPr>
                <w:rFonts w:asciiTheme="majorBidi" w:hAnsiTheme="majorBidi" w:cstheme="majorBidi"/>
                <w:color w:val="auto"/>
                <w:sz w:val="24"/>
                <w:szCs w:val="24"/>
                <w:lang w:val="en-AU"/>
              </w:rPr>
              <w:t xml:space="preserve">Evaluating the effectiveness of COVID-19 vaccines in adults with sickle cell disease during the Omicron period of the COVID-19 pandemic. </w:t>
            </w:r>
            <w:r w:rsidRPr="00950ECE">
              <w:rPr>
                <w:rFonts w:asciiTheme="majorBidi" w:hAnsiTheme="majorBidi" w:cstheme="majorBidi"/>
                <w:color w:val="auto"/>
                <w:sz w:val="24"/>
                <w:szCs w:val="24"/>
                <w:lang w:val="nb-NO"/>
              </w:rPr>
              <w:t>Blood. 2023;142(</w:t>
            </w:r>
            <w:proofErr w:type="spellStart"/>
            <w:r w:rsidRPr="00950ECE">
              <w:rPr>
                <w:rFonts w:asciiTheme="majorBidi" w:hAnsiTheme="majorBidi" w:cstheme="majorBidi"/>
                <w:color w:val="auto"/>
                <w:sz w:val="24"/>
                <w:szCs w:val="24"/>
                <w:lang w:val="nb-NO"/>
              </w:rPr>
              <w:t>Suppl</w:t>
            </w:r>
            <w:proofErr w:type="spellEnd"/>
            <w:r w:rsidRPr="00950ECE">
              <w:rPr>
                <w:rFonts w:asciiTheme="majorBidi" w:hAnsiTheme="majorBidi" w:cstheme="majorBidi"/>
                <w:color w:val="auto"/>
                <w:sz w:val="24"/>
                <w:szCs w:val="24"/>
                <w:lang w:val="nb-NO"/>
              </w:rPr>
              <w:t xml:space="preserve"> 1):1149–1150. https://doi.org/10.1182/blood-2023-185320</w:t>
            </w:r>
          </w:p>
        </w:tc>
        <w:tc>
          <w:tcPr>
            <w:tcW w:w="5938" w:type="dxa"/>
          </w:tcPr>
          <w:p w14:paraId="1C391EE6" w14:textId="6FB47F42" w:rsidR="009405C7" w:rsidRPr="00950ECE" w:rsidRDefault="009405C7" w:rsidP="009405C7">
            <w:pPr>
              <w:pStyle w:val="MDPI31text"/>
              <w:ind w:left="0" w:firstLine="0"/>
              <w:rPr>
                <w:rFonts w:asciiTheme="majorBidi" w:hAnsiTheme="majorBidi" w:cstheme="majorBidi"/>
                <w:color w:val="auto"/>
                <w:sz w:val="24"/>
                <w:szCs w:val="24"/>
              </w:rPr>
            </w:pPr>
            <w:r w:rsidRPr="00950ECE">
              <w:rPr>
                <w:rFonts w:asciiTheme="majorBidi" w:hAnsiTheme="majorBidi" w:cstheme="majorBidi"/>
                <w:color w:val="auto"/>
                <w:sz w:val="24"/>
                <w:szCs w:val="24"/>
              </w:rPr>
              <w:t>Conference abstract only. This study is reported as a meeting abstract without a full peer-reviewed manuscript, provides limited methodological detail, and evaluates vaccine effectiveness primarily against SARS-CoV-2 infection in a small, disease-specific cohort, without robust estimates for severe clinical outcomes (hospitali</w:t>
            </w:r>
            <w:r w:rsidR="001B2851" w:rsidRPr="00950ECE">
              <w:rPr>
                <w:rFonts w:asciiTheme="majorBidi" w:hAnsiTheme="majorBidi" w:cstheme="majorBidi"/>
                <w:color w:val="auto"/>
                <w:sz w:val="24"/>
                <w:szCs w:val="24"/>
              </w:rPr>
              <w:t>z</w:t>
            </w:r>
            <w:r w:rsidRPr="00950ECE">
              <w:rPr>
                <w:rFonts w:asciiTheme="majorBidi" w:hAnsiTheme="majorBidi" w:cstheme="majorBidi"/>
                <w:color w:val="auto"/>
                <w:sz w:val="24"/>
                <w:szCs w:val="24"/>
              </w:rPr>
              <w:t>ation, ICU admission, or death) required for inclusion in this review.</w:t>
            </w:r>
          </w:p>
        </w:tc>
      </w:tr>
      <w:tr w:rsidR="009405C7" w14:paraId="156233AC" w14:textId="77777777" w:rsidTr="00B20255">
        <w:tc>
          <w:tcPr>
            <w:tcW w:w="5403" w:type="dxa"/>
          </w:tcPr>
          <w:p w14:paraId="3545C6E7" w14:textId="5FA1E3FE" w:rsidR="009405C7" w:rsidRPr="00235F71" w:rsidRDefault="00235F71" w:rsidP="009405C7">
            <w:pPr>
              <w:pStyle w:val="MDPI31text"/>
              <w:ind w:left="0" w:firstLine="0"/>
              <w:rPr>
                <w:rFonts w:asciiTheme="majorBidi" w:hAnsiTheme="majorBidi" w:cstheme="majorBidi"/>
                <w:color w:val="auto"/>
                <w:sz w:val="24"/>
                <w:szCs w:val="24"/>
              </w:rPr>
            </w:pPr>
            <w:r w:rsidRPr="00235F71">
              <w:rPr>
                <w:rFonts w:asciiTheme="majorBidi" w:hAnsiTheme="majorBidi" w:cstheme="majorBidi"/>
                <w:color w:val="auto"/>
                <w:sz w:val="24"/>
                <w:szCs w:val="24"/>
              </w:rPr>
              <w:t xml:space="preserve">Ali AM, Tofiq AM, Rostam HM, et al. Disease severity and efficacy of homologous vaccination among patients infected with SARS-CoV-2 Delta or Omicron VOCs, compared to unvaccinated using main biomarkers. J Med </w:t>
            </w:r>
            <w:proofErr w:type="spellStart"/>
            <w:r w:rsidRPr="00235F71">
              <w:rPr>
                <w:rFonts w:asciiTheme="majorBidi" w:hAnsiTheme="majorBidi" w:cstheme="majorBidi"/>
                <w:color w:val="auto"/>
                <w:sz w:val="24"/>
                <w:szCs w:val="24"/>
              </w:rPr>
              <w:t>Virol</w:t>
            </w:r>
            <w:proofErr w:type="spellEnd"/>
            <w:r w:rsidRPr="00235F71">
              <w:rPr>
                <w:rFonts w:asciiTheme="majorBidi" w:hAnsiTheme="majorBidi" w:cstheme="majorBidi"/>
                <w:color w:val="auto"/>
                <w:sz w:val="24"/>
                <w:szCs w:val="24"/>
              </w:rPr>
              <w:t>. 2022;94:1–10. https://doi.org/10.1002/jmv.28098</w:t>
            </w:r>
          </w:p>
        </w:tc>
        <w:tc>
          <w:tcPr>
            <w:tcW w:w="5938" w:type="dxa"/>
          </w:tcPr>
          <w:p w14:paraId="50EC5413" w14:textId="0B02D793" w:rsidR="009405C7" w:rsidRPr="00235F71" w:rsidRDefault="009405C7" w:rsidP="009405C7">
            <w:pPr>
              <w:pStyle w:val="MDPI31text"/>
              <w:ind w:left="0" w:firstLine="0"/>
              <w:rPr>
                <w:rFonts w:asciiTheme="majorBidi" w:hAnsiTheme="majorBidi" w:cstheme="majorBidi"/>
                <w:color w:val="auto"/>
                <w:sz w:val="24"/>
                <w:szCs w:val="24"/>
              </w:rPr>
            </w:pPr>
            <w:r w:rsidRPr="00235F71">
              <w:rPr>
                <w:rFonts w:asciiTheme="majorBidi" w:hAnsiTheme="majorBidi" w:cstheme="majorBidi"/>
                <w:color w:val="auto"/>
                <w:sz w:val="24"/>
                <w:szCs w:val="24"/>
              </w:rPr>
              <w:t>Outside the prespecified review scope. This hospital-based case–control study evaluates disease severity and laboratory biomarkers (e.g., PCR cycle threshold values, CRP, WBC counts, symptom burden) among vaccinated and unvaccinated patients infected with Delta or early Omicron variants, but does not estimate vaccine effectiveness against severe clinical outcomes (hospitali</w:t>
            </w:r>
            <w:r w:rsidR="001B2851" w:rsidRPr="00235F71">
              <w:rPr>
                <w:rFonts w:asciiTheme="majorBidi" w:hAnsiTheme="majorBidi" w:cstheme="majorBidi"/>
                <w:color w:val="auto"/>
                <w:sz w:val="24"/>
                <w:szCs w:val="24"/>
              </w:rPr>
              <w:t>z</w:t>
            </w:r>
            <w:r w:rsidRPr="00235F71">
              <w:rPr>
                <w:rFonts w:asciiTheme="majorBidi" w:hAnsiTheme="majorBidi" w:cstheme="majorBidi"/>
                <w:color w:val="auto"/>
                <w:sz w:val="24"/>
                <w:szCs w:val="24"/>
              </w:rPr>
              <w:t>ation, ICU admission, or death) using standard VE effect measures suitable for synthesis in this review.</w:t>
            </w:r>
          </w:p>
        </w:tc>
      </w:tr>
      <w:tr w:rsidR="009405C7" w14:paraId="7B3DE4FF" w14:textId="77777777" w:rsidTr="00B20255">
        <w:tc>
          <w:tcPr>
            <w:tcW w:w="5403" w:type="dxa"/>
          </w:tcPr>
          <w:p w14:paraId="73650DFF" w14:textId="36FC96E7" w:rsidR="009405C7" w:rsidRPr="003F331A" w:rsidRDefault="003F331A" w:rsidP="009405C7">
            <w:pPr>
              <w:pStyle w:val="MDPI31text"/>
              <w:ind w:left="0" w:firstLine="0"/>
              <w:rPr>
                <w:rFonts w:asciiTheme="majorBidi" w:hAnsiTheme="majorBidi" w:cstheme="majorBidi"/>
                <w:color w:val="auto"/>
                <w:sz w:val="24"/>
                <w:szCs w:val="24"/>
              </w:rPr>
            </w:pPr>
            <w:proofErr w:type="spellStart"/>
            <w:r w:rsidRPr="003F331A">
              <w:rPr>
                <w:rFonts w:asciiTheme="majorBidi" w:hAnsiTheme="majorBidi" w:cstheme="majorBidi"/>
                <w:color w:val="auto"/>
                <w:sz w:val="24"/>
                <w:szCs w:val="24"/>
              </w:rPr>
              <w:lastRenderedPageBreak/>
              <w:t>Altarawneh</w:t>
            </w:r>
            <w:proofErr w:type="spellEnd"/>
            <w:r w:rsidRPr="003F331A">
              <w:rPr>
                <w:rFonts w:asciiTheme="majorBidi" w:hAnsiTheme="majorBidi" w:cstheme="majorBidi"/>
                <w:color w:val="auto"/>
                <w:sz w:val="24"/>
                <w:szCs w:val="24"/>
              </w:rPr>
              <w:t xml:space="preserve"> HN, </w:t>
            </w:r>
            <w:proofErr w:type="spellStart"/>
            <w:r w:rsidRPr="003F331A">
              <w:rPr>
                <w:rFonts w:asciiTheme="majorBidi" w:hAnsiTheme="majorBidi" w:cstheme="majorBidi"/>
                <w:color w:val="auto"/>
                <w:sz w:val="24"/>
                <w:szCs w:val="24"/>
              </w:rPr>
              <w:t>Chemaitelly</w:t>
            </w:r>
            <w:proofErr w:type="spellEnd"/>
            <w:r w:rsidRPr="003F331A">
              <w:rPr>
                <w:rFonts w:asciiTheme="majorBidi" w:hAnsiTheme="majorBidi" w:cstheme="majorBidi"/>
                <w:color w:val="auto"/>
                <w:sz w:val="24"/>
                <w:szCs w:val="24"/>
              </w:rPr>
              <w:t xml:space="preserve"> H, Ayoub HH, et al. Effects of previous infection and vaccination on symptomatic Omicron infections. N Engl J Med. 2022;387(1):21–34. https://doi.org/10.1056/NEJMoa2203965</w:t>
            </w:r>
          </w:p>
        </w:tc>
        <w:tc>
          <w:tcPr>
            <w:tcW w:w="5938" w:type="dxa"/>
          </w:tcPr>
          <w:p w14:paraId="06D6D88A" w14:textId="77777777" w:rsidR="009405C7" w:rsidRPr="003F331A" w:rsidRDefault="009405C7" w:rsidP="009405C7">
            <w:pPr>
              <w:pStyle w:val="MDPI31text"/>
              <w:ind w:left="0" w:firstLine="0"/>
              <w:rPr>
                <w:rFonts w:asciiTheme="majorBidi" w:hAnsiTheme="majorBidi" w:cstheme="majorBidi"/>
                <w:color w:val="auto"/>
                <w:sz w:val="24"/>
                <w:szCs w:val="24"/>
              </w:rPr>
            </w:pPr>
            <w:r w:rsidRPr="003F331A">
              <w:rPr>
                <w:rFonts w:asciiTheme="majorBidi" w:hAnsiTheme="majorBidi" w:cstheme="majorBidi"/>
                <w:color w:val="auto"/>
                <w:sz w:val="24"/>
                <w:szCs w:val="24"/>
              </w:rPr>
              <w:t>Outside the prespecified review scope. This national test-negative case–control study primarily evaluates protection against symptomatic SARS-CoV-2 infection and hybrid immunity during the early Omicron (BA.1/BA.2) period, with severe outcomes assessed only as secondary endpoints and limited event counts. The study does not address later Omicron subvariants (e.g., BA.5, XBB, JN.1) or provide variant-adapted vaccine effectiveness estimates aligned with the severe-outcome–focused framework of this review.</w:t>
            </w:r>
          </w:p>
        </w:tc>
      </w:tr>
      <w:tr w:rsidR="009405C7" w14:paraId="314DBA36" w14:textId="77777777" w:rsidTr="00B20255">
        <w:tc>
          <w:tcPr>
            <w:tcW w:w="5403" w:type="dxa"/>
          </w:tcPr>
          <w:p w14:paraId="1086F3B0" w14:textId="463015A5" w:rsidR="009405C7" w:rsidRPr="00D85D79" w:rsidRDefault="00D85D79" w:rsidP="009405C7">
            <w:pPr>
              <w:pStyle w:val="MDPI31text"/>
              <w:ind w:left="0" w:firstLine="0"/>
              <w:rPr>
                <w:rFonts w:asciiTheme="majorBidi" w:hAnsiTheme="majorBidi" w:cstheme="majorBidi"/>
                <w:color w:val="auto"/>
                <w:sz w:val="24"/>
                <w:szCs w:val="24"/>
              </w:rPr>
            </w:pPr>
            <w:proofErr w:type="spellStart"/>
            <w:r w:rsidRPr="00D85D79">
              <w:rPr>
                <w:rFonts w:asciiTheme="majorBidi" w:hAnsiTheme="majorBidi" w:cstheme="majorBidi"/>
                <w:color w:val="auto"/>
                <w:sz w:val="24"/>
                <w:szCs w:val="24"/>
                <w:lang w:val="nb-NO"/>
              </w:rPr>
              <w:t>Alves</w:t>
            </w:r>
            <w:proofErr w:type="spellEnd"/>
            <w:r w:rsidRPr="00D85D79">
              <w:rPr>
                <w:rFonts w:asciiTheme="majorBidi" w:hAnsiTheme="majorBidi" w:cstheme="majorBidi"/>
                <w:color w:val="auto"/>
                <w:sz w:val="24"/>
                <w:szCs w:val="24"/>
                <w:lang w:val="nb-NO"/>
              </w:rPr>
              <w:t xml:space="preserve"> K, </w:t>
            </w:r>
            <w:proofErr w:type="spellStart"/>
            <w:r w:rsidRPr="00D85D79">
              <w:rPr>
                <w:rFonts w:asciiTheme="majorBidi" w:hAnsiTheme="majorBidi" w:cstheme="majorBidi"/>
                <w:color w:val="auto"/>
                <w:sz w:val="24"/>
                <w:szCs w:val="24"/>
                <w:lang w:val="nb-NO"/>
              </w:rPr>
              <w:t>Kotloff</w:t>
            </w:r>
            <w:proofErr w:type="spellEnd"/>
            <w:r w:rsidRPr="00D85D79">
              <w:rPr>
                <w:rFonts w:asciiTheme="majorBidi" w:hAnsiTheme="majorBidi" w:cstheme="majorBidi"/>
                <w:color w:val="auto"/>
                <w:sz w:val="24"/>
                <w:szCs w:val="24"/>
                <w:lang w:val="nb-NO"/>
              </w:rPr>
              <w:t xml:space="preserve"> K, </w:t>
            </w:r>
            <w:proofErr w:type="spellStart"/>
            <w:r w:rsidRPr="00D85D79">
              <w:rPr>
                <w:rFonts w:asciiTheme="majorBidi" w:hAnsiTheme="majorBidi" w:cstheme="majorBidi"/>
                <w:color w:val="auto"/>
                <w:sz w:val="24"/>
                <w:szCs w:val="24"/>
                <w:lang w:val="nb-NO"/>
              </w:rPr>
              <w:t>McClelland</w:t>
            </w:r>
            <w:proofErr w:type="spellEnd"/>
            <w:r w:rsidRPr="00D85D79">
              <w:rPr>
                <w:rFonts w:asciiTheme="majorBidi" w:hAnsiTheme="majorBidi" w:cstheme="majorBidi"/>
                <w:color w:val="auto"/>
                <w:sz w:val="24"/>
                <w:szCs w:val="24"/>
                <w:lang w:val="nb-NO"/>
              </w:rPr>
              <w:t xml:space="preserve"> RS, et al. </w:t>
            </w:r>
            <w:r w:rsidRPr="00D85D79">
              <w:rPr>
                <w:rFonts w:asciiTheme="majorBidi" w:hAnsiTheme="majorBidi" w:cstheme="majorBidi"/>
                <w:color w:val="auto"/>
                <w:sz w:val="24"/>
                <w:szCs w:val="24"/>
                <w:lang w:val="en-AU"/>
              </w:rPr>
              <w:t xml:space="preserve">Immunogenicity and safety of a monovalent omicron XBB.1.5 SARS-CoV-2 recombinant spike protein vaccine as a heterologous booster dose in US adults: interim analysis of a single-arm phase 2/3 study. </w:t>
            </w:r>
            <w:proofErr w:type="spellStart"/>
            <w:r w:rsidRPr="00D85D79">
              <w:rPr>
                <w:rFonts w:asciiTheme="majorBidi" w:hAnsiTheme="majorBidi" w:cstheme="majorBidi"/>
                <w:color w:val="auto"/>
                <w:sz w:val="24"/>
                <w:szCs w:val="24"/>
                <w:lang w:val="nb-NO"/>
              </w:rPr>
              <w:t>Lancet</w:t>
            </w:r>
            <w:proofErr w:type="spellEnd"/>
            <w:r w:rsidRPr="00D85D79">
              <w:rPr>
                <w:rFonts w:asciiTheme="majorBidi" w:hAnsiTheme="majorBidi" w:cstheme="majorBidi"/>
                <w:color w:val="auto"/>
                <w:sz w:val="24"/>
                <w:szCs w:val="24"/>
                <w:lang w:val="nb-NO"/>
              </w:rPr>
              <w:t xml:space="preserve"> </w:t>
            </w:r>
            <w:proofErr w:type="spellStart"/>
            <w:r w:rsidRPr="00D85D79">
              <w:rPr>
                <w:rFonts w:asciiTheme="majorBidi" w:hAnsiTheme="majorBidi" w:cstheme="majorBidi"/>
                <w:color w:val="auto"/>
                <w:sz w:val="24"/>
                <w:szCs w:val="24"/>
                <w:lang w:val="nb-NO"/>
              </w:rPr>
              <w:t>Infect</w:t>
            </w:r>
            <w:proofErr w:type="spellEnd"/>
            <w:r w:rsidRPr="00D85D79">
              <w:rPr>
                <w:rFonts w:asciiTheme="majorBidi" w:hAnsiTheme="majorBidi" w:cstheme="majorBidi"/>
                <w:color w:val="auto"/>
                <w:sz w:val="24"/>
                <w:szCs w:val="24"/>
                <w:lang w:val="nb-NO"/>
              </w:rPr>
              <w:t xml:space="preserve"> Dis. 2025;25(5):585–594. https://doi.org/10.1016/S1473-3099(24)00670-4</w:t>
            </w:r>
          </w:p>
        </w:tc>
        <w:tc>
          <w:tcPr>
            <w:tcW w:w="5938" w:type="dxa"/>
          </w:tcPr>
          <w:p w14:paraId="243F73E4" w14:textId="240575C7" w:rsidR="009405C7" w:rsidRPr="00D85D79" w:rsidRDefault="009405C7" w:rsidP="009405C7">
            <w:pPr>
              <w:pStyle w:val="MDPI31text"/>
              <w:ind w:left="0" w:firstLine="0"/>
              <w:rPr>
                <w:rFonts w:asciiTheme="majorBidi" w:hAnsiTheme="majorBidi" w:cstheme="majorBidi"/>
                <w:color w:val="auto"/>
                <w:sz w:val="24"/>
                <w:szCs w:val="24"/>
              </w:rPr>
            </w:pPr>
            <w:r w:rsidRPr="00D85D79">
              <w:rPr>
                <w:rFonts w:asciiTheme="majorBidi" w:hAnsiTheme="majorBidi" w:cstheme="majorBidi"/>
                <w:color w:val="auto"/>
                <w:sz w:val="24"/>
                <w:szCs w:val="24"/>
              </w:rPr>
              <w:t xml:space="preserve">Outside the prespecified review scope. This phase 2/3 clinical trial evaluates immunogenicity and safety of a monovalent XBB.1.5 SARS-CoV-2 recombinant spike protein vaccine, reporting </w:t>
            </w:r>
            <w:r w:rsidR="006B6983" w:rsidRPr="00D85D79">
              <w:rPr>
                <w:rFonts w:asciiTheme="majorBidi" w:hAnsiTheme="majorBidi" w:cstheme="majorBidi"/>
                <w:color w:val="auto"/>
                <w:sz w:val="24"/>
                <w:szCs w:val="24"/>
              </w:rPr>
              <w:t>neutralizing</w:t>
            </w:r>
            <w:r w:rsidRPr="00D85D79">
              <w:rPr>
                <w:rFonts w:asciiTheme="majorBidi" w:hAnsiTheme="majorBidi" w:cstheme="majorBidi"/>
                <w:color w:val="auto"/>
                <w:sz w:val="24"/>
                <w:szCs w:val="24"/>
              </w:rPr>
              <w:t xml:space="preserve"> antibody and </w:t>
            </w:r>
            <w:proofErr w:type="spellStart"/>
            <w:r w:rsidRPr="00D85D79">
              <w:rPr>
                <w:rFonts w:asciiTheme="majorBidi" w:hAnsiTheme="majorBidi" w:cstheme="majorBidi"/>
                <w:color w:val="auto"/>
                <w:sz w:val="24"/>
                <w:szCs w:val="24"/>
              </w:rPr>
              <w:t>seroresponse</w:t>
            </w:r>
            <w:proofErr w:type="spellEnd"/>
            <w:r w:rsidRPr="00D85D79">
              <w:rPr>
                <w:rFonts w:asciiTheme="majorBidi" w:hAnsiTheme="majorBidi" w:cstheme="majorBidi"/>
                <w:color w:val="auto"/>
                <w:sz w:val="24"/>
                <w:szCs w:val="24"/>
              </w:rPr>
              <w:t xml:space="preserve"> outcomes only, without estimating vaccine effectiveness against clinical outcomes (e.g., hospitali</w:t>
            </w:r>
            <w:r w:rsidR="001B2851" w:rsidRPr="00D85D79">
              <w:rPr>
                <w:rFonts w:asciiTheme="majorBidi" w:hAnsiTheme="majorBidi" w:cstheme="majorBidi"/>
                <w:color w:val="auto"/>
                <w:sz w:val="24"/>
                <w:szCs w:val="24"/>
              </w:rPr>
              <w:t>z</w:t>
            </w:r>
            <w:r w:rsidRPr="00D85D79">
              <w:rPr>
                <w:rFonts w:asciiTheme="majorBidi" w:hAnsiTheme="majorBidi" w:cstheme="majorBidi"/>
                <w:color w:val="auto"/>
                <w:sz w:val="24"/>
                <w:szCs w:val="24"/>
              </w:rPr>
              <w:t>ation, ICU admission, or death) suitable for synthesis in this review.</w:t>
            </w:r>
          </w:p>
        </w:tc>
      </w:tr>
      <w:tr w:rsidR="009405C7" w14:paraId="754BCEB1" w14:textId="77777777" w:rsidTr="00B20255">
        <w:tc>
          <w:tcPr>
            <w:tcW w:w="5403" w:type="dxa"/>
          </w:tcPr>
          <w:p w14:paraId="0DED6EEE" w14:textId="1F5804BB" w:rsidR="009405C7" w:rsidRPr="005A2D03" w:rsidRDefault="005A2D03" w:rsidP="009405C7">
            <w:pPr>
              <w:pStyle w:val="MDPI31text"/>
              <w:ind w:left="0" w:firstLine="0"/>
              <w:rPr>
                <w:rFonts w:asciiTheme="majorBidi" w:hAnsiTheme="majorBidi" w:cstheme="majorBidi"/>
                <w:color w:val="auto"/>
                <w:sz w:val="24"/>
                <w:szCs w:val="24"/>
              </w:rPr>
            </w:pPr>
            <w:r w:rsidRPr="005A2D03">
              <w:rPr>
                <w:rFonts w:asciiTheme="majorBidi" w:hAnsiTheme="majorBidi" w:cstheme="majorBidi"/>
                <w:color w:val="auto"/>
                <w:sz w:val="24"/>
                <w:szCs w:val="24"/>
                <w:lang w:val="en-AU"/>
              </w:rPr>
              <w:t xml:space="preserve">Andersen KM, McColgan MD, Mateus JS, Yu T, Zhou A, </w:t>
            </w:r>
            <w:proofErr w:type="spellStart"/>
            <w:r w:rsidRPr="005A2D03">
              <w:rPr>
                <w:rFonts w:asciiTheme="majorBidi" w:hAnsiTheme="majorBidi" w:cstheme="majorBidi"/>
                <w:color w:val="auto"/>
                <w:sz w:val="24"/>
                <w:szCs w:val="24"/>
                <w:lang w:val="en-AU"/>
              </w:rPr>
              <w:t>Puzniak</w:t>
            </w:r>
            <w:proofErr w:type="spellEnd"/>
            <w:r w:rsidRPr="005A2D03">
              <w:rPr>
                <w:rFonts w:asciiTheme="majorBidi" w:hAnsiTheme="majorBidi" w:cstheme="majorBidi"/>
                <w:color w:val="auto"/>
                <w:sz w:val="24"/>
                <w:szCs w:val="24"/>
                <w:lang w:val="en-AU"/>
              </w:rPr>
              <w:t xml:space="preserve"> L, et al. BNT162b2 XBB.1.5-adapted single-dose vaccine uptake and effectiveness in children aged 5–17 years using linked claims and vaccine registries in California and Louisiana. </w:t>
            </w:r>
            <w:r w:rsidRPr="004F6C90">
              <w:rPr>
                <w:rFonts w:asciiTheme="majorBidi" w:hAnsiTheme="majorBidi" w:cstheme="majorBidi"/>
                <w:color w:val="auto"/>
                <w:sz w:val="24"/>
                <w:szCs w:val="24"/>
                <w:lang w:val="en-AU"/>
              </w:rPr>
              <w:t>J Pediatr. 2025;286:114778. https://doi.org/10.1016/j.jpeds.2025.114778</w:t>
            </w:r>
          </w:p>
        </w:tc>
        <w:tc>
          <w:tcPr>
            <w:tcW w:w="5938" w:type="dxa"/>
          </w:tcPr>
          <w:p w14:paraId="68C5549C" w14:textId="38A5324E" w:rsidR="009405C7" w:rsidRPr="005A2D03" w:rsidRDefault="009405C7" w:rsidP="009405C7">
            <w:pPr>
              <w:pStyle w:val="MDPI31text"/>
              <w:ind w:left="0" w:firstLine="0"/>
              <w:rPr>
                <w:rFonts w:asciiTheme="majorBidi" w:hAnsiTheme="majorBidi" w:cstheme="majorBidi"/>
                <w:color w:val="auto"/>
                <w:sz w:val="24"/>
                <w:szCs w:val="24"/>
              </w:rPr>
            </w:pPr>
            <w:r w:rsidRPr="005A2D03">
              <w:rPr>
                <w:rFonts w:asciiTheme="majorBidi" w:hAnsiTheme="majorBidi" w:cstheme="majorBidi"/>
                <w:color w:val="auto"/>
                <w:sz w:val="24"/>
                <w:szCs w:val="24"/>
              </w:rPr>
              <w:t>Outside the prespecified review scope. This retrospective cohort study evaluates vaccine effectiveness of the BNT162b2 XBB.1.5-adapted vaccine in children and adolescents aged 5–17 years, with outcomes primarily reflecting emergency department or urgent care encounters and very few hospitali</w:t>
            </w:r>
            <w:r w:rsidR="001B2851" w:rsidRPr="005A2D03">
              <w:rPr>
                <w:rFonts w:asciiTheme="majorBidi" w:hAnsiTheme="majorBidi" w:cstheme="majorBidi"/>
                <w:color w:val="auto"/>
                <w:sz w:val="24"/>
                <w:szCs w:val="24"/>
              </w:rPr>
              <w:t>z</w:t>
            </w:r>
            <w:r w:rsidRPr="005A2D03">
              <w:rPr>
                <w:rFonts w:asciiTheme="majorBidi" w:hAnsiTheme="majorBidi" w:cstheme="majorBidi"/>
                <w:color w:val="auto"/>
                <w:sz w:val="24"/>
                <w:szCs w:val="24"/>
              </w:rPr>
              <w:t>ation events. The paediatric/adolescent population falls outside the adult population focus of this review.</w:t>
            </w:r>
          </w:p>
        </w:tc>
      </w:tr>
      <w:tr w:rsidR="009405C7" w14:paraId="3FE0B7C6" w14:textId="77777777" w:rsidTr="00B20255">
        <w:tc>
          <w:tcPr>
            <w:tcW w:w="5403" w:type="dxa"/>
          </w:tcPr>
          <w:p w14:paraId="78455D53" w14:textId="51B0817F" w:rsidR="009405C7" w:rsidRPr="00FF4655" w:rsidRDefault="00FF4655" w:rsidP="009405C7">
            <w:pPr>
              <w:pStyle w:val="MDPI31text"/>
              <w:ind w:left="0" w:firstLine="0"/>
              <w:rPr>
                <w:rFonts w:asciiTheme="majorBidi" w:hAnsiTheme="majorBidi" w:cstheme="majorBidi"/>
                <w:color w:val="auto"/>
                <w:sz w:val="24"/>
                <w:szCs w:val="24"/>
              </w:rPr>
            </w:pPr>
            <w:r w:rsidRPr="00FF4655">
              <w:rPr>
                <w:rFonts w:asciiTheme="majorBidi" w:hAnsiTheme="majorBidi" w:cstheme="majorBidi"/>
                <w:color w:val="auto"/>
                <w:sz w:val="24"/>
                <w:szCs w:val="24"/>
                <w:lang w:val="nb-NO"/>
              </w:rPr>
              <w:t xml:space="preserve">Andersson NW, </w:t>
            </w:r>
            <w:proofErr w:type="spellStart"/>
            <w:r w:rsidRPr="00FF4655">
              <w:rPr>
                <w:rFonts w:asciiTheme="majorBidi" w:hAnsiTheme="majorBidi" w:cstheme="majorBidi"/>
                <w:color w:val="auto"/>
                <w:sz w:val="24"/>
                <w:szCs w:val="24"/>
                <w:lang w:val="nb-NO"/>
              </w:rPr>
              <w:t>Thiesson</w:t>
            </w:r>
            <w:proofErr w:type="spellEnd"/>
            <w:r w:rsidRPr="00FF4655">
              <w:rPr>
                <w:rFonts w:asciiTheme="majorBidi" w:hAnsiTheme="majorBidi" w:cstheme="majorBidi"/>
                <w:color w:val="auto"/>
                <w:sz w:val="24"/>
                <w:szCs w:val="24"/>
                <w:lang w:val="nb-NO"/>
              </w:rPr>
              <w:t xml:space="preserve"> EM, </w:t>
            </w:r>
            <w:proofErr w:type="spellStart"/>
            <w:r w:rsidRPr="00FF4655">
              <w:rPr>
                <w:rFonts w:asciiTheme="majorBidi" w:hAnsiTheme="majorBidi" w:cstheme="majorBidi"/>
                <w:color w:val="auto"/>
                <w:sz w:val="24"/>
                <w:szCs w:val="24"/>
                <w:lang w:val="nb-NO"/>
              </w:rPr>
              <w:t>Baum</w:t>
            </w:r>
            <w:proofErr w:type="spellEnd"/>
            <w:r w:rsidRPr="00FF4655">
              <w:rPr>
                <w:rFonts w:asciiTheme="majorBidi" w:hAnsiTheme="majorBidi" w:cstheme="majorBidi"/>
                <w:color w:val="auto"/>
                <w:sz w:val="24"/>
                <w:szCs w:val="24"/>
                <w:lang w:val="nb-NO"/>
              </w:rPr>
              <w:t xml:space="preserve"> U, </w:t>
            </w:r>
            <w:proofErr w:type="spellStart"/>
            <w:r w:rsidRPr="00FF4655">
              <w:rPr>
                <w:rFonts w:asciiTheme="majorBidi" w:hAnsiTheme="majorBidi" w:cstheme="majorBidi"/>
                <w:color w:val="auto"/>
                <w:sz w:val="24"/>
                <w:szCs w:val="24"/>
                <w:lang w:val="nb-NO"/>
              </w:rPr>
              <w:t>Pihlström</w:t>
            </w:r>
            <w:proofErr w:type="spellEnd"/>
            <w:r w:rsidRPr="00FF4655">
              <w:rPr>
                <w:rFonts w:asciiTheme="majorBidi" w:hAnsiTheme="majorBidi" w:cstheme="majorBidi"/>
                <w:color w:val="auto"/>
                <w:sz w:val="24"/>
                <w:szCs w:val="24"/>
                <w:lang w:val="nb-NO"/>
              </w:rPr>
              <w:t xml:space="preserve"> N, Starrfelt J, </w:t>
            </w:r>
            <w:proofErr w:type="spellStart"/>
            <w:r w:rsidRPr="00FF4655">
              <w:rPr>
                <w:rFonts w:asciiTheme="majorBidi" w:hAnsiTheme="majorBidi" w:cstheme="majorBidi"/>
                <w:color w:val="auto"/>
                <w:sz w:val="24"/>
                <w:szCs w:val="24"/>
                <w:lang w:val="nb-NO"/>
              </w:rPr>
              <w:t>Faksová</w:t>
            </w:r>
            <w:proofErr w:type="spellEnd"/>
            <w:r w:rsidRPr="00FF4655">
              <w:rPr>
                <w:rFonts w:asciiTheme="majorBidi" w:hAnsiTheme="majorBidi" w:cstheme="majorBidi"/>
                <w:color w:val="auto"/>
                <w:sz w:val="24"/>
                <w:szCs w:val="24"/>
                <w:lang w:val="nb-NO"/>
              </w:rPr>
              <w:t xml:space="preserve"> K, et al. </w:t>
            </w:r>
            <w:r w:rsidRPr="00FF4655">
              <w:rPr>
                <w:rFonts w:asciiTheme="majorBidi" w:hAnsiTheme="majorBidi" w:cstheme="majorBidi"/>
                <w:color w:val="auto"/>
                <w:sz w:val="24"/>
                <w:szCs w:val="24"/>
              </w:rPr>
              <w:t>Comparative effectiveness of heterologous third dose vaccine schedules against severe COVID-19 during Omicron predominance in Nordic countries: population based cohort analyses. BMJ. 2023;382:e074325. https://doi.org/10.1136/bmj-2022-074325</w:t>
            </w:r>
          </w:p>
        </w:tc>
        <w:tc>
          <w:tcPr>
            <w:tcW w:w="5938" w:type="dxa"/>
          </w:tcPr>
          <w:p w14:paraId="181A3144" w14:textId="77777777" w:rsidR="009405C7" w:rsidRPr="00FF4655" w:rsidRDefault="009405C7" w:rsidP="009405C7">
            <w:pPr>
              <w:pStyle w:val="MDPI31text"/>
              <w:ind w:left="0" w:firstLine="0"/>
              <w:rPr>
                <w:rFonts w:asciiTheme="majorBidi" w:hAnsiTheme="majorBidi" w:cstheme="majorBidi"/>
                <w:color w:val="auto"/>
                <w:sz w:val="24"/>
                <w:szCs w:val="24"/>
              </w:rPr>
            </w:pPr>
            <w:r w:rsidRPr="00FF4655">
              <w:rPr>
                <w:rFonts w:asciiTheme="majorBidi" w:hAnsiTheme="majorBidi" w:cstheme="majorBidi"/>
                <w:color w:val="auto"/>
                <w:sz w:val="24"/>
                <w:szCs w:val="24"/>
              </w:rPr>
              <w:t>Outside the prespecified review scope. This population-based cohort study evaluates the comparative effectiveness of heterologous versus homologous booster schedules using ancestral (wild-type) vaccine formulations during an early Omicron (BA.1/BA.2-dominant) period, with booster administration largely in late 2021–early 2022. The study does not address later Omicron subvariants (e.g., BA.5, XBB, JN.1) or variant-adapted vaccines that are the focus of this review.</w:t>
            </w:r>
          </w:p>
        </w:tc>
      </w:tr>
      <w:tr w:rsidR="009405C7" w14:paraId="73223357" w14:textId="77777777" w:rsidTr="00B20255">
        <w:tc>
          <w:tcPr>
            <w:tcW w:w="5403" w:type="dxa"/>
          </w:tcPr>
          <w:p w14:paraId="2AF6F801" w14:textId="34C643B3" w:rsidR="009405C7" w:rsidRPr="009371EC" w:rsidRDefault="009371EC" w:rsidP="009405C7">
            <w:pPr>
              <w:pStyle w:val="MDPI31text"/>
              <w:ind w:left="0" w:firstLine="0"/>
              <w:rPr>
                <w:rFonts w:asciiTheme="majorBidi" w:hAnsiTheme="majorBidi" w:cstheme="majorBidi"/>
                <w:color w:val="auto"/>
                <w:sz w:val="24"/>
                <w:szCs w:val="24"/>
                <w:lang w:val="en-AU"/>
              </w:rPr>
            </w:pPr>
            <w:r w:rsidRPr="009371EC">
              <w:rPr>
                <w:rFonts w:asciiTheme="majorBidi" w:hAnsiTheme="majorBidi" w:cstheme="majorBidi"/>
                <w:color w:val="auto"/>
                <w:sz w:val="24"/>
                <w:szCs w:val="24"/>
                <w:lang w:val="en-AU"/>
              </w:rPr>
              <w:t xml:space="preserve">Andrews N, Stowe J, Kirsebom F, </w:t>
            </w:r>
            <w:proofErr w:type="spellStart"/>
            <w:r w:rsidRPr="009371EC">
              <w:rPr>
                <w:rFonts w:asciiTheme="majorBidi" w:hAnsiTheme="majorBidi" w:cstheme="majorBidi"/>
                <w:color w:val="auto"/>
                <w:sz w:val="24"/>
                <w:szCs w:val="24"/>
                <w:lang w:val="en-AU"/>
              </w:rPr>
              <w:t>Toffa</w:t>
            </w:r>
            <w:proofErr w:type="spellEnd"/>
            <w:r w:rsidRPr="009371EC">
              <w:rPr>
                <w:rFonts w:asciiTheme="majorBidi" w:hAnsiTheme="majorBidi" w:cstheme="majorBidi"/>
                <w:color w:val="auto"/>
                <w:sz w:val="24"/>
                <w:szCs w:val="24"/>
                <w:lang w:val="en-AU"/>
              </w:rPr>
              <w:t xml:space="preserve"> S, </w:t>
            </w:r>
            <w:proofErr w:type="spellStart"/>
            <w:r w:rsidRPr="009371EC">
              <w:rPr>
                <w:rFonts w:asciiTheme="majorBidi" w:hAnsiTheme="majorBidi" w:cstheme="majorBidi"/>
                <w:color w:val="auto"/>
                <w:sz w:val="24"/>
                <w:szCs w:val="24"/>
                <w:lang w:val="en-AU"/>
              </w:rPr>
              <w:t>Rickeard</w:t>
            </w:r>
            <w:proofErr w:type="spellEnd"/>
            <w:r w:rsidRPr="009371EC">
              <w:rPr>
                <w:rFonts w:asciiTheme="majorBidi" w:hAnsiTheme="majorBidi" w:cstheme="majorBidi"/>
                <w:color w:val="auto"/>
                <w:sz w:val="24"/>
                <w:szCs w:val="24"/>
                <w:lang w:val="en-AU"/>
              </w:rPr>
              <w:t xml:space="preserve"> T, Gallagher E, et al. Covid-19 vaccine effectiveness against the Omicron (B.1.1.529) variant. N Engl J Med. 2022;386:1532–1546. https://doi.org/10.1056/NEJMoa2119451</w:t>
            </w:r>
          </w:p>
        </w:tc>
        <w:tc>
          <w:tcPr>
            <w:tcW w:w="5938" w:type="dxa"/>
          </w:tcPr>
          <w:p w14:paraId="5F95065E" w14:textId="77777777" w:rsidR="009405C7" w:rsidRPr="009371EC" w:rsidRDefault="009405C7" w:rsidP="009405C7">
            <w:pPr>
              <w:pStyle w:val="MDPI31text"/>
              <w:ind w:left="0" w:firstLine="0"/>
              <w:rPr>
                <w:rFonts w:asciiTheme="majorBidi" w:hAnsiTheme="majorBidi" w:cstheme="majorBidi"/>
                <w:color w:val="auto"/>
                <w:sz w:val="24"/>
                <w:szCs w:val="24"/>
              </w:rPr>
            </w:pPr>
            <w:r w:rsidRPr="009371EC">
              <w:rPr>
                <w:rFonts w:asciiTheme="majorBidi" w:hAnsiTheme="majorBidi" w:cstheme="majorBidi"/>
                <w:color w:val="auto"/>
                <w:sz w:val="24"/>
                <w:szCs w:val="24"/>
              </w:rPr>
              <w:t>Outside the prespecified review scope. The study evaluates early Omicron (B.1.1.529) during November 2021–January 2022 and does not provide variant-specific estimates for BA.2, BA.5, XBB, JN.1, or KP.3. In addition, the study does not assess updated (bivalent or variant-adapted) vaccines and primarily reports absolute vaccine effectiveness against unvaccinated comparators, limiting comparability with later subvariant-specific and relative effectiveness analyses included in this review.</w:t>
            </w:r>
          </w:p>
        </w:tc>
      </w:tr>
      <w:tr w:rsidR="009405C7" w14:paraId="7CC4A333" w14:textId="77777777" w:rsidTr="00B20255">
        <w:tc>
          <w:tcPr>
            <w:tcW w:w="5403" w:type="dxa"/>
          </w:tcPr>
          <w:p w14:paraId="02187FBA" w14:textId="1A5331A4" w:rsidR="009405C7" w:rsidRPr="009371EC" w:rsidRDefault="009371EC" w:rsidP="009405C7">
            <w:pPr>
              <w:pStyle w:val="MDPI31text"/>
              <w:ind w:left="0" w:firstLine="0"/>
              <w:rPr>
                <w:rFonts w:asciiTheme="majorBidi" w:hAnsiTheme="majorBidi" w:cstheme="majorBidi"/>
                <w:color w:val="auto"/>
                <w:sz w:val="24"/>
                <w:szCs w:val="24"/>
              </w:rPr>
            </w:pPr>
            <w:r w:rsidRPr="009371EC">
              <w:rPr>
                <w:rFonts w:asciiTheme="majorBidi" w:hAnsiTheme="majorBidi" w:cstheme="majorBidi"/>
                <w:color w:val="auto"/>
                <w:sz w:val="24"/>
                <w:szCs w:val="24"/>
                <w:lang w:val="en-AU"/>
              </w:rPr>
              <w:t xml:space="preserve">Antonelli M, Penfold RS, Dos Santos Canas L, </w:t>
            </w:r>
            <w:proofErr w:type="spellStart"/>
            <w:r w:rsidRPr="009371EC">
              <w:rPr>
                <w:rFonts w:asciiTheme="majorBidi" w:hAnsiTheme="majorBidi" w:cstheme="majorBidi"/>
                <w:color w:val="auto"/>
                <w:sz w:val="24"/>
                <w:szCs w:val="24"/>
                <w:lang w:val="en-AU"/>
              </w:rPr>
              <w:t>Sudre</w:t>
            </w:r>
            <w:proofErr w:type="spellEnd"/>
            <w:r w:rsidRPr="009371EC">
              <w:rPr>
                <w:rFonts w:asciiTheme="majorBidi" w:hAnsiTheme="majorBidi" w:cstheme="majorBidi"/>
                <w:color w:val="auto"/>
                <w:sz w:val="24"/>
                <w:szCs w:val="24"/>
                <w:lang w:val="en-AU"/>
              </w:rPr>
              <w:t xml:space="preserve"> CH, </w:t>
            </w:r>
            <w:proofErr w:type="spellStart"/>
            <w:r w:rsidRPr="009371EC">
              <w:rPr>
                <w:rFonts w:asciiTheme="majorBidi" w:hAnsiTheme="majorBidi" w:cstheme="majorBidi"/>
                <w:color w:val="auto"/>
                <w:sz w:val="24"/>
                <w:szCs w:val="24"/>
                <w:lang w:val="en-AU"/>
              </w:rPr>
              <w:t>Rjoob</w:t>
            </w:r>
            <w:proofErr w:type="spellEnd"/>
            <w:r w:rsidRPr="009371EC">
              <w:rPr>
                <w:rFonts w:asciiTheme="majorBidi" w:hAnsiTheme="majorBidi" w:cstheme="majorBidi"/>
                <w:color w:val="auto"/>
                <w:sz w:val="24"/>
                <w:szCs w:val="24"/>
                <w:lang w:val="en-AU"/>
              </w:rPr>
              <w:t xml:space="preserve"> K, Murray B, et al. SARS-CoV-2 infection following booster vaccination: illness and symptom profile in a prospective, observational community-based case-control study. </w:t>
            </w:r>
            <w:r w:rsidRPr="004F6C90">
              <w:rPr>
                <w:rFonts w:asciiTheme="majorBidi" w:hAnsiTheme="majorBidi" w:cstheme="majorBidi"/>
                <w:color w:val="auto"/>
                <w:sz w:val="24"/>
                <w:szCs w:val="24"/>
                <w:lang w:val="en-AU"/>
              </w:rPr>
              <w:t>J Infect. 2023;87(6):506–515. https://doi.org/10.1016/j.jinf.2023.08.009</w:t>
            </w:r>
          </w:p>
        </w:tc>
        <w:tc>
          <w:tcPr>
            <w:tcW w:w="5938" w:type="dxa"/>
          </w:tcPr>
          <w:p w14:paraId="00E8C470" w14:textId="562627DD" w:rsidR="009405C7" w:rsidRPr="009371EC" w:rsidRDefault="009405C7" w:rsidP="009405C7">
            <w:pPr>
              <w:pStyle w:val="MDPI31text"/>
              <w:ind w:left="0" w:firstLine="0"/>
              <w:rPr>
                <w:rFonts w:asciiTheme="majorBidi" w:hAnsiTheme="majorBidi" w:cstheme="majorBidi"/>
                <w:color w:val="auto"/>
                <w:sz w:val="24"/>
                <w:szCs w:val="24"/>
              </w:rPr>
            </w:pPr>
            <w:r w:rsidRPr="009371EC">
              <w:rPr>
                <w:rFonts w:asciiTheme="majorBidi" w:hAnsiTheme="majorBidi" w:cstheme="majorBidi"/>
                <w:color w:val="auto"/>
                <w:sz w:val="24"/>
                <w:szCs w:val="24"/>
              </w:rPr>
              <w:t xml:space="preserve">Outside the prespecified review scope. This prospective case–control study is restricted to individuals with breakthrough SARS-CoV-2 infection and evaluates symptom burden, illness duration, and self-reported severity following booster versus second vaccination. The study does not estimate population-level vaccine effectiveness </w:t>
            </w:r>
            <w:r w:rsidRPr="009371EC">
              <w:rPr>
                <w:rFonts w:asciiTheme="majorBidi" w:hAnsiTheme="majorBidi" w:cstheme="majorBidi"/>
                <w:color w:val="auto"/>
                <w:sz w:val="24"/>
                <w:szCs w:val="24"/>
              </w:rPr>
              <w:lastRenderedPageBreak/>
              <w:t>against severe clinical outcomes (hospitali</w:t>
            </w:r>
            <w:r w:rsidR="001B2851" w:rsidRPr="009371EC">
              <w:rPr>
                <w:rFonts w:asciiTheme="majorBidi" w:hAnsiTheme="majorBidi" w:cstheme="majorBidi"/>
                <w:color w:val="auto"/>
                <w:sz w:val="24"/>
                <w:szCs w:val="24"/>
              </w:rPr>
              <w:t>z</w:t>
            </w:r>
            <w:r w:rsidRPr="009371EC">
              <w:rPr>
                <w:rFonts w:asciiTheme="majorBidi" w:hAnsiTheme="majorBidi" w:cstheme="majorBidi"/>
                <w:color w:val="auto"/>
                <w:sz w:val="24"/>
                <w:szCs w:val="24"/>
              </w:rPr>
              <w:t>ation, ICU admission, or death) using standard VE frameworks and focuses on early Omicron (BA.1-dominant) circulation, which falls outside the severe-outcome–focused Omicron evolutionary framework of this review.</w:t>
            </w:r>
          </w:p>
        </w:tc>
      </w:tr>
      <w:tr w:rsidR="009405C7" w14:paraId="158868D8" w14:textId="77777777" w:rsidTr="00B20255">
        <w:tc>
          <w:tcPr>
            <w:tcW w:w="5403" w:type="dxa"/>
          </w:tcPr>
          <w:p w14:paraId="1EB5DA4D" w14:textId="76E160EF" w:rsidR="009405C7" w:rsidRPr="003E0070" w:rsidRDefault="003E0070" w:rsidP="009405C7">
            <w:pPr>
              <w:pStyle w:val="MDPI31text"/>
              <w:ind w:left="0" w:firstLine="0"/>
              <w:rPr>
                <w:rFonts w:asciiTheme="majorBidi" w:hAnsiTheme="majorBidi" w:cstheme="majorBidi"/>
                <w:color w:val="auto"/>
                <w:sz w:val="24"/>
                <w:szCs w:val="24"/>
              </w:rPr>
            </w:pPr>
            <w:proofErr w:type="spellStart"/>
            <w:r w:rsidRPr="003E0070">
              <w:rPr>
                <w:rFonts w:asciiTheme="majorBidi" w:hAnsiTheme="majorBidi" w:cstheme="majorBidi"/>
                <w:color w:val="auto"/>
                <w:sz w:val="24"/>
                <w:szCs w:val="24"/>
              </w:rPr>
              <w:lastRenderedPageBreak/>
              <w:t>Aoshima</w:t>
            </w:r>
            <w:proofErr w:type="spellEnd"/>
            <w:r w:rsidRPr="003E0070">
              <w:rPr>
                <w:rFonts w:asciiTheme="majorBidi" w:hAnsiTheme="majorBidi" w:cstheme="majorBidi"/>
                <w:color w:val="auto"/>
                <w:sz w:val="24"/>
                <w:szCs w:val="24"/>
              </w:rPr>
              <w:t xml:space="preserve"> M, </w:t>
            </w:r>
            <w:proofErr w:type="spellStart"/>
            <w:r w:rsidRPr="003E0070">
              <w:rPr>
                <w:rFonts w:asciiTheme="majorBidi" w:hAnsiTheme="majorBidi" w:cstheme="majorBidi"/>
                <w:color w:val="auto"/>
                <w:sz w:val="24"/>
                <w:szCs w:val="24"/>
              </w:rPr>
              <w:t>Ohfuji</w:t>
            </w:r>
            <w:proofErr w:type="spellEnd"/>
            <w:r w:rsidRPr="003E0070">
              <w:rPr>
                <w:rFonts w:asciiTheme="majorBidi" w:hAnsiTheme="majorBidi" w:cstheme="majorBidi"/>
                <w:color w:val="auto"/>
                <w:sz w:val="24"/>
                <w:szCs w:val="24"/>
              </w:rPr>
              <w:t xml:space="preserve"> S. Real-world vaccine effectiveness of mRNA vaccines for SARS-CoV-2: a test-negative case-control study in a medium-sized clinic. Hum </w:t>
            </w:r>
            <w:proofErr w:type="spellStart"/>
            <w:r w:rsidRPr="003E0070">
              <w:rPr>
                <w:rFonts w:asciiTheme="majorBidi" w:hAnsiTheme="majorBidi" w:cstheme="majorBidi"/>
                <w:color w:val="auto"/>
                <w:sz w:val="24"/>
                <w:szCs w:val="24"/>
              </w:rPr>
              <w:t>Vaccin</w:t>
            </w:r>
            <w:proofErr w:type="spellEnd"/>
            <w:r w:rsidRPr="003E0070">
              <w:rPr>
                <w:rFonts w:asciiTheme="majorBidi" w:hAnsiTheme="majorBidi" w:cstheme="majorBidi"/>
                <w:color w:val="auto"/>
                <w:sz w:val="24"/>
                <w:szCs w:val="24"/>
              </w:rPr>
              <w:t xml:space="preserve"> </w:t>
            </w:r>
            <w:proofErr w:type="spellStart"/>
            <w:r w:rsidRPr="003E0070">
              <w:rPr>
                <w:rFonts w:asciiTheme="majorBidi" w:hAnsiTheme="majorBidi" w:cstheme="majorBidi"/>
                <w:color w:val="auto"/>
                <w:sz w:val="24"/>
                <w:szCs w:val="24"/>
              </w:rPr>
              <w:t>Immunother</w:t>
            </w:r>
            <w:proofErr w:type="spellEnd"/>
            <w:r w:rsidRPr="003E0070">
              <w:rPr>
                <w:rFonts w:asciiTheme="majorBidi" w:hAnsiTheme="majorBidi" w:cstheme="majorBidi"/>
                <w:color w:val="auto"/>
                <w:sz w:val="24"/>
                <w:szCs w:val="24"/>
              </w:rPr>
              <w:t>. 2022;18(7):2147353. https://doi.org/10.1080/21645515.2022.2147353</w:t>
            </w:r>
          </w:p>
        </w:tc>
        <w:tc>
          <w:tcPr>
            <w:tcW w:w="5938" w:type="dxa"/>
          </w:tcPr>
          <w:p w14:paraId="41848FAB" w14:textId="34B35B8A" w:rsidR="009405C7" w:rsidRPr="003E0070" w:rsidRDefault="009405C7" w:rsidP="009405C7">
            <w:pPr>
              <w:pStyle w:val="MDPI31text"/>
              <w:ind w:left="0" w:firstLine="0"/>
              <w:rPr>
                <w:rFonts w:asciiTheme="majorBidi" w:hAnsiTheme="majorBidi" w:cstheme="majorBidi"/>
                <w:color w:val="auto"/>
                <w:sz w:val="24"/>
                <w:szCs w:val="24"/>
              </w:rPr>
            </w:pPr>
            <w:r w:rsidRPr="003E0070">
              <w:rPr>
                <w:rFonts w:asciiTheme="majorBidi" w:hAnsiTheme="majorBidi" w:cstheme="majorBidi"/>
                <w:color w:val="auto"/>
                <w:sz w:val="24"/>
                <w:szCs w:val="24"/>
              </w:rPr>
              <w:t>Outside the prespecified review scope. This single-centre test-negative case–control study primarily evaluates vaccine effectiveness against symptomatic SARS-CoV-2 infection and uses oxygen saturation–based proxies for disease severity, without reporting population-level effectiveness against severe clinical outcomes (hospitali</w:t>
            </w:r>
            <w:r w:rsidR="001B2851" w:rsidRPr="003E0070">
              <w:rPr>
                <w:rFonts w:asciiTheme="majorBidi" w:hAnsiTheme="majorBidi" w:cstheme="majorBidi"/>
                <w:color w:val="auto"/>
                <w:sz w:val="24"/>
                <w:szCs w:val="24"/>
              </w:rPr>
              <w:t>z</w:t>
            </w:r>
            <w:r w:rsidRPr="003E0070">
              <w:rPr>
                <w:rFonts w:asciiTheme="majorBidi" w:hAnsiTheme="majorBidi" w:cstheme="majorBidi"/>
                <w:color w:val="auto"/>
                <w:sz w:val="24"/>
                <w:szCs w:val="24"/>
              </w:rPr>
              <w:t>ation, ICU admission, or death). In addition, the Omicron analysis corresponds to an early BA.1-dominant period in early 2022 and evaluates ancestral mRNA vaccines, which are not aligned with the later Omicron evolutionary spectrum addressed in this review.</w:t>
            </w:r>
          </w:p>
        </w:tc>
      </w:tr>
      <w:tr w:rsidR="009405C7" w14:paraId="78545140" w14:textId="77777777" w:rsidTr="00B20255">
        <w:tc>
          <w:tcPr>
            <w:tcW w:w="5403" w:type="dxa"/>
          </w:tcPr>
          <w:p w14:paraId="2D2AD227" w14:textId="0C508DFC" w:rsidR="009405C7" w:rsidRPr="00764447" w:rsidRDefault="00764447" w:rsidP="009405C7">
            <w:pPr>
              <w:pStyle w:val="MDPI31text"/>
              <w:ind w:left="0" w:firstLine="0"/>
              <w:rPr>
                <w:rFonts w:asciiTheme="majorBidi" w:hAnsiTheme="majorBidi" w:cstheme="majorBidi"/>
                <w:color w:val="auto"/>
                <w:sz w:val="24"/>
                <w:szCs w:val="24"/>
              </w:rPr>
            </w:pPr>
            <w:r w:rsidRPr="00764447">
              <w:rPr>
                <w:rFonts w:asciiTheme="majorBidi" w:hAnsiTheme="majorBidi" w:cstheme="majorBidi"/>
                <w:color w:val="auto"/>
                <w:sz w:val="24"/>
                <w:szCs w:val="24"/>
                <w:lang w:val="en-GB"/>
              </w:rPr>
              <w:t xml:space="preserve">Arashiro T, Arima Y, Kuramochi J, Muraoka H, Sato A, </w:t>
            </w:r>
            <w:proofErr w:type="spellStart"/>
            <w:r w:rsidRPr="00764447">
              <w:rPr>
                <w:rFonts w:asciiTheme="majorBidi" w:hAnsiTheme="majorBidi" w:cstheme="majorBidi"/>
                <w:color w:val="auto"/>
                <w:sz w:val="24"/>
                <w:szCs w:val="24"/>
                <w:lang w:val="en-GB"/>
              </w:rPr>
              <w:t>Chubachi</w:t>
            </w:r>
            <w:proofErr w:type="spellEnd"/>
            <w:r w:rsidRPr="00764447">
              <w:rPr>
                <w:rFonts w:asciiTheme="majorBidi" w:hAnsiTheme="majorBidi" w:cstheme="majorBidi"/>
                <w:color w:val="auto"/>
                <w:sz w:val="24"/>
                <w:szCs w:val="24"/>
                <w:lang w:val="en-GB"/>
              </w:rPr>
              <w:t xml:space="preserve"> K, et al. </w:t>
            </w:r>
            <w:r w:rsidRPr="00764447">
              <w:rPr>
                <w:rFonts w:asciiTheme="majorBidi" w:hAnsiTheme="majorBidi" w:cstheme="majorBidi"/>
                <w:color w:val="auto"/>
                <w:sz w:val="24"/>
                <w:szCs w:val="24"/>
                <w:lang w:val="en-AU"/>
              </w:rPr>
              <w:t xml:space="preserve">Immune escape and waning immunity of COVID-19 monovalent mRNA vaccines against symptomatic infection with BA.1/BA.2 and BA.5 in Japan. </w:t>
            </w:r>
            <w:r w:rsidRPr="004F6C90">
              <w:rPr>
                <w:rFonts w:asciiTheme="majorBidi" w:hAnsiTheme="majorBidi" w:cstheme="majorBidi"/>
                <w:color w:val="auto"/>
                <w:sz w:val="24"/>
                <w:szCs w:val="24"/>
                <w:lang w:val="en-AU"/>
              </w:rPr>
              <w:t>Vaccine. 2023;41:6969–6979. https://doi.org/10.1016/j.vaccine.2023.10.021</w:t>
            </w:r>
          </w:p>
        </w:tc>
        <w:tc>
          <w:tcPr>
            <w:tcW w:w="5938" w:type="dxa"/>
          </w:tcPr>
          <w:p w14:paraId="5ECCF809" w14:textId="6942E8D7" w:rsidR="009405C7" w:rsidRPr="00764447" w:rsidRDefault="009405C7" w:rsidP="009405C7">
            <w:pPr>
              <w:pStyle w:val="MDPI31text"/>
              <w:ind w:left="0" w:firstLine="0"/>
              <w:rPr>
                <w:rFonts w:asciiTheme="majorBidi" w:hAnsiTheme="majorBidi" w:cstheme="majorBidi"/>
                <w:color w:val="auto"/>
                <w:sz w:val="24"/>
                <w:szCs w:val="24"/>
              </w:rPr>
            </w:pPr>
            <w:r w:rsidRPr="00764447">
              <w:rPr>
                <w:rFonts w:asciiTheme="majorBidi" w:hAnsiTheme="majorBidi" w:cstheme="majorBidi"/>
                <w:color w:val="auto"/>
                <w:sz w:val="24"/>
                <w:szCs w:val="24"/>
              </w:rPr>
              <w:t xml:space="preserve">Outside the prespecified review scope. This </w:t>
            </w:r>
            <w:r w:rsidR="006B6983" w:rsidRPr="00764447">
              <w:rPr>
                <w:rFonts w:asciiTheme="majorBidi" w:hAnsiTheme="majorBidi" w:cstheme="majorBidi"/>
                <w:color w:val="auto"/>
                <w:sz w:val="24"/>
                <w:szCs w:val="24"/>
              </w:rPr>
              <w:t>multicenter</w:t>
            </w:r>
            <w:r w:rsidRPr="00764447">
              <w:rPr>
                <w:rFonts w:asciiTheme="majorBidi" w:hAnsiTheme="majorBidi" w:cstheme="majorBidi"/>
                <w:color w:val="auto"/>
                <w:sz w:val="24"/>
                <w:szCs w:val="24"/>
              </w:rPr>
              <w:t xml:space="preserve"> test-negative case–control study evaluates vaccine effectiveness against symptomatic SARS-CoV-2 infection during BA.1/BA.2- and BA.5-dominant periods in 2022, without assessing severe clinical outcomes (hospitali</w:t>
            </w:r>
            <w:r w:rsidR="001B2851" w:rsidRPr="00764447">
              <w:rPr>
                <w:rFonts w:asciiTheme="majorBidi" w:hAnsiTheme="majorBidi" w:cstheme="majorBidi"/>
                <w:color w:val="auto"/>
                <w:sz w:val="24"/>
                <w:szCs w:val="24"/>
              </w:rPr>
              <w:t>z</w:t>
            </w:r>
            <w:r w:rsidRPr="00764447">
              <w:rPr>
                <w:rFonts w:asciiTheme="majorBidi" w:hAnsiTheme="majorBidi" w:cstheme="majorBidi"/>
                <w:color w:val="auto"/>
                <w:sz w:val="24"/>
                <w:szCs w:val="24"/>
              </w:rPr>
              <w:t>ation, ICU admission, or death). In addition, the study focuses on monovalent ancestral mRNA vaccines and does not address later Omicron subvariants (e.g., XBB, JN.1) relevant to the severe-outcome–focused framework of this review.</w:t>
            </w:r>
          </w:p>
        </w:tc>
      </w:tr>
      <w:tr w:rsidR="009405C7" w14:paraId="510643C6" w14:textId="77777777" w:rsidTr="00B20255">
        <w:tc>
          <w:tcPr>
            <w:tcW w:w="5403" w:type="dxa"/>
          </w:tcPr>
          <w:p w14:paraId="55BDF83D" w14:textId="45AAB2F8" w:rsidR="009405C7" w:rsidRPr="00C8787C" w:rsidRDefault="00C8787C" w:rsidP="009405C7">
            <w:pPr>
              <w:pStyle w:val="MDPI31text"/>
              <w:ind w:left="0" w:firstLine="0"/>
              <w:rPr>
                <w:rFonts w:asciiTheme="majorBidi" w:hAnsiTheme="majorBidi" w:cstheme="majorBidi"/>
                <w:color w:val="auto"/>
                <w:sz w:val="24"/>
                <w:szCs w:val="24"/>
              </w:rPr>
            </w:pPr>
            <w:r w:rsidRPr="00C8787C">
              <w:rPr>
                <w:rFonts w:asciiTheme="majorBidi" w:hAnsiTheme="majorBidi" w:cstheme="majorBidi"/>
                <w:color w:val="auto"/>
                <w:sz w:val="24"/>
                <w:szCs w:val="24"/>
                <w:lang w:val="en-AU"/>
              </w:rPr>
              <w:t xml:space="preserve">Arashiro T, </w:t>
            </w:r>
            <w:proofErr w:type="spellStart"/>
            <w:r w:rsidRPr="00C8787C">
              <w:rPr>
                <w:rFonts w:asciiTheme="majorBidi" w:hAnsiTheme="majorBidi" w:cstheme="majorBidi"/>
                <w:color w:val="auto"/>
                <w:sz w:val="24"/>
                <w:szCs w:val="24"/>
                <w:lang w:val="en-AU"/>
              </w:rPr>
              <w:t>Solante</w:t>
            </w:r>
            <w:proofErr w:type="spellEnd"/>
            <w:r w:rsidRPr="00C8787C">
              <w:rPr>
                <w:rFonts w:asciiTheme="majorBidi" w:hAnsiTheme="majorBidi" w:cstheme="majorBidi"/>
                <w:color w:val="auto"/>
                <w:sz w:val="24"/>
                <w:szCs w:val="24"/>
                <w:lang w:val="en-AU"/>
              </w:rPr>
              <w:t xml:space="preserve"> R, Sayo AR, Garcia RM, Kris M, Suzuki S, et al. Factors associated with COVID-19 in-hospital death and COVID-19 vaccine effectiveness against COVID-19 hospitalization in the Philippines during pre-omicron and omicron period: a case-control study (MOTIVATE-P study). </w:t>
            </w:r>
            <w:r w:rsidRPr="004F6C90">
              <w:rPr>
                <w:rFonts w:asciiTheme="majorBidi" w:hAnsiTheme="majorBidi" w:cstheme="majorBidi"/>
                <w:color w:val="auto"/>
                <w:sz w:val="24"/>
                <w:szCs w:val="24"/>
                <w:lang w:val="en-AU"/>
              </w:rPr>
              <w:t>Epidemiol Infect. 2025;153:e18. https://doi.org/10.1017/S0950268824001845</w:t>
            </w:r>
          </w:p>
        </w:tc>
        <w:tc>
          <w:tcPr>
            <w:tcW w:w="5938" w:type="dxa"/>
          </w:tcPr>
          <w:p w14:paraId="73E91CE4" w14:textId="77777777" w:rsidR="009405C7" w:rsidRPr="00C8787C" w:rsidRDefault="009405C7" w:rsidP="009405C7">
            <w:pPr>
              <w:pStyle w:val="MDPI31text"/>
              <w:ind w:left="0" w:firstLine="0"/>
              <w:rPr>
                <w:rFonts w:asciiTheme="majorBidi" w:hAnsiTheme="majorBidi" w:cstheme="majorBidi"/>
                <w:color w:val="auto"/>
                <w:sz w:val="24"/>
                <w:szCs w:val="24"/>
              </w:rPr>
            </w:pPr>
            <w:r w:rsidRPr="00C8787C">
              <w:rPr>
                <w:rFonts w:asciiTheme="majorBidi" w:hAnsiTheme="majorBidi" w:cstheme="majorBidi"/>
                <w:color w:val="auto"/>
                <w:sz w:val="24"/>
                <w:szCs w:val="24"/>
              </w:rPr>
              <w:t>Outside the prespecified review scope. This hospital-based case-control study primarily evaluates primary-series COVID-19 vaccination, with substantial use of inactivated and viral-vector vaccines and limited, underpowered booster analyses. It does not assess mRNA variant-adapted booster vaccines nor provide Omicron subvariant-specific effectiveness estimates required for inclusion in this review.</w:t>
            </w:r>
          </w:p>
        </w:tc>
      </w:tr>
      <w:tr w:rsidR="009405C7" w14:paraId="07D37E95" w14:textId="77777777" w:rsidTr="00B20255">
        <w:tc>
          <w:tcPr>
            <w:tcW w:w="5403" w:type="dxa"/>
          </w:tcPr>
          <w:p w14:paraId="7862E0F6" w14:textId="6A1F53FF" w:rsidR="009405C7" w:rsidRPr="00360524" w:rsidRDefault="00360524" w:rsidP="009405C7">
            <w:pPr>
              <w:pStyle w:val="MDPI31text"/>
              <w:ind w:left="0" w:firstLine="0"/>
              <w:rPr>
                <w:rFonts w:asciiTheme="majorBidi" w:hAnsiTheme="majorBidi" w:cstheme="majorBidi"/>
                <w:color w:val="auto"/>
                <w:sz w:val="24"/>
                <w:szCs w:val="24"/>
                <w:lang w:val="en-AU"/>
              </w:rPr>
            </w:pPr>
            <w:r w:rsidRPr="00360524">
              <w:rPr>
                <w:rFonts w:asciiTheme="majorBidi" w:hAnsiTheme="majorBidi" w:cstheme="majorBidi"/>
                <w:color w:val="auto"/>
                <w:sz w:val="24"/>
                <w:szCs w:val="24"/>
                <w:lang w:val="en-GB"/>
              </w:rPr>
              <w:t xml:space="preserve">Arashiro T, Arima Y, Kuramochi J, Muraoka H, Sato A, </w:t>
            </w:r>
            <w:proofErr w:type="spellStart"/>
            <w:r w:rsidRPr="00360524">
              <w:rPr>
                <w:rFonts w:asciiTheme="majorBidi" w:hAnsiTheme="majorBidi" w:cstheme="majorBidi"/>
                <w:color w:val="auto"/>
                <w:sz w:val="24"/>
                <w:szCs w:val="24"/>
                <w:lang w:val="en-GB"/>
              </w:rPr>
              <w:t>Chubachi</w:t>
            </w:r>
            <w:proofErr w:type="spellEnd"/>
            <w:r w:rsidRPr="00360524">
              <w:rPr>
                <w:rFonts w:asciiTheme="majorBidi" w:hAnsiTheme="majorBidi" w:cstheme="majorBidi"/>
                <w:color w:val="auto"/>
                <w:sz w:val="24"/>
                <w:szCs w:val="24"/>
                <w:lang w:val="en-GB"/>
              </w:rPr>
              <w:t xml:space="preserve"> K, et al. </w:t>
            </w:r>
            <w:r w:rsidRPr="00360524">
              <w:rPr>
                <w:rFonts w:asciiTheme="majorBidi" w:hAnsiTheme="majorBidi" w:cstheme="majorBidi"/>
                <w:color w:val="auto"/>
                <w:sz w:val="24"/>
                <w:szCs w:val="24"/>
                <w:lang w:val="en-AU"/>
              </w:rPr>
              <w:t>Effectiveness of BA.1- and BA.4/BA.5-containing bivalent COVID-19 mRNA vaccines against symptomatic SARS-CoV-2 infection during the BA.5-dominant period in Japan. Open Forum Infect Dis. 2023;10(6):ofad240. https://doi.org/10.1093/ofid/ofad240</w:t>
            </w:r>
          </w:p>
        </w:tc>
        <w:tc>
          <w:tcPr>
            <w:tcW w:w="5938" w:type="dxa"/>
          </w:tcPr>
          <w:p w14:paraId="045D3C00" w14:textId="52A09F9A" w:rsidR="009405C7" w:rsidRPr="00360524" w:rsidRDefault="009405C7" w:rsidP="009405C7">
            <w:pPr>
              <w:pStyle w:val="MDPI31text"/>
              <w:ind w:left="0" w:firstLine="0"/>
              <w:rPr>
                <w:rFonts w:asciiTheme="majorBidi" w:hAnsiTheme="majorBidi" w:cstheme="majorBidi"/>
                <w:color w:val="auto"/>
                <w:sz w:val="24"/>
                <w:szCs w:val="24"/>
              </w:rPr>
            </w:pPr>
            <w:r w:rsidRPr="00360524">
              <w:rPr>
                <w:rFonts w:asciiTheme="majorBidi" w:hAnsiTheme="majorBidi" w:cstheme="majorBidi"/>
                <w:color w:val="auto"/>
                <w:sz w:val="24"/>
                <w:szCs w:val="24"/>
              </w:rPr>
              <w:t xml:space="preserve">Outside the prespecified review scope. This </w:t>
            </w:r>
            <w:r w:rsidR="006B6983" w:rsidRPr="00360524">
              <w:rPr>
                <w:rFonts w:asciiTheme="majorBidi" w:hAnsiTheme="majorBidi" w:cstheme="majorBidi"/>
                <w:color w:val="auto"/>
                <w:sz w:val="24"/>
                <w:szCs w:val="24"/>
              </w:rPr>
              <w:t>multicenter</w:t>
            </w:r>
            <w:r w:rsidRPr="00360524">
              <w:rPr>
                <w:rFonts w:asciiTheme="majorBidi" w:hAnsiTheme="majorBidi" w:cstheme="majorBidi"/>
                <w:color w:val="auto"/>
                <w:sz w:val="24"/>
                <w:szCs w:val="24"/>
              </w:rPr>
              <w:t xml:space="preserve"> test-negative case-control study evaluates vaccine effectiveness against symptomatic SARS-CoV-2 infection only during a BA.5-dominant period (September–December 2022) and does not assess severe clinical outcomes (hospitali</w:t>
            </w:r>
            <w:r w:rsidR="001B2851" w:rsidRPr="00360524">
              <w:rPr>
                <w:rFonts w:asciiTheme="majorBidi" w:hAnsiTheme="majorBidi" w:cstheme="majorBidi"/>
                <w:color w:val="auto"/>
                <w:sz w:val="24"/>
                <w:szCs w:val="24"/>
              </w:rPr>
              <w:t>z</w:t>
            </w:r>
            <w:r w:rsidRPr="00360524">
              <w:rPr>
                <w:rFonts w:asciiTheme="majorBidi" w:hAnsiTheme="majorBidi" w:cstheme="majorBidi"/>
                <w:color w:val="auto"/>
                <w:sz w:val="24"/>
                <w:szCs w:val="24"/>
              </w:rPr>
              <w:t>ation, ICU admission, or death), which were the primary outcomes of interest in this review. In addition, the study does not include effectiveness estimates for later Omicron subvariants of interest (XBB, JN.1, KP.3) and relies on short-term and incremental comparator frameworks that are not directly comparable with the severe-outcome, variant-evolutionary vaccine-effectiveness framework applied in this review.</w:t>
            </w:r>
          </w:p>
        </w:tc>
      </w:tr>
      <w:tr w:rsidR="009405C7" w14:paraId="5AE0468C" w14:textId="77777777" w:rsidTr="00B20255">
        <w:tc>
          <w:tcPr>
            <w:tcW w:w="5403" w:type="dxa"/>
          </w:tcPr>
          <w:p w14:paraId="57ABBE8B" w14:textId="5DCCF575" w:rsidR="009405C7" w:rsidRPr="00F7484F" w:rsidRDefault="00F7484F" w:rsidP="009405C7">
            <w:pPr>
              <w:pStyle w:val="MDPI31text"/>
              <w:ind w:left="0" w:firstLine="0"/>
              <w:rPr>
                <w:rFonts w:asciiTheme="majorBidi" w:hAnsiTheme="majorBidi" w:cstheme="majorBidi"/>
                <w:color w:val="auto"/>
                <w:sz w:val="24"/>
                <w:szCs w:val="24"/>
              </w:rPr>
            </w:pPr>
            <w:r w:rsidRPr="00F7484F">
              <w:rPr>
                <w:rFonts w:asciiTheme="majorBidi" w:hAnsiTheme="majorBidi" w:cstheme="majorBidi"/>
                <w:color w:val="auto"/>
                <w:sz w:val="24"/>
                <w:szCs w:val="24"/>
              </w:rPr>
              <w:t>Arashiro T, Arima Y, Muraoka H, Sato A, Oba K, Uehara Y, et al. Coronavirus disease 19 (COVID-19) vaccine effectiveness against symptomatic SARS-</w:t>
            </w:r>
            <w:r w:rsidRPr="00F7484F">
              <w:rPr>
                <w:rFonts w:asciiTheme="majorBidi" w:hAnsiTheme="majorBidi" w:cstheme="majorBidi"/>
                <w:color w:val="auto"/>
                <w:sz w:val="24"/>
                <w:szCs w:val="24"/>
              </w:rPr>
              <w:lastRenderedPageBreak/>
              <w:t>CoV-2 infection during Delta-dominant and Omicron-dominant periods in Japan. Clin Infect Dis. 2023;76(3):e108–e115. https://doi.org/10.1093/cid/ciac635</w:t>
            </w:r>
          </w:p>
        </w:tc>
        <w:tc>
          <w:tcPr>
            <w:tcW w:w="5938" w:type="dxa"/>
          </w:tcPr>
          <w:p w14:paraId="72B9BEF9" w14:textId="66163BF6" w:rsidR="009405C7" w:rsidRPr="00F7484F" w:rsidRDefault="009405C7" w:rsidP="009405C7">
            <w:pPr>
              <w:pStyle w:val="MDPI31text"/>
              <w:ind w:left="0" w:firstLine="0"/>
              <w:rPr>
                <w:rFonts w:asciiTheme="majorBidi" w:hAnsiTheme="majorBidi" w:cstheme="majorBidi"/>
                <w:color w:val="auto"/>
                <w:sz w:val="24"/>
                <w:szCs w:val="24"/>
              </w:rPr>
            </w:pPr>
            <w:r w:rsidRPr="00F7484F">
              <w:rPr>
                <w:rFonts w:asciiTheme="majorBidi" w:hAnsiTheme="majorBidi" w:cstheme="majorBidi"/>
                <w:color w:val="auto"/>
                <w:sz w:val="24"/>
                <w:szCs w:val="24"/>
              </w:rPr>
              <w:lastRenderedPageBreak/>
              <w:t xml:space="preserve">Outside the prespecified review scope. This </w:t>
            </w:r>
            <w:r w:rsidR="006B6983" w:rsidRPr="00F7484F">
              <w:rPr>
                <w:rFonts w:asciiTheme="majorBidi" w:hAnsiTheme="majorBidi" w:cstheme="majorBidi"/>
                <w:color w:val="auto"/>
                <w:sz w:val="24"/>
                <w:szCs w:val="24"/>
              </w:rPr>
              <w:t>multicenter</w:t>
            </w:r>
            <w:r w:rsidRPr="00F7484F">
              <w:rPr>
                <w:rFonts w:asciiTheme="majorBidi" w:hAnsiTheme="majorBidi" w:cstheme="majorBidi"/>
                <w:color w:val="auto"/>
                <w:sz w:val="24"/>
                <w:szCs w:val="24"/>
              </w:rPr>
              <w:t xml:space="preserve"> test-negative case-control study evaluates vaccine effectiveness against symptomatic SARS-CoV-2 infection only during </w:t>
            </w:r>
            <w:r w:rsidRPr="00F7484F">
              <w:rPr>
                <w:rFonts w:asciiTheme="majorBidi" w:hAnsiTheme="majorBidi" w:cstheme="majorBidi"/>
                <w:color w:val="auto"/>
                <w:sz w:val="24"/>
                <w:szCs w:val="24"/>
              </w:rPr>
              <w:lastRenderedPageBreak/>
              <w:t>the Delta-dominant and early Omicron (BA.1-dominant) periods (August 2021–March 2022) and does not assess severe clinical outcomes (hospitali</w:t>
            </w:r>
            <w:r w:rsidR="001B2851" w:rsidRPr="00F7484F">
              <w:rPr>
                <w:rFonts w:asciiTheme="majorBidi" w:hAnsiTheme="majorBidi" w:cstheme="majorBidi"/>
                <w:color w:val="auto"/>
                <w:sz w:val="24"/>
                <w:szCs w:val="24"/>
              </w:rPr>
              <w:t>z</w:t>
            </w:r>
            <w:r w:rsidRPr="00F7484F">
              <w:rPr>
                <w:rFonts w:asciiTheme="majorBidi" w:hAnsiTheme="majorBidi" w:cstheme="majorBidi"/>
                <w:color w:val="auto"/>
                <w:sz w:val="24"/>
                <w:szCs w:val="24"/>
              </w:rPr>
              <w:t>ation, ICU admission, or death), which were the primary outcomes of interest in this review. In addition, the study evaluates ancestral (monovalent) mRNA vaccines and early booster dosing only, predating the variant-adapted vaccine era and later Omicron subvariants (BA.5, XBB, JN.1, KP.3) that are the focus of this review.</w:t>
            </w:r>
          </w:p>
        </w:tc>
      </w:tr>
      <w:tr w:rsidR="009405C7" w14:paraId="7476994E" w14:textId="77777777" w:rsidTr="00B20255">
        <w:tc>
          <w:tcPr>
            <w:tcW w:w="5403" w:type="dxa"/>
          </w:tcPr>
          <w:p w14:paraId="68FF5EDF" w14:textId="32D9661D" w:rsidR="009405C7" w:rsidRPr="00D46765" w:rsidRDefault="00D46765" w:rsidP="009405C7">
            <w:pPr>
              <w:pStyle w:val="MDPI31text"/>
              <w:ind w:left="0" w:firstLine="0"/>
              <w:rPr>
                <w:rFonts w:asciiTheme="majorBidi" w:hAnsiTheme="majorBidi" w:cstheme="majorBidi"/>
                <w:color w:val="auto"/>
                <w:sz w:val="24"/>
                <w:szCs w:val="24"/>
              </w:rPr>
            </w:pPr>
            <w:proofErr w:type="spellStart"/>
            <w:r w:rsidRPr="00D46765">
              <w:rPr>
                <w:rFonts w:asciiTheme="majorBidi" w:hAnsiTheme="majorBidi" w:cstheme="majorBidi"/>
                <w:color w:val="auto"/>
                <w:sz w:val="24"/>
                <w:szCs w:val="24"/>
                <w:lang w:val="nb-NO"/>
              </w:rPr>
              <w:lastRenderedPageBreak/>
              <w:t>Arbel</w:t>
            </w:r>
            <w:proofErr w:type="spellEnd"/>
            <w:r w:rsidRPr="00D46765">
              <w:rPr>
                <w:rFonts w:asciiTheme="majorBidi" w:hAnsiTheme="majorBidi" w:cstheme="majorBidi"/>
                <w:color w:val="auto"/>
                <w:sz w:val="24"/>
                <w:szCs w:val="24"/>
                <w:lang w:val="nb-NO"/>
              </w:rPr>
              <w:t xml:space="preserve"> R, </w:t>
            </w:r>
            <w:proofErr w:type="spellStart"/>
            <w:r w:rsidRPr="00D46765">
              <w:rPr>
                <w:rFonts w:asciiTheme="majorBidi" w:hAnsiTheme="majorBidi" w:cstheme="majorBidi"/>
                <w:color w:val="auto"/>
                <w:sz w:val="24"/>
                <w:szCs w:val="24"/>
                <w:lang w:val="nb-NO"/>
              </w:rPr>
              <w:t>Sergienko</w:t>
            </w:r>
            <w:proofErr w:type="spellEnd"/>
            <w:r w:rsidRPr="00D46765">
              <w:rPr>
                <w:rFonts w:asciiTheme="majorBidi" w:hAnsiTheme="majorBidi" w:cstheme="majorBidi"/>
                <w:color w:val="auto"/>
                <w:sz w:val="24"/>
                <w:szCs w:val="24"/>
                <w:lang w:val="nb-NO"/>
              </w:rPr>
              <w:t xml:space="preserve"> R, </w:t>
            </w:r>
            <w:proofErr w:type="spellStart"/>
            <w:r w:rsidRPr="00D46765">
              <w:rPr>
                <w:rFonts w:asciiTheme="majorBidi" w:hAnsiTheme="majorBidi" w:cstheme="majorBidi"/>
                <w:color w:val="auto"/>
                <w:sz w:val="24"/>
                <w:szCs w:val="24"/>
                <w:lang w:val="nb-NO"/>
              </w:rPr>
              <w:t>Friger</w:t>
            </w:r>
            <w:proofErr w:type="spellEnd"/>
            <w:r w:rsidRPr="00D46765">
              <w:rPr>
                <w:rFonts w:asciiTheme="majorBidi" w:hAnsiTheme="majorBidi" w:cstheme="majorBidi"/>
                <w:color w:val="auto"/>
                <w:sz w:val="24"/>
                <w:szCs w:val="24"/>
                <w:lang w:val="nb-NO"/>
              </w:rPr>
              <w:t xml:space="preserve"> M, </w:t>
            </w:r>
            <w:proofErr w:type="spellStart"/>
            <w:r w:rsidRPr="00D46765">
              <w:rPr>
                <w:rFonts w:asciiTheme="majorBidi" w:hAnsiTheme="majorBidi" w:cstheme="majorBidi"/>
                <w:color w:val="auto"/>
                <w:sz w:val="24"/>
                <w:szCs w:val="24"/>
                <w:lang w:val="nb-NO"/>
              </w:rPr>
              <w:t>Peretz</w:t>
            </w:r>
            <w:proofErr w:type="spellEnd"/>
            <w:r w:rsidRPr="00D46765">
              <w:rPr>
                <w:rFonts w:asciiTheme="majorBidi" w:hAnsiTheme="majorBidi" w:cstheme="majorBidi"/>
                <w:color w:val="auto"/>
                <w:sz w:val="24"/>
                <w:szCs w:val="24"/>
                <w:lang w:val="nb-NO"/>
              </w:rPr>
              <w:t xml:space="preserve"> A, </w:t>
            </w:r>
            <w:proofErr w:type="spellStart"/>
            <w:r w:rsidRPr="00D46765">
              <w:rPr>
                <w:rFonts w:asciiTheme="majorBidi" w:hAnsiTheme="majorBidi" w:cstheme="majorBidi"/>
                <w:color w:val="auto"/>
                <w:sz w:val="24"/>
                <w:szCs w:val="24"/>
                <w:lang w:val="nb-NO"/>
              </w:rPr>
              <w:t>Beckenstein</w:t>
            </w:r>
            <w:proofErr w:type="spellEnd"/>
            <w:r w:rsidRPr="00D46765">
              <w:rPr>
                <w:rFonts w:asciiTheme="majorBidi" w:hAnsiTheme="majorBidi" w:cstheme="majorBidi"/>
                <w:color w:val="auto"/>
                <w:sz w:val="24"/>
                <w:szCs w:val="24"/>
                <w:lang w:val="nb-NO"/>
              </w:rPr>
              <w:t xml:space="preserve"> T, </w:t>
            </w:r>
            <w:proofErr w:type="spellStart"/>
            <w:r w:rsidRPr="00D46765">
              <w:rPr>
                <w:rFonts w:asciiTheme="majorBidi" w:hAnsiTheme="majorBidi" w:cstheme="majorBidi"/>
                <w:color w:val="auto"/>
                <w:sz w:val="24"/>
                <w:szCs w:val="24"/>
                <w:lang w:val="nb-NO"/>
              </w:rPr>
              <w:t>Yaron</w:t>
            </w:r>
            <w:proofErr w:type="spellEnd"/>
            <w:r w:rsidRPr="00D46765">
              <w:rPr>
                <w:rFonts w:asciiTheme="majorBidi" w:hAnsiTheme="majorBidi" w:cstheme="majorBidi"/>
                <w:color w:val="auto"/>
                <w:sz w:val="24"/>
                <w:szCs w:val="24"/>
                <w:lang w:val="nb-NO"/>
              </w:rPr>
              <w:t xml:space="preserve"> S, et al. </w:t>
            </w:r>
            <w:r w:rsidRPr="00D46765">
              <w:rPr>
                <w:rFonts w:asciiTheme="majorBidi" w:hAnsiTheme="majorBidi" w:cstheme="majorBidi"/>
                <w:color w:val="auto"/>
                <w:sz w:val="24"/>
                <w:szCs w:val="24"/>
                <w:lang w:val="en-AU"/>
              </w:rPr>
              <w:t xml:space="preserve">Effectiveness of a second BNT162b2 booster vaccine against hospitalization and death from COVID-19 in adults aged over 60 years. </w:t>
            </w:r>
            <w:r w:rsidRPr="00D46765">
              <w:rPr>
                <w:rFonts w:asciiTheme="majorBidi" w:hAnsiTheme="majorBidi" w:cstheme="majorBidi"/>
                <w:color w:val="auto"/>
                <w:sz w:val="24"/>
                <w:szCs w:val="24"/>
                <w:lang w:val="nb-NO"/>
              </w:rPr>
              <w:t>Nat Med. 2022;28:1486–1490. https://doi.org/10.1038/s41591-022-01832-0</w:t>
            </w:r>
          </w:p>
        </w:tc>
        <w:tc>
          <w:tcPr>
            <w:tcW w:w="5938" w:type="dxa"/>
          </w:tcPr>
          <w:p w14:paraId="27E76E13" w14:textId="225E8A46" w:rsidR="009405C7" w:rsidRPr="00D46765" w:rsidRDefault="009405C7" w:rsidP="009405C7">
            <w:pPr>
              <w:pStyle w:val="MDPI31text"/>
              <w:ind w:left="0" w:firstLine="0"/>
              <w:rPr>
                <w:rFonts w:asciiTheme="majorBidi" w:hAnsiTheme="majorBidi" w:cstheme="majorBidi"/>
                <w:color w:val="auto"/>
                <w:sz w:val="24"/>
                <w:szCs w:val="24"/>
              </w:rPr>
            </w:pPr>
            <w:r w:rsidRPr="00D46765">
              <w:rPr>
                <w:rFonts w:asciiTheme="majorBidi" w:hAnsiTheme="majorBidi" w:cstheme="majorBidi"/>
                <w:color w:val="auto"/>
                <w:sz w:val="24"/>
                <w:szCs w:val="24"/>
              </w:rPr>
              <w:t>Outside the prespecified review scope. This retrospective cohort study evaluates the effectiveness of a second booster (fourth dose) of the ancestral (monovalent) BNT162b2 vaccine during the early Omicron (BA.1-dominant) period (January–February 2022). The study predates the variant-adapted (bivalent) vaccine era and does not assess later Omicron subvariants (e.g., BA.5, BQ, XBB, JN.1, KP.3) that are the focus of this review.</w:t>
            </w:r>
          </w:p>
        </w:tc>
      </w:tr>
      <w:tr w:rsidR="009405C7" w14:paraId="25846D8B" w14:textId="77777777" w:rsidTr="00B20255">
        <w:tc>
          <w:tcPr>
            <w:tcW w:w="5403" w:type="dxa"/>
          </w:tcPr>
          <w:p w14:paraId="04E42D57" w14:textId="6A3A2B95" w:rsidR="009405C7" w:rsidRPr="00D46765" w:rsidRDefault="00D46765" w:rsidP="009405C7">
            <w:pPr>
              <w:pStyle w:val="MDPI31text"/>
              <w:ind w:left="0" w:firstLine="0"/>
              <w:rPr>
                <w:rFonts w:asciiTheme="majorBidi" w:hAnsiTheme="majorBidi" w:cstheme="majorBidi"/>
                <w:color w:val="auto"/>
                <w:sz w:val="24"/>
                <w:szCs w:val="24"/>
              </w:rPr>
            </w:pPr>
            <w:proofErr w:type="spellStart"/>
            <w:r w:rsidRPr="00D46765">
              <w:rPr>
                <w:rFonts w:asciiTheme="majorBidi" w:hAnsiTheme="majorBidi" w:cstheme="majorBidi"/>
                <w:color w:val="auto"/>
                <w:sz w:val="24"/>
                <w:szCs w:val="24"/>
                <w:lang w:val="nb-NO"/>
              </w:rPr>
              <w:t>Arbel</w:t>
            </w:r>
            <w:proofErr w:type="spellEnd"/>
            <w:r w:rsidRPr="00D46765">
              <w:rPr>
                <w:rFonts w:asciiTheme="majorBidi" w:hAnsiTheme="majorBidi" w:cstheme="majorBidi"/>
                <w:color w:val="auto"/>
                <w:sz w:val="24"/>
                <w:szCs w:val="24"/>
                <w:lang w:val="nb-NO"/>
              </w:rPr>
              <w:t xml:space="preserve"> R, </w:t>
            </w:r>
            <w:proofErr w:type="spellStart"/>
            <w:r w:rsidRPr="00D46765">
              <w:rPr>
                <w:rFonts w:asciiTheme="majorBidi" w:hAnsiTheme="majorBidi" w:cstheme="majorBidi"/>
                <w:color w:val="auto"/>
                <w:sz w:val="24"/>
                <w:szCs w:val="24"/>
                <w:lang w:val="nb-NO"/>
              </w:rPr>
              <w:t>Peretz</w:t>
            </w:r>
            <w:proofErr w:type="spellEnd"/>
            <w:r w:rsidRPr="00D46765">
              <w:rPr>
                <w:rFonts w:asciiTheme="majorBidi" w:hAnsiTheme="majorBidi" w:cstheme="majorBidi"/>
                <w:color w:val="auto"/>
                <w:sz w:val="24"/>
                <w:szCs w:val="24"/>
                <w:lang w:val="nb-NO"/>
              </w:rPr>
              <w:t xml:space="preserve"> A, </w:t>
            </w:r>
            <w:proofErr w:type="spellStart"/>
            <w:r w:rsidRPr="00D46765">
              <w:rPr>
                <w:rFonts w:asciiTheme="majorBidi" w:hAnsiTheme="majorBidi" w:cstheme="majorBidi"/>
                <w:color w:val="auto"/>
                <w:sz w:val="24"/>
                <w:szCs w:val="24"/>
                <w:lang w:val="nb-NO"/>
              </w:rPr>
              <w:t>Sergienko</w:t>
            </w:r>
            <w:proofErr w:type="spellEnd"/>
            <w:r w:rsidRPr="00D46765">
              <w:rPr>
                <w:rFonts w:asciiTheme="majorBidi" w:hAnsiTheme="majorBidi" w:cstheme="majorBidi"/>
                <w:color w:val="auto"/>
                <w:sz w:val="24"/>
                <w:szCs w:val="24"/>
                <w:lang w:val="nb-NO"/>
              </w:rPr>
              <w:t xml:space="preserve"> R, </w:t>
            </w:r>
            <w:proofErr w:type="spellStart"/>
            <w:r w:rsidRPr="00D46765">
              <w:rPr>
                <w:rFonts w:asciiTheme="majorBidi" w:hAnsiTheme="majorBidi" w:cstheme="majorBidi"/>
                <w:color w:val="auto"/>
                <w:sz w:val="24"/>
                <w:szCs w:val="24"/>
                <w:lang w:val="nb-NO"/>
              </w:rPr>
              <w:t>Friger</w:t>
            </w:r>
            <w:proofErr w:type="spellEnd"/>
            <w:r w:rsidRPr="00D46765">
              <w:rPr>
                <w:rFonts w:asciiTheme="majorBidi" w:hAnsiTheme="majorBidi" w:cstheme="majorBidi"/>
                <w:color w:val="auto"/>
                <w:sz w:val="24"/>
                <w:szCs w:val="24"/>
                <w:lang w:val="nb-NO"/>
              </w:rPr>
              <w:t xml:space="preserve"> M, </w:t>
            </w:r>
            <w:proofErr w:type="spellStart"/>
            <w:r w:rsidRPr="00D46765">
              <w:rPr>
                <w:rFonts w:asciiTheme="majorBidi" w:hAnsiTheme="majorBidi" w:cstheme="majorBidi"/>
                <w:color w:val="auto"/>
                <w:sz w:val="24"/>
                <w:szCs w:val="24"/>
                <w:lang w:val="nb-NO"/>
              </w:rPr>
              <w:t>Beckenstein</w:t>
            </w:r>
            <w:proofErr w:type="spellEnd"/>
            <w:r w:rsidRPr="00D46765">
              <w:rPr>
                <w:rFonts w:asciiTheme="majorBidi" w:hAnsiTheme="majorBidi" w:cstheme="majorBidi"/>
                <w:color w:val="auto"/>
                <w:sz w:val="24"/>
                <w:szCs w:val="24"/>
                <w:lang w:val="nb-NO"/>
              </w:rPr>
              <w:t xml:space="preserve"> T, </w:t>
            </w:r>
            <w:proofErr w:type="spellStart"/>
            <w:r w:rsidRPr="00D46765">
              <w:rPr>
                <w:rFonts w:asciiTheme="majorBidi" w:hAnsiTheme="majorBidi" w:cstheme="majorBidi"/>
                <w:color w:val="auto"/>
                <w:sz w:val="24"/>
                <w:szCs w:val="24"/>
                <w:lang w:val="nb-NO"/>
              </w:rPr>
              <w:t>Duskin-Bitan</w:t>
            </w:r>
            <w:proofErr w:type="spellEnd"/>
            <w:r w:rsidRPr="00D46765">
              <w:rPr>
                <w:rFonts w:asciiTheme="majorBidi" w:hAnsiTheme="majorBidi" w:cstheme="majorBidi"/>
                <w:color w:val="auto"/>
                <w:sz w:val="24"/>
                <w:szCs w:val="24"/>
                <w:lang w:val="nb-NO"/>
              </w:rPr>
              <w:t xml:space="preserve"> H, et al. </w:t>
            </w:r>
            <w:r w:rsidRPr="00D46765">
              <w:rPr>
                <w:rFonts w:asciiTheme="majorBidi" w:hAnsiTheme="majorBidi" w:cstheme="majorBidi"/>
                <w:color w:val="auto"/>
                <w:sz w:val="24"/>
                <w:szCs w:val="24"/>
                <w:lang w:val="en-AU"/>
              </w:rPr>
              <w:t xml:space="preserve">Effectiveness of a bivalent mRNA vaccine booster dose to prevent severe COVID-19 outcomes: a retrospective cohort study. </w:t>
            </w:r>
            <w:proofErr w:type="spellStart"/>
            <w:r w:rsidRPr="00D46765">
              <w:rPr>
                <w:rFonts w:asciiTheme="majorBidi" w:hAnsiTheme="majorBidi" w:cstheme="majorBidi"/>
                <w:color w:val="auto"/>
                <w:sz w:val="24"/>
                <w:szCs w:val="24"/>
                <w:lang w:val="nb-NO"/>
              </w:rPr>
              <w:t>Lancet</w:t>
            </w:r>
            <w:proofErr w:type="spellEnd"/>
            <w:r w:rsidRPr="00D46765">
              <w:rPr>
                <w:rFonts w:asciiTheme="majorBidi" w:hAnsiTheme="majorBidi" w:cstheme="majorBidi"/>
                <w:color w:val="auto"/>
                <w:sz w:val="24"/>
                <w:szCs w:val="24"/>
                <w:lang w:val="nb-NO"/>
              </w:rPr>
              <w:t xml:space="preserve"> </w:t>
            </w:r>
            <w:proofErr w:type="spellStart"/>
            <w:r w:rsidRPr="00D46765">
              <w:rPr>
                <w:rFonts w:asciiTheme="majorBidi" w:hAnsiTheme="majorBidi" w:cstheme="majorBidi"/>
                <w:color w:val="auto"/>
                <w:sz w:val="24"/>
                <w:szCs w:val="24"/>
                <w:lang w:val="nb-NO"/>
              </w:rPr>
              <w:t>Infect</w:t>
            </w:r>
            <w:proofErr w:type="spellEnd"/>
            <w:r w:rsidRPr="00D46765">
              <w:rPr>
                <w:rFonts w:asciiTheme="majorBidi" w:hAnsiTheme="majorBidi" w:cstheme="majorBidi"/>
                <w:color w:val="auto"/>
                <w:sz w:val="24"/>
                <w:szCs w:val="24"/>
                <w:lang w:val="nb-NO"/>
              </w:rPr>
              <w:t xml:space="preserve"> Dis. 2023;23:914–921. https://doi.org/10.1016/S1473-3099(23)00122-6</w:t>
            </w:r>
          </w:p>
        </w:tc>
        <w:tc>
          <w:tcPr>
            <w:tcW w:w="5938" w:type="dxa"/>
          </w:tcPr>
          <w:p w14:paraId="40AC1A94" w14:textId="01D8C3BF" w:rsidR="009405C7" w:rsidRPr="00D46765" w:rsidRDefault="009405C7" w:rsidP="009405C7">
            <w:pPr>
              <w:pStyle w:val="MDPI31text"/>
              <w:ind w:left="0" w:firstLine="0"/>
              <w:rPr>
                <w:rFonts w:asciiTheme="majorBidi" w:hAnsiTheme="majorBidi" w:cstheme="majorBidi"/>
                <w:color w:val="auto"/>
                <w:sz w:val="24"/>
                <w:szCs w:val="24"/>
              </w:rPr>
            </w:pPr>
            <w:r w:rsidRPr="00D46765">
              <w:rPr>
                <w:rFonts w:asciiTheme="majorBidi" w:hAnsiTheme="majorBidi" w:cstheme="majorBidi"/>
                <w:color w:val="auto"/>
                <w:sz w:val="24"/>
                <w:szCs w:val="24"/>
              </w:rPr>
              <w:t>Outside the prespecified review scope. This retrospective cohort study evaluates a bivalent BA.4/BA.5-adapted mRNA booster during a pre-XBB Omicron period (September 2022–January 2023). The study does not assess monovalent XBB.1.5-adapted vaccines or variant-specific effectiveness during XBB, JN.1, or KP lineage predominance, and therefore is not directly comparable with the vaccine formulations and variant periods synthesised in this review.</w:t>
            </w:r>
          </w:p>
        </w:tc>
      </w:tr>
      <w:tr w:rsidR="009405C7" w14:paraId="7C8742FB" w14:textId="77777777" w:rsidTr="00B20255">
        <w:tc>
          <w:tcPr>
            <w:tcW w:w="5403" w:type="dxa"/>
          </w:tcPr>
          <w:p w14:paraId="646B35CD" w14:textId="4737ADCA" w:rsidR="009405C7" w:rsidRPr="006017DD" w:rsidRDefault="006017DD" w:rsidP="009405C7">
            <w:pPr>
              <w:pStyle w:val="MDPI31text"/>
              <w:ind w:left="0" w:firstLine="0"/>
              <w:rPr>
                <w:rFonts w:asciiTheme="majorBidi" w:hAnsiTheme="majorBidi" w:cstheme="majorBidi"/>
                <w:color w:val="auto"/>
                <w:sz w:val="24"/>
                <w:szCs w:val="24"/>
              </w:rPr>
            </w:pPr>
            <w:r w:rsidRPr="006017DD">
              <w:rPr>
                <w:rFonts w:asciiTheme="majorBidi" w:hAnsiTheme="majorBidi" w:cstheme="majorBidi"/>
                <w:color w:val="auto"/>
                <w:sz w:val="24"/>
                <w:szCs w:val="24"/>
              </w:rPr>
              <w:t xml:space="preserve">Archer H, McCoy SI, Sears D, Kwan A, </w:t>
            </w:r>
            <w:proofErr w:type="spellStart"/>
            <w:r w:rsidRPr="006017DD">
              <w:rPr>
                <w:rFonts w:asciiTheme="majorBidi" w:hAnsiTheme="majorBidi" w:cstheme="majorBidi"/>
                <w:color w:val="auto"/>
                <w:sz w:val="24"/>
                <w:szCs w:val="24"/>
              </w:rPr>
              <w:t>Kuersten</w:t>
            </w:r>
            <w:proofErr w:type="spellEnd"/>
            <w:r w:rsidRPr="006017DD">
              <w:rPr>
                <w:rFonts w:asciiTheme="majorBidi" w:hAnsiTheme="majorBidi" w:cstheme="majorBidi"/>
                <w:color w:val="auto"/>
                <w:sz w:val="24"/>
                <w:szCs w:val="24"/>
              </w:rPr>
              <w:t xml:space="preserve"> M, </w:t>
            </w:r>
            <w:proofErr w:type="spellStart"/>
            <w:r w:rsidRPr="006017DD">
              <w:rPr>
                <w:rFonts w:asciiTheme="majorBidi" w:hAnsiTheme="majorBidi" w:cstheme="majorBidi"/>
                <w:color w:val="auto"/>
                <w:sz w:val="24"/>
                <w:szCs w:val="24"/>
              </w:rPr>
              <w:t>Lewnard</w:t>
            </w:r>
            <w:proofErr w:type="spellEnd"/>
            <w:r w:rsidRPr="006017DD">
              <w:rPr>
                <w:rFonts w:asciiTheme="majorBidi" w:hAnsiTheme="majorBidi" w:cstheme="majorBidi"/>
                <w:color w:val="auto"/>
                <w:sz w:val="24"/>
                <w:szCs w:val="24"/>
              </w:rPr>
              <w:t xml:space="preserve"> JA, et al. Indirect vaccine effectiveness in an outbreak of Alpha B.1.1.7 variant in a California state prison, May 2021. Vaccine. 2024;42:3057–3065. https://doi.org/10.1016/j.vaccine.2024.03.062</w:t>
            </w:r>
          </w:p>
        </w:tc>
        <w:tc>
          <w:tcPr>
            <w:tcW w:w="5938" w:type="dxa"/>
          </w:tcPr>
          <w:p w14:paraId="7FFBDE2C" w14:textId="7CD9CF23" w:rsidR="009405C7" w:rsidRPr="006017DD" w:rsidRDefault="009405C7" w:rsidP="009405C7">
            <w:pPr>
              <w:pStyle w:val="MDPI31text"/>
              <w:ind w:left="0" w:firstLine="0"/>
              <w:rPr>
                <w:rFonts w:asciiTheme="majorBidi" w:hAnsiTheme="majorBidi" w:cstheme="majorBidi"/>
                <w:color w:val="auto"/>
                <w:sz w:val="24"/>
                <w:szCs w:val="24"/>
              </w:rPr>
            </w:pPr>
            <w:r w:rsidRPr="006017DD">
              <w:rPr>
                <w:rFonts w:asciiTheme="majorBidi" w:hAnsiTheme="majorBidi" w:cstheme="majorBidi"/>
                <w:color w:val="auto"/>
                <w:sz w:val="24"/>
                <w:szCs w:val="24"/>
              </w:rPr>
              <w:t>Outside the prespecified review scope. This outbreak investigation evaluates direct and indirect vaccine effectiveness against SARS-CoV-2 infection and symptomatic infection only during an Alpha (B.1.1.7) variant outbreak (May–June 2021) in a carceral setting. The study does not assess severe COVID-19 outcomes (hospitali</w:t>
            </w:r>
            <w:r w:rsidR="001B2851" w:rsidRPr="006017DD">
              <w:rPr>
                <w:rFonts w:asciiTheme="majorBidi" w:hAnsiTheme="majorBidi" w:cstheme="majorBidi"/>
                <w:color w:val="auto"/>
                <w:sz w:val="24"/>
                <w:szCs w:val="24"/>
              </w:rPr>
              <w:t>z</w:t>
            </w:r>
            <w:r w:rsidRPr="006017DD">
              <w:rPr>
                <w:rFonts w:asciiTheme="majorBidi" w:hAnsiTheme="majorBidi" w:cstheme="majorBidi"/>
                <w:color w:val="auto"/>
                <w:sz w:val="24"/>
                <w:szCs w:val="24"/>
              </w:rPr>
              <w:t>ation, ICU admission, or death), predates the Omicron era, and does not evaluate updated/variant-adapted vaccines, which are the focus of this review.</w:t>
            </w:r>
          </w:p>
        </w:tc>
      </w:tr>
      <w:tr w:rsidR="009405C7" w14:paraId="3054495A" w14:textId="77777777" w:rsidTr="00B20255">
        <w:tc>
          <w:tcPr>
            <w:tcW w:w="5403" w:type="dxa"/>
          </w:tcPr>
          <w:p w14:paraId="6C2180E8" w14:textId="0D08D309" w:rsidR="009405C7" w:rsidRPr="00785ABA" w:rsidRDefault="00785ABA" w:rsidP="009405C7">
            <w:pPr>
              <w:pStyle w:val="MDPI31text"/>
              <w:ind w:left="0" w:firstLine="0"/>
              <w:rPr>
                <w:rFonts w:asciiTheme="majorBidi" w:hAnsiTheme="majorBidi" w:cstheme="majorBidi"/>
                <w:color w:val="auto"/>
                <w:sz w:val="24"/>
                <w:szCs w:val="24"/>
              </w:rPr>
            </w:pPr>
            <w:proofErr w:type="spellStart"/>
            <w:r w:rsidRPr="00785ABA">
              <w:rPr>
                <w:rFonts w:asciiTheme="majorBidi" w:hAnsiTheme="majorBidi" w:cstheme="majorBidi"/>
                <w:color w:val="auto"/>
                <w:sz w:val="24"/>
                <w:szCs w:val="24"/>
                <w:lang w:val="nb-NO"/>
              </w:rPr>
              <w:t>Arunachalam</w:t>
            </w:r>
            <w:proofErr w:type="spellEnd"/>
            <w:r w:rsidRPr="00785ABA">
              <w:rPr>
                <w:rFonts w:asciiTheme="majorBidi" w:hAnsiTheme="majorBidi" w:cstheme="majorBidi"/>
                <w:color w:val="auto"/>
                <w:sz w:val="24"/>
                <w:szCs w:val="24"/>
                <w:lang w:val="nb-NO"/>
              </w:rPr>
              <w:t xml:space="preserve"> PS, Lai L, </w:t>
            </w:r>
            <w:proofErr w:type="spellStart"/>
            <w:r w:rsidRPr="00785ABA">
              <w:rPr>
                <w:rFonts w:asciiTheme="majorBidi" w:hAnsiTheme="majorBidi" w:cstheme="majorBidi"/>
                <w:color w:val="auto"/>
                <w:sz w:val="24"/>
                <w:szCs w:val="24"/>
                <w:lang w:val="nb-NO"/>
              </w:rPr>
              <w:t>Samaha</w:t>
            </w:r>
            <w:proofErr w:type="spellEnd"/>
            <w:r w:rsidRPr="00785ABA">
              <w:rPr>
                <w:rFonts w:asciiTheme="majorBidi" w:hAnsiTheme="majorBidi" w:cstheme="majorBidi"/>
                <w:color w:val="auto"/>
                <w:sz w:val="24"/>
                <w:szCs w:val="24"/>
                <w:lang w:val="nb-NO"/>
              </w:rPr>
              <w:t xml:space="preserve"> H, Feng Y, Hu M, Hui HS, et al. </w:t>
            </w:r>
            <w:r w:rsidRPr="00785ABA">
              <w:rPr>
                <w:rFonts w:asciiTheme="majorBidi" w:hAnsiTheme="majorBidi" w:cstheme="majorBidi"/>
                <w:color w:val="auto"/>
                <w:sz w:val="24"/>
                <w:szCs w:val="24"/>
              </w:rPr>
              <w:t>Durability of immune responses to mRNA booster vaccination against COVID-19. J Clin Invest. 2023;133(10):e167955. https://doi.org/10.1172/JCI167955</w:t>
            </w:r>
          </w:p>
        </w:tc>
        <w:tc>
          <w:tcPr>
            <w:tcW w:w="5938" w:type="dxa"/>
          </w:tcPr>
          <w:p w14:paraId="5C5B2982" w14:textId="77777777" w:rsidR="009405C7" w:rsidRPr="00785ABA" w:rsidRDefault="009405C7" w:rsidP="009405C7">
            <w:pPr>
              <w:pStyle w:val="MDPI31text"/>
              <w:ind w:left="0" w:firstLine="0"/>
              <w:rPr>
                <w:rFonts w:asciiTheme="majorBidi" w:hAnsiTheme="majorBidi" w:cstheme="majorBidi"/>
                <w:color w:val="auto"/>
                <w:sz w:val="24"/>
                <w:szCs w:val="24"/>
              </w:rPr>
            </w:pPr>
            <w:r w:rsidRPr="00785ABA">
              <w:rPr>
                <w:rFonts w:asciiTheme="majorBidi" w:hAnsiTheme="majorBidi" w:cstheme="majorBidi"/>
                <w:color w:val="auto"/>
                <w:sz w:val="24"/>
                <w:szCs w:val="24"/>
              </w:rPr>
              <w:t xml:space="preserve">Outside the prespecified review scope. This study is a mechanistic immunology investigation assessing antibody kinetics, neutralizing antibody titers, and memory B- and T-cell responses following third and fourth mRNA vaccine doses. It does not report population-level absolute or relative vaccine effectiveness (VE or </w:t>
            </w:r>
            <w:proofErr w:type="spellStart"/>
            <w:r w:rsidRPr="00785ABA">
              <w:rPr>
                <w:rFonts w:asciiTheme="majorBidi" w:hAnsiTheme="majorBidi" w:cstheme="majorBidi"/>
                <w:color w:val="auto"/>
                <w:sz w:val="24"/>
                <w:szCs w:val="24"/>
              </w:rPr>
              <w:t>rVE</w:t>
            </w:r>
            <w:proofErr w:type="spellEnd"/>
            <w:r w:rsidRPr="00785ABA">
              <w:rPr>
                <w:rFonts w:asciiTheme="majorBidi" w:hAnsiTheme="majorBidi" w:cstheme="majorBidi"/>
                <w:color w:val="auto"/>
                <w:sz w:val="24"/>
                <w:szCs w:val="24"/>
              </w:rPr>
              <w:t>) against clinical outcomes (e.g., SARS-CoV-2 infection, hospitalization, ICU admission, or death) and lacks an appropriate unvaccinated or standardized comparator group. Consequently, the effect measures are not directly comparable with the real-world vaccine effectiveness estimates synthesized in this review.</w:t>
            </w:r>
          </w:p>
        </w:tc>
      </w:tr>
      <w:tr w:rsidR="009405C7" w14:paraId="5E028F4C" w14:textId="77777777" w:rsidTr="00B20255">
        <w:tc>
          <w:tcPr>
            <w:tcW w:w="5403" w:type="dxa"/>
          </w:tcPr>
          <w:p w14:paraId="2C8ED577" w14:textId="27D5C8EA" w:rsidR="009405C7" w:rsidRPr="00102627" w:rsidRDefault="00102627" w:rsidP="009405C7">
            <w:pPr>
              <w:pStyle w:val="MDPI31text"/>
              <w:ind w:left="0" w:firstLine="0"/>
              <w:rPr>
                <w:rFonts w:asciiTheme="majorBidi" w:hAnsiTheme="majorBidi" w:cstheme="majorBidi"/>
                <w:color w:val="auto"/>
                <w:sz w:val="24"/>
                <w:szCs w:val="24"/>
              </w:rPr>
            </w:pPr>
            <w:r w:rsidRPr="00102627">
              <w:rPr>
                <w:rFonts w:asciiTheme="majorBidi" w:hAnsiTheme="majorBidi" w:cstheme="majorBidi"/>
                <w:color w:val="auto"/>
                <w:sz w:val="24"/>
                <w:szCs w:val="24"/>
              </w:rPr>
              <w:t xml:space="preserve">Atanasov V, Barreto N, Whittle J, Meurer J, Weston BW, Luo Q, et al. Selection effects and COVID-19 mortality risk after Pfizer vs. Moderna vaccination: </w:t>
            </w:r>
            <w:r w:rsidRPr="00102627">
              <w:rPr>
                <w:rFonts w:asciiTheme="majorBidi" w:hAnsiTheme="majorBidi" w:cstheme="majorBidi"/>
                <w:color w:val="auto"/>
                <w:sz w:val="24"/>
                <w:szCs w:val="24"/>
              </w:rPr>
              <w:lastRenderedPageBreak/>
              <w:t>evidence from linked mortality and vaccination records. Vaccines (Basel). 2023;11(5):971. https://doi.org/10.3390/vaccines11050971</w:t>
            </w:r>
          </w:p>
        </w:tc>
        <w:tc>
          <w:tcPr>
            <w:tcW w:w="5938" w:type="dxa"/>
          </w:tcPr>
          <w:p w14:paraId="7EA012EA" w14:textId="2493230A" w:rsidR="009405C7" w:rsidRPr="00102627" w:rsidRDefault="009405C7" w:rsidP="009405C7">
            <w:pPr>
              <w:pStyle w:val="MDPI31text"/>
              <w:ind w:left="0" w:firstLine="0"/>
              <w:rPr>
                <w:rFonts w:asciiTheme="majorBidi" w:hAnsiTheme="majorBidi" w:cstheme="majorBidi"/>
                <w:color w:val="auto"/>
                <w:sz w:val="24"/>
                <w:szCs w:val="24"/>
              </w:rPr>
            </w:pPr>
            <w:r w:rsidRPr="00102627">
              <w:rPr>
                <w:rFonts w:asciiTheme="majorBidi" w:hAnsiTheme="majorBidi" w:cstheme="majorBidi"/>
                <w:color w:val="auto"/>
                <w:sz w:val="24"/>
                <w:szCs w:val="24"/>
              </w:rPr>
              <w:lastRenderedPageBreak/>
              <w:t xml:space="preserve">Outside the prespecified review scope. The study uses COVID-19 excess mortality and relative mortality risk (CEMP/RMR) derived from death-certificate data to </w:t>
            </w:r>
            <w:r w:rsidRPr="00102627">
              <w:rPr>
                <w:rFonts w:asciiTheme="majorBidi" w:hAnsiTheme="majorBidi" w:cstheme="majorBidi"/>
                <w:color w:val="auto"/>
                <w:sz w:val="24"/>
                <w:szCs w:val="24"/>
              </w:rPr>
              <w:lastRenderedPageBreak/>
              <w:t>compare Pfizer versus Moderna vaccination, rather than reporting vaccine effectiveness (VE) against severe COVID-19 outcomes using standard VE designs. It does not provide variant-specific VE estimates for Omicron subvariants of interest (e.g., BA.5, XBB,</w:t>
            </w:r>
            <w:r w:rsidR="00606FB6" w:rsidRPr="00102627">
              <w:rPr>
                <w:rFonts w:asciiTheme="majorBidi" w:hAnsiTheme="majorBidi" w:cstheme="majorBidi"/>
                <w:color w:val="auto"/>
                <w:sz w:val="24"/>
                <w:szCs w:val="24"/>
              </w:rPr>
              <w:t xml:space="preserve"> </w:t>
            </w:r>
            <w:r w:rsidRPr="00102627">
              <w:rPr>
                <w:rFonts w:asciiTheme="majorBidi" w:hAnsiTheme="majorBidi" w:cstheme="majorBidi"/>
                <w:color w:val="auto"/>
                <w:sz w:val="24"/>
                <w:szCs w:val="24"/>
              </w:rPr>
              <w:t>JN.1, KP.3) and is therefore not directly comparable with the studies included in this review.</w:t>
            </w:r>
          </w:p>
        </w:tc>
      </w:tr>
      <w:tr w:rsidR="009405C7" w14:paraId="1E98A36B" w14:textId="77777777" w:rsidTr="00B20255">
        <w:tc>
          <w:tcPr>
            <w:tcW w:w="5403" w:type="dxa"/>
          </w:tcPr>
          <w:p w14:paraId="23402CDB" w14:textId="3EE2287F" w:rsidR="009405C7" w:rsidRPr="00102627" w:rsidRDefault="00102627" w:rsidP="009405C7">
            <w:pPr>
              <w:pStyle w:val="MDPI31text"/>
              <w:ind w:left="0" w:firstLine="0"/>
              <w:rPr>
                <w:rFonts w:asciiTheme="majorBidi" w:hAnsiTheme="majorBidi" w:cstheme="majorBidi"/>
                <w:color w:val="auto"/>
                <w:sz w:val="24"/>
                <w:szCs w:val="24"/>
              </w:rPr>
            </w:pPr>
            <w:r w:rsidRPr="00102627">
              <w:rPr>
                <w:rFonts w:asciiTheme="majorBidi" w:hAnsiTheme="majorBidi" w:cstheme="majorBidi"/>
                <w:color w:val="auto"/>
                <w:sz w:val="24"/>
                <w:szCs w:val="24"/>
              </w:rPr>
              <w:lastRenderedPageBreak/>
              <w:t>Atanasov V, Barreto N, Whittle J, Meurer J, Weston BW, Luo Q, et al. Understanding COVID-19 vaccine effectiveness against death using a novel measure: COVID excess mortality percentage. Vaccines (Basel). 2023;11(2):379. https://doi.org/10.3390/vaccines11020379</w:t>
            </w:r>
          </w:p>
        </w:tc>
        <w:tc>
          <w:tcPr>
            <w:tcW w:w="5938" w:type="dxa"/>
          </w:tcPr>
          <w:p w14:paraId="700583A7" w14:textId="77777777" w:rsidR="009405C7" w:rsidRPr="00102627" w:rsidRDefault="009405C7" w:rsidP="009405C7">
            <w:pPr>
              <w:pStyle w:val="MDPI31text"/>
              <w:ind w:left="0" w:firstLine="0"/>
              <w:rPr>
                <w:rFonts w:asciiTheme="majorBidi" w:hAnsiTheme="majorBidi" w:cstheme="majorBidi"/>
                <w:color w:val="auto"/>
                <w:sz w:val="24"/>
                <w:szCs w:val="24"/>
              </w:rPr>
            </w:pPr>
            <w:r w:rsidRPr="00102627">
              <w:rPr>
                <w:rFonts w:asciiTheme="majorBidi" w:hAnsiTheme="majorBidi" w:cstheme="majorBidi"/>
                <w:color w:val="auto"/>
                <w:sz w:val="24"/>
                <w:szCs w:val="24"/>
              </w:rPr>
              <w:t xml:space="preserve">Outside the prespecified review scope. This study evaluates COVID-19 mortality using a decedent-only design and a novel proxy outcome (COVID Excess Mortality Percentage, CEMP) to derive relative mortality risk, rather than reporting population-based absolute or relative vaccine effectiveness (VE or </w:t>
            </w:r>
            <w:proofErr w:type="spellStart"/>
            <w:r w:rsidRPr="00102627">
              <w:rPr>
                <w:rFonts w:asciiTheme="majorBidi" w:hAnsiTheme="majorBidi" w:cstheme="majorBidi"/>
                <w:color w:val="auto"/>
                <w:sz w:val="24"/>
                <w:szCs w:val="24"/>
              </w:rPr>
              <w:t>rVE</w:t>
            </w:r>
            <w:proofErr w:type="spellEnd"/>
            <w:r w:rsidRPr="00102627">
              <w:rPr>
                <w:rFonts w:asciiTheme="majorBidi" w:hAnsiTheme="majorBidi" w:cstheme="majorBidi"/>
                <w:color w:val="auto"/>
                <w:sz w:val="24"/>
                <w:szCs w:val="24"/>
              </w:rPr>
              <w:t>) estimates for prespecified clinical outcomes using standard cohort or test-negative designs. The effect measures are therefore not directly comparable with those synthesized in this review.</w:t>
            </w:r>
          </w:p>
        </w:tc>
      </w:tr>
      <w:tr w:rsidR="009405C7" w14:paraId="1FA121DA" w14:textId="77777777" w:rsidTr="00B20255">
        <w:tc>
          <w:tcPr>
            <w:tcW w:w="5403" w:type="dxa"/>
          </w:tcPr>
          <w:p w14:paraId="60C1FC30" w14:textId="5A4BAA65" w:rsidR="009405C7" w:rsidRPr="006D0189" w:rsidRDefault="006D0189" w:rsidP="009405C7">
            <w:pPr>
              <w:pStyle w:val="MDPI31text"/>
              <w:ind w:left="0" w:firstLine="0"/>
              <w:rPr>
                <w:rFonts w:asciiTheme="majorBidi" w:hAnsiTheme="majorBidi" w:cstheme="majorBidi"/>
                <w:color w:val="auto"/>
                <w:sz w:val="24"/>
                <w:szCs w:val="24"/>
              </w:rPr>
            </w:pPr>
            <w:proofErr w:type="spellStart"/>
            <w:r w:rsidRPr="006D0189">
              <w:rPr>
                <w:rFonts w:asciiTheme="majorBidi" w:hAnsiTheme="majorBidi" w:cstheme="majorBidi"/>
                <w:color w:val="auto"/>
                <w:sz w:val="24"/>
                <w:szCs w:val="24"/>
              </w:rPr>
              <w:t>Auvigne</w:t>
            </w:r>
            <w:proofErr w:type="spellEnd"/>
            <w:r w:rsidRPr="006D0189">
              <w:rPr>
                <w:rFonts w:asciiTheme="majorBidi" w:hAnsiTheme="majorBidi" w:cstheme="majorBidi"/>
                <w:color w:val="auto"/>
                <w:sz w:val="24"/>
                <w:szCs w:val="24"/>
              </w:rPr>
              <w:t xml:space="preserve"> V, </w:t>
            </w:r>
            <w:proofErr w:type="spellStart"/>
            <w:r w:rsidRPr="006D0189">
              <w:rPr>
                <w:rFonts w:asciiTheme="majorBidi" w:hAnsiTheme="majorBidi" w:cstheme="majorBidi"/>
                <w:color w:val="auto"/>
                <w:sz w:val="24"/>
                <w:szCs w:val="24"/>
              </w:rPr>
              <w:t>Tamandjou</w:t>
            </w:r>
            <w:proofErr w:type="spellEnd"/>
            <w:r w:rsidRPr="006D0189">
              <w:rPr>
                <w:rFonts w:asciiTheme="majorBidi" w:hAnsiTheme="majorBidi" w:cstheme="majorBidi"/>
                <w:color w:val="auto"/>
                <w:sz w:val="24"/>
                <w:szCs w:val="24"/>
              </w:rPr>
              <w:t xml:space="preserve"> </w:t>
            </w:r>
            <w:proofErr w:type="spellStart"/>
            <w:r w:rsidRPr="006D0189">
              <w:rPr>
                <w:rFonts w:asciiTheme="majorBidi" w:hAnsiTheme="majorBidi" w:cstheme="majorBidi"/>
                <w:color w:val="auto"/>
                <w:sz w:val="24"/>
                <w:szCs w:val="24"/>
              </w:rPr>
              <w:t>Tchuem</w:t>
            </w:r>
            <w:proofErr w:type="spellEnd"/>
            <w:r w:rsidRPr="006D0189">
              <w:rPr>
                <w:rFonts w:asciiTheme="majorBidi" w:hAnsiTheme="majorBidi" w:cstheme="majorBidi"/>
                <w:color w:val="auto"/>
                <w:sz w:val="24"/>
                <w:szCs w:val="24"/>
              </w:rPr>
              <w:t xml:space="preserve"> CR, Schaeffer J, Vaux S, Parent Du Chatelet I. Protection against symptomatic SARS-CoV-2 infection conferred by the Pfizer-BioNTech Original/BA.4-5 bivalent vaccine compared to the mRNA Original monovalent vaccines: a matched cohort study in France. Vaccine. 2023;41:5490–5493. https://doi.org/10.1016/j.vaccine.2023.07.071</w:t>
            </w:r>
          </w:p>
        </w:tc>
        <w:tc>
          <w:tcPr>
            <w:tcW w:w="5938" w:type="dxa"/>
          </w:tcPr>
          <w:p w14:paraId="0CF49FBF" w14:textId="696B5241" w:rsidR="009405C7" w:rsidRPr="006D0189" w:rsidRDefault="009405C7" w:rsidP="009405C7">
            <w:pPr>
              <w:pStyle w:val="MDPI31text"/>
              <w:ind w:left="0" w:firstLine="0"/>
              <w:rPr>
                <w:rFonts w:asciiTheme="majorBidi" w:hAnsiTheme="majorBidi" w:cstheme="majorBidi"/>
                <w:color w:val="auto"/>
                <w:sz w:val="24"/>
                <w:szCs w:val="24"/>
              </w:rPr>
            </w:pPr>
            <w:r w:rsidRPr="006D0189">
              <w:rPr>
                <w:rFonts w:asciiTheme="majorBidi" w:hAnsiTheme="majorBidi" w:cstheme="majorBidi"/>
                <w:color w:val="auto"/>
                <w:sz w:val="24"/>
                <w:szCs w:val="24"/>
              </w:rPr>
              <w:t>Outside the prespecified review scope. This matched cohort study evaluates protection against symptomatic SARS-CoV-2 infection only during BA.5 sublineage predominance and does not assess severe COVID-19 outcomes (hospitali</w:t>
            </w:r>
            <w:r w:rsidR="001B2851" w:rsidRPr="006D0189">
              <w:rPr>
                <w:rFonts w:asciiTheme="majorBidi" w:hAnsiTheme="majorBidi" w:cstheme="majorBidi"/>
                <w:color w:val="auto"/>
                <w:sz w:val="24"/>
                <w:szCs w:val="24"/>
              </w:rPr>
              <w:t>z</w:t>
            </w:r>
            <w:r w:rsidRPr="006D0189">
              <w:rPr>
                <w:rFonts w:asciiTheme="majorBidi" w:hAnsiTheme="majorBidi" w:cstheme="majorBidi"/>
                <w:color w:val="auto"/>
                <w:sz w:val="24"/>
                <w:szCs w:val="24"/>
              </w:rPr>
              <w:t>ation, ICU admission, or death), which were the primary outcomes of interest in this review.</w:t>
            </w:r>
          </w:p>
        </w:tc>
      </w:tr>
      <w:tr w:rsidR="009405C7" w14:paraId="3E40715C" w14:textId="77777777" w:rsidTr="00B20255">
        <w:tc>
          <w:tcPr>
            <w:tcW w:w="5403" w:type="dxa"/>
          </w:tcPr>
          <w:p w14:paraId="039C7C45" w14:textId="71FF8522" w:rsidR="009405C7" w:rsidRPr="006D0189" w:rsidRDefault="006D0189" w:rsidP="009405C7">
            <w:pPr>
              <w:pStyle w:val="MDPI31text"/>
              <w:ind w:left="0" w:firstLine="0"/>
              <w:rPr>
                <w:rFonts w:asciiTheme="majorBidi" w:hAnsiTheme="majorBidi" w:cstheme="majorBidi"/>
                <w:color w:val="auto"/>
                <w:sz w:val="24"/>
                <w:szCs w:val="24"/>
              </w:rPr>
            </w:pPr>
            <w:proofErr w:type="spellStart"/>
            <w:r w:rsidRPr="006D0189">
              <w:rPr>
                <w:rFonts w:asciiTheme="majorBidi" w:hAnsiTheme="majorBidi" w:cstheme="majorBidi"/>
                <w:color w:val="auto"/>
                <w:sz w:val="24"/>
                <w:szCs w:val="24"/>
              </w:rPr>
              <w:t>Baakliny</w:t>
            </w:r>
            <w:proofErr w:type="spellEnd"/>
            <w:r w:rsidRPr="006D0189">
              <w:rPr>
                <w:rFonts w:asciiTheme="majorBidi" w:hAnsiTheme="majorBidi" w:cstheme="majorBidi"/>
                <w:color w:val="auto"/>
                <w:sz w:val="24"/>
                <w:szCs w:val="24"/>
              </w:rPr>
              <w:t xml:space="preserve"> M, Ghosn N, Saleh N, Maison P. Effectiveness of the Pfizer-BioNTech (BNT162b2) vaccine against the Omicron variant of SARS-CoV-2 among adults aged 50 and above: a case-control study in Lebanon, June 2022. </w:t>
            </w:r>
            <w:proofErr w:type="spellStart"/>
            <w:r w:rsidRPr="006D0189">
              <w:rPr>
                <w:rFonts w:asciiTheme="majorBidi" w:hAnsiTheme="majorBidi" w:cstheme="majorBidi"/>
                <w:color w:val="auto"/>
                <w:sz w:val="24"/>
                <w:szCs w:val="24"/>
              </w:rPr>
              <w:t>PLoS</w:t>
            </w:r>
            <w:proofErr w:type="spellEnd"/>
            <w:r w:rsidRPr="006D0189">
              <w:rPr>
                <w:rFonts w:asciiTheme="majorBidi" w:hAnsiTheme="majorBidi" w:cstheme="majorBidi"/>
                <w:color w:val="auto"/>
                <w:sz w:val="24"/>
                <w:szCs w:val="24"/>
              </w:rPr>
              <w:t xml:space="preserve"> One. 2025;20(3):e0318344. https://doi.org/10.1371/journal.pone.0318344</w:t>
            </w:r>
          </w:p>
        </w:tc>
        <w:tc>
          <w:tcPr>
            <w:tcW w:w="5938" w:type="dxa"/>
          </w:tcPr>
          <w:p w14:paraId="25580EE7" w14:textId="7F58E4F8" w:rsidR="009405C7" w:rsidRPr="006D0189" w:rsidRDefault="009405C7" w:rsidP="009405C7">
            <w:pPr>
              <w:pStyle w:val="MDPI31text"/>
              <w:ind w:left="0" w:firstLine="0"/>
              <w:rPr>
                <w:rFonts w:asciiTheme="majorBidi" w:hAnsiTheme="majorBidi" w:cstheme="majorBidi"/>
                <w:color w:val="auto"/>
                <w:sz w:val="24"/>
                <w:szCs w:val="24"/>
              </w:rPr>
            </w:pPr>
            <w:r w:rsidRPr="006D0189">
              <w:rPr>
                <w:rFonts w:asciiTheme="majorBidi" w:hAnsiTheme="majorBidi" w:cstheme="majorBidi"/>
                <w:color w:val="auto"/>
                <w:sz w:val="24"/>
                <w:szCs w:val="24"/>
              </w:rPr>
              <w:t>Outside the prespecified review scope. This test-negative case-control study evaluates vaccine effectiveness against symptomatic SARS-CoV-2 infection only among adults aged ≥50 years and does not assess severe COVID-19 outcomes (hospitali</w:t>
            </w:r>
            <w:r w:rsidR="001B2851" w:rsidRPr="006D0189">
              <w:rPr>
                <w:rFonts w:asciiTheme="majorBidi" w:hAnsiTheme="majorBidi" w:cstheme="majorBidi"/>
                <w:color w:val="auto"/>
                <w:sz w:val="24"/>
                <w:szCs w:val="24"/>
              </w:rPr>
              <w:t>z</w:t>
            </w:r>
            <w:r w:rsidRPr="006D0189">
              <w:rPr>
                <w:rFonts w:asciiTheme="majorBidi" w:hAnsiTheme="majorBidi" w:cstheme="majorBidi"/>
                <w:color w:val="auto"/>
                <w:sz w:val="24"/>
                <w:szCs w:val="24"/>
              </w:rPr>
              <w:t>ation, ICU admission, or death), which were the primary outcomes of interest in this review.</w:t>
            </w:r>
          </w:p>
        </w:tc>
      </w:tr>
      <w:tr w:rsidR="009405C7" w14:paraId="091AD38B" w14:textId="77777777" w:rsidTr="00B20255">
        <w:tc>
          <w:tcPr>
            <w:tcW w:w="5403" w:type="dxa"/>
          </w:tcPr>
          <w:p w14:paraId="4949AE2A" w14:textId="2EC98AA0" w:rsidR="009405C7" w:rsidRPr="00C652C7" w:rsidRDefault="00C652C7" w:rsidP="009405C7">
            <w:pPr>
              <w:pStyle w:val="MDPI31text"/>
              <w:ind w:left="0" w:firstLine="0"/>
              <w:rPr>
                <w:rFonts w:asciiTheme="majorBidi" w:hAnsiTheme="majorBidi" w:cstheme="majorBidi"/>
                <w:color w:val="auto"/>
                <w:sz w:val="24"/>
                <w:szCs w:val="24"/>
              </w:rPr>
            </w:pPr>
            <w:r w:rsidRPr="00C652C7">
              <w:rPr>
                <w:rFonts w:asciiTheme="majorBidi" w:hAnsiTheme="majorBidi" w:cstheme="majorBidi"/>
                <w:color w:val="auto"/>
                <w:sz w:val="24"/>
                <w:szCs w:val="24"/>
                <w:lang w:val="en-AU"/>
              </w:rPr>
              <w:t xml:space="preserve">Baden LR, El </w:t>
            </w:r>
            <w:proofErr w:type="spellStart"/>
            <w:r w:rsidRPr="00C652C7">
              <w:rPr>
                <w:rFonts w:asciiTheme="majorBidi" w:hAnsiTheme="majorBidi" w:cstheme="majorBidi"/>
                <w:color w:val="auto"/>
                <w:sz w:val="24"/>
                <w:szCs w:val="24"/>
                <w:lang w:val="en-AU"/>
              </w:rPr>
              <w:t>Sahly</w:t>
            </w:r>
            <w:proofErr w:type="spellEnd"/>
            <w:r w:rsidRPr="00C652C7">
              <w:rPr>
                <w:rFonts w:asciiTheme="majorBidi" w:hAnsiTheme="majorBidi" w:cstheme="majorBidi"/>
                <w:color w:val="auto"/>
                <w:sz w:val="24"/>
                <w:szCs w:val="24"/>
                <w:lang w:val="en-AU"/>
              </w:rPr>
              <w:t xml:space="preserve"> HM, Essink B, Follmann D, Hachigian G, Strout C, et al. Long-term safety and effectiveness of mRNA-1273 vaccine in adults: COVE trial open-label and booster phases. </w:t>
            </w:r>
            <w:r w:rsidRPr="004F6C90">
              <w:rPr>
                <w:rFonts w:asciiTheme="majorBidi" w:hAnsiTheme="majorBidi" w:cstheme="majorBidi"/>
                <w:color w:val="auto"/>
                <w:sz w:val="24"/>
                <w:szCs w:val="24"/>
                <w:lang w:val="en-AU"/>
              </w:rPr>
              <w:t>Nat Commun. 2024;15:7469. https://doi.org/10.1038/s41467-024-50376-z</w:t>
            </w:r>
          </w:p>
        </w:tc>
        <w:tc>
          <w:tcPr>
            <w:tcW w:w="5938" w:type="dxa"/>
          </w:tcPr>
          <w:p w14:paraId="2AAB4FA2" w14:textId="77777777" w:rsidR="009405C7" w:rsidRPr="00C652C7" w:rsidRDefault="009405C7" w:rsidP="009405C7">
            <w:pPr>
              <w:pStyle w:val="MDPI31text"/>
              <w:ind w:left="0" w:firstLine="0"/>
              <w:rPr>
                <w:rFonts w:asciiTheme="majorBidi" w:hAnsiTheme="majorBidi" w:cstheme="majorBidi"/>
                <w:color w:val="auto"/>
                <w:sz w:val="24"/>
                <w:szCs w:val="24"/>
              </w:rPr>
            </w:pPr>
            <w:r w:rsidRPr="00C652C7">
              <w:rPr>
                <w:rFonts w:asciiTheme="majorBidi" w:hAnsiTheme="majorBidi" w:cstheme="majorBidi"/>
                <w:color w:val="auto"/>
                <w:sz w:val="24"/>
                <w:szCs w:val="24"/>
              </w:rPr>
              <w:t>Outside the prespecified review scope. This study reports clinical trial follow-up data from the phase-3 COVE randomized trial, including open-label and monovalent booster phases, and does not represent real-world effectiveness evidence. In addition, the analysis primarily evaluates ancestral (monovalent) mRNA-1273 vaccination during Delta and early Omicron (BA.1/BA.2) periods, with limited applicability to late-Omicron subvariants and variant-adapted vaccines, which are the focus of this review.</w:t>
            </w:r>
          </w:p>
        </w:tc>
      </w:tr>
      <w:tr w:rsidR="009405C7" w14:paraId="396005A7" w14:textId="77777777" w:rsidTr="00B20255">
        <w:tc>
          <w:tcPr>
            <w:tcW w:w="5403" w:type="dxa"/>
          </w:tcPr>
          <w:p w14:paraId="65323F3B" w14:textId="4CAD4956" w:rsidR="009405C7" w:rsidRPr="00F819D1" w:rsidRDefault="00F819D1" w:rsidP="009405C7">
            <w:pPr>
              <w:pStyle w:val="MDPI31text"/>
              <w:ind w:left="0" w:firstLine="0"/>
              <w:rPr>
                <w:rFonts w:asciiTheme="majorBidi" w:hAnsiTheme="majorBidi" w:cstheme="majorBidi"/>
                <w:color w:val="auto"/>
                <w:sz w:val="24"/>
                <w:szCs w:val="24"/>
              </w:rPr>
            </w:pPr>
            <w:r w:rsidRPr="00F819D1">
              <w:rPr>
                <w:rFonts w:asciiTheme="majorBidi" w:hAnsiTheme="majorBidi" w:cstheme="majorBidi"/>
                <w:color w:val="auto"/>
                <w:sz w:val="24"/>
                <w:szCs w:val="24"/>
                <w:lang w:val="en-GB"/>
              </w:rPr>
              <w:t xml:space="preserve">Bando T, </w:t>
            </w:r>
            <w:proofErr w:type="spellStart"/>
            <w:r w:rsidRPr="00F819D1">
              <w:rPr>
                <w:rFonts w:asciiTheme="majorBidi" w:hAnsiTheme="majorBidi" w:cstheme="majorBidi"/>
                <w:color w:val="auto"/>
                <w:sz w:val="24"/>
                <w:szCs w:val="24"/>
                <w:lang w:val="en-GB"/>
              </w:rPr>
              <w:t>Ikematsu</w:t>
            </w:r>
            <w:proofErr w:type="spellEnd"/>
            <w:r w:rsidRPr="00F819D1">
              <w:rPr>
                <w:rFonts w:asciiTheme="majorBidi" w:hAnsiTheme="majorBidi" w:cstheme="majorBidi"/>
                <w:color w:val="auto"/>
                <w:sz w:val="24"/>
                <w:szCs w:val="24"/>
                <w:lang w:val="en-GB"/>
              </w:rPr>
              <w:t xml:space="preserve"> H, Kawai N, </w:t>
            </w:r>
            <w:proofErr w:type="spellStart"/>
            <w:r w:rsidRPr="00F819D1">
              <w:rPr>
                <w:rFonts w:asciiTheme="majorBidi" w:hAnsiTheme="majorBidi" w:cstheme="majorBidi"/>
                <w:color w:val="auto"/>
                <w:sz w:val="24"/>
                <w:szCs w:val="24"/>
                <w:lang w:val="en-GB"/>
              </w:rPr>
              <w:t>Shibao</w:t>
            </w:r>
            <w:proofErr w:type="spellEnd"/>
            <w:r w:rsidRPr="00F819D1">
              <w:rPr>
                <w:rFonts w:asciiTheme="majorBidi" w:hAnsiTheme="majorBidi" w:cstheme="majorBidi"/>
                <w:color w:val="auto"/>
                <w:sz w:val="24"/>
                <w:szCs w:val="24"/>
                <w:lang w:val="en-GB"/>
              </w:rPr>
              <w:t xml:space="preserve"> K, Mizuguchi M, Amemiya T, et al. </w:t>
            </w:r>
            <w:r w:rsidRPr="00F819D1">
              <w:rPr>
                <w:rFonts w:asciiTheme="majorBidi" w:hAnsiTheme="majorBidi" w:cstheme="majorBidi"/>
                <w:color w:val="auto"/>
                <w:sz w:val="24"/>
                <w:szCs w:val="24"/>
                <w:lang w:val="en-AU"/>
              </w:rPr>
              <w:t xml:space="preserve">The effectiveness of repeated vaccination for COVID-19 symptom resolution during the KP.3-dominant epidemic period in Japan: a retrospective </w:t>
            </w:r>
            <w:proofErr w:type="spellStart"/>
            <w:r w:rsidRPr="00F819D1">
              <w:rPr>
                <w:rFonts w:asciiTheme="majorBidi" w:hAnsiTheme="majorBidi" w:cstheme="majorBidi"/>
                <w:color w:val="auto"/>
                <w:sz w:val="24"/>
                <w:szCs w:val="24"/>
                <w:lang w:val="en-AU"/>
              </w:rPr>
              <w:t>multicenter</w:t>
            </w:r>
            <w:proofErr w:type="spellEnd"/>
            <w:r w:rsidRPr="00F819D1">
              <w:rPr>
                <w:rFonts w:asciiTheme="majorBidi" w:hAnsiTheme="majorBidi" w:cstheme="majorBidi"/>
                <w:color w:val="auto"/>
                <w:sz w:val="24"/>
                <w:szCs w:val="24"/>
                <w:lang w:val="en-AU"/>
              </w:rPr>
              <w:t xml:space="preserve"> study. </w:t>
            </w:r>
            <w:r w:rsidRPr="00F819D1">
              <w:rPr>
                <w:rFonts w:asciiTheme="majorBidi" w:hAnsiTheme="majorBidi" w:cstheme="majorBidi"/>
                <w:color w:val="auto"/>
                <w:sz w:val="24"/>
                <w:szCs w:val="24"/>
                <w:lang w:val="nb-NO"/>
              </w:rPr>
              <w:t xml:space="preserve">J </w:t>
            </w:r>
            <w:proofErr w:type="spellStart"/>
            <w:r w:rsidRPr="00F819D1">
              <w:rPr>
                <w:rFonts w:asciiTheme="majorBidi" w:hAnsiTheme="majorBidi" w:cstheme="majorBidi"/>
                <w:color w:val="auto"/>
                <w:sz w:val="24"/>
                <w:szCs w:val="24"/>
                <w:lang w:val="nb-NO"/>
              </w:rPr>
              <w:t>Infect</w:t>
            </w:r>
            <w:proofErr w:type="spellEnd"/>
            <w:r w:rsidRPr="00F819D1">
              <w:rPr>
                <w:rFonts w:asciiTheme="majorBidi" w:hAnsiTheme="majorBidi" w:cstheme="majorBidi"/>
                <w:color w:val="auto"/>
                <w:sz w:val="24"/>
                <w:szCs w:val="24"/>
                <w:lang w:val="nb-NO"/>
              </w:rPr>
              <w:t xml:space="preserve"> </w:t>
            </w:r>
            <w:proofErr w:type="spellStart"/>
            <w:r w:rsidRPr="00F819D1">
              <w:rPr>
                <w:rFonts w:asciiTheme="majorBidi" w:hAnsiTheme="majorBidi" w:cstheme="majorBidi"/>
                <w:color w:val="auto"/>
                <w:sz w:val="24"/>
                <w:szCs w:val="24"/>
                <w:lang w:val="nb-NO"/>
              </w:rPr>
              <w:t>Chemother</w:t>
            </w:r>
            <w:proofErr w:type="spellEnd"/>
            <w:r w:rsidRPr="00F819D1">
              <w:rPr>
                <w:rFonts w:asciiTheme="majorBidi" w:hAnsiTheme="majorBidi" w:cstheme="majorBidi"/>
                <w:color w:val="auto"/>
                <w:sz w:val="24"/>
                <w:szCs w:val="24"/>
                <w:lang w:val="nb-NO"/>
              </w:rPr>
              <w:t>. 2025;31:102798. https://doi.org/10.1016/j.jiac.2025.102798</w:t>
            </w:r>
          </w:p>
        </w:tc>
        <w:tc>
          <w:tcPr>
            <w:tcW w:w="5938" w:type="dxa"/>
          </w:tcPr>
          <w:p w14:paraId="53B09C10" w14:textId="2536F79B" w:rsidR="009405C7" w:rsidRPr="00F819D1" w:rsidRDefault="009405C7" w:rsidP="009405C7">
            <w:pPr>
              <w:pStyle w:val="MDPI31text"/>
              <w:ind w:left="0" w:firstLine="0"/>
              <w:rPr>
                <w:rFonts w:asciiTheme="majorBidi" w:hAnsiTheme="majorBidi" w:cstheme="majorBidi"/>
                <w:color w:val="auto"/>
                <w:sz w:val="24"/>
                <w:szCs w:val="24"/>
              </w:rPr>
            </w:pPr>
            <w:r w:rsidRPr="00F819D1">
              <w:rPr>
                <w:rFonts w:asciiTheme="majorBidi" w:hAnsiTheme="majorBidi" w:cstheme="majorBidi"/>
                <w:color w:val="auto"/>
                <w:sz w:val="24"/>
                <w:szCs w:val="24"/>
              </w:rPr>
              <w:t>Outside the prespecified review scope. This retrospective multicenter study evaluates the association between repeated COVID-19 vaccination and symptom resolution (maximum body temperature, fever duration, and persistence of symptoms) among mild outpatient cases only during a KP.3-dominant period. The study does not assess vaccine effectiveness against severe COVID-19 outcomes (hospitali</w:t>
            </w:r>
            <w:r w:rsidR="001B2851" w:rsidRPr="00F819D1">
              <w:rPr>
                <w:rFonts w:asciiTheme="majorBidi" w:hAnsiTheme="majorBidi" w:cstheme="majorBidi"/>
                <w:color w:val="auto"/>
                <w:sz w:val="24"/>
                <w:szCs w:val="24"/>
              </w:rPr>
              <w:t>z</w:t>
            </w:r>
            <w:r w:rsidRPr="00F819D1">
              <w:rPr>
                <w:rFonts w:asciiTheme="majorBidi" w:hAnsiTheme="majorBidi" w:cstheme="majorBidi"/>
                <w:color w:val="auto"/>
                <w:sz w:val="24"/>
                <w:szCs w:val="24"/>
              </w:rPr>
              <w:t>ation, ICU admission, or death), which were the primary outcomes of interest in this review.</w:t>
            </w:r>
          </w:p>
        </w:tc>
      </w:tr>
      <w:tr w:rsidR="009405C7" w14:paraId="6C3D0438" w14:textId="77777777" w:rsidTr="00B20255">
        <w:tc>
          <w:tcPr>
            <w:tcW w:w="5403" w:type="dxa"/>
          </w:tcPr>
          <w:p w14:paraId="33C5AA77" w14:textId="3B9F3838" w:rsidR="009405C7" w:rsidRPr="00C23C71" w:rsidRDefault="00C23C71" w:rsidP="009405C7">
            <w:pPr>
              <w:pStyle w:val="MDPI31text"/>
              <w:ind w:left="0" w:firstLine="0"/>
              <w:rPr>
                <w:rFonts w:asciiTheme="majorBidi" w:hAnsiTheme="majorBidi" w:cstheme="majorBidi"/>
                <w:color w:val="auto"/>
                <w:sz w:val="24"/>
                <w:szCs w:val="24"/>
              </w:rPr>
            </w:pPr>
            <w:r w:rsidRPr="00C23C71">
              <w:rPr>
                <w:rFonts w:asciiTheme="majorBidi" w:hAnsiTheme="majorBidi" w:cstheme="majorBidi"/>
                <w:color w:val="auto"/>
                <w:sz w:val="24"/>
                <w:szCs w:val="24"/>
              </w:rPr>
              <w:lastRenderedPageBreak/>
              <w:t xml:space="preserve">Barbieri E, Trinh NTH, Di Chiara C, Corrao G, </w:t>
            </w:r>
            <w:proofErr w:type="spellStart"/>
            <w:r w:rsidRPr="00C23C71">
              <w:rPr>
                <w:rFonts w:asciiTheme="majorBidi" w:hAnsiTheme="majorBidi" w:cstheme="majorBidi"/>
                <w:color w:val="auto"/>
                <w:sz w:val="24"/>
                <w:szCs w:val="24"/>
              </w:rPr>
              <w:t>Boracchini</w:t>
            </w:r>
            <w:proofErr w:type="spellEnd"/>
            <w:r w:rsidRPr="00C23C71">
              <w:rPr>
                <w:rFonts w:asciiTheme="majorBidi" w:hAnsiTheme="majorBidi" w:cstheme="majorBidi"/>
                <w:color w:val="auto"/>
                <w:sz w:val="24"/>
                <w:szCs w:val="24"/>
              </w:rPr>
              <w:t xml:space="preserve"> R, Rosa E, et al. Impact of prior SARS-CoV-2 infection on COVID-19 vaccine effectiveness in children and adolescents in Norway and Italy. Vaccines (Basel). 2025;13(7):698. https://doi.org/10.3390/vaccines13070698</w:t>
            </w:r>
          </w:p>
        </w:tc>
        <w:tc>
          <w:tcPr>
            <w:tcW w:w="5938" w:type="dxa"/>
          </w:tcPr>
          <w:p w14:paraId="4129660E" w14:textId="64DCF6AD" w:rsidR="009405C7" w:rsidRPr="00C23C71" w:rsidRDefault="009405C7" w:rsidP="009405C7">
            <w:pPr>
              <w:pStyle w:val="MDPI31text"/>
              <w:ind w:left="0" w:firstLine="0"/>
              <w:rPr>
                <w:rFonts w:asciiTheme="majorBidi" w:hAnsiTheme="majorBidi" w:cstheme="majorBidi"/>
                <w:color w:val="auto"/>
                <w:sz w:val="24"/>
                <w:szCs w:val="24"/>
              </w:rPr>
            </w:pPr>
            <w:r w:rsidRPr="00C23C71">
              <w:rPr>
                <w:rFonts w:asciiTheme="majorBidi" w:hAnsiTheme="majorBidi" w:cstheme="majorBidi"/>
                <w:color w:val="auto"/>
                <w:sz w:val="24"/>
                <w:szCs w:val="24"/>
              </w:rPr>
              <w:t>Outside the prespecified review scope. This retrospective matched cohort study evaluates vaccine-induced and hybrid immunity against SARS-CoV-2 infection and reinfection in children and adolescents aged 5–14 years, without assessing severe clinical outcomes (hospitali</w:t>
            </w:r>
            <w:r w:rsidR="001B2851" w:rsidRPr="00C23C71">
              <w:rPr>
                <w:rFonts w:asciiTheme="majorBidi" w:hAnsiTheme="majorBidi" w:cstheme="majorBidi"/>
                <w:color w:val="auto"/>
                <w:sz w:val="24"/>
                <w:szCs w:val="24"/>
              </w:rPr>
              <w:t>z</w:t>
            </w:r>
            <w:r w:rsidRPr="00C23C71">
              <w:rPr>
                <w:rFonts w:asciiTheme="majorBidi" w:hAnsiTheme="majorBidi" w:cstheme="majorBidi"/>
                <w:color w:val="auto"/>
                <w:sz w:val="24"/>
                <w:szCs w:val="24"/>
              </w:rPr>
              <w:t>ation, ICU admission, or death). Both the paediatric/adolescent population and infection-only outcomes fall outside the adult severe-outcome focus of this review.</w:t>
            </w:r>
          </w:p>
        </w:tc>
      </w:tr>
      <w:tr w:rsidR="009405C7" w14:paraId="0C91F0F8" w14:textId="77777777" w:rsidTr="00B20255">
        <w:tc>
          <w:tcPr>
            <w:tcW w:w="5403" w:type="dxa"/>
          </w:tcPr>
          <w:p w14:paraId="7BD7D013" w14:textId="486A14DD" w:rsidR="009405C7" w:rsidRPr="00DD707B" w:rsidRDefault="00DD707B" w:rsidP="009405C7">
            <w:pPr>
              <w:pStyle w:val="MDPI31text"/>
              <w:ind w:left="0" w:firstLine="0"/>
              <w:rPr>
                <w:rFonts w:asciiTheme="majorBidi" w:hAnsiTheme="majorBidi" w:cstheme="majorBidi"/>
                <w:color w:val="auto"/>
                <w:sz w:val="24"/>
                <w:szCs w:val="24"/>
              </w:rPr>
            </w:pPr>
            <w:r w:rsidRPr="00DD707B">
              <w:rPr>
                <w:rFonts w:asciiTheme="majorBidi" w:hAnsiTheme="majorBidi" w:cstheme="majorBidi"/>
                <w:color w:val="auto"/>
                <w:sz w:val="24"/>
                <w:szCs w:val="24"/>
              </w:rPr>
              <w:t xml:space="preserve">Barchuk A, Bulina A, Cherkashin M, Berezina N, Rakova T, </w:t>
            </w:r>
            <w:proofErr w:type="spellStart"/>
            <w:r w:rsidRPr="00DD707B">
              <w:rPr>
                <w:rFonts w:asciiTheme="majorBidi" w:hAnsiTheme="majorBidi" w:cstheme="majorBidi"/>
                <w:color w:val="auto"/>
                <w:sz w:val="24"/>
                <w:szCs w:val="24"/>
              </w:rPr>
              <w:t>Kuplevatskaya</w:t>
            </w:r>
            <w:proofErr w:type="spellEnd"/>
            <w:r w:rsidRPr="00DD707B">
              <w:rPr>
                <w:rFonts w:asciiTheme="majorBidi" w:hAnsiTheme="majorBidi" w:cstheme="majorBidi"/>
                <w:color w:val="auto"/>
                <w:sz w:val="24"/>
                <w:szCs w:val="24"/>
              </w:rPr>
              <w:t xml:space="preserve"> D, et al. Gam-COVID-Vac, EpiVacCorona, and </w:t>
            </w:r>
            <w:proofErr w:type="spellStart"/>
            <w:r w:rsidRPr="00DD707B">
              <w:rPr>
                <w:rFonts w:asciiTheme="majorBidi" w:hAnsiTheme="majorBidi" w:cstheme="majorBidi"/>
                <w:color w:val="auto"/>
                <w:sz w:val="24"/>
                <w:szCs w:val="24"/>
              </w:rPr>
              <w:t>CoviVac</w:t>
            </w:r>
            <w:proofErr w:type="spellEnd"/>
            <w:r w:rsidRPr="00DD707B">
              <w:rPr>
                <w:rFonts w:asciiTheme="majorBidi" w:hAnsiTheme="majorBidi" w:cstheme="majorBidi"/>
                <w:color w:val="auto"/>
                <w:sz w:val="24"/>
                <w:szCs w:val="24"/>
              </w:rPr>
              <w:t xml:space="preserve"> effectiveness against lung injury during Delta and Omicron variant surges in St. Petersburg, Russia: a test-negative case-control study. Respir Res. 2022;23:276. https://doi.org/10.1186/s12931-022-02206-3</w:t>
            </w:r>
          </w:p>
        </w:tc>
        <w:tc>
          <w:tcPr>
            <w:tcW w:w="5938" w:type="dxa"/>
          </w:tcPr>
          <w:p w14:paraId="2156734C" w14:textId="1AF7F4DB" w:rsidR="009405C7" w:rsidRPr="00DD707B" w:rsidRDefault="009405C7" w:rsidP="009405C7">
            <w:pPr>
              <w:pStyle w:val="MDPI31text"/>
              <w:ind w:left="0" w:firstLine="0"/>
              <w:rPr>
                <w:rFonts w:asciiTheme="majorBidi" w:hAnsiTheme="majorBidi" w:cstheme="majorBidi"/>
                <w:color w:val="auto"/>
                <w:sz w:val="24"/>
                <w:szCs w:val="24"/>
              </w:rPr>
            </w:pPr>
            <w:r w:rsidRPr="00DD707B">
              <w:rPr>
                <w:rFonts w:asciiTheme="majorBidi" w:hAnsiTheme="majorBidi" w:cstheme="majorBidi"/>
                <w:color w:val="auto"/>
                <w:sz w:val="24"/>
                <w:szCs w:val="24"/>
              </w:rPr>
              <w:t xml:space="preserve">Outside the prespecified review scope. This test-negative case–control study evaluates vaccine effectiveness against CT-detected lung injury during Delta and early Omicron (BA.1) periods (October 2021–April 2022) using region-specific vaccines (Gam-COVID-Vac, EpiVacCorona, </w:t>
            </w:r>
            <w:proofErr w:type="spellStart"/>
            <w:r w:rsidRPr="00DD707B">
              <w:rPr>
                <w:rFonts w:asciiTheme="majorBidi" w:hAnsiTheme="majorBidi" w:cstheme="majorBidi"/>
                <w:color w:val="auto"/>
                <w:sz w:val="24"/>
                <w:szCs w:val="24"/>
              </w:rPr>
              <w:t>CoviVac</w:t>
            </w:r>
            <w:proofErr w:type="spellEnd"/>
            <w:r w:rsidRPr="00DD707B">
              <w:rPr>
                <w:rFonts w:asciiTheme="majorBidi" w:hAnsiTheme="majorBidi" w:cstheme="majorBidi"/>
                <w:color w:val="auto"/>
                <w:sz w:val="24"/>
                <w:szCs w:val="24"/>
              </w:rPr>
              <w:t>). The study does not assess hospitali</w:t>
            </w:r>
            <w:r w:rsidR="001B2851" w:rsidRPr="00DD707B">
              <w:rPr>
                <w:rFonts w:asciiTheme="majorBidi" w:hAnsiTheme="majorBidi" w:cstheme="majorBidi"/>
                <w:color w:val="auto"/>
                <w:sz w:val="24"/>
                <w:szCs w:val="24"/>
              </w:rPr>
              <w:t>z</w:t>
            </w:r>
            <w:r w:rsidRPr="00DD707B">
              <w:rPr>
                <w:rFonts w:asciiTheme="majorBidi" w:hAnsiTheme="majorBidi" w:cstheme="majorBidi"/>
                <w:color w:val="auto"/>
                <w:sz w:val="24"/>
                <w:szCs w:val="24"/>
              </w:rPr>
              <w:t>ation, ICU admission, or mortality outcomes, nor does it evaluate variant-adapted mRNA vaccines or late-Omicron subvariants, which are the focus of this review.</w:t>
            </w:r>
          </w:p>
        </w:tc>
      </w:tr>
      <w:tr w:rsidR="009405C7" w14:paraId="5DC8B520" w14:textId="77777777" w:rsidTr="00B20255">
        <w:tc>
          <w:tcPr>
            <w:tcW w:w="5403" w:type="dxa"/>
          </w:tcPr>
          <w:p w14:paraId="55D62313" w14:textId="4DE8FC08" w:rsidR="009405C7" w:rsidRPr="0093488D" w:rsidRDefault="0093488D" w:rsidP="009405C7">
            <w:pPr>
              <w:pStyle w:val="MDPI31text"/>
              <w:ind w:left="0" w:firstLine="0"/>
              <w:rPr>
                <w:rFonts w:asciiTheme="majorBidi" w:hAnsiTheme="majorBidi" w:cstheme="majorBidi"/>
                <w:color w:val="auto"/>
                <w:sz w:val="24"/>
                <w:szCs w:val="24"/>
              </w:rPr>
            </w:pPr>
            <w:r w:rsidRPr="0093488D">
              <w:rPr>
                <w:rFonts w:asciiTheme="majorBidi" w:hAnsiTheme="majorBidi" w:cstheme="majorBidi"/>
                <w:color w:val="auto"/>
                <w:sz w:val="24"/>
                <w:szCs w:val="24"/>
                <w:lang w:val="en-GB"/>
              </w:rPr>
              <w:t xml:space="preserve">Baum U, </w:t>
            </w:r>
            <w:proofErr w:type="spellStart"/>
            <w:r w:rsidRPr="0093488D">
              <w:rPr>
                <w:rFonts w:asciiTheme="majorBidi" w:hAnsiTheme="majorBidi" w:cstheme="majorBidi"/>
                <w:color w:val="auto"/>
                <w:sz w:val="24"/>
                <w:szCs w:val="24"/>
                <w:lang w:val="en-GB"/>
              </w:rPr>
              <w:t>Poukka</w:t>
            </w:r>
            <w:proofErr w:type="spellEnd"/>
            <w:r w:rsidRPr="0093488D">
              <w:rPr>
                <w:rFonts w:asciiTheme="majorBidi" w:hAnsiTheme="majorBidi" w:cstheme="majorBidi"/>
                <w:color w:val="auto"/>
                <w:sz w:val="24"/>
                <w:szCs w:val="24"/>
                <w:lang w:val="en-GB"/>
              </w:rPr>
              <w:t xml:space="preserve"> E, Leino T, </w:t>
            </w:r>
            <w:proofErr w:type="spellStart"/>
            <w:r w:rsidRPr="0093488D">
              <w:rPr>
                <w:rFonts w:asciiTheme="majorBidi" w:hAnsiTheme="majorBidi" w:cstheme="majorBidi"/>
                <w:color w:val="auto"/>
                <w:sz w:val="24"/>
                <w:szCs w:val="24"/>
                <w:lang w:val="en-GB"/>
              </w:rPr>
              <w:t>Kilpi</w:t>
            </w:r>
            <w:proofErr w:type="spellEnd"/>
            <w:r w:rsidRPr="0093488D">
              <w:rPr>
                <w:rFonts w:asciiTheme="majorBidi" w:hAnsiTheme="majorBidi" w:cstheme="majorBidi"/>
                <w:color w:val="auto"/>
                <w:sz w:val="24"/>
                <w:szCs w:val="24"/>
                <w:lang w:val="en-GB"/>
              </w:rPr>
              <w:t xml:space="preserve"> T, </w:t>
            </w:r>
            <w:proofErr w:type="spellStart"/>
            <w:r w:rsidRPr="0093488D">
              <w:rPr>
                <w:rFonts w:asciiTheme="majorBidi" w:hAnsiTheme="majorBidi" w:cstheme="majorBidi"/>
                <w:color w:val="auto"/>
                <w:sz w:val="24"/>
                <w:szCs w:val="24"/>
                <w:lang w:val="en-GB"/>
              </w:rPr>
              <w:t>Nohynek</w:t>
            </w:r>
            <w:proofErr w:type="spellEnd"/>
            <w:r w:rsidRPr="0093488D">
              <w:rPr>
                <w:rFonts w:asciiTheme="majorBidi" w:hAnsiTheme="majorBidi" w:cstheme="majorBidi"/>
                <w:color w:val="auto"/>
                <w:sz w:val="24"/>
                <w:szCs w:val="24"/>
                <w:lang w:val="en-GB"/>
              </w:rPr>
              <w:t xml:space="preserve"> H, Palmu AA. </w:t>
            </w:r>
            <w:r w:rsidRPr="0093488D">
              <w:rPr>
                <w:rFonts w:asciiTheme="majorBidi" w:hAnsiTheme="majorBidi" w:cstheme="majorBidi"/>
                <w:color w:val="auto"/>
                <w:sz w:val="24"/>
                <w:szCs w:val="24"/>
                <w:lang w:val="en-AU"/>
              </w:rPr>
              <w:t xml:space="preserve">High vaccine effectiveness against severe COVID-19 in the elderly in Finland before and after the emergence of Omicron. </w:t>
            </w:r>
            <w:r w:rsidRPr="0093488D">
              <w:rPr>
                <w:rFonts w:asciiTheme="majorBidi" w:hAnsiTheme="majorBidi" w:cstheme="majorBidi"/>
                <w:color w:val="auto"/>
                <w:sz w:val="24"/>
                <w:szCs w:val="24"/>
                <w:lang w:val="nb-NO"/>
              </w:rPr>
              <w:t xml:space="preserve">BMC </w:t>
            </w:r>
            <w:proofErr w:type="spellStart"/>
            <w:r w:rsidRPr="0093488D">
              <w:rPr>
                <w:rFonts w:asciiTheme="majorBidi" w:hAnsiTheme="majorBidi" w:cstheme="majorBidi"/>
                <w:color w:val="auto"/>
                <w:sz w:val="24"/>
                <w:szCs w:val="24"/>
                <w:lang w:val="nb-NO"/>
              </w:rPr>
              <w:t>Infect</w:t>
            </w:r>
            <w:proofErr w:type="spellEnd"/>
            <w:r w:rsidRPr="0093488D">
              <w:rPr>
                <w:rFonts w:asciiTheme="majorBidi" w:hAnsiTheme="majorBidi" w:cstheme="majorBidi"/>
                <w:color w:val="auto"/>
                <w:sz w:val="24"/>
                <w:szCs w:val="24"/>
                <w:lang w:val="nb-NO"/>
              </w:rPr>
              <w:t xml:space="preserve"> Dis. 2022;22:816. https://doi.org/10.1186/s12879-022-07814-4</w:t>
            </w:r>
          </w:p>
        </w:tc>
        <w:tc>
          <w:tcPr>
            <w:tcW w:w="5938" w:type="dxa"/>
          </w:tcPr>
          <w:p w14:paraId="130C6699" w14:textId="7AD54930" w:rsidR="009405C7" w:rsidRPr="0093488D" w:rsidRDefault="009405C7" w:rsidP="009405C7">
            <w:pPr>
              <w:pStyle w:val="MDPI31text"/>
              <w:ind w:left="0" w:firstLine="0"/>
              <w:rPr>
                <w:rFonts w:asciiTheme="majorBidi" w:hAnsiTheme="majorBidi" w:cstheme="majorBidi"/>
                <w:color w:val="auto"/>
                <w:sz w:val="24"/>
                <w:szCs w:val="24"/>
              </w:rPr>
            </w:pPr>
            <w:r w:rsidRPr="0093488D">
              <w:rPr>
                <w:rFonts w:asciiTheme="majorBidi" w:hAnsiTheme="majorBidi" w:cstheme="majorBidi"/>
                <w:color w:val="auto"/>
                <w:sz w:val="24"/>
                <w:szCs w:val="24"/>
              </w:rPr>
              <w:t>Outside the prespecified review scope. This nationwide register-based cohort study evaluates vaccine effectiveness against COVID-19-related hospitali</w:t>
            </w:r>
            <w:r w:rsidR="001B2851" w:rsidRPr="0093488D">
              <w:rPr>
                <w:rFonts w:asciiTheme="majorBidi" w:hAnsiTheme="majorBidi" w:cstheme="majorBidi"/>
                <w:color w:val="auto"/>
                <w:sz w:val="24"/>
                <w:szCs w:val="24"/>
              </w:rPr>
              <w:t>z</w:t>
            </w:r>
            <w:r w:rsidRPr="0093488D">
              <w:rPr>
                <w:rFonts w:asciiTheme="majorBidi" w:hAnsiTheme="majorBidi" w:cstheme="majorBidi"/>
                <w:color w:val="auto"/>
                <w:sz w:val="24"/>
                <w:szCs w:val="24"/>
              </w:rPr>
              <w:t xml:space="preserve">ation and ICU admission during pre-Omicron, Delta, and early Omicron (BA.1/BA.2) periods (December 2020–March 2022) using ancestral (monovalent) vaccines only. The study predates the late-Omicron evolutionary phase and does not assess variant-adapted vaccines (e.g., </w:t>
            </w:r>
            <w:r w:rsidR="00A13B79" w:rsidRPr="0093488D">
              <w:rPr>
                <w:rFonts w:asciiTheme="majorBidi" w:hAnsiTheme="majorBidi" w:cstheme="majorBidi"/>
                <w:color w:val="auto"/>
                <w:sz w:val="24"/>
                <w:szCs w:val="24"/>
              </w:rPr>
              <w:t>BA.4/BA.5</w:t>
            </w:r>
            <w:r w:rsidRPr="0093488D">
              <w:rPr>
                <w:rFonts w:asciiTheme="majorBidi" w:hAnsiTheme="majorBidi" w:cstheme="majorBidi"/>
                <w:color w:val="auto"/>
                <w:sz w:val="24"/>
                <w:szCs w:val="24"/>
              </w:rPr>
              <w:t>, XBB, JN.1, KP-lineage), which are the focus of this review.</w:t>
            </w:r>
          </w:p>
        </w:tc>
      </w:tr>
      <w:tr w:rsidR="009405C7" w14:paraId="7C5EBF77" w14:textId="77777777" w:rsidTr="00B20255">
        <w:tc>
          <w:tcPr>
            <w:tcW w:w="5403" w:type="dxa"/>
          </w:tcPr>
          <w:p w14:paraId="77D979A5" w14:textId="2AD32BB4" w:rsidR="009405C7" w:rsidRPr="0048496D" w:rsidRDefault="0048496D" w:rsidP="009405C7">
            <w:pPr>
              <w:pStyle w:val="MDPI31text"/>
              <w:ind w:left="0" w:firstLine="0"/>
              <w:rPr>
                <w:rFonts w:asciiTheme="majorBidi" w:hAnsiTheme="majorBidi" w:cstheme="majorBidi"/>
                <w:color w:val="auto"/>
                <w:sz w:val="24"/>
                <w:szCs w:val="24"/>
              </w:rPr>
            </w:pPr>
            <w:r w:rsidRPr="0048496D">
              <w:rPr>
                <w:rFonts w:asciiTheme="majorBidi" w:hAnsiTheme="majorBidi" w:cstheme="majorBidi"/>
                <w:color w:val="auto"/>
                <w:sz w:val="24"/>
                <w:szCs w:val="24"/>
                <w:lang w:val="en-AU"/>
              </w:rPr>
              <w:t xml:space="preserve">Bejko D, Ernst C, </w:t>
            </w:r>
            <w:proofErr w:type="spellStart"/>
            <w:r w:rsidRPr="0048496D">
              <w:rPr>
                <w:rFonts w:asciiTheme="majorBidi" w:hAnsiTheme="majorBidi" w:cstheme="majorBidi"/>
                <w:color w:val="auto"/>
                <w:sz w:val="24"/>
                <w:szCs w:val="24"/>
                <w:lang w:val="en-AU"/>
              </w:rPr>
              <w:t>Vergison</w:t>
            </w:r>
            <w:proofErr w:type="spellEnd"/>
            <w:r w:rsidRPr="0048496D">
              <w:rPr>
                <w:rFonts w:asciiTheme="majorBidi" w:hAnsiTheme="majorBidi" w:cstheme="majorBidi"/>
                <w:color w:val="auto"/>
                <w:sz w:val="24"/>
                <w:szCs w:val="24"/>
                <w:lang w:val="en-AU"/>
              </w:rPr>
              <w:t xml:space="preserve"> A, Stranges S, Zeegers MP, </w:t>
            </w:r>
            <w:proofErr w:type="spellStart"/>
            <w:r w:rsidRPr="0048496D">
              <w:rPr>
                <w:rFonts w:asciiTheme="majorBidi" w:hAnsiTheme="majorBidi" w:cstheme="majorBidi"/>
                <w:color w:val="auto"/>
                <w:sz w:val="24"/>
                <w:szCs w:val="24"/>
                <w:lang w:val="en-AU"/>
              </w:rPr>
              <w:t>Mossong</w:t>
            </w:r>
            <w:proofErr w:type="spellEnd"/>
            <w:r w:rsidRPr="0048496D">
              <w:rPr>
                <w:rFonts w:asciiTheme="majorBidi" w:hAnsiTheme="majorBidi" w:cstheme="majorBidi"/>
                <w:color w:val="auto"/>
                <w:sz w:val="24"/>
                <w:szCs w:val="24"/>
                <w:lang w:val="en-AU"/>
              </w:rPr>
              <w:t xml:space="preserve"> J. High vaccine effectiveness against severe COVID-19 outcomes and population preventable fraction during the Omicron era in Luxembourg: a nationwide retrospective risk factor analysis. </w:t>
            </w:r>
            <w:proofErr w:type="spellStart"/>
            <w:r w:rsidRPr="0048496D">
              <w:rPr>
                <w:rFonts w:asciiTheme="majorBidi" w:hAnsiTheme="majorBidi" w:cstheme="majorBidi"/>
                <w:color w:val="auto"/>
                <w:sz w:val="24"/>
                <w:szCs w:val="24"/>
                <w:lang w:val="nb-NO"/>
              </w:rPr>
              <w:t>Vaccine</w:t>
            </w:r>
            <w:proofErr w:type="spellEnd"/>
            <w:r w:rsidRPr="0048496D">
              <w:rPr>
                <w:rFonts w:asciiTheme="majorBidi" w:hAnsiTheme="majorBidi" w:cstheme="majorBidi"/>
                <w:color w:val="auto"/>
                <w:sz w:val="24"/>
                <w:szCs w:val="24"/>
                <w:lang w:val="nb-NO"/>
              </w:rPr>
              <w:t>. 2024;42:126011. https://doi.org/10.1016/j.vaccine.2024.05.059</w:t>
            </w:r>
          </w:p>
        </w:tc>
        <w:tc>
          <w:tcPr>
            <w:tcW w:w="5938" w:type="dxa"/>
          </w:tcPr>
          <w:p w14:paraId="6D1C93CB" w14:textId="16E1481F" w:rsidR="009405C7" w:rsidRPr="0048496D" w:rsidRDefault="009405C7" w:rsidP="009405C7">
            <w:pPr>
              <w:pStyle w:val="MDPI31text"/>
              <w:ind w:left="0" w:firstLine="0"/>
              <w:rPr>
                <w:rFonts w:asciiTheme="majorBidi" w:hAnsiTheme="majorBidi" w:cstheme="majorBidi"/>
                <w:color w:val="auto"/>
                <w:sz w:val="24"/>
                <w:szCs w:val="24"/>
              </w:rPr>
            </w:pPr>
            <w:r w:rsidRPr="0048496D">
              <w:rPr>
                <w:rFonts w:asciiTheme="majorBidi" w:hAnsiTheme="majorBidi" w:cstheme="majorBidi"/>
                <w:color w:val="auto"/>
                <w:sz w:val="24"/>
                <w:szCs w:val="24"/>
              </w:rPr>
              <w:t xml:space="preserve">Outside the prespecified review scope. The study reports vaccine effectiveness for primary and booster doses in aggregate without distinguishing variant-adapted vaccine formulations, and does not provide effectiveness estimates specific to bivalent or updated vaccines (e.g., </w:t>
            </w:r>
            <w:r w:rsidR="00A13B79" w:rsidRPr="0048496D">
              <w:rPr>
                <w:rFonts w:asciiTheme="majorBidi" w:hAnsiTheme="majorBidi" w:cstheme="majorBidi"/>
                <w:color w:val="auto"/>
                <w:sz w:val="24"/>
                <w:szCs w:val="24"/>
              </w:rPr>
              <w:t xml:space="preserve">BA.4/BA.5 </w:t>
            </w:r>
            <w:r w:rsidRPr="0048496D">
              <w:rPr>
                <w:rFonts w:asciiTheme="majorBidi" w:hAnsiTheme="majorBidi" w:cstheme="majorBidi"/>
                <w:color w:val="auto"/>
                <w:sz w:val="24"/>
                <w:szCs w:val="24"/>
              </w:rPr>
              <w:t>or XBB/JN.1), which are the focus of this review.</w:t>
            </w:r>
          </w:p>
        </w:tc>
      </w:tr>
      <w:tr w:rsidR="009405C7" w14:paraId="2FE60764" w14:textId="77777777" w:rsidTr="00B20255">
        <w:tc>
          <w:tcPr>
            <w:tcW w:w="5403" w:type="dxa"/>
          </w:tcPr>
          <w:p w14:paraId="59E427A6" w14:textId="1BCD0719" w:rsidR="009405C7" w:rsidRPr="00E859F2" w:rsidRDefault="00E859F2" w:rsidP="009405C7">
            <w:pPr>
              <w:pStyle w:val="MDPI31text"/>
              <w:ind w:left="0" w:firstLine="0"/>
              <w:rPr>
                <w:rFonts w:asciiTheme="majorBidi" w:hAnsiTheme="majorBidi" w:cstheme="majorBidi"/>
                <w:color w:val="auto"/>
                <w:sz w:val="24"/>
                <w:szCs w:val="24"/>
              </w:rPr>
            </w:pPr>
            <w:proofErr w:type="spellStart"/>
            <w:r w:rsidRPr="00E859F2">
              <w:rPr>
                <w:rFonts w:asciiTheme="majorBidi" w:hAnsiTheme="majorBidi" w:cstheme="majorBidi"/>
                <w:color w:val="auto"/>
                <w:sz w:val="24"/>
                <w:szCs w:val="24"/>
              </w:rPr>
              <w:t>Belayachi</w:t>
            </w:r>
            <w:proofErr w:type="spellEnd"/>
            <w:r w:rsidRPr="00E859F2">
              <w:rPr>
                <w:rFonts w:asciiTheme="majorBidi" w:hAnsiTheme="majorBidi" w:cstheme="majorBidi"/>
                <w:color w:val="auto"/>
                <w:sz w:val="24"/>
                <w:szCs w:val="24"/>
              </w:rPr>
              <w:t xml:space="preserve"> J, </w:t>
            </w:r>
            <w:proofErr w:type="spellStart"/>
            <w:r w:rsidRPr="00E859F2">
              <w:rPr>
                <w:rFonts w:asciiTheme="majorBidi" w:hAnsiTheme="majorBidi" w:cstheme="majorBidi"/>
                <w:color w:val="auto"/>
                <w:sz w:val="24"/>
                <w:szCs w:val="24"/>
              </w:rPr>
              <w:t>Mhayi</w:t>
            </w:r>
            <w:proofErr w:type="spellEnd"/>
            <w:r w:rsidRPr="00E859F2">
              <w:rPr>
                <w:rFonts w:asciiTheme="majorBidi" w:hAnsiTheme="majorBidi" w:cstheme="majorBidi"/>
                <w:color w:val="auto"/>
                <w:sz w:val="24"/>
                <w:szCs w:val="24"/>
              </w:rPr>
              <w:t xml:space="preserve"> A, Majidi H, El Fahime E, </w:t>
            </w:r>
            <w:proofErr w:type="spellStart"/>
            <w:r w:rsidRPr="00E859F2">
              <w:rPr>
                <w:rFonts w:asciiTheme="majorBidi" w:hAnsiTheme="majorBidi" w:cstheme="majorBidi"/>
                <w:color w:val="auto"/>
                <w:sz w:val="24"/>
                <w:szCs w:val="24"/>
              </w:rPr>
              <w:t>Abouqal</w:t>
            </w:r>
            <w:proofErr w:type="spellEnd"/>
            <w:r w:rsidRPr="00E859F2">
              <w:rPr>
                <w:rFonts w:asciiTheme="majorBidi" w:hAnsiTheme="majorBidi" w:cstheme="majorBidi"/>
                <w:color w:val="auto"/>
                <w:sz w:val="24"/>
                <w:szCs w:val="24"/>
              </w:rPr>
              <w:t xml:space="preserve"> R. Effectiveness of Sinopharm’s BBIBP-CorV booster vaccination against COVID-19-related severe and critical cases and deaths in Morocco during the Omicron wave. Vaccines (Basel). 2024;12(3):244. https://doi.org/10.3390/vaccines12030244</w:t>
            </w:r>
          </w:p>
        </w:tc>
        <w:tc>
          <w:tcPr>
            <w:tcW w:w="5938" w:type="dxa"/>
          </w:tcPr>
          <w:p w14:paraId="20D1E90B" w14:textId="77777777" w:rsidR="009405C7" w:rsidRPr="00E859F2" w:rsidRDefault="009405C7" w:rsidP="009405C7">
            <w:pPr>
              <w:pStyle w:val="MDPI31text"/>
              <w:ind w:left="0" w:firstLine="0"/>
              <w:rPr>
                <w:rFonts w:asciiTheme="majorBidi" w:hAnsiTheme="majorBidi" w:cstheme="majorBidi"/>
                <w:color w:val="auto"/>
                <w:sz w:val="24"/>
                <w:szCs w:val="24"/>
              </w:rPr>
            </w:pPr>
            <w:r w:rsidRPr="00E859F2">
              <w:rPr>
                <w:rFonts w:asciiTheme="majorBidi" w:hAnsiTheme="majorBidi" w:cstheme="majorBidi"/>
                <w:color w:val="auto"/>
                <w:sz w:val="24"/>
                <w:szCs w:val="24"/>
              </w:rPr>
              <w:t xml:space="preserve">Outside the prespecified review scope. This study estimates vaccine effectiveness using the screening (case–population) method, a pseudo-ecologic design based on vaccination coverage among cases and the reference population. It does not provide individual-level, population-based vaccine effectiveness (VE or </w:t>
            </w:r>
            <w:proofErr w:type="spellStart"/>
            <w:r w:rsidRPr="00E859F2">
              <w:rPr>
                <w:rFonts w:asciiTheme="majorBidi" w:hAnsiTheme="majorBidi" w:cstheme="majorBidi"/>
                <w:color w:val="auto"/>
                <w:sz w:val="24"/>
                <w:szCs w:val="24"/>
              </w:rPr>
              <w:t>rVE</w:t>
            </w:r>
            <w:proofErr w:type="spellEnd"/>
            <w:r w:rsidRPr="00E859F2">
              <w:rPr>
                <w:rFonts w:asciiTheme="majorBidi" w:hAnsiTheme="majorBidi" w:cstheme="majorBidi"/>
                <w:color w:val="auto"/>
                <w:sz w:val="24"/>
                <w:szCs w:val="24"/>
              </w:rPr>
              <w:t>) estimates derived from cohort, case–control, or test-negative designs and therefore is not eligible for inclusion in the formal VE synthesis.</w:t>
            </w:r>
          </w:p>
        </w:tc>
      </w:tr>
      <w:tr w:rsidR="009405C7" w14:paraId="66AE0417" w14:textId="77777777" w:rsidTr="00B20255">
        <w:tc>
          <w:tcPr>
            <w:tcW w:w="5403" w:type="dxa"/>
          </w:tcPr>
          <w:p w14:paraId="26B64A3E" w14:textId="701B6A22" w:rsidR="009405C7" w:rsidRPr="00FC5979" w:rsidRDefault="00FC5979" w:rsidP="009405C7">
            <w:pPr>
              <w:pStyle w:val="MDPI31text"/>
              <w:ind w:left="0" w:firstLine="0"/>
              <w:rPr>
                <w:rFonts w:asciiTheme="majorBidi" w:hAnsiTheme="majorBidi" w:cstheme="majorBidi"/>
                <w:color w:val="auto"/>
                <w:sz w:val="24"/>
                <w:szCs w:val="24"/>
              </w:rPr>
            </w:pPr>
            <w:r w:rsidRPr="00FC5979">
              <w:rPr>
                <w:rFonts w:asciiTheme="majorBidi" w:hAnsiTheme="majorBidi" w:cstheme="majorBidi"/>
                <w:color w:val="auto"/>
                <w:sz w:val="24"/>
                <w:szCs w:val="24"/>
                <w:lang w:val="en-GB"/>
              </w:rPr>
              <w:t xml:space="preserve">Bennett JC, Luiten KG, O’Hanlon J, Han PD, McDonald D, Wright T, et al. </w:t>
            </w:r>
            <w:r w:rsidRPr="00FC5979">
              <w:rPr>
                <w:rFonts w:asciiTheme="majorBidi" w:hAnsiTheme="majorBidi" w:cstheme="majorBidi"/>
                <w:color w:val="auto"/>
                <w:sz w:val="24"/>
                <w:szCs w:val="24"/>
                <w:lang w:val="en-AU"/>
              </w:rPr>
              <w:t xml:space="preserve">Utilizing a university testing program to estimate relative effectiveness of monovalent COVID-19 mRNA booster vaccine versus two-dose primary series against symptomatic SARS-CoV-2 infection. </w:t>
            </w:r>
            <w:r w:rsidRPr="004F6C90">
              <w:rPr>
                <w:rFonts w:asciiTheme="majorBidi" w:hAnsiTheme="majorBidi" w:cstheme="majorBidi"/>
                <w:color w:val="auto"/>
                <w:sz w:val="24"/>
                <w:szCs w:val="24"/>
                <w:lang w:val="en-AU"/>
              </w:rPr>
              <w:t>Vaccine. 2024;42:1332–1341. https://doi.org/10.1016/j.vaccine.2024.01.080</w:t>
            </w:r>
          </w:p>
        </w:tc>
        <w:tc>
          <w:tcPr>
            <w:tcW w:w="5938" w:type="dxa"/>
          </w:tcPr>
          <w:p w14:paraId="3A4AE7DE" w14:textId="03D7B3AD" w:rsidR="009405C7" w:rsidRPr="00FC5979" w:rsidRDefault="009405C7" w:rsidP="009405C7">
            <w:pPr>
              <w:pStyle w:val="MDPI31text"/>
              <w:ind w:left="0" w:firstLine="0"/>
              <w:rPr>
                <w:rFonts w:asciiTheme="majorBidi" w:hAnsiTheme="majorBidi" w:cstheme="majorBidi"/>
                <w:color w:val="auto"/>
                <w:sz w:val="24"/>
                <w:szCs w:val="24"/>
              </w:rPr>
            </w:pPr>
            <w:r w:rsidRPr="00FC5979">
              <w:rPr>
                <w:rFonts w:asciiTheme="majorBidi" w:hAnsiTheme="majorBidi" w:cstheme="majorBidi"/>
                <w:color w:val="auto"/>
                <w:sz w:val="24"/>
                <w:szCs w:val="24"/>
              </w:rPr>
              <w:t>Outside the prespecified review scope. This test-negative study evaluates relative vaccine effectiveness against symptomatic SARS-CoV-2 infection only in a young, predominantly healthy university population and does not assess severe COVID-19 outcomes (hospitali</w:t>
            </w:r>
            <w:r w:rsidR="001B2851" w:rsidRPr="00FC5979">
              <w:rPr>
                <w:rFonts w:asciiTheme="majorBidi" w:hAnsiTheme="majorBidi" w:cstheme="majorBidi"/>
                <w:color w:val="auto"/>
                <w:sz w:val="24"/>
                <w:szCs w:val="24"/>
              </w:rPr>
              <w:t>z</w:t>
            </w:r>
            <w:r w:rsidRPr="00FC5979">
              <w:rPr>
                <w:rFonts w:asciiTheme="majorBidi" w:hAnsiTheme="majorBidi" w:cstheme="majorBidi"/>
                <w:color w:val="auto"/>
                <w:sz w:val="24"/>
                <w:szCs w:val="24"/>
              </w:rPr>
              <w:t>ation, ICU admission, or death), which were the primary outcomes of interest in this review.</w:t>
            </w:r>
          </w:p>
        </w:tc>
      </w:tr>
      <w:tr w:rsidR="009405C7" w14:paraId="0F8D8472" w14:textId="77777777" w:rsidTr="00B20255">
        <w:tc>
          <w:tcPr>
            <w:tcW w:w="5403" w:type="dxa"/>
          </w:tcPr>
          <w:p w14:paraId="3CDFDB65" w14:textId="0CCD1DB6" w:rsidR="009405C7" w:rsidRPr="004B77FC" w:rsidRDefault="004B77FC" w:rsidP="009405C7">
            <w:pPr>
              <w:pStyle w:val="MDPI31text"/>
              <w:ind w:left="0" w:firstLine="0"/>
              <w:rPr>
                <w:rFonts w:asciiTheme="majorBidi" w:hAnsiTheme="majorBidi" w:cstheme="majorBidi"/>
                <w:color w:val="auto"/>
                <w:sz w:val="24"/>
                <w:szCs w:val="24"/>
              </w:rPr>
            </w:pPr>
            <w:r w:rsidRPr="004B77FC">
              <w:rPr>
                <w:rFonts w:asciiTheme="majorBidi" w:hAnsiTheme="majorBidi" w:cstheme="majorBidi"/>
                <w:color w:val="auto"/>
                <w:sz w:val="24"/>
                <w:szCs w:val="24"/>
                <w:lang w:val="en-AU"/>
              </w:rPr>
              <w:lastRenderedPageBreak/>
              <w:t xml:space="preserve">Bermingham C, Morgan J, </w:t>
            </w:r>
            <w:proofErr w:type="spellStart"/>
            <w:r w:rsidRPr="004B77FC">
              <w:rPr>
                <w:rFonts w:asciiTheme="majorBidi" w:hAnsiTheme="majorBidi" w:cstheme="majorBidi"/>
                <w:color w:val="auto"/>
                <w:sz w:val="24"/>
                <w:szCs w:val="24"/>
                <w:lang w:val="en-AU"/>
              </w:rPr>
              <w:t>Ayoubkhani</w:t>
            </w:r>
            <w:proofErr w:type="spellEnd"/>
            <w:r w:rsidRPr="004B77FC">
              <w:rPr>
                <w:rFonts w:asciiTheme="majorBidi" w:hAnsiTheme="majorBidi" w:cstheme="majorBidi"/>
                <w:color w:val="auto"/>
                <w:sz w:val="24"/>
                <w:szCs w:val="24"/>
                <w:lang w:val="en-AU"/>
              </w:rPr>
              <w:t xml:space="preserve"> D, Glickman M, Islam N, Sheikh A, et al. Estimating the effectiveness of first dose of COVID-19 vaccine against mortality in England: a quasi-experimental study. </w:t>
            </w:r>
            <w:r w:rsidRPr="004F6C90">
              <w:rPr>
                <w:rFonts w:asciiTheme="majorBidi" w:hAnsiTheme="majorBidi" w:cstheme="majorBidi"/>
                <w:color w:val="auto"/>
                <w:sz w:val="24"/>
                <w:szCs w:val="24"/>
                <w:lang w:val="en-AU"/>
              </w:rPr>
              <w:t>Am J Epidemiol. 2022. https://doi.org/10.1093/aje/kwac157</w:t>
            </w:r>
          </w:p>
        </w:tc>
        <w:tc>
          <w:tcPr>
            <w:tcW w:w="5938" w:type="dxa"/>
          </w:tcPr>
          <w:p w14:paraId="72F080E3" w14:textId="77777777" w:rsidR="009405C7" w:rsidRPr="004B77FC" w:rsidRDefault="009405C7" w:rsidP="009405C7">
            <w:pPr>
              <w:pStyle w:val="MDPI31text"/>
              <w:ind w:left="0" w:firstLine="0"/>
              <w:rPr>
                <w:rFonts w:asciiTheme="majorBidi" w:hAnsiTheme="majorBidi" w:cstheme="majorBidi"/>
                <w:color w:val="auto"/>
                <w:sz w:val="24"/>
                <w:szCs w:val="24"/>
              </w:rPr>
            </w:pPr>
            <w:r w:rsidRPr="004B77FC">
              <w:rPr>
                <w:rFonts w:asciiTheme="majorBidi" w:hAnsiTheme="majorBidi" w:cstheme="majorBidi"/>
                <w:color w:val="auto"/>
                <w:sz w:val="24"/>
                <w:szCs w:val="24"/>
              </w:rPr>
              <w:t>Outside the prespecified review scope. This quasi-experimental regression-discontinuity study evaluates the effectiveness of a first dose of ancestral COVID-19 vaccines against COVID-19 mortality during the early vaccination rollout period (January–February 2021), prior to the Omicron era and before the introduction of full primary series, booster doses, or variant-adapted vaccines, which are the focus of this review.</w:t>
            </w:r>
          </w:p>
        </w:tc>
      </w:tr>
      <w:tr w:rsidR="009405C7" w14:paraId="06A27A56" w14:textId="77777777" w:rsidTr="00B20255">
        <w:tc>
          <w:tcPr>
            <w:tcW w:w="5403" w:type="dxa"/>
          </w:tcPr>
          <w:p w14:paraId="431EC62E" w14:textId="4551D0F5" w:rsidR="009405C7" w:rsidRPr="004B77FC" w:rsidRDefault="004B77FC" w:rsidP="009405C7">
            <w:pPr>
              <w:pStyle w:val="MDPI31text"/>
              <w:ind w:left="0" w:firstLine="0"/>
              <w:rPr>
                <w:rFonts w:asciiTheme="majorBidi" w:hAnsiTheme="majorBidi" w:cstheme="majorBidi"/>
                <w:color w:val="auto"/>
                <w:sz w:val="24"/>
                <w:szCs w:val="24"/>
              </w:rPr>
            </w:pPr>
            <w:r w:rsidRPr="004B77FC">
              <w:rPr>
                <w:rFonts w:asciiTheme="majorBidi" w:hAnsiTheme="majorBidi" w:cstheme="majorBidi"/>
                <w:color w:val="auto"/>
                <w:sz w:val="24"/>
                <w:szCs w:val="24"/>
                <w:lang w:val="nb-NO"/>
              </w:rPr>
              <w:t xml:space="preserve">Björk J, </w:t>
            </w:r>
            <w:proofErr w:type="spellStart"/>
            <w:r w:rsidRPr="004B77FC">
              <w:rPr>
                <w:rFonts w:asciiTheme="majorBidi" w:hAnsiTheme="majorBidi" w:cstheme="majorBidi"/>
                <w:color w:val="auto"/>
                <w:sz w:val="24"/>
                <w:szCs w:val="24"/>
                <w:lang w:val="nb-NO"/>
              </w:rPr>
              <w:t>Bonander</w:t>
            </w:r>
            <w:proofErr w:type="spellEnd"/>
            <w:r w:rsidRPr="004B77FC">
              <w:rPr>
                <w:rFonts w:asciiTheme="majorBidi" w:hAnsiTheme="majorBidi" w:cstheme="majorBidi"/>
                <w:color w:val="auto"/>
                <w:sz w:val="24"/>
                <w:szCs w:val="24"/>
                <w:lang w:val="nb-NO"/>
              </w:rPr>
              <w:t xml:space="preserve"> C, </w:t>
            </w:r>
            <w:proofErr w:type="spellStart"/>
            <w:r w:rsidRPr="004B77FC">
              <w:rPr>
                <w:rFonts w:asciiTheme="majorBidi" w:hAnsiTheme="majorBidi" w:cstheme="majorBidi"/>
                <w:color w:val="auto"/>
                <w:sz w:val="24"/>
                <w:szCs w:val="24"/>
                <w:lang w:val="nb-NO"/>
              </w:rPr>
              <w:t>Moghaddassi</w:t>
            </w:r>
            <w:proofErr w:type="spellEnd"/>
            <w:r w:rsidRPr="004B77FC">
              <w:rPr>
                <w:rFonts w:asciiTheme="majorBidi" w:hAnsiTheme="majorBidi" w:cstheme="majorBidi"/>
                <w:color w:val="auto"/>
                <w:sz w:val="24"/>
                <w:szCs w:val="24"/>
                <w:lang w:val="nb-NO"/>
              </w:rPr>
              <w:t xml:space="preserve"> M, Rasmussen M, </w:t>
            </w:r>
            <w:proofErr w:type="spellStart"/>
            <w:r w:rsidRPr="004B77FC">
              <w:rPr>
                <w:rFonts w:asciiTheme="majorBidi" w:hAnsiTheme="majorBidi" w:cstheme="majorBidi"/>
                <w:color w:val="auto"/>
                <w:sz w:val="24"/>
                <w:szCs w:val="24"/>
                <w:lang w:val="nb-NO"/>
              </w:rPr>
              <w:t>Malmqvist</w:t>
            </w:r>
            <w:proofErr w:type="spellEnd"/>
            <w:r w:rsidRPr="004B77FC">
              <w:rPr>
                <w:rFonts w:asciiTheme="majorBidi" w:hAnsiTheme="majorBidi" w:cstheme="majorBidi"/>
                <w:color w:val="auto"/>
                <w:sz w:val="24"/>
                <w:szCs w:val="24"/>
                <w:lang w:val="nb-NO"/>
              </w:rPr>
              <w:t xml:space="preserve"> U, </w:t>
            </w:r>
            <w:proofErr w:type="spellStart"/>
            <w:r w:rsidRPr="004B77FC">
              <w:rPr>
                <w:rFonts w:asciiTheme="majorBidi" w:hAnsiTheme="majorBidi" w:cstheme="majorBidi"/>
                <w:color w:val="auto"/>
                <w:sz w:val="24"/>
                <w:szCs w:val="24"/>
                <w:lang w:val="nb-NO"/>
              </w:rPr>
              <w:t>Inghammar</w:t>
            </w:r>
            <w:proofErr w:type="spellEnd"/>
            <w:r w:rsidRPr="004B77FC">
              <w:rPr>
                <w:rFonts w:asciiTheme="majorBidi" w:hAnsiTheme="majorBidi" w:cstheme="majorBidi"/>
                <w:color w:val="auto"/>
                <w:sz w:val="24"/>
                <w:szCs w:val="24"/>
                <w:lang w:val="nb-NO"/>
              </w:rPr>
              <w:t xml:space="preserve"> M, et al. </w:t>
            </w:r>
            <w:r w:rsidRPr="004B77FC">
              <w:rPr>
                <w:rFonts w:asciiTheme="majorBidi" w:hAnsiTheme="majorBidi" w:cstheme="majorBidi"/>
                <w:color w:val="auto"/>
                <w:sz w:val="24"/>
                <w:szCs w:val="24"/>
                <w:lang w:val="en-AU"/>
              </w:rPr>
              <w:t xml:space="preserve">COVID-19 vaccine effectiveness against severe disease from SARS-CoV-2 Omicron BA.1 and BA.2 subvariants: surveillance results from southern Sweden, December 2021 to March 2022. </w:t>
            </w:r>
            <w:r w:rsidRPr="004B77FC">
              <w:rPr>
                <w:rFonts w:asciiTheme="majorBidi" w:hAnsiTheme="majorBidi" w:cstheme="majorBidi"/>
                <w:color w:val="auto"/>
                <w:sz w:val="24"/>
                <w:szCs w:val="24"/>
                <w:lang w:val="nb-NO"/>
              </w:rPr>
              <w:t xml:space="preserve">Euro </w:t>
            </w:r>
            <w:proofErr w:type="spellStart"/>
            <w:r w:rsidRPr="004B77FC">
              <w:rPr>
                <w:rFonts w:asciiTheme="majorBidi" w:hAnsiTheme="majorBidi" w:cstheme="majorBidi"/>
                <w:color w:val="auto"/>
                <w:sz w:val="24"/>
                <w:szCs w:val="24"/>
                <w:lang w:val="nb-NO"/>
              </w:rPr>
              <w:t>Surveill</w:t>
            </w:r>
            <w:proofErr w:type="spellEnd"/>
            <w:r w:rsidRPr="004B77FC">
              <w:rPr>
                <w:rFonts w:asciiTheme="majorBidi" w:hAnsiTheme="majorBidi" w:cstheme="majorBidi"/>
                <w:color w:val="auto"/>
                <w:sz w:val="24"/>
                <w:szCs w:val="24"/>
                <w:lang w:val="nb-NO"/>
              </w:rPr>
              <w:t>. 2022;27(18):2200322. https://doi.org/10.2807/1560-7917.ES.2022.27.18.2200322</w:t>
            </w:r>
          </w:p>
        </w:tc>
        <w:tc>
          <w:tcPr>
            <w:tcW w:w="5938" w:type="dxa"/>
          </w:tcPr>
          <w:p w14:paraId="0EA5B878" w14:textId="77777777" w:rsidR="009405C7" w:rsidRPr="004B77FC" w:rsidRDefault="009405C7" w:rsidP="009405C7">
            <w:pPr>
              <w:pStyle w:val="MDPI31text"/>
              <w:ind w:left="0" w:firstLine="0"/>
              <w:rPr>
                <w:rFonts w:asciiTheme="majorBidi" w:hAnsiTheme="majorBidi" w:cstheme="majorBidi"/>
                <w:color w:val="auto"/>
                <w:sz w:val="24"/>
                <w:szCs w:val="24"/>
              </w:rPr>
            </w:pPr>
            <w:r w:rsidRPr="004B77FC">
              <w:rPr>
                <w:rFonts w:asciiTheme="majorBidi" w:hAnsiTheme="majorBidi" w:cstheme="majorBidi"/>
                <w:color w:val="auto"/>
                <w:sz w:val="24"/>
                <w:szCs w:val="24"/>
              </w:rPr>
              <w:t>Outside the prespecified review scope. This surveillance study reports vaccine effectiveness only against severe COVID-19 and stratifies estimates by number of doses (two vs ≥3), representing a booster-focused framework that is not directly comparable with the vaccine-effectiveness outcomes and comparator structures synthesised in this review.</w:t>
            </w:r>
          </w:p>
        </w:tc>
      </w:tr>
      <w:tr w:rsidR="009405C7" w14:paraId="6C08AC7B" w14:textId="77777777" w:rsidTr="00B20255">
        <w:tc>
          <w:tcPr>
            <w:tcW w:w="5403" w:type="dxa"/>
          </w:tcPr>
          <w:p w14:paraId="223BE533" w14:textId="33AD5070" w:rsidR="009405C7" w:rsidRPr="005E55D6" w:rsidRDefault="005E55D6" w:rsidP="009405C7">
            <w:pPr>
              <w:pStyle w:val="MDPI31text"/>
              <w:ind w:left="0" w:firstLine="0"/>
              <w:rPr>
                <w:rFonts w:asciiTheme="majorBidi" w:hAnsiTheme="majorBidi" w:cstheme="majorBidi"/>
                <w:color w:val="auto"/>
                <w:sz w:val="24"/>
                <w:szCs w:val="24"/>
              </w:rPr>
            </w:pPr>
            <w:r w:rsidRPr="005E55D6">
              <w:rPr>
                <w:rFonts w:asciiTheme="majorBidi" w:hAnsiTheme="majorBidi" w:cstheme="majorBidi"/>
                <w:color w:val="auto"/>
                <w:sz w:val="24"/>
                <w:szCs w:val="24"/>
              </w:rPr>
              <w:t>Bloomfield LE, Ngeh S, Cadby G, Hutcheon K, Effler PV. SARS-CoV-2 vaccine effectiveness against Omicron variant in an infection-naive population, Australia, 2022. Emerg Infect Dis. 2023;29(6):1162–1172. https://doi.org/10.3201/eid2906.230130</w:t>
            </w:r>
          </w:p>
        </w:tc>
        <w:tc>
          <w:tcPr>
            <w:tcW w:w="5938" w:type="dxa"/>
          </w:tcPr>
          <w:p w14:paraId="6ED49297" w14:textId="77777777" w:rsidR="009405C7" w:rsidRPr="005E55D6" w:rsidRDefault="009405C7" w:rsidP="009405C7">
            <w:pPr>
              <w:pStyle w:val="MDPI31text"/>
              <w:ind w:left="0" w:firstLine="0"/>
              <w:rPr>
                <w:rFonts w:asciiTheme="majorBidi" w:hAnsiTheme="majorBidi" w:cstheme="majorBidi"/>
                <w:color w:val="auto"/>
                <w:sz w:val="24"/>
                <w:szCs w:val="24"/>
              </w:rPr>
            </w:pPr>
            <w:r w:rsidRPr="005E55D6">
              <w:rPr>
                <w:rFonts w:asciiTheme="majorBidi" w:hAnsiTheme="majorBidi" w:cstheme="majorBidi"/>
                <w:color w:val="auto"/>
                <w:sz w:val="24"/>
                <w:szCs w:val="24"/>
              </w:rPr>
              <w:t>Outside the prespecified review scope. This test-negative case–control study evaluates vaccine effectiveness against early Omicron sublineages (BA.1/BA.2) during February–May 2022 using ancestral (monovalent) vaccines only. The study predates the late-Omicron evolutionary phase and does not assess variant-adapted vaccines (e.g., BA.4/BA.5, XBB, JN.1, KP-lineage), which are the focus of this review.</w:t>
            </w:r>
          </w:p>
        </w:tc>
      </w:tr>
      <w:tr w:rsidR="009405C7" w14:paraId="0492F267" w14:textId="77777777" w:rsidTr="00B20255">
        <w:tc>
          <w:tcPr>
            <w:tcW w:w="5403" w:type="dxa"/>
          </w:tcPr>
          <w:p w14:paraId="23CDCDD1" w14:textId="4EE99731" w:rsidR="009405C7" w:rsidRPr="005E55D6" w:rsidRDefault="005E55D6" w:rsidP="009405C7">
            <w:pPr>
              <w:pStyle w:val="MDPI31text"/>
              <w:ind w:left="0" w:firstLine="0"/>
              <w:rPr>
                <w:rFonts w:asciiTheme="majorBidi" w:hAnsiTheme="majorBidi" w:cstheme="majorBidi"/>
                <w:color w:val="auto"/>
                <w:sz w:val="24"/>
                <w:szCs w:val="24"/>
              </w:rPr>
            </w:pPr>
            <w:proofErr w:type="spellStart"/>
            <w:r w:rsidRPr="005E55D6">
              <w:rPr>
                <w:rFonts w:asciiTheme="majorBidi" w:hAnsiTheme="majorBidi" w:cstheme="majorBidi"/>
                <w:color w:val="auto"/>
                <w:sz w:val="24"/>
                <w:szCs w:val="24"/>
              </w:rPr>
              <w:t>Braeye</w:t>
            </w:r>
            <w:proofErr w:type="spellEnd"/>
            <w:r w:rsidRPr="005E55D6">
              <w:rPr>
                <w:rFonts w:asciiTheme="majorBidi" w:hAnsiTheme="majorBidi" w:cstheme="majorBidi"/>
                <w:color w:val="auto"/>
                <w:sz w:val="24"/>
                <w:szCs w:val="24"/>
              </w:rPr>
              <w:t xml:space="preserve"> T, </w:t>
            </w:r>
            <w:proofErr w:type="spellStart"/>
            <w:r w:rsidRPr="005E55D6">
              <w:rPr>
                <w:rFonts w:asciiTheme="majorBidi" w:hAnsiTheme="majorBidi" w:cstheme="majorBidi"/>
                <w:color w:val="auto"/>
                <w:sz w:val="24"/>
                <w:szCs w:val="24"/>
              </w:rPr>
              <w:t>Catteau</w:t>
            </w:r>
            <w:proofErr w:type="spellEnd"/>
            <w:r w:rsidRPr="005E55D6">
              <w:rPr>
                <w:rFonts w:asciiTheme="majorBidi" w:hAnsiTheme="majorBidi" w:cstheme="majorBidi"/>
                <w:color w:val="auto"/>
                <w:sz w:val="24"/>
                <w:szCs w:val="24"/>
              </w:rPr>
              <w:t xml:space="preserve"> L, </w:t>
            </w:r>
            <w:proofErr w:type="spellStart"/>
            <w:r w:rsidRPr="005E55D6">
              <w:rPr>
                <w:rFonts w:asciiTheme="majorBidi" w:hAnsiTheme="majorBidi" w:cstheme="majorBidi"/>
                <w:color w:val="auto"/>
                <w:sz w:val="24"/>
                <w:szCs w:val="24"/>
              </w:rPr>
              <w:t>Brondeel</w:t>
            </w:r>
            <w:proofErr w:type="spellEnd"/>
            <w:r w:rsidRPr="005E55D6">
              <w:rPr>
                <w:rFonts w:asciiTheme="majorBidi" w:hAnsiTheme="majorBidi" w:cstheme="majorBidi"/>
                <w:color w:val="auto"/>
                <w:sz w:val="24"/>
                <w:szCs w:val="24"/>
              </w:rPr>
              <w:t xml:space="preserve"> R, van </w:t>
            </w:r>
            <w:proofErr w:type="spellStart"/>
            <w:r w:rsidRPr="005E55D6">
              <w:rPr>
                <w:rFonts w:asciiTheme="majorBidi" w:hAnsiTheme="majorBidi" w:cstheme="majorBidi"/>
                <w:color w:val="auto"/>
                <w:sz w:val="24"/>
                <w:szCs w:val="24"/>
              </w:rPr>
              <w:t>Loenhout</w:t>
            </w:r>
            <w:proofErr w:type="spellEnd"/>
            <w:r w:rsidRPr="005E55D6">
              <w:rPr>
                <w:rFonts w:asciiTheme="majorBidi" w:hAnsiTheme="majorBidi" w:cstheme="majorBidi"/>
                <w:color w:val="auto"/>
                <w:sz w:val="24"/>
                <w:szCs w:val="24"/>
              </w:rPr>
              <w:t xml:space="preserve"> JAF, </w:t>
            </w:r>
            <w:proofErr w:type="spellStart"/>
            <w:r w:rsidRPr="005E55D6">
              <w:rPr>
                <w:rFonts w:asciiTheme="majorBidi" w:hAnsiTheme="majorBidi" w:cstheme="majorBidi"/>
                <w:color w:val="auto"/>
                <w:sz w:val="24"/>
                <w:szCs w:val="24"/>
              </w:rPr>
              <w:t>Proesmans</w:t>
            </w:r>
            <w:proofErr w:type="spellEnd"/>
            <w:r w:rsidRPr="005E55D6">
              <w:rPr>
                <w:rFonts w:asciiTheme="majorBidi" w:hAnsiTheme="majorBidi" w:cstheme="majorBidi"/>
                <w:color w:val="auto"/>
                <w:sz w:val="24"/>
                <w:szCs w:val="24"/>
              </w:rPr>
              <w:t xml:space="preserve"> K, Cornelissen L, et al. Vaccine effectiveness against transmission of alpha, delta and omicron SARS-CoV-2 infection: Belgian contact tracing, 2021–2022. Vaccine. 2023;41:3292–3300. https://doi.org/10.1016/j.vaccine.2023.03.069</w:t>
            </w:r>
          </w:p>
        </w:tc>
        <w:tc>
          <w:tcPr>
            <w:tcW w:w="5938" w:type="dxa"/>
          </w:tcPr>
          <w:p w14:paraId="295D8A64" w14:textId="020B27DB" w:rsidR="009405C7" w:rsidRPr="005E55D6" w:rsidRDefault="009405C7" w:rsidP="009405C7">
            <w:pPr>
              <w:pStyle w:val="MDPI31text"/>
              <w:ind w:left="0" w:firstLine="0"/>
              <w:rPr>
                <w:rFonts w:asciiTheme="majorBidi" w:hAnsiTheme="majorBidi" w:cstheme="majorBidi"/>
                <w:color w:val="auto"/>
                <w:sz w:val="24"/>
                <w:szCs w:val="24"/>
              </w:rPr>
            </w:pPr>
            <w:r w:rsidRPr="005E55D6">
              <w:rPr>
                <w:rFonts w:asciiTheme="majorBidi" w:hAnsiTheme="majorBidi" w:cstheme="majorBidi"/>
                <w:color w:val="auto"/>
                <w:sz w:val="24"/>
                <w:szCs w:val="24"/>
              </w:rPr>
              <w:t>Outside the prespecified review scope. This contact-tracing study estimates vaccine effectiveness against transmission (susceptibility and infectiousness; VET/VEs/</w:t>
            </w:r>
            <w:proofErr w:type="spellStart"/>
            <w:r w:rsidRPr="005E55D6">
              <w:rPr>
                <w:rFonts w:asciiTheme="majorBidi" w:hAnsiTheme="majorBidi" w:cstheme="majorBidi"/>
                <w:color w:val="auto"/>
                <w:sz w:val="24"/>
                <w:szCs w:val="24"/>
              </w:rPr>
              <w:t>VEi</w:t>
            </w:r>
            <w:proofErr w:type="spellEnd"/>
            <w:r w:rsidRPr="005E55D6">
              <w:rPr>
                <w:rFonts w:asciiTheme="majorBidi" w:hAnsiTheme="majorBidi" w:cstheme="majorBidi"/>
                <w:color w:val="auto"/>
                <w:sz w:val="24"/>
                <w:szCs w:val="24"/>
              </w:rPr>
              <w:t>) using secondary attack rates and does not assess severe COVID-19 outcomes (hospitali</w:t>
            </w:r>
            <w:r w:rsidR="001B2851" w:rsidRPr="005E55D6">
              <w:rPr>
                <w:rFonts w:asciiTheme="majorBidi" w:hAnsiTheme="majorBidi" w:cstheme="majorBidi"/>
                <w:color w:val="auto"/>
                <w:sz w:val="24"/>
                <w:szCs w:val="24"/>
              </w:rPr>
              <w:t>z</w:t>
            </w:r>
            <w:r w:rsidRPr="005E55D6">
              <w:rPr>
                <w:rFonts w:asciiTheme="majorBidi" w:hAnsiTheme="majorBidi" w:cstheme="majorBidi"/>
                <w:color w:val="auto"/>
                <w:sz w:val="24"/>
                <w:szCs w:val="24"/>
              </w:rPr>
              <w:t>ation, ICU admission, or death), which were the primary outcomes of interest in this review.</w:t>
            </w:r>
          </w:p>
        </w:tc>
      </w:tr>
      <w:tr w:rsidR="009405C7" w14:paraId="506A8CD4" w14:textId="77777777" w:rsidTr="00B20255">
        <w:tc>
          <w:tcPr>
            <w:tcW w:w="5403" w:type="dxa"/>
          </w:tcPr>
          <w:p w14:paraId="146A0541" w14:textId="3067C369" w:rsidR="009405C7" w:rsidRPr="00B042F4" w:rsidRDefault="00B042F4" w:rsidP="009405C7">
            <w:pPr>
              <w:pStyle w:val="MDPI31text"/>
              <w:ind w:left="0" w:firstLine="0"/>
              <w:rPr>
                <w:rFonts w:asciiTheme="majorBidi" w:hAnsiTheme="majorBidi" w:cstheme="majorBidi"/>
                <w:color w:val="auto"/>
                <w:sz w:val="24"/>
                <w:szCs w:val="24"/>
              </w:rPr>
            </w:pPr>
            <w:proofErr w:type="spellStart"/>
            <w:r w:rsidRPr="00B042F4">
              <w:rPr>
                <w:rFonts w:asciiTheme="majorBidi" w:hAnsiTheme="majorBidi" w:cstheme="majorBidi"/>
                <w:color w:val="auto"/>
                <w:sz w:val="24"/>
                <w:szCs w:val="24"/>
                <w:lang w:val="nb-NO"/>
              </w:rPr>
              <w:t>Braeye</w:t>
            </w:r>
            <w:proofErr w:type="spellEnd"/>
            <w:r w:rsidRPr="00B042F4">
              <w:rPr>
                <w:rFonts w:asciiTheme="majorBidi" w:hAnsiTheme="majorBidi" w:cstheme="majorBidi"/>
                <w:color w:val="auto"/>
                <w:sz w:val="24"/>
                <w:szCs w:val="24"/>
                <w:lang w:val="nb-NO"/>
              </w:rPr>
              <w:t xml:space="preserve"> T, van </w:t>
            </w:r>
            <w:proofErr w:type="spellStart"/>
            <w:r w:rsidRPr="00B042F4">
              <w:rPr>
                <w:rFonts w:asciiTheme="majorBidi" w:hAnsiTheme="majorBidi" w:cstheme="majorBidi"/>
                <w:color w:val="auto"/>
                <w:sz w:val="24"/>
                <w:szCs w:val="24"/>
                <w:lang w:val="nb-NO"/>
              </w:rPr>
              <w:t>Loenhout</w:t>
            </w:r>
            <w:proofErr w:type="spellEnd"/>
            <w:r w:rsidRPr="00B042F4">
              <w:rPr>
                <w:rFonts w:asciiTheme="majorBidi" w:hAnsiTheme="majorBidi" w:cstheme="majorBidi"/>
                <w:color w:val="auto"/>
                <w:sz w:val="24"/>
                <w:szCs w:val="24"/>
                <w:lang w:val="nb-NO"/>
              </w:rPr>
              <w:t xml:space="preserve"> JAF, </w:t>
            </w:r>
            <w:proofErr w:type="spellStart"/>
            <w:r w:rsidRPr="00B042F4">
              <w:rPr>
                <w:rFonts w:asciiTheme="majorBidi" w:hAnsiTheme="majorBidi" w:cstheme="majorBidi"/>
                <w:color w:val="auto"/>
                <w:sz w:val="24"/>
                <w:szCs w:val="24"/>
                <w:lang w:val="nb-NO"/>
              </w:rPr>
              <w:t>Brondeel</w:t>
            </w:r>
            <w:proofErr w:type="spellEnd"/>
            <w:r w:rsidRPr="00B042F4">
              <w:rPr>
                <w:rFonts w:asciiTheme="majorBidi" w:hAnsiTheme="majorBidi" w:cstheme="majorBidi"/>
                <w:color w:val="auto"/>
                <w:sz w:val="24"/>
                <w:szCs w:val="24"/>
                <w:lang w:val="nb-NO"/>
              </w:rPr>
              <w:t xml:space="preserve"> R, </w:t>
            </w:r>
            <w:proofErr w:type="spellStart"/>
            <w:r w:rsidRPr="00B042F4">
              <w:rPr>
                <w:rFonts w:asciiTheme="majorBidi" w:hAnsiTheme="majorBidi" w:cstheme="majorBidi"/>
                <w:color w:val="auto"/>
                <w:sz w:val="24"/>
                <w:szCs w:val="24"/>
                <w:lang w:val="nb-NO"/>
              </w:rPr>
              <w:t>Stouten</w:t>
            </w:r>
            <w:proofErr w:type="spellEnd"/>
            <w:r w:rsidRPr="00B042F4">
              <w:rPr>
                <w:rFonts w:asciiTheme="majorBidi" w:hAnsiTheme="majorBidi" w:cstheme="majorBidi"/>
                <w:color w:val="auto"/>
                <w:sz w:val="24"/>
                <w:szCs w:val="24"/>
                <w:lang w:val="nb-NO"/>
              </w:rPr>
              <w:t xml:space="preserve"> V, </w:t>
            </w:r>
            <w:proofErr w:type="spellStart"/>
            <w:r w:rsidRPr="00B042F4">
              <w:rPr>
                <w:rFonts w:asciiTheme="majorBidi" w:hAnsiTheme="majorBidi" w:cstheme="majorBidi"/>
                <w:color w:val="auto"/>
                <w:sz w:val="24"/>
                <w:szCs w:val="24"/>
                <w:lang w:val="nb-NO"/>
              </w:rPr>
              <w:t>Hubin</w:t>
            </w:r>
            <w:proofErr w:type="spellEnd"/>
            <w:r w:rsidRPr="00B042F4">
              <w:rPr>
                <w:rFonts w:asciiTheme="majorBidi" w:hAnsiTheme="majorBidi" w:cstheme="majorBidi"/>
                <w:color w:val="auto"/>
                <w:sz w:val="24"/>
                <w:szCs w:val="24"/>
                <w:lang w:val="nb-NO"/>
              </w:rPr>
              <w:t xml:space="preserve"> P, </w:t>
            </w:r>
            <w:proofErr w:type="spellStart"/>
            <w:r w:rsidRPr="00B042F4">
              <w:rPr>
                <w:rFonts w:asciiTheme="majorBidi" w:hAnsiTheme="majorBidi" w:cstheme="majorBidi"/>
                <w:color w:val="auto"/>
                <w:sz w:val="24"/>
                <w:szCs w:val="24"/>
                <w:lang w:val="nb-NO"/>
              </w:rPr>
              <w:t>Billuart</w:t>
            </w:r>
            <w:proofErr w:type="spellEnd"/>
            <w:r w:rsidRPr="00B042F4">
              <w:rPr>
                <w:rFonts w:asciiTheme="majorBidi" w:hAnsiTheme="majorBidi" w:cstheme="majorBidi"/>
                <w:color w:val="auto"/>
                <w:sz w:val="24"/>
                <w:szCs w:val="24"/>
                <w:lang w:val="nb-NO"/>
              </w:rPr>
              <w:t xml:space="preserve"> M, et al. </w:t>
            </w:r>
            <w:r w:rsidRPr="00B042F4">
              <w:rPr>
                <w:rFonts w:asciiTheme="majorBidi" w:hAnsiTheme="majorBidi" w:cstheme="majorBidi"/>
                <w:color w:val="auto"/>
                <w:sz w:val="24"/>
                <w:szCs w:val="24"/>
                <w:lang w:val="en-AU"/>
              </w:rPr>
              <w:t xml:space="preserve">COVID-19 vaccine effectiveness against symptomatic infection and hospitalisation in Belgium, July 2021 to May 2022. </w:t>
            </w:r>
            <w:r w:rsidRPr="00B042F4">
              <w:rPr>
                <w:rFonts w:asciiTheme="majorBidi" w:hAnsiTheme="majorBidi" w:cstheme="majorBidi"/>
                <w:color w:val="auto"/>
                <w:sz w:val="24"/>
                <w:szCs w:val="24"/>
                <w:lang w:val="nb-NO"/>
              </w:rPr>
              <w:t xml:space="preserve">Euro </w:t>
            </w:r>
            <w:proofErr w:type="spellStart"/>
            <w:r w:rsidRPr="00B042F4">
              <w:rPr>
                <w:rFonts w:asciiTheme="majorBidi" w:hAnsiTheme="majorBidi" w:cstheme="majorBidi"/>
                <w:color w:val="auto"/>
                <w:sz w:val="24"/>
                <w:szCs w:val="24"/>
                <w:lang w:val="nb-NO"/>
              </w:rPr>
              <w:t>Surveill</w:t>
            </w:r>
            <w:proofErr w:type="spellEnd"/>
            <w:r w:rsidRPr="00B042F4">
              <w:rPr>
                <w:rFonts w:asciiTheme="majorBidi" w:hAnsiTheme="majorBidi" w:cstheme="majorBidi"/>
                <w:color w:val="auto"/>
                <w:sz w:val="24"/>
                <w:szCs w:val="24"/>
                <w:lang w:val="nb-NO"/>
              </w:rPr>
              <w:t>. 2023;28(26):2200768. https://doi.org/10.2807/1560-7917.ES.2023.28.26.2200768</w:t>
            </w:r>
          </w:p>
        </w:tc>
        <w:tc>
          <w:tcPr>
            <w:tcW w:w="5938" w:type="dxa"/>
          </w:tcPr>
          <w:p w14:paraId="42584C0E" w14:textId="267A5EEC" w:rsidR="009405C7" w:rsidRPr="00B042F4" w:rsidRDefault="009405C7" w:rsidP="009405C7">
            <w:pPr>
              <w:pStyle w:val="MDPI31text"/>
              <w:ind w:left="0" w:firstLine="0"/>
              <w:rPr>
                <w:rFonts w:asciiTheme="majorBidi" w:hAnsiTheme="majorBidi" w:cstheme="majorBidi"/>
                <w:color w:val="auto"/>
                <w:sz w:val="24"/>
                <w:szCs w:val="24"/>
              </w:rPr>
            </w:pPr>
            <w:r w:rsidRPr="00B042F4">
              <w:rPr>
                <w:rFonts w:asciiTheme="majorBidi" w:hAnsiTheme="majorBidi" w:cstheme="majorBidi"/>
                <w:color w:val="auto"/>
                <w:sz w:val="24"/>
                <w:szCs w:val="24"/>
              </w:rPr>
              <w:t>Outside the prespecified review scope. This nationwide study evaluates vaccine effectiveness against symptomatic SARS-CoV-2 infection and hospitali</w:t>
            </w:r>
            <w:r w:rsidR="009D4810" w:rsidRPr="00B042F4">
              <w:rPr>
                <w:rFonts w:asciiTheme="majorBidi" w:hAnsiTheme="majorBidi" w:cstheme="majorBidi"/>
                <w:color w:val="auto"/>
                <w:sz w:val="24"/>
                <w:szCs w:val="24"/>
              </w:rPr>
              <w:t>z</w:t>
            </w:r>
            <w:r w:rsidRPr="00B042F4">
              <w:rPr>
                <w:rFonts w:asciiTheme="majorBidi" w:hAnsiTheme="majorBidi" w:cstheme="majorBidi"/>
                <w:color w:val="auto"/>
                <w:sz w:val="24"/>
                <w:szCs w:val="24"/>
              </w:rPr>
              <w:t>ation during Delta-dominant and early Omicron (BA.1/BA.2) periods (July 2021–May 2022) using ancestral (monovalent) vaccines and early booster strategies. The study predates the late-Omicron evolutionary phase and does not assess variant-adapted vaccines (e.g. BA.4/BA.5, XBB, JN.1, KP-lineage), which are the focus of this review.</w:t>
            </w:r>
          </w:p>
        </w:tc>
      </w:tr>
      <w:tr w:rsidR="009405C7" w14:paraId="34E9688D" w14:textId="77777777" w:rsidTr="00B20255">
        <w:tc>
          <w:tcPr>
            <w:tcW w:w="5403" w:type="dxa"/>
          </w:tcPr>
          <w:p w14:paraId="22A96F65" w14:textId="517CEB4E" w:rsidR="009405C7" w:rsidRPr="00EF5700" w:rsidRDefault="00EF5700" w:rsidP="009405C7">
            <w:pPr>
              <w:pStyle w:val="MDPI31text"/>
              <w:ind w:left="0" w:firstLine="0"/>
              <w:rPr>
                <w:rFonts w:asciiTheme="majorBidi" w:hAnsiTheme="majorBidi" w:cstheme="majorBidi"/>
                <w:color w:val="auto"/>
                <w:sz w:val="24"/>
                <w:szCs w:val="24"/>
              </w:rPr>
            </w:pPr>
            <w:r w:rsidRPr="00EF5700">
              <w:rPr>
                <w:rFonts w:asciiTheme="majorBidi" w:hAnsiTheme="majorBidi" w:cstheme="majorBidi"/>
                <w:color w:val="auto"/>
                <w:sz w:val="24"/>
                <w:szCs w:val="24"/>
              </w:rPr>
              <w:t xml:space="preserve">Brambilla R, Gili R, Vigna </w:t>
            </w:r>
            <w:proofErr w:type="spellStart"/>
            <w:r w:rsidRPr="00EF5700">
              <w:rPr>
                <w:rFonts w:asciiTheme="majorBidi" w:hAnsiTheme="majorBidi" w:cstheme="majorBidi"/>
                <w:color w:val="auto"/>
                <w:sz w:val="24"/>
                <w:szCs w:val="24"/>
              </w:rPr>
              <w:t>Taglianti</w:t>
            </w:r>
            <w:proofErr w:type="spellEnd"/>
            <w:r w:rsidRPr="00EF5700">
              <w:rPr>
                <w:rFonts w:asciiTheme="majorBidi" w:hAnsiTheme="majorBidi" w:cstheme="majorBidi"/>
                <w:color w:val="auto"/>
                <w:sz w:val="24"/>
                <w:szCs w:val="24"/>
              </w:rPr>
              <w:t xml:space="preserve"> F, Lenzi J, </w:t>
            </w:r>
            <w:proofErr w:type="spellStart"/>
            <w:r w:rsidRPr="00EF5700">
              <w:rPr>
                <w:rFonts w:asciiTheme="majorBidi" w:hAnsiTheme="majorBidi" w:cstheme="majorBidi"/>
                <w:color w:val="auto"/>
                <w:sz w:val="24"/>
                <w:szCs w:val="24"/>
              </w:rPr>
              <w:t>Riccò</w:t>
            </w:r>
            <w:proofErr w:type="spellEnd"/>
            <w:r w:rsidRPr="00EF5700">
              <w:rPr>
                <w:rFonts w:asciiTheme="majorBidi" w:hAnsiTheme="majorBidi" w:cstheme="majorBidi"/>
                <w:color w:val="auto"/>
                <w:sz w:val="24"/>
                <w:szCs w:val="24"/>
              </w:rPr>
              <w:t xml:space="preserve"> M, </w:t>
            </w:r>
            <w:proofErr w:type="spellStart"/>
            <w:r w:rsidRPr="00EF5700">
              <w:rPr>
                <w:rFonts w:asciiTheme="majorBidi" w:hAnsiTheme="majorBidi" w:cstheme="majorBidi"/>
                <w:color w:val="auto"/>
                <w:sz w:val="24"/>
                <w:szCs w:val="24"/>
              </w:rPr>
              <w:t>Burioni</w:t>
            </w:r>
            <w:proofErr w:type="spellEnd"/>
            <w:r w:rsidRPr="00EF5700">
              <w:rPr>
                <w:rFonts w:asciiTheme="majorBidi" w:hAnsiTheme="majorBidi" w:cstheme="majorBidi"/>
                <w:color w:val="auto"/>
                <w:sz w:val="24"/>
                <w:szCs w:val="24"/>
              </w:rPr>
              <w:t xml:space="preserve"> R, et al. The effectiveness of COVID-19 vaccines during the pre-Omicron and Omicron periods: a retrospective test-negative case-control study. Vaccines (Basel). 2024;12(11):1245. https://doi.org/10.3390/vaccines12111245</w:t>
            </w:r>
          </w:p>
        </w:tc>
        <w:tc>
          <w:tcPr>
            <w:tcW w:w="5938" w:type="dxa"/>
          </w:tcPr>
          <w:p w14:paraId="59232904" w14:textId="390D421D" w:rsidR="009405C7" w:rsidRPr="00EF5700" w:rsidRDefault="009405C7" w:rsidP="009405C7">
            <w:pPr>
              <w:pStyle w:val="MDPI31text"/>
              <w:ind w:left="0" w:firstLine="0"/>
              <w:rPr>
                <w:rFonts w:asciiTheme="majorBidi" w:hAnsiTheme="majorBidi" w:cstheme="majorBidi"/>
                <w:color w:val="auto"/>
                <w:sz w:val="24"/>
                <w:szCs w:val="24"/>
              </w:rPr>
            </w:pPr>
            <w:r w:rsidRPr="00EF5700">
              <w:rPr>
                <w:rFonts w:asciiTheme="majorBidi" w:hAnsiTheme="majorBidi" w:cstheme="majorBidi"/>
                <w:color w:val="auto"/>
                <w:sz w:val="24"/>
                <w:szCs w:val="24"/>
              </w:rPr>
              <w:t>Outside the prespecified review scope. This study evaluates vaccine effectiveness during pre-Omicron and early Omicron (BA.1/BA.2) periods between January 2021 and January 2023 and does not assess late-Omicron sub-lineages (e.g., BA.4/BA.5, XBB, JN.1) or variant-adapted COVID-19 vaccines that are the focus of this review.</w:t>
            </w:r>
          </w:p>
        </w:tc>
      </w:tr>
      <w:tr w:rsidR="009405C7" w14:paraId="41378937" w14:textId="77777777" w:rsidTr="00B20255">
        <w:tc>
          <w:tcPr>
            <w:tcW w:w="5403" w:type="dxa"/>
          </w:tcPr>
          <w:p w14:paraId="795CCADA" w14:textId="0F629B24" w:rsidR="009405C7" w:rsidRPr="00EF5700" w:rsidRDefault="00EF5700" w:rsidP="009405C7">
            <w:pPr>
              <w:pStyle w:val="MDPI31text"/>
              <w:ind w:left="0" w:firstLine="0"/>
              <w:rPr>
                <w:rFonts w:asciiTheme="majorBidi" w:hAnsiTheme="majorBidi" w:cstheme="majorBidi"/>
                <w:color w:val="auto"/>
                <w:sz w:val="24"/>
                <w:szCs w:val="24"/>
              </w:rPr>
            </w:pPr>
            <w:proofErr w:type="spellStart"/>
            <w:r w:rsidRPr="00EF5700">
              <w:rPr>
                <w:rFonts w:asciiTheme="majorBidi" w:hAnsiTheme="majorBidi" w:cstheme="majorBidi"/>
                <w:color w:val="auto"/>
                <w:sz w:val="24"/>
                <w:szCs w:val="24"/>
              </w:rPr>
              <w:t>Brazete</w:t>
            </w:r>
            <w:proofErr w:type="spellEnd"/>
            <w:r w:rsidRPr="00EF5700">
              <w:rPr>
                <w:rFonts w:asciiTheme="majorBidi" w:hAnsiTheme="majorBidi" w:cstheme="majorBidi"/>
                <w:color w:val="auto"/>
                <w:sz w:val="24"/>
                <w:szCs w:val="24"/>
              </w:rPr>
              <w:t xml:space="preserve"> C, Pinto M, Sá L, Aguiar A, Alves F, Duarte R. Evaluation of the real-world effectiveness of vaccines against COVID-19 at a local level: protocol for a test-negative case-control study. Vaccines </w:t>
            </w:r>
            <w:r w:rsidRPr="00EF5700">
              <w:rPr>
                <w:rFonts w:asciiTheme="majorBidi" w:hAnsiTheme="majorBidi" w:cstheme="majorBidi"/>
                <w:color w:val="auto"/>
                <w:sz w:val="24"/>
                <w:szCs w:val="24"/>
              </w:rPr>
              <w:lastRenderedPageBreak/>
              <w:t>(Basel). 2022;10(5):822. https://doi.org/10.3390/vaccines10050822</w:t>
            </w:r>
          </w:p>
        </w:tc>
        <w:tc>
          <w:tcPr>
            <w:tcW w:w="5938" w:type="dxa"/>
          </w:tcPr>
          <w:p w14:paraId="77DF0108" w14:textId="77777777" w:rsidR="009405C7" w:rsidRPr="00EF5700" w:rsidRDefault="009405C7" w:rsidP="009405C7">
            <w:pPr>
              <w:pStyle w:val="MDPI31text"/>
              <w:ind w:left="0" w:firstLine="0"/>
              <w:rPr>
                <w:rFonts w:asciiTheme="majorBidi" w:hAnsiTheme="majorBidi" w:cstheme="majorBidi"/>
                <w:color w:val="auto"/>
                <w:sz w:val="24"/>
                <w:szCs w:val="24"/>
              </w:rPr>
            </w:pPr>
            <w:r w:rsidRPr="00EF5700">
              <w:rPr>
                <w:rFonts w:asciiTheme="majorBidi" w:hAnsiTheme="majorBidi" w:cstheme="majorBidi"/>
                <w:color w:val="auto"/>
                <w:sz w:val="24"/>
                <w:szCs w:val="24"/>
              </w:rPr>
              <w:lastRenderedPageBreak/>
              <w:t>Outside the prespecified review scope. This publication is a study protocol describing planned methods only and does not report any vaccine effectiveness results or outcome data, making it ineligible for inclusion as a primary study in this review.</w:t>
            </w:r>
          </w:p>
        </w:tc>
      </w:tr>
      <w:tr w:rsidR="009405C7" w14:paraId="5AC68362" w14:textId="77777777" w:rsidTr="00B20255">
        <w:tc>
          <w:tcPr>
            <w:tcW w:w="5403" w:type="dxa"/>
          </w:tcPr>
          <w:p w14:paraId="0A97DFD2" w14:textId="4DC10242" w:rsidR="009405C7" w:rsidRPr="00EF5700" w:rsidRDefault="00EF5700" w:rsidP="009405C7">
            <w:pPr>
              <w:pStyle w:val="MDPI31text"/>
              <w:ind w:left="0" w:firstLine="0"/>
              <w:rPr>
                <w:rFonts w:asciiTheme="majorBidi" w:hAnsiTheme="majorBidi" w:cstheme="majorBidi"/>
                <w:color w:val="auto"/>
                <w:sz w:val="24"/>
                <w:szCs w:val="24"/>
              </w:rPr>
            </w:pPr>
            <w:r w:rsidRPr="00EF5700">
              <w:rPr>
                <w:rFonts w:asciiTheme="majorBidi" w:hAnsiTheme="majorBidi" w:cstheme="majorBidi"/>
                <w:color w:val="auto"/>
                <w:sz w:val="24"/>
                <w:szCs w:val="24"/>
              </w:rPr>
              <w:t xml:space="preserve">Britton A, </w:t>
            </w:r>
            <w:proofErr w:type="spellStart"/>
            <w:r w:rsidRPr="00EF5700">
              <w:rPr>
                <w:rFonts w:asciiTheme="majorBidi" w:hAnsiTheme="majorBidi" w:cstheme="majorBidi"/>
                <w:color w:val="auto"/>
                <w:sz w:val="24"/>
                <w:szCs w:val="24"/>
              </w:rPr>
              <w:t>Embi</w:t>
            </w:r>
            <w:proofErr w:type="spellEnd"/>
            <w:r w:rsidRPr="00EF5700">
              <w:rPr>
                <w:rFonts w:asciiTheme="majorBidi" w:hAnsiTheme="majorBidi" w:cstheme="majorBidi"/>
                <w:color w:val="auto"/>
                <w:sz w:val="24"/>
                <w:szCs w:val="24"/>
              </w:rPr>
              <w:t xml:space="preserve"> PJ, Levy ME, Gaglani M, DeSilva MB, Dixon BE, et al. Effectiveness of COVID-19 mRNA vaccines against COVID-19-associated hospitalizations among immunocompromised adults during SARS-CoV-2 Omicron predominance. MMWR </w:t>
            </w:r>
            <w:proofErr w:type="spellStart"/>
            <w:r w:rsidRPr="00EF5700">
              <w:rPr>
                <w:rFonts w:asciiTheme="majorBidi" w:hAnsiTheme="majorBidi" w:cstheme="majorBidi"/>
                <w:color w:val="auto"/>
                <w:sz w:val="24"/>
                <w:szCs w:val="24"/>
              </w:rPr>
              <w:t>Morb</w:t>
            </w:r>
            <w:proofErr w:type="spellEnd"/>
            <w:r w:rsidRPr="00EF5700">
              <w:rPr>
                <w:rFonts w:asciiTheme="majorBidi" w:hAnsiTheme="majorBidi" w:cstheme="majorBidi"/>
                <w:color w:val="auto"/>
                <w:sz w:val="24"/>
                <w:szCs w:val="24"/>
              </w:rPr>
              <w:t xml:space="preserve"> Mortal </w:t>
            </w:r>
            <w:proofErr w:type="spellStart"/>
            <w:r w:rsidRPr="00EF5700">
              <w:rPr>
                <w:rFonts w:asciiTheme="majorBidi" w:hAnsiTheme="majorBidi" w:cstheme="majorBidi"/>
                <w:color w:val="auto"/>
                <w:sz w:val="24"/>
                <w:szCs w:val="24"/>
              </w:rPr>
              <w:t>Wkly</w:t>
            </w:r>
            <w:proofErr w:type="spellEnd"/>
            <w:r w:rsidRPr="00EF5700">
              <w:rPr>
                <w:rFonts w:asciiTheme="majorBidi" w:hAnsiTheme="majorBidi" w:cstheme="majorBidi"/>
                <w:color w:val="auto"/>
                <w:sz w:val="24"/>
                <w:szCs w:val="24"/>
              </w:rPr>
              <w:t xml:space="preserve"> Rep. 2022;71(42):1335–1342. https://doi.org/10.15585/mmwr.mm7142a3</w:t>
            </w:r>
          </w:p>
        </w:tc>
        <w:tc>
          <w:tcPr>
            <w:tcW w:w="5938" w:type="dxa"/>
          </w:tcPr>
          <w:p w14:paraId="7F7230C9" w14:textId="77777777" w:rsidR="009405C7" w:rsidRPr="00EF5700" w:rsidRDefault="009405C7" w:rsidP="009405C7">
            <w:pPr>
              <w:pStyle w:val="MDPI31text"/>
              <w:ind w:left="0" w:firstLine="0"/>
              <w:rPr>
                <w:rFonts w:asciiTheme="majorBidi" w:hAnsiTheme="majorBidi" w:cstheme="majorBidi"/>
                <w:color w:val="auto"/>
                <w:sz w:val="24"/>
                <w:szCs w:val="24"/>
              </w:rPr>
            </w:pPr>
            <w:r w:rsidRPr="00EF5700">
              <w:rPr>
                <w:rFonts w:asciiTheme="majorBidi" w:hAnsiTheme="majorBidi" w:cstheme="majorBidi"/>
                <w:color w:val="auto"/>
                <w:sz w:val="24"/>
                <w:szCs w:val="24"/>
              </w:rPr>
              <w:t>Outside the prespecified review scope. This study was published as an MMWR surveillance report and is not externally peer reviewed. As specified in the Methods, surveillance and near–real-time reports were reviewed to support contextual interpretation of Omicron subvariant–specific periods but were excluded from the formal evidence synthesis when peer-reviewed observational studies addressing the same questions were available.</w:t>
            </w:r>
          </w:p>
        </w:tc>
      </w:tr>
      <w:tr w:rsidR="009405C7" w14:paraId="591A7991" w14:textId="77777777" w:rsidTr="00B20255">
        <w:tc>
          <w:tcPr>
            <w:tcW w:w="5403" w:type="dxa"/>
          </w:tcPr>
          <w:p w14:paraId="0CAB23E4" w14:textId="3CC4ED01" w:rsidR="009405C7" w:rsidRPr="00881A7A" w:rsidRDefault="00881A7A" w:rsidP="009405C7">
            <w:pPr>
              <w:pStyle w:val="MDPI31text"/>
              <w:ind w:left="0" w:firstLine="0"/>
              <w:rPr>
                <w:rFonts w:asciiTheme="majorBidi" w:hAnsiTheme="majorBidi" w:cstheme="majorBidi"/>
                <w:color w:val="auto"/>
                <w:sz w:val="24"/>
                <w:szCs w:val="24"/>
              </w:rPr>
            </w:pPr>
            <w:r w:rsidRPr="00881A7A">
              <w:rPr>
                <w:rFonts w:asciiTheme="majorBidi" w:hAnsiTheme="majorBidi" w:cstheme="majorBidi"/>
                <w:color w:val="auto"/>
                <w:sz w:val="24"/>
                <w:szCs w:val="24"/>
                <w:lang w:val="en-AU"/>
              </w:rPr>
              <w:t xml:space="preserve">Buchan SA, Chung H, Brown KA, Austin PC, Fell DB, Gubbay JB, et al. Estimated effectiveness of COVID-19 vaccines against Omicron or Delta symptomatic infection and severe outcomes. </w:t>
            </w:r>
            <w:r w:rsidRPr="004F6C90">
              <w:rPr>
                <w:rFonts w:asciiTheme="majorBidi" w:hAnsiTheme="majorBidi" w:cstheme="majorBidi"/>
                <w:color w:val="auto"/>
                <w:sz w:val="24"/>
                <w:szCs w:val="24"/>
                <w:lang w:val="en-AU"/>
              </w:rPr>
              <w:t xml:space="preserve">JAMA </w:t>
            </w:r>
            <w:proofErr w:type="spellStart"/>
            <w:r w:rsidRPr="004F6C90">
              <w:rPr>
                <w:rFonts w:asciiTheme="majorBidi" w:hAnsiTheme="majorBidi" w:cstheme="majorBidi"/>
                <w:color w:val="auto"/>
                <w:sz w:val="24"/>
                <w:szCs w:val="24"/>
                <w:lang w:val="en-AU"/>
              </w:rPr>
              <w:t>Netw</w:t>
            </w:r>
            <w:proofErr w:type="spellEnd"/>
            <w:r w:rsidRPr="004F6C90">
              <w:rPr>
                <w:rFonts w:asciiTheme="majorBidi" w:hAnsiTheme="majorBidi" w:cstheme="majorBidi"/>
                <w:color w:val="auto"/>
                <w:sz w:val="24"/>
                <w:szCs w:val="24"/>
                <w:lang w:val="en-AU"/>
              </w:rPr>
              <w:t xml:space="preserve"> Open. 2022;5(9):e2232760. https://doi.org/10.1001/jamanetworkopen.2022.32760</w:t>
            </w:r>
          </w:p>
        </w:tc>
        <w:tc>
          <w:tcPr>
            <w:tcW w:w="5938" w:type="dxa"/>
          </w:tcPr>
          <w:p w14:paraId="1C8C9AC7" w14:textId="77777777" w:rsidR="009405C7" w:rsidRPr="00881A7A" w:rsidRDefault="009405C7" w:rsidP="009405C7">
            <w:pPr>
              <w:pStyle w:val="MDPI31text"/>
              <w:ind w:left="0" w:firstLine="0"/>
              <w:rPr>
                <w:rFonts w:asciiTheme="majorBidi" w:hAnsiTheme="majorBidi" w:cstheme="majorBidi"/>
                <w:color w:val="auto"/>
                <w:sz w:val="24"/>
                <w:szCs w:val="24"/>
              </w:rPr>
            </w:pPr>
            <w:r w:rsidRPr="00881A7A">
              <w:rPr>
                <w:rFonts w:asciiTheme="majorBidi" w:hAnsiTheme="majorBidi" w:cstheme="majorBidi"/>
                <w:color w:val="auto"/>
                <w:sz w:val="24"/>
                <w:szCs w:val="24"/>
              </w:rPr>
              <w:t>Outside the prespecified review scope. The study evaluates early Omicron (B.1.1.529) during December 2021 and does not report vaccine effectiveness estimates for later Omicron subvariants (BA.2, BA.5, XBB, JN.1, or KP.3). In addition, only monovalent primary series and early third-dose regimens are assessed, with no evaluation of updated or variant-adapted vaccines, limiting relevance to the subvariant-specific and relative vaccine effectiveness analyses planned in this review.</w:t>
            </w:r>
          </w:p>
        </w:tc>
      </w:tr>
      <w:tr w:rsidR="009405C7" w14:paraId="03C9FF51" w14:textId="77777777" w:rsidTr="00B20255">
        <w:tc>
          <w:tcPr>
            <w:tcW w:w="5403" w:type="dxa"/>
          </w:tcPr>
          <w:p w14:paraId="67B68F22" w14:textId="25A6DEBB" w:rsidR="009405C7" w:rsidRPr="00923EE4" w:rsidRDefault="00923EE4" w:rsidP="009405C7">
            <w:pPr>
              <w:pStyle w:val="MDPI31text"/>
              <w:ind w:left="0" w:firstLine="0"/>
              <w:rPr>
                <w:rFonts w:asciiTheme="majorBidi" w:hAnsiTheme="majorBidi" w:cstheme="majorBidi"/>
                <w:color w:val="auto"/>
                <w:sz w:val="24"/>
                <w:szCs w:val="24"/>
              </w:rPr>
            </w:pPr>
            <w:r w:rsidRPr="00923EE4">
              <w:rPr>
                <w:rFonts w:asciiTheme="majorBidi" w:hAnsiTheme="majorBidi" w:cstheme="majorBidi"/>
                <w:color w:val="auto"/>
                <w:sz w:val="24"/>
                <w:szCs w:val="24"/>
                <w:lang w:val="nb-NO"/>
              </w:rPr>
              <w:t xml:space="preserve">Burhan E, </w:t>
            </w:r>
            <w:proofErr w:type="spellStart"/>
            <w:r w:rsidRPr="00923EE4">
              <w:rPr>
                <w:rFonts w:asciiTheme="majorBidi" w:hAnsiTheme="majorBidi" w:cstheme="majorBidi"/>
                <w:color w:val="auto"/>
                <w:sz w:val="24"/>
                <w:szCs w:val="24"/>
                <w:lang w:val="nb-NO"/>
              </w:rPr>
              <w:t>Azzumar</w:t>
            </w:r>
            <w:proofErr w:type="spellEnd"/>
            <w:r w:rsidRPr="00923EE4">
              <w:rPr>
                <w:rFonts w:asciiTheme="majorBidi" w:hAnsiTheme="majorBidi" w:cstheme="majorBidi"/>
                <w:color w:val="auto"/>
                <w:sz w:val="24"/>
                <w:szCs w:val="24"/>
                <w:lang w:val="nb-NO"/>
              </w:rPr>
              <w:t xml:space="preserve"> F, </w:t>
            </w:r>
            <w:proofErr w:type="spellStart"/>
            <w:r w:rsidRPr="00923EE4">
              <w:rPr>
                <w:rFonts w:asciiTheme="majorBidi" w:hAnsiTheme="majorBidi" w:cstheme="majorBidi"/>
                <w:color w:val="auto"/>
                <w:sz w:val="24"/>
                <w:szCs w:val="24"/>
                <w:lang w:val="nb-NO"/>
              </w:rPr>
              <w:t>Sinuraya</w:t>
            </w:r>
            <w:proofErr w:type="spellEnd"/>
            <w:r w:rsidRPr="00923EE4">
              <w:rPr>
                <w:rFonts w:asciiTheme="majorBidi" w:hAnsiTheme="majorBidi" w:cstheme="majorBidi"/>
                <w:color w:val="auto"/>
                <w:sz w:val="24"/>
                <w:szCs w:val="24"/>
                <w:lang w:val="nb-NO"/>
              </w:rPr>
              <w:t xml:space="preserve"> FAG, </w:t>
            </w:r>
            <w:proofErr w:type="spellStart"/>
            <w:r w:rsidRPr="00923EE4">
              <w:rPr>
                <w:rFonts w:asciiTheme="majorBidi" w:hAnsiTheme="majorBidi" w:cstheme="majorBidi"/>
                <w:color w:val="auto"/>
                <w:sz w:val="24"/>
                <w:szCs w:val="24"/>
                <w:lang w:val="nb-NO"/>
              </w:rPr>
              <w:t>Prasetyo</w:t>
            </w:r>
            <w:proofErr w:type="spellEnd"/>
            <w:r w:rsidRPr="00923EE4">
              <w:rPr>
                <w:rFonts w:asciiTheme="majorBidi" w:hAnsiTheme="majorBidi" w:cstheme="majorBidi"/>
                <w:color w:val="auto"/>
                <w:sz w:val="24"/>
                <w:szCs w:val="24"/>
                <w:lang w:val="nb-NO"/>
              </w:rPr>
              <w:t xml:space="preserve"> S, </w:t>
            </w:r>
            <w:proofErr w:type="spellStart"/>
            <w:r w:rsidRPr="00923EE4">
              <w:rPr>
                <w:rFonts w:asciiTheme="majorBidi" w:hAnsiTheme="majorBidi" w:cstheme="majorBidi"/>
                <w:color w:val="auto"/>
                <w:sz w:val="24"/>
                <w:szCs w:val="24"/>
                <w:lang w:val="nb-NO"/>
              </w:rPr>
              <w:t>Gayatri</w:t>
            </w:r>
            <w:proofErr w:type="spellEnd"/>
            <w:r w:rsidRPr="00923EE4">
              <w:rPr>
                <w:rFonts w:asciiTheme="majorBidi" w:hAnsiTheme="majorBidi" w:cstheme="majorBidi"/>
                <w:color w:val="auto"/>
                <w:sz w:val="24"/>
                <w:szCs w:val="24"/>
                <w:lang w:val="nb-NO"/>
              </w:rPr>
              <w:t xml:space="preserve"> D, </w:t>
            </w:r>
            <w:proofErr w:type="spellStart"/>
            <w:r w:rsidRPr="00923EE4">
              <w:rPr>
                <w:rFonts w:asciiTheme="majorBidi" w:hAnsiTheme="majorBidi" w:cstheme="majorBidi"/>
                <w:color w:val="auto"/>
                <w:sz w:val="24"/>
                <w:szCs w:val="24"/>
                <w:lang w:val="nb-NO"/>
              </w:rPr>
              <w:t>Ariawan</w:t>
            </w:r>
            <w:proofErr w:type="spellEnd"/>
            <w:r w:rsidRPr="00923EE4">
              <w:rPr>
                <w:rFonts w:asciiTheme="majorBidi" w:hAnsiTheme="majorBidi" w:cstheme="majorBidi"/>
                <w:color w:val="auto"/>
                <w:sz w:val="24"/>
                <w:szCs w:val="24"/>
                <w:lang w:val="nb-NO"/>
              </w:rPr>
              <w:t xml:space="preserve"> I, et al. </w:t>
            </w:r>
            <w:r w:rsidRPr="00923EE4">
              <w:rPr>
                <w:rFonts w:asciiTheme="majorBidi" w:hAnsiTheme="majorBidi" w:cstheme="majorBidi"/>
                <w:color w:val="auto"/>
                <w:sz w:val="24"/>
                <w:szCs w:val="24"/>
                <w:lang w:val="en-AU"/>
              </w:rPr>
              <w:t xml:space="preserve">Vaccine effectiveness of inactivated and mRNA COVID-19 vaccine platform during Delta and Omicron wave in Jakarta, Indonesia: a test-negative case-control study. </w:t>
            </w:r>
            <w:proofErr w:type="spellStart"/>
            <w:r w:rsidRPr="00923EE4">
              <w:rPr>
                <w:rFonts w:asciiTheme="majorBidi" w:hAnsiTheme="majorBidi" w:cstheme="majorBidi"/>
                <w:color w:val="auto"/>
                <w:sz w:val="24"/>
                <w:szCs w:val="24"/>
                <w:lang w:val="nb-NO"/>
              </w:rPr>
              <w:t>PLoS</w:t>
            </w:r>
            <w:proofErr w:type="spellEnd"/>
            <w:r w:rsidRPr="00923EE4">
              <w:rPr>
                <w:rFonts w:asciiTheme="majorBidi" w:hAnsiTheme="majorBidi" w:cstheme="majorBidi"/>
                <w:color w:val="auto"/>
                <w:sz w:val="24"/>
                <w:szCs w:val="24"/>
                <w:lang w:val="nb-NO"/>
              </w:rPr>
              <w:t xml:space="preserve"> One. 2025;20(6):e0320779. https://doi.org/10.1371/journal.pone.0320779</w:t>
            </w:r>
          </w:p>
        </w:tc>
        <w:tc>
          <w:tcPr>
            <w:tcW w:w="5938" w:type="dxa"/>
          </w:tcPr>
          <w:p w14:paraId="619DF4EC" w14:textId="4F179271" w:rsidR="009405C7" w:rsidRPr="00923EE4" w:rsidRDefault="009405C7" w:rsidP="009405C7">
            <w:pPr>
              <w:pStyle w:val="MDPI31text"/>
              <w:ind w:left="0" w:firstLine="0"/>
              <w:rPr>
                <w:rFonts w:asciiTheme="majorBidi" w:hAnsiTheme="majorBidi" w:cstheme="majorBidi"/>
                <w:color w:val="auto"/>
                <w:sz w:val="24"/>
                <w:szCs w:val="24"/>
              </w:rPr>
            </w:pPr>
            <w:r w:rsidRPr="00923EE4">
              <w:rPr>
                <w:rFonts w:asciiTheme="majorBidi" w:hAnsiTheme="majorBidi" w:cstheme="majorBidi"/>
                <w:color w:val="auto"/>
                <w:sz w:val="24"/>
                <w:szCs w:val="24"/>
              </w:rPr>
              <w:t>Outside the prespecified review scope. This test-negative study primarily evaluates vaccine effectiveness against SARS-CoV-2 infection regardless of symptoms, with mortality assessed only during the Delta wave and no comprehensive evaluation of severe clinical outcomes (hospitali</w:t>
            </w:r>
            <w:r w:rsidR="009D4810" w:rsidRPr="00923EE4">
              <w:rPr>
                <w:rFonts w:asciiTheme="majorBidi" w:hAnsiTheme="majorBidi" w:cstheme="majorBidi"/>
                <w:color w:val="auto"/>
                <w:sz w:val="24"/>
                <w:szCs w:val="24"/>
              </w:rPr>
              <w:t>z</w:t>
            </w:r>
            <w:r w:rsidRPr="00923EE4">
              <w:rPr>
                <w:rFonts w:asciiTheme="majorBidi" w:hAnsiTheme="majorBidi" w:cstheme="majorBidi"/>
                <w:color w:val="auto"/>
                <w:sz w:val="24"/>
                <w:szCs w:val="24"/>
              </w:rPr>
              <w:t>ation or ICU admission). In addition, the study covers Delta and early Omicron (BA.1/BA.2) periods and focuses on ancestral inactivated and mRNA vaccines, predating the late-Omicron evolutionary phase and variant-adapted vaccines that are the focus of this review.</w:t>
            </w:r>
          </w:p>
        </w:tc>
      </w:tr>
      <w:tr w:rsidR="009405C7" w14:paraId="2003CE58" w14:textId="77777777" w:rsidTr="00B20255">
        <w:tc>
          <w:tcPr>
            <w:tcW w:w="5403" w:type="dxa"/>
          </w:tcPr>
          <w:p w14:paraId="77548A62" w14:textId="302FB9BE" w:rsidR="009405C7" w:rsidRPr="0014572D" w:rsidRDefault="0014572D" w:rsidP="009405C7">
            <w:pPr>
              <w:pStyle w:val="MDPI31text"/>
              <w:ind w:left="0" w:firstLine="0"/>
              <w:rPr>
                <w:rFonts w:asciiTheme="majorBidi" w:hAnsiTheme="majorBidi" w:cstheme="majorBidi"/>
                <w:color w:val="auto"/>
                <w:sz w:val="24"/>
                <w:szCs w:val="24"/>
                <w:lang w:val="en-AU"/>
              </w:rPr>
            </w:pPr>
            <w:r w:rsidRPr="0014572D">
              <w:rPr>
                <w:rFonts w:asciiTheme="majorBidi" w:hAnsiTheme="majorBidi" w:cstheme="majorBidi"/>
                <w:color w:val="auto"/>
                <w:sz w:val="24"/>
                <w:szCs w:val="24"/>
                <w:lang w:val="en-GB"/>
              </w:rPr>
              <w:t xml:space="preserve">Butt AA, Talisa VB, Yan P, Shaikh OS, Omer SB, Mayr FB. </w:t>
            </w:r>
            <w:r w:rsidRPr="0014572D">
              <w:rPr>
                <w:rFonts w:asciiTheme="majorBidi" w:hAnsiTheme="majorBidi" w:cstheme="majorBidi"/>
                <w:color w:val="auto"/>
                <w:sz w:val="24"/>
                <w:szCs w:val="24"/>
                <w:lang w:val="en-AU"/>
              </w:rPr>
              <w:t>Vaccine effectiveness of 3 versus 2 doses of SARS-CoV-2 mRNA vaccines in a high-risk national population. Clin Infect Dis. 2022;75(1):e579–e584. https://doi.org/10.1093/cid/ciac178</w:t>
            </w:r>
          </w:p>
        </w:tc>
        <w:tc>
          <w:tcPr>
            <w:tcW w:w="5938" w:type="dxa"/>
          </w:tcPr>
          <w:p w14:paraId="014DC824" w14:textId="77777777" w:rsidR="009405C7" w:rsidRPr="0014572D" w:rsidRDefault="009405C7" w:rsidP="009405C7">
            <w:pPr>
              <w:pStyle w:val="MDPI31text"/>
              <w:ind w:left="0" w:firstLine="0"/>
              <w:rPr>
                <w:rFonts w:asciiTheme="majorBidi" w:hAnsiTheme="majorBidi" w:cstheme="majorBidi"/>
                <w:color w:val="auto"/>
                <w:sz w:val="24"/>
                <w:szCs w:val="24"/>
              </w:rPr>
            </w:pPr>
            <w:r w:rsidRPr="0014572D">
              <w:rPr>
                <w:rFonts w:asciiTheme="majorBidi" w:hAnsiTheme="majorBidi" w:cstheme="majorBidi"/>
                <w:color w:val="auto"/>
                <w:sz w:val="24"/>
                <w:szCs w:val="24"/>
              </w:rPr>
              <w:t>Outside the prespecified review scope. This retrospective cohort study evaluates the relative effectiveness of a third versus second mRNA vaccine dose during a period of Delta variant predominance (September–November 2021), with no Omicron circulation or Omicron subvariant-specific analyses. The study therefore does not address vaccine effectiveness across the Omicron evolutionary spectrum targeted in this review.</w:t>
            </w:r>
          </w:p>
        </w:tc>
      </w:tr>
      <w:tr w:rsidR="009405C7" w14:paraId="224BCFDF" w14:textId="77777777" w:rsidTr="00B20255">
        <w:tc>
          <w:tcPr>
            <w:tcW w:w="5403" w:type="dxa"/>
          </w:tcPr>
          <w:p w14:paraId="4D0FC176" w14:textId="0D1006E1" w:rsidR="009405C7" w:rsidRPr="0014572D" w:rsidRDefault="0014572D" w:rsidP="009405C7">
            <w:pPr>
              <w:pStyle w:val="MDPI31text"/>
              <w:ind w:left="0" w:firstLine="0"/>
              <w:rPr>
                <w:rFonts w:asciiTheme="majorBidi" w:hAnsiTheme="majorBidi" w:cstheme="majorBidi"/>
                <w:color w:val="auto"/>
                <w:sz w:val="24"/>
                <w:szCs w:val="24"/>
              </w:rPr>
            </w:pPr>
            <w:r w:rsidRPr="0014572D">
              <w:rPr>
                <w:rFonts w:asciiTheme="majorBidi" w:hAnsiTheme="majorBidi" w:cstheme="majorBidi"/>
                <w:color w:val="auto"/>
                <w:sz w:val="24"/>
                <w:szCs w:val="24"/>
                <w:lang w:val="en-AU"/>
              </w:rPr>
              <w:t xml:space="preserve">Butt AA, Dargham SR, Tang P, </w:t>
            </w:r>
            <w:proofErr w:type="spellStart"/>
            <w:r w:rsidRPr="0014572D">
              <w:rPr>
                <w:rFonts w:asciiTheme="majorBidi" w:hAnsiTheme="majorBidi" w:cstheme="majorBidi"/>
                <w:color w:val="auto"/>
                <w:sz w:val="24"/>
                <w:szCs w:val="24"/>
                <w:lang w:val="en-AU"/>
              </w:rPr>
              <w:t>Chemaitelly</w:t>
            </w:r>
            <w:proofErr w:type="spellEnd"/>
            <w:r w:rsidRPr="0014572D">
              <w:rPr>
                <w:rFonts w:asciiTheme="majorBidi" w:hAnsiTheme="majorBidi" w:cstheme="majorBidi"/>
                <w:color w:val="auto"/>
                <w:sz w:val="24"/>
                <w:szCs w:val="24"/>
                <w:lang w:val="en-AU"/>
              </w:rPr>
              <w:t xml:space="preserve"> H, Hasan MR, Coyle PV, et al. COVID-19 disease severity in persons infected with the Omicron variant compared with the Delta variant in Qatar. </w:t>
            </w:r>
            <w:r w:rsidRPr="004F6C90">
              <w:rPr>
                <w:rFonts w:asciiTheme="majorBidi" w:hAnsiTheme="majorBidi" w:cstheme="majorBidi"/>
                <w:color w:val="auto"/>
                <w:sz w:val="24"/>
                <w:szCs w:val="24"/>
                <w:lang w:val="en-AU"/>
              </w:rPr>
              <w:t>J Glob Health. 2022;12:05032. https://doi.org/10.7189/jogh.12.05032</w:t>
            </w:r>
          </w:p>
        </w:tc>
        <w:tc>
          <w:tcPr>
            <w:tcW w:w="5938" w:type="dxa"/>
          </w:tcPr>
          <w:p w14:paraId="707DB9BF" w14:textId="77777777" w:rsidR="009405C7" w:rsidRPr="0014572D" w:rsidRDefault="009405C7" w:rsidP="009405C7">
            <w:pPr>
              <w:pStyle w:val="MDPI31text"/>
              <w:ind w:left="0" w:firstLine="0"/>
              <w:rPr>
                <w:rFonts w:asciiTheme="majorBidi" w:hAnsiTheme="majorBidi" w:cstheme="majorBidi"/>
                <w:color w:val="auto"/>
                <w:sz w:val="24"/>
                <w:szCs w:val="24"/>
              </w:rPr>
            </w:pPr>
            <w:r w:rsidRPr="0014572D">
              <w:rPr>
                <w:rFonts w:asciiTheme="majorBidi" w:hAnsiTheme="majorBidi" w:cstheme="majorBidi"/>
                <w:color w:val="auto"/>
                <w:sz w:val="24"/>
                <w:szCs w:val="24"/>
              </w:rPr>
              <w:t>Outside the prespecified review scope. This propensity-score–matched study compares clinical severity of Omicron versus Delta infections among infected individuals, with vaccination included as a covariate rather than the primary exposure. The study does not estimate vaccine effectiveness or relative vaccine effectiveness against severe COVID-19 outcomes and therefore does not align with the vaccine-effectiveness framework of this review.</w:t>
            </w:r>
          </w:p>
        </w:tc>
      </w:tr>
      <w:tr w:rsidR="009405C7" w14:paraId="3C6B9DC7" w14:textId="77777777" w:rsidTr="00B20255">
        <w:tc>
          <w:tcPr>
            <w:tcW w:w="5403" w:type="dxa"/>
          </w:tcPr>
          <w:p w14:paraId="51725EAD" w14:textId="22820B82" w:rsidR="009405C7" w:rsidRPr="009C0A9C" w:rsidRDefault="009C0A9C" w:rsidP="009405C7">
            <w:pPr>
              <w:pStyle w:val="MDPI31text"/>
              <w:ind w:left="0" w:firstLine="0"/>
              <w:rPr>
                <w:rFonts w:asciiTheme="majorBidi" w:hAnsiTheme="majorBidi" w:cstheme="majorBidi"/>
                <w:color w:val="auto"/>
                <w:sz w:val="24"/>
                <w:szCs w:val="24"/>
              </w:rPr>
            </w:pPr>
            <w:r w:rsidRPr="009C0A9C">
              <w:rPr>
                <w:rFonts w:asciiTheme="majorBidi" w:hAnsiTheme="majorBidi" w:cstheme="majorBidi"/>
                <w:color w:val="auto"/>
                <w:sz w:val="24"/>
                <w:szCs w:val="24"/>
                <w:lang w:val="nb-NO"/>
              </w:rPr>
              <w:t xml:space="preserve">Butt AA, </w:t>
            </w:r>
            <w:proofErr w:type="spellStart"/>
            <w:r w:rsidRPr="009C0A9C">
              <w:rPr>
                <w:rFonts w:asciiTheme="majorBidi" w:hAnsiTheme="majorBidi" w:cstheme="majorBidi"/>
                <w:color w:val="auto"/>
                <w:sz w:val="24"/>
                <w:szCs w:val="24"/>
                <w:lang w:val="nb-NO"/>
              </w:rPr>
              <w:t>Talisa</w:t>
            </w:r>
            <w:proofErr w:type="spellEnd"/>
            <w:r w:rsidRPr="009C0A9C">
              <w:rPr>
                <w:rFonts w:asciiTheme="majorBidi" w:hAnsiTheme="majorBidi" w:cstheme="majorBidi"/>
                <w:color w:val="auto"/>
                <w:sz w:val="24"/>
                <w:szCs w:val="24"/>
                <w:lang w:val="nb-NO"/>
              </w:rPr>
              <w:t xml:space="preserve"> VB, </w:t>
            </w:r>
            <w:proofErr w:type="spellStart"/>
            <w:r w:rsidRPr="009C0A9C">
              <w:rPr>
                <w:rFonts w:asciiTheme="majorBidi" w:hAnsiTheme="majorBidi" w:cstheme="majorBidi"/>
                <w:color w:val="auto"/>
                <w:sz w:val="24"/>
                <w:szCs w:val="24"/>
                <w:lang w:val="nb-NO"/>
              </w:rPr>
              <w:t>Shaikh</w:t>
            </w:r>
            <w:proofErr w:type="spellEnd"/>
            <w:r w:rsidRPr="009C0A9C">
              <w:rPr>
                <w:rFonts w:asciiTheme="majorBidi" w:hAnsiTheme="majorBidi" w:cstheme="majorBidi"/>
                <w:color w:val="auto"/>
                <w:sz w:val="24"/>
                <w:szCs w:val="24"/>
                <w:lang w:val="nb-NO"/>
              </w:rPr>
              <w:t xml:space="preserve"> OS, Omer SB, </w:t>
            </w:r>
            <w:proofErr w:type="spellStart"/>
            <w:r w:rsidRPr="009C0A9C">
              <w:rPr>
                <w:rFonts w:asciiTheme="majorBidi" w:hAnsiTheme="majorBidi" w:cstheme="majorBidi"/>
                <w:color w:val="auto"/>
                <w:sz w:val="24"/>
                <w:szCs w:val="24"/>
                <w:lang w:val="nb-NO"/>
              </w:rPr>
              <w:t>Mayr</w:t>
            </w:r>
            <w:proofErr w:type="spellEnd"/>
            <w:r w:rsidRPr="009C0A9C">
              <w:rPr>
                <w:rFonts w:asciiTheme="majorBidi" w:hAnsiTheme="majorBidi" w:cstheme="majorBidi"/>
                <w:color w:val="auto"/>
                <w:sz w:val="24"/>
                <w:szCs w:val="24"/>
                <w:lang w:val="nb-NO"/>
              </w:rPr>
              <w:t xml:space="preserve"> FB. </w:t>
            </w:r>
            <w:r w:rsidRPr="009C0A9C">
              <w:rPr>
                <w:rFonts w:asciiTheme="majorBidi" w:hAnsiTheme="majorBidi" w:cstheme="majorBidi"/>
                <w:color w:val="auto"/>
                <w:sz w:val="24"/>
                <w:szCs w:val="24"/>
                <w:lang w:val="en-AU"/>
              </w:rPr>
              <w:t xml:space="preserve">Relative vaccine effectiveness of a SARS-CoV-2 mRNA vaccine booster dose against the Omicron </w:t>
            </w:r>
            <w:r w:rsidRPr="009C0A9C">
              <w:rPr>
                <w:rFonts w:asciiTheme="majorBidi" w:hAnsiTheme="majorBidi" w:cstheme="majorBidi"/>
                <w:color w:val="auto"/>
                <w:sz w:val="24"/>
                <w:szCs w:val="24"/>
                <w:lang w:val="en-AU"/>
              </w:rPr>
              <w:lastRenderedPageBreak/>
              <w:t xml:space="preserve">variant. </w:t>
            </w:r>
            <w:proofErr w:type="spellStart"/>
            <w:r w:rsidRPr="009C0A9C">
              <w:rPr>
                <w:rFonts w:asciiTheme="majorBidi" w:hAnsiTheme="majorBidi" w:cstheme="majorBidi"/>
                <w:color w:val="auto"/>
                <w:sz w:val="24"/>
                <w:szCs w:val="24"/>
                <w:lang w:val="nb-NO"/>
              </w:rPr>
              <w:t>Clin</w:t>
            </w:r>
            <w:proofErr w:type="spellEnd"/>
            <w:r w:rsidRPr="009C0A9C">
              <w:rPr>
                <w:rFonts w:asciiTheme="majorBidi" w:hAnsiTheme="majorBidi" w:cstheme="majorBidi"/>
                <w:color w:val="auto"/>
                <w:sz w:val="24"/>
                <w:szCs w:val="24"/>
                <w:lang w:val="nb-NO"/>
              </w:rPr>
              <w:t xml:space="preserve"> </w:t>
            </w:r>
            <w:proofErr w:type="spellStart"/>
            <w:r w:rsidRPr="009C0A9C">
              <w:rPr>
                <w:rFonts w:asciiTheme="majorBidi" w:hAnsiTheme="majorBidi" w:cstheme="majorBidi"/>
                <w:color w:val="auto"/>
                <w:sz w:val="24"/>
                <w:szCs w:val="24"/>
                <w:lang w:val="nb-NO"/>
              </w:rPr>
              <w:t>Infect</w:t>
            </w:r>
            <w:proofErr w:type="spellEnd"/>
            <w:r w:rsidRPr="009C0A9C">
              <w:rPr>
                <w:rFonts w:asciiTheme="majorBidi" w:hAnsiTheme="majorBidi" w:cstheme="majorBidi"/>
                <w:color w:val="auto"/>
                <w:sz w:val="24"/>
                <w:szCs w:val="24"/>
                <w:lang w:val="nb-NO"/>
              </w:rPr>
              <w:t xml:space="preserve"> Dis. 2022;75(12):2161–2168. https://doi.org/10.1093/cid/ciac328</w:t>
            </w:r>
          </w:p>
        </w:tc>
        <w:tc>
          <w:tcPr>
            <w:tcW w:w="5938" w:type="dxa"/>
          </w:tcPr>
          <w:p w14:paraId="2BA6E352" w14:textId="77777777" w:rsidR="009405C7" w:rsidRPr="009C0A9C" w:rsidRDefault="009405C7" w:rsidP="009405C7">
            <w:pPr>
              <w:pStyle w:val="MDPI31text"/>
              <w:ind w:left="0" w:firstLine="0"/>
              <w:rPr>
                <w:rFonts w:asciiTheme="majorBidi" w:hAnsiTheme="majorBidi" w:cstheme="majorBidi"/>
                <w:color w:val="auto"/>
                <w:sz w:val="24"/>
                <w:szCs w:val="24"/>
              </w:rPr>
            </w:pPr>
            <w:r w:rsidRPr="009C0A9C">
              <w:rPr>
                <w:rFonts w:asciiTheme="majorBidi" w:hAnsiTheme="majorBidi" w:cstheme="majorBidi"/>
                <w:color w:val="auto"/>
                <w:sz w:val="24"/>
                <w:szCs w:val="24"/>
              </w:rPr>
              <w:lastRenderedPageBreak/>
              <w:t xml:space="preserve">Outside the prespecified review scope. This retrospective cohort study estimates relative vaccine effectiveness of a homologous booster of ancestral (monovalent) mRNA vaccines during early Omicron (BA.1/BA.2) predominance </w:t>
            </w:r>
            <w:r w:rsidRPr="009C0A9C">
              <w:rPr>
                <w:rFonts w:asciiTheme="majorBidi" w:hAnsiTheme="majorBidi" w:cstheme="majorBidi"/>
                <w:color w:val="auto"/>
                <w:sz w:val="24"/>
                <w:szCs w:val="24"/>
              </w:rPr>
              <w:lastRenderedPageBreak/>
              <w:t>(January–February 2022). The study does not evaluate variant-adapted vaccines and relies on a booster-versus-primary-series comparator framework, which is not aligned with the late-Omicron, variant-adapted vaccine effectiveness framework applied in this review.</w:t>
            </w:r>
          </w:p>
        </w:tc>
      </w:tr>
      <w:tr w:rsidR="009405C7" w14:paraId="1E4D3143" w14:textId="77777777" w:rsidTr="00B20255">
        <w:tc>
          <w:tcPr>
            <w:tcW w:w="5403" w:type="dxa"/>
          </w:tcPr>
          <w:p w14:paraId="07909EBB" w14:textId="61066C37" w:rsidR="009405C7" w:rsidRPr="00DF2683" w:rsidRDefault="00DF2683" w:rsidP="009405C7">
            <w:pPr>
              <w:pStyle w:val="MDPI31text"/>
              <w:ind w:left="0" w:firstLine="0"/>
              <w:rPr>
                <w:rFonts w:asciiTheme="majorBidi" w:hAnsiTheme="majorBidi" w:cstheme="majorBidi"/>
                <w:color w:val="auto"/>
                <w:sz w:val="24"/>
                <w:szCs w:val="24"/>
              </w:rPr>
            </w:pPr>
            <w:r w:rsidRPr="00DF2683">
              <w:rPr>
                <w:rFonts w:asciiTheme="majorBidi" w:hAnsiTheme="majorBidi" w:cstheme="majorBidi"/>
                <w:color w:val="auto"/>
                <w:sz w:val="24"/>
                <w:szCs w:val="24"/>
                <w:lang w:val="en-AU"/>
              </w:rPr>
              <w:lastRenderedPageBreak/>
              <w:t xml:space="preserve">Canevari JT, Cheng AC, Wu L, Rowe SL, Wollersheim DE, West D, et al. The relative effectiveness of three and four doses of COVID-19 vaccine in Victoria, Australia: a data linkage study. </w:t>
            </w:r>
            <w:proofErr w:type="spellStart"/>
            <w:r w:rsidRPr="00DF2683">
              <w:rPr>
                <w:rFonts w:asciiTheme="majorBidi" w:hAnsiTheme="majorBidi" w:cstheme="majorBidi"/>
                <w:color w:val="auto"/>
                <w:sz w:val="24"/>
                <w:szCs w:val="24"/>
                <w:lang w:val="nb-NO"/>
              </w:rPr>
              <w:t>Vaccine</w:t>
            </w:r>
            <w:proofErr w:type="spellEnd"/>
            <w:r w:rsidRPr="00DF2683">
              <w:rPr>
                <w:rFonts w:asciiTheme="majorBidi" w:hAnsiTheme="majorBidi" w:cstheme="majorBidi"/>
                <w:color w:val="auto"/>
                <w:sz w:val="24"/>
                <w:szCs w:val="24"/>
                <w:lang w:val="nb-NO"/>
              </w:rPr>
              <w:t>. 2024;42:53–58. https://doi.org/10.1016/j.vaccine.2023.11.047</w:t>
            </w:r>
          </w:p>
        </w:tc>
        <w:tc>
          <w:tcPr>
            <w:tcW w:w="5938" w:type="dxa"/>
          </w:tcPr>
          <w:p w14:paraId="522631B1" w14:textId="77777777" w:rsidR="009405C7" w:rsidRPr="00DF2683" w:rsidRDefault="009405C7" w:rsidP="009405C7">
            <w:pPr>
              <w:pStyle w:val="MDPI31text"/>
              <w:ind w:left="0" w:firstLine="0"/>
              <w:rPr>
                <w:rFonts w:asciiTheme="majorBidi" w:hAnsiTheme="majorBidi" w:cstheme="majorBidi"/>
                <w:color w:val="auto"/>
                <w:sz w:val="24"/>
                <w:szCs w:val="24"/>
              </w:rPr>
            </w:pPr>
            <w:r w:rsidRPr="00DF2683">
              <w:rPr>
                <w:rFonts w:asciiTheme="majorBidi" w:hAnsiTheme="majorBidi" w:cstheme="majorBidi"/>
                <w:color w:val="auto"/>
                <w:sz w:val="24"/>
                <w:szCs w:val="24"/>
              </w:rPr>
              <w:t>Outside the prespecified review scope. This population-based data-linkage study evaluates relative vaccine effectiveness of third and fourth doses compared with two doses during an Omicron-dominant period, without distinguishing or specifically assessing variant-adapted vaccine formulations. The analysis focuses on dose-number–based incremental protection and waning, rather than the effectiveness of specific late-Omicron or variant-adapted vaccines, which is the focus of this review.</w:t>
            </w:r>
          </w:p>
        </w:tc>
      </w:tr>
      <w:tr w:rsidR="009405C7" w14:paraId="53047874" w14:textId="77777777" w:rsidTr="00B20255">
        <w:tc>
          <w:tcPr>
            <w:tcW w:w="5403" w:type="dxa"/>
          </w:tcPr>
          <w:p w14:paraId="1267A8A4" w14:textId="7A2C94B3" w:rsidR="009405C7" w:rsidRPr="00DF2683" w:rsidRDefault="00DF2683" w:rsidP="009405C7">
            <w:pPr>
              <w:pStyle w:val="MDPI31text"/>
              <w:ind w:left="0" w:firstLine="0"/>
              <w:rPr>
                <w:rFonts w:asciiTheme="majorBidi" w:hAnsiTheme="majorBidi" w:cstheme="majorBidi"/>
                <w:color w:val="auto"/>
                <w:sz w:val="24"/>
                <w:szCs w:val="24"/>
              </w:rPr>
            </w:pPr>
            <w:r w:rsidRPr="00DF2683">
              <w:rPr>
                <w:rFonts w:asciiTheme="majorBidi" w:hAnsiTheme="majorBidi" w:cstheme="majorBidi"/>
                <w:color w:val="auto"/>
                <w:sz w:val="24"/>
                <w:szCs w:val="24"/>
              </w:rPr>
              <w:t>Cao L, Lou J, Chan SY, Zheng H, Liu C, Zhao S, et al. Rapid evaluation of COVID-19 vaccine effectiveness against symptomatic infection with SARS-CoV-2 variants by analysis of genetic distance. Nat Med. 2022;28(8):1715–1722. https://doi.org/10.1038/s41591-022-01877-1</w:t>
            </w:r>
          </w:p>
        </w:tc>
        <w:tc>
          <w:tcPr>
            <w:tcW w:w="5938" w:type="dxa"/>
          </w:tcPr>
          <w:p w14:paraId="2DBD5221" w14:textId="0D9AF4C3" w:rsidR="009405C7" w:rsidRPr="00DF2683" w:rsidRDefault="009405C7" w:rsidP="009405C7">
            <w:pPr>
              <w:pStyle w:val="MDPI31text"/>
              <w:ind w:left="0" w:firstLine="0"/>
              <w:rPr>
                <w:rFonts w:asciiTheme="majorBidi" w:hAnsiTheme="majorBidi" w:cstheme="majorBidi"/>
                <w:color w:val="auto"/>
                <w:sz w:val="24"/>
                <w:szCs w:val="24"/>
              </w:rPr>
            </w:pPr>
            <w:r w:rsidRPr="00DF2683">
              <w:rPr>
                <w:rFonts w:asciiTheme="majorBidi" w:hAnsiTheme="majorBidi" w:cstheme="majorBidi"/>
                <w:color w:val="auto"/>
                <w:sz w:val="24"/>
                <w:szCs w:val="24"/>
              </w:rPr>
              <w:t>Outside the prespecified review scope. This study is a model-based secondary analysis that integrates previously published vaccine efficacy/effectiveness estimates with viral genetic distance to predict vaccine effectiveness against symptomatic SARS-CoV-2 infection. It does not provide original real-world effectiveness estimates against severe COVID-19 outcomes (hospitali</w:t>
            </w:r>
            <w:r w:rsidR="00BA12A9" w:rsidRPr="00DF2683">
              <w:rPr>
                <w:rFonts w:asciiTheme="majorBidi" w:hAnsiTheme="majorBidi" w:cstheme="majorBidi"/>
                <w:color w:val="auto"/>
                <w:sz w:val="24"/>
                <w:szCs w:val="24"/>
              </w:rPr>
              <w:t>z</w:t>
            </w:r>
            <w:r w:rsidRPr="00DF2683">
              <w:rPr>
                <w:rFonts w:asciiTheme="majorBidi" w:hAnsiTheme="majorBidi" w:cstheme="majorBidi"/>
                <w:color w:val="auto"/>
                <w:sz w:val="24"/>
                <w:szCs w:val="24"/>
              </w:rPr>
              <w:t>ation, ICU admission, or death) and primarily reflects pre-Omicron and early Omicron periods, without evaluation of variant-adapted vaccines, which are the focus of this review.</w:t>
            </w:r>
          </w:p>
        </w:tc>
      </w:tr>
      <w:tr w:rsidR="009405C7" w14:paraId="6B32F954" w14:textId="77777777" w:rsidTr="00B20255">
        <w:tc>
          <w:tcPr>
            <w:tcW w:w="5403" w:type="dxa"/>
          </w:tcPr>
          <w:p w14:paraId="6D8DEA61" w14:textId="050D7603" w:rsidR="009405C7" w:rsidRPr="00075CD8" w:rsidRDefault="00075CD8" w:rsidP="009405C7">
            <w:pPr>
              <w:pStyle w:val="MDPI31text"/>
              <w:ind w:left="0" w:firstLine="0"/>
              <w:rPr>
                <w:rFonts w:asciiTheme="majorBidi" w:hAnsiTheme="majorBidi" w:cstheme="majorBidi"/>
                <w:color w:val="auto"/>
                <w:sz w:val="24"/>
                <w:szCs w:val="24"/>
              </w:rPr>
            </w:pPr>
            <w:proofErr w:type="spellStart"/>
            <w:r w:rsidRPr="00075CD8">
              <w:rPr>
                <w:rFonts w:asciiTheme="majorBidi" w:hAnsiTheme="majorBidi" w:cstheme="majorBidi"/>
                <w:color w:val="auto"/>
                <w:sz w:val="24"/>
                <w:szCs w:val="24"/>
              </w:rPr>
              <w:t>Capitine</w:t>
            </w:r>
            <w:proofErr w:type="spellEnd"/>
            <w:r w:rsidRPr="00075CD8">
              <w:rPr>
                <w:rFonts w:asciiTheme="majorBidi" w:hAnsiTheme="majorBidi" w:cstheme="majorBidi"/>
                <w:color w:val="auto"/>
                <w:sz w:val="24"/>
                <w:szCs w:val="24"/>
              </w:rPr>
              <w:t xml:space="preserve"> IU, Aziz AB, </w:t>
            </w:r>
            <w:proofErr w:type="spellStart"/>
            <w:r w:rsidRPr="00075CD8">
              <w:rPr>
                <w:rFonts w:asciiTheme="majorBidi" w:hAnsiTheme="majorBidi" w:cstheme="majorBidi"/>
                <w:color w:val="auto"/>
                <w:sz w:val="24"/>
                <w:szCs w:val="24"/>
              </w:rPr>
              <w:t>Manhiça</w:t>
            </w:r>
            <w:proofErr w:type="spellEnd"/>
            <w:r w:rsidRPr="00075CD8">
              <w:rPr>
                <w:rFonts w:asciiTheme="majorBidi" w:hAnsiTheme="majorBidi" w:cstheme="majorBidi"/>
                <w:color w:val="auto"/>
                <w:sz w:val="24"/>
                <w:szCs w:val="24"/>
              </w:rPr>
              <w:t xml:space="preserve"> A, </w:t>
            </w:r>
            <w:proofErr w:type="spellStart"/>
            <w:r w:rsidRPr="00075CD8">
              <w:rPr>
                <w:rFonts w:asciiTheme="majorBidi" w:hAnsiTheme="majorBidi" w:cstheme="majorBidi"/>
                <w:color w:val="auto"/>
                <w:sz w:val="24"/>
                <w:szCs w:val="24"/>
              </w:rPr>
              <w:t>Tivane</w:t>
            </w:r>
            <w:proofErr w:type="spellEnd"/>
            <w:r w:rsidRPr="00075CD8">
              <w:rPr>
                <w:rFonts w:asciiTheme="majorBidi" w:hAnsiTheme="majorBidi" w:cstheme="majorBidi"/>
                <w:color w:val="auto"/>
                <w:sz w:val="24"/>
                <w:szCs w:val="24"/>
              </w:rPr>
              <w:t xml:space="preserve"> I, Zumba A, </w:t>
            </w:r>
            <w:proofErr w:type="spellStart"/>
            <w:r w:rsidRPr="00075CD8">
              <w:rPr>
                <w:rFonts w:asciiTheme="majorBidi" w:hAnsiTheme="majorBidi" w:cstheme="majorBidi"/>
                <w:color w:val="auto"/>
                <w:sz w:val="24"/>
                <w:szCs w:val="24"/>
              </w:rPr>
              <w:t>Nhumba</w:t>
            </w:r>
            <w:proofErr w:type="spellEnd"/>
            <w:r w:rsidRPr="00075CD8">
              <w:rPr>
                <w:rFonts w:asciiTheme="majorBidi" w:hAnsiTheme="majorBidi" w:cstheme="majorBidi"/>
                <w:color w:val="auto"/>
                <w:sz w:val="24"/>
                <w:szCs w:val="24"/>
              </w:rPr>
              <w:t xml:space="preserve"> M, et al. Real-world evaluation of the effectiveness of Sinopharm COVID-19 vaccine against symptomatic COVID-19 in an Omicron-dominant setting in Mozambique: a test-negative, case-control study. Clin Infect Dis. 2025;80(Suppl 1):S47–S56. https://doi.org/10.1093/cid/ciaf093</w:t>
            </w:r>
          </w:p>
        </w:tc>
        <w:tc>
          <w:tcPr>
            <w:tcW w:w="5938" w:type="dxa"/>
          </w:tcPr>
          <w:p w14:paraId="78658F2F" w14:textId="52AACACA" w:rsidR="009405C7" w:rsidRPr="00075CD8" w:rsidRDefault="009405C7" w:rsidP="009405C7">
            <w:pPr>
              <w:pStyle w:val="MDPI31text"/>
              <w:ind w:left="0" w:firstLine="0"/>
              <w:rPr>
                <w:rFonts w:asciiTheme="majorBidi" w:hAnsiTheme="majorBidi" w:cstheme="majorBidi"/>
                <w:color w:val="auto"/>
                <w:sz w:val="24"/>
                <w:szCs w:val="24"/>
              </w:rPr>
            </w:pPr>
            <w:r w:rsidRPr="00075CD8">
              <w:rPr>
                <w:rFonts w:asciiTheme="majorBidi" w:hAnsiTheme="majorBidi" w:cstheme="majorBidi"/>
                <w:color w:val="auto"/>
                <w:sz w:val="24"/>
                <w:szCs w:val="24"/>
              </w:rPr>
              <w:t xml:space="preserve">Outside the prespecified review scope. This test-negative case–control study evaluates vaccine effectiveness against symptomatic SARS-CoV-2 infection only during an Omicron-dominant period and reports no </w:t>
            </w:r>
            <w:r w:rsidR="00BA12A9" w:rsidRPr="00075CD8">
              <w:rPr>
                <w:rFonts w:asciiTheme="majorBidi" w:hAnsiTheme="majorBidi" w:cstheme="majorBidi"/>
                <w:color w:val="auto"/>
                <w:sz w:val="24"/>
                <w:szCs w:val="24"/>
              </w:rPr>
              <w:t>hospitalizations</w:t>
            </w:r>
            <w:r w:rsidRPr="00075CD8">
              <w:rPr>
                <w:rFonts w:asciiTheme="majorBidi" w:hAnsiTheme="majorBidi" w:cstheme="majorBidi"/>
                <w:color w:val="auto"/>
                <w:sz w:val="24"/>
                <w:szCs w:val="24"/>
              </w:rPr>
              <w:t>, ICU admissions, or deaths in the study population. As a result, the study does not provide estimable vaccine effectiveness against severe COVID-19 outcomes, which were the primary outcomes of interest in this review.</w:t>
            </w:r>
          </w:p>
        </w:tc>
      </w:tr>
      <w:tr w:rsidR="009405C7" w14:paraId="41F5475E" w14:textId="77777777" w:rsidTr="00B20255">
        <w:tc>
          <w:tcPr>
            <w:tcW w:w="5403" w:type="dxa"/>
          </w:tcPr>
          <w:p w14:paraId="1D940414" w14:textId="12553E68" w:rsidR="009405C7" w:rsidRPr="004F6C90" w:rsidRDefault="004F6C90" w:rsidP="004F6C90">
            <w:pPr>
              <w:pStyle w:val="MDPI31text"/>
              <w:ind w:left="0" w:firstLine="0"/>
              <w:rPr>
                <w:rFonts w:asciiTheme="majorBidi" w:hAnsiTheme="majorBidi" w:cstheme="majorBidi"/>
                <w:color w:val="auto"/>
                <w:sz w:val="24"/>
                <w:szCs w:val="24"/>
              </w:rPr>
            </w:pPr>
            <w:r w:rsidRPr="004F6C90">
              <w:rPr>
                <w:rFonts w:asciiTheme="majorBidi" w:hAnsiTheme="majorBidi" w:cstheme="majorBidi"/>
                <w:color w:val="auto"/>
                <w:sz w:val="24"/>
                <w:szCs w:val="24"/>
                <w:lang w:val="en-GB"/>
              </w:rPr>
              <w:t xml:space="preserve">Carazo S, Skowronski DM, Brisson M, Sauvageau C, Brousseau N, Fafard J, et al. Effectiveness of previous infection-induced and vaccine-induced protection against hospitalisation due to omicron BA subvariants in older adults: a test-negative, case-control study in Quebec, Canada. </w:t>
            </w:r>
            <w:r w:rsidRPr="004F6C90">
              <w:rPr>
                <w:rFonts w:asciiTheme="majorBidi" w:hAnsiTheme="majorBidi" w:cstheme="majorBidi"/>
                <w:i/>
                <w:iCs/>
                <w:color w:val="auto"/>
                <w:sz w:val="24"/>
                <w:szCs w:val="24"/>
                <w:lang w:val="en-GB"/>
              </w:rPr>
              <w:t>Lancet Healthy Longev.</w:t>
            </w:r>
            <w:r w:rsidRPr="004F6C90">
              <w:rPr>
                <w:rFonts w:asciiTheme="majorBidi" w:hAnsiTheme="majorBidi" w:cstheme="majorBidi"/>
                <w:color w:val="auto"/>
                <w:sz w:val="24"/>
                <w:szCs w:val="24"/>
                <w:lang w:val="en-GB"/>
              </w:rPr>
              <w:t xml:space="preserve"> 2023;4(8):e409–e420. https://doi.org/10.1016/S2666-7568(23)00099-5</w:t>
            </w:r>
          </w:p>
        </w:tc>
        <w:tc>
          <w:tcPr>
            <w:tcW w:w="5938" w:type="dxa"/>
          </w:tcPr>
          <w:p w14:paraId="526D30C8" w14:textId="761A70DA" w:rsidR="009405C7" w:rsidRPr="004F6C90" w:rsidRDefault="009405C7" w:rsidP="009405C7">
            <w:pPr>
              <w:pStyle w:val="MDPI31text"/>
              <w:ind w:left="0" w:firstLine="0"/>
              <w:rPr>
                <w:rFonts w:asciiTheme="majorBidi" w:hAnsiTheme="majorBidi" w:cstheme="majorBidi"/>
                <w:color w:val="auto"/>
                <w:sz w:val="24"/>
                <w:szCs w:val="24"/>
              </w:rPr>
            </w:pPr>
            <w:r w:rsidRPr="004F6C90">
              <w:rPr>
                <w:rFonts w:asciiTheme="majorBidi" w:hAnsiTheme="majorBidi" w:cstheme="majorBidi"/>
                <w:color w:val="auto"/>
                <w:sz w:val="24"/>
                <w:szCs w:val="24"/>
              </w:rPr>
              <w:t>Outside the prespecified review scope. This test-negative case-control study primarily evaluates infection-induced and hybrid immunity against omicron-associated hospitali</w:t>
            </w:r>
            <w:r w:rsidR="00BA12A9" w:rsidRPr="004F6C90">
              <w:rPr>
                <w:rFonts w:asciiTheme="majorBidi" w:hAnsiTheme="majorBidi" w:cstheme="majorBidi"/>
                <w:color w:val="auto"/>
                <w:sz w:val="24"/>
                <w:szCs w:val="24"/>
              </w:rPr>
              <w:t>z</w:t>
            </w:r>
            <w:r w:rsidRPr="004F6C90">
              <w:rPr>
                <w:rFonts w:asciiTheme="majorBidi" w:hAnsiTheme="majorBidi" w:cstheme="majorBidi"/>
                <w:color w:val="auto"/>
                <w:sz w:val="24"/>
                <w:szCs w:val="24"/>
              </w:rPr>
              <w:t xml:space="preserve">ation, with vaccine effectiveness estimates intrinsically stratified by prior SARS-CoV-2 infection and not presented as standalone, </w:t>
            </w:r>
            <w:r w:rsidR="006B6983" w:rsidRPr="004F6C90">
              <w:rPr>
                <w:rFonts w:asciiTheme="majorBidi" w:hAnsiTheme="majorBidi" w:cstheme="majorBidi"/>
                <w:color w:val="auto"/>
                <w:sz w:val="24"/>
                <w:szCs w:val="24"/>
              </w:rPr>
              <w:t>harmonizable</w:t>
            </w:r>
            <w:r w:rsidRPr="004F6C90">
              <w:rPr>
                <w:rFonts w:asciiTheme="majorBidi" w:hAnsiTheme="majorBidi" w:cstheme="majorBidi"/>
                <w:color w:val="auto"/>
                <w:sz w:val="24"/>
                <w:szCs w:val="24"/>
              </w:rPr>
              <w:t xml:space="preserve"> vaccine-only effectiveness estimates required for inclusion in this review.</w:t>
            </w:r>
          </w:p>
        </w:tc>
      </w:tr>
      <w:tr w:rsidR="009405C7" w14:paraId="54F81D69" w14:textId="77777777" w:rsidTr="00B20255">
        <w:tc>
          <w:tcPr>
            <w:tcW w:w="5403" w:type="dxa"/>
          </w:tcPr>
          <w:p w14:paraId="79BFAB66" w14:textId="090BE459" w:rsidR="009405C7" w:rsidRPr="004F6C90" w:rsidRDefault="004F6C90" w:rsidP="009405C7">
            <w:pPr>
              <w:pStyle w:val="MDPI31text"/>
              <w:ind w:left="0" w:firstLine="0"/>
              <w:rPr>
                <w:rFonts w:asciiTheme="majorBidi" w:hAnsiTheme="majorBidi" w:cstheme="majorBidi"/>
                <w:color w:val="auto"/>
                <w:sz w:val="24"/>
                <w:szCs w:val="24"/>
              </w:rPr>
            </w:pPr>
            <w:r w:rsidRPr="004F6C90">
              <w:rPr>
                <w:rFonts w:asciiTheme="majorBidi" w:hAnsiTheme="majorBidi" w:cstheme="majorBidi"/>
                <w:color w:val="auto"/>
                <w:sz w:val="24"/>
                <w:szCs w:val="24"/>
                <w:lang w:val="en-GB"/>
              </w:rPr>
              <w:t xml:space="preserve">Carazo S, Phimmasone J, Skowronski DM, </w:t>
            </w:r>
            <w:proofErr w:type="spellStart"/>
            <w:r w:rsidRPr="004F6C90">
              <w:rPr>
                <w:rFonts w:asciiTheme="majorBidi" w:hAnsiTheme="majorBidi" w:cstheme="majorBidi"/>
                <w:color w:val="auto"/>
                <w:sz w:val="24"/>
                <w:szCs w:val="24"/>
                <w:lang w:val="en-GB"/>
              </w:rPr>
              <w:t>Giguère</w:t>
            </w:r>
            <w:proofErr w:type="spellEnd"/>
            <w:r w:rsidRPr="004F6C90">
              <w:rPr>
                <w:rFonts w:asciiTheme="majorBidi" w:hAnsiTheme="majorBidi" w:cstheme="majorBidi"/>
                <w:color w:val="auto"/>
                <w:sz w:val="24"/>
                <w:szCs w:val="24"/>
                <w:lang w:val="en-GB"/>
              </w:rPr>
              <w:t xml:space="preserve"> K, </w:t>
            </w:r>
            <w:proofErr w:type="spellStart"/>
            <w:r w:rsidRPr="004F6C90">
              <w:rPr>
                <w:rFonts w:asciiTheme="majorBidi" w:hAnsiTheme="majorBidi" w:cstheme="majorBidi"/>
                <w:color w:val="auto"/>
                <w:sz w:val="24"/>
                <w:szCs w:val="24"/>
                <w:lang w:val="en-GB"/>
              </w:rPr>
              <w:t>Ouakki</w:t>
            </w:r>
            <w:proofErr w:type="spellEnd"/>
            <w:r w:rsidRPr="004F6C90">
              <w:rPr>
                <w:rFonts w:asciiTheme="majorBidi" w:hAnsiTheme="majorBidi" w:cstheme="majorBidi"/>
                <w:color w:val="auto"/>
                <w:sz w:val="24"/>
                <w:szCs w:val="24"/>
                <w:lang w:val="en-GB"/>
              </w:rPr>
              <w:t xml:space="preserve"> M, Talbot D, et al. </w:t>
            </w:r>
            <w:r w:rsidRPr="004F6C90">
              <w:rPr>
                <w:rFonts w:asciiTheme="majorBidi" w:hAnsiTheme="majorBidi" w:cstheme="majorBidi"/>
                <w:color w:val="auto"/>
                <w:sz w:val="24"/>
                <w:szCs w:val="24"/>
                <w:lang w:val="en-AU"/>
              </w:rPr>
              <w:t xml:space="preserve">Effectiveness of COVID-19 vaccination and prior infections to reduce long COVID risk during the pre-Omicron and Omicron periods. </w:t>
            </w:r>
            <w:r w:rsidRPr="0002017A">
              <w:rPr>
                <w:rFonts w:asciiTheme="majorBidi" w:hAnsiTheme="majorBidi" w:cstheme="majorBidi"/>
                <w:color w:val="auto"/>
                <w:sz w:val="24"/>
                <w:szCs w:val="24"/>
                <w:lang w:val="en-AU"/>
              </w:rPr>
              <w:t>Clin Infect Dis. 2025;ciaf549. https://doi.org/10.1093/cid/ciaf549</w:t>
            </w:r>
          </w:p>
        </w:tc>
        <w:tc>
          <w:tcPr>
            <w:tcW w:w="5938" w:type="dxa"/>
          </w:tcPr>
          <w:p w14:paraId="491F687B" w14:textId="09938C1D" w:rsidR="009405C7" w:rsidRPr="004F6C90" w:rsidRDefault="009405C7" w:rsidP="009405C7">
            <w:pPr>
              <w:pStyle w:val="MDPI31text"/>
              <w:ind w:left="0" w:firstLine="0"/>
              <w:rPr>
                <w:rFonts w:asciiTheme="majorBidi" w:hAnsiTheme="majorBidi" w:cstheme="majorBidi"/>
                <w:color w:val="auto"/>
                <w:sz w:val="24"/>
                <w:szCs w:val="24"/>
              </w:rPr>
            </w:pPr>
            <w:r w:rsidRPr="004F6C90">
              <w:rPr>
                <w:rFonts w:asciiTheme="majorBidi" w:hAnsiTheme="majorBidi" w:cstheme="majorBidi"/>
                <w:color w:val="auto"/>
                <w:sz w:val="24"/>
                <w:szCs w:val="24"/>
              </w:rPr>
              <w:t>Outside the prespecified review scope. This study evaluates vaccine effectiveness against long COVID (post-acute sequelae ≥12 weeks) and COVID-19 infection among healthcare workers, rather than acute severe COVID-19 outcomes (hospitali</w:t>
            </w:r>
            <w:r w:rsidR="00BA12A9" w:rsidRPr="004F6C90">
              <w:rPr>
                <w:rFonts w:asciiTheme="majorBidi" w:hAnsiTheme="majorBidi" w:cstheme="majorBidi"/>
                <w:color w:val="auto"/>
                <w:sz w:val="24"/>
                <w:szCs w:val="24"/>
              </w:rPr>
              <w:t>z</w:t>
            </w:r>
            <w:r w:rsidRPr="004F6C90">
              <w:rPr>
                <w:rFonts w:asciiTheme="majorBidi" w:hAnsiTheme="majorBidi" w:cstheme="majorBidi"/>
                <w:color w:val="auto"/>
                <w:sz w:val="24"/>
                <w:szCs w:val="24"/>
              </w:rPr>
              <w:t>ation, ICU admission, or death), which were the primary outcomes of interest in this review.</w:t>
            </w:r>
          </w:p>
        </w:tc>
      </w:tr>
      <w:tr w:rsidR="009405C7" w14:paraId="69A62117" w14:textId="77777777" w:rsidTr="00B20255">
        <w:tc>
          <w:tcPr>
            <w:tcW w:w="5403" w:type="dxa"/>
          </w:tcPr>
          <w:p w14:paraId="4D8D201B" w14:textId="29E61031" w:rsidR="009405C7" w:rsidRPr="009E37BA" w:rsidRDefault="009E37BA" w:rsidP="009405C7">
            <w:pPr>
              <w:pStyle w:val="MDPI31text"/>
              <w:ind w:left="0" w:firstLine="0"/>
              <w:rPr>
                <w:rFonts w:asciiTheme="majorBidi" w:hAnsiTheme="majorBidi" w:cstheme="majorBidi"/>
                <w:color w:val="auto"/>
                <w:sz w:val="24"/>
                <w:szCs w:val="24"/>
              </w:rPr>
            </w:pPr>
            <w:r w:rsidRPr="009E37BA">
              <w:rPr>
                <w:rFonts w:asciiTheme="majorBidi" w:hAnsiTheme="majorBidi" w:cstheme="majorBidi"/>
                <w:color w:val="auto"/>
                <w:sz w:val="24"/>
                <w:szCs w:val="24"/>
                <w:lang w:val="en-AU"/>
              </w:rPr>
              <w:t xml:space="preserve">Carazo S, Skowronski DM, Brisson M, Sauvageau C, Brousseau N, Gilca R, et al. Estimated protection of prior SARS-CoV-2 infection against reinfection with </w:t>
            </w:r>
            <w:r w:rsidRPr="009E37BA">
              <w:rPr>
                <w:rFonts w:asciiTheme="majorBidi" w:hAnsiTheme="majorBidi" w:cstheme="majorBidi"/>
                <w:color w:val="auto"/>
                <w:sz w:val="24"/>
                <w:szCs w:val="24"/>
                <w:lang w:val="en-AU"/>
              </w:rPr>
              <w:lastRenderedPageBreak/>
              <w:t xml:space="preserve">the Omicron variant among messenger RNA–vaccinated and nonvaccinated individuals in Quebec, Canada. </w:t>
            </w:r>
            <w:r w:rsidRPr="000363C4">
              <w:rPr>
                <w:rFonts w:asciiTheme="majorBidi" w:hAnsiTheme="majorBidi" w:cstheme="majorBidi"/>
                <w:color w:val="auto"/>
                <w:sz w:val="24"/>
                <w:szCs w:val="24"/>
                <w:lang w:val="en-AU"/>
              </w:rPr>
              <w:t xml:space="preserve">JAMA </w:t>
            </w:r>
            <w:proofErr w:type="spellStart"/>
            <w:r w:rsidRPr="000363C4">
              <w:rPr>
                <w:rFonts w:asciiTheme="majorBidi" w:hAnsiTheme="majorBidi" w:cstheme="majorBidi"/>
                <w:color w:val="auto"/>
                <w:sz w:val="24"/>
                <w:szCs w:val="24"/>
                <w:lang w:val="en-AU"/>
              </w:rPr>
              <w:t>Netw</w:t>
            </w:r>
            <w:proofErr w:type="spellEnd"/>
            <w:r w:rsidRPr="000363C4">
              <w:rPr>
                <w:rFonts w:asciiTheme="majorBidi" w:hAnsiTheme="majorBidi" w:cstheme="majorBidi"/>
                <w:color w:val="auto"/>
                <w:sz w:val="24"/>
                <w:szCs w:val="24"/>
                <w:lang w:val="en-AU"/>
              </w:rPr>
              <w:t xml:space="preserve"> Open. 2022;5(10):e2236670. https://doi.org/10.1001/jamanetworkopen.2022.36670</w:t>
            </w:r>
          </w:p>
        </w:tc>
        <w:tc>
          <w:tcPr>
            <w:tcW w:w="5938" w:type="dxa"/>
          </w:tcPr>
          <w:p w14:paraId="3A159948" w14:textId="77777777" w:rsidR="009405C7" w:rsidRPr="009E37BA" w:rsidRDefault="009405C7" w:rsidP="009405C7">
            <w:pPr>
              <w:pStyle w:val="MDPI31text"/>
              <w:ind w:left="0" w:firstLine="0"/>
              <w:rPr>
                <w:rFonts w:asciiTheme="majorBidi" w:hAnsiTheme="majorBidi" w:cstheme="majorBidi"/>
                <w:color w:val="auto"/>
                <w:sz w:val="24"/>
                <w:szCs w:val="24"/>
              </w:rPr>
            </w:pPr>
            <w:r w:rsidRPr="009E37BA">
              <w:rPr>
                <w:rFonts w:asciiTheme="majorBidi" w:hAnsiTheme="majorBidi" w:cstheme="majorBidi"/>
                <w:color w:val="auto"/>
                <w:sz w:val="24"/>
                <w:szCs w:val="24"/>
              </w:rPr>
              <w:lastRenderedPageBreak/>
              <w:t xml:space="preserve">Outside the prespecified review scope. This population-based test-negative study primarily evaluates protection conferred by prior SARS-CoV-2 infection (with or without </w:t>
            </w:r>
            <w:r w:rsidRPr="009E37BA">
              <w:rPr>
                <w:rFonts w:asciiTheme="majorBidi" w:hAnsiTheme="majorBidi" w:cstheme="majorBidi"/>
                <w:color w:val="auto"/>
                <w:sz w:val="24"/>
                <w:szCs w:val="24"/>
              </w:rPr>
              <w:lastRenderedPageBreak/>
              <w:t>vaccination) against Omicron reinfection, with vaccination examined mainly as a modifier of infection-induced or hybrid immunity. The study does not focus on vaccine effectiveness as the primary exposure nor on standalone vaccine effectiveness against severe COVID-19 outcomes, which were the main objectives of this review.</w:t>
            </w:r>
          </w:p>
        </w:tc>
      </w:tr>
      <w:tr w:rsidR="009405C7" w14:paraId="15089FE7" w14:textId="77777777" w:rsidTr="00B20255">
        <w:tc>
          <w:tcPr>
            <w:tcW w:w="5403" w:type="dxa"/>
          </w:tcPr>
          <w:p w14:paraId="25506991" w14:textId="6697BE4E" w:rsidR="009405C7" w:rsidRPr="00BB4F29" w:rsidRDefault="00BB4F29" w:rsidP="009405C7">
            <w:pPr>
              <w:pStyle w:val="MDPI31text"/>
              <w:ind w:left="0" w:firstLine="0"/>
              <w:rPr>
                <w:rFonts w:asciiTheme="majorBidi" w:hAnsiTheme="majorBidi" w:cstheme="majorBidi"/>
                <w:color w:val="auto"/>
                <w:sz w:val="24"/>
                <w:szCs w:val="24"/>
              </w:rPr>
            </w:pPr>
            <w:proofErr w:type="spellStart"/>
            <w:r w:rsidRPr="00BB4F29">
              <w:rPr>
                <w:rFonts w:asciiTheme="majorBidi" w:hAnsiTheme="majorBidi" w:cstheme="majorBidi"/>
                <w:color w:val="auto"/>
                <w:sz w:val="24"/>
                <w:szCs w:val="24"/>
              </w:rPr>
              <w:lastRenderedPageBreak/>
              <w:t>Cegolon</w:t>
            </w:r>
            <w:proofErr w:type="spellEnd"/>
            <w:r w:rsidRPr="00BB4F29">
              <w:rPr>
                <w:rFonts w:asciiTheme="majorBidi" w:hAnsiTheme="majorBidi" w:cstheme="majorBidi"/>
                <w:color w:val="auto"/>
                <w:sz w:val="24"/>
                <w:szCs w:val="24"/>
              </w:rPr>
              <w:t xml:space="preserve"> L, Larese Filon F. COVID-19 in city council civil servants, 1 March 2020–31 January 2023: risk of infection, reinfection, vaccine effectiveness and the impact of heterologous triple vaccination. Vaccines (Basel). 2024;12(3):254. https://doi.org/10.3390/vaccines12030254</w:t>
            </w:r>
          </w:p>
        </w:tc>
        <w:tc>
          <w:tcPr>
            <w:tcW w:w="5938" w:type="dxa"/>
          </w:tcPr>
          <w:p w14:paraId="18EE9CF8" w14:textId="3DF71649" w:rsidR="009405C7" w:rsidRPr="00BB4F29" w:rsidRDefault="009405C7" w:rsidP="009405C7">
            <w:pPr>
              <w:pStyle w:val="MDPI31text"/>
              <w:ind w:left="0" w:firstLine="0"/>
              <w:rPr>
                <w:rFonts w:asciiTheme="majorBidi" w:hAnsiTheme="majorBidi" w:cstheme="majorBidi"/>
                <w:color w:val="auto"/>
                <w:sz w:val="24"/>
                <w:szCs w:val="24"/>
              </w:rPr>
            </w:pPr>
            <w:r w:rsidRPr="00BB4F29">
              <w:rPr>
                <w:rFonts w:asciiTheme="majorBidi" w:hAnsiTheme="majorBidi" w:cstheme="majorBidi"/>
                <w:color w:val="auto"/>
                <w:sz w:val="24"/>
                <w:szCs w:val="24"/>
              </w:rPr>
              <w:t>Outside the prespecified review scope. The study primarily evaluates vaccine effectiveness against SARS-CoV-2 infection and reinfection in a single occupational cohort (city council civil servants) using time-to-event analyses. Severe clinical outcomes (hospitali</w:t>
            </w:r>
            <w:r w:rsidR="00BA12A9" w:rsidRPr="00BB4F29">
              <w:rPr>
                <w:rFonts w:asciiTheme="majorBidi" w:hAnsiTheme="majorBidi" w:cstheme="majorBidi"/>
                <w:color w:val="auto"/>
                <w:sz w:val="24"/>
                <w:szCs w:val="24"/>
              </w:rPr>
              <w:t>z</w:t>
            </w:r>
            <w:r w:rsidRPr="00BB4F29">
              <w:rPr>
                <w:rFonts w:asciiTheme="majorBidi" w:hAnsiTheme="majorBidi" w:cstheme="majorBidi"/>
                <w:color w:val="auto"/>
                <w:sz w:val="24"/>
                <w:szCs w:val="24"/>
              </w:rPr>
              <w:t xml:space="preserve">ation, ICU admission, death) were rare and not the primary analytic focus, limiting comparability with studies assessing vaccine effectiveness against severe COVID-19 outcomes </w:t>
            </w:r>
            <w:r w:rsidR="00AA15B8" w:rsidRPr="00BB4F29">
              <w:rPr>
                <w:rFonts w:asciiTheme="majorBidi" w:hAnsiTheme="majorBidi" w:cstheme="majorBidi"/>
                <w:color w:val="auto"/>
                <w:sz w:val="24"/>
                <w:szCs w:val="24"/>
              </w:rPr>
              <w:t>prioritized</w:t>
            </w:r>
            <w:r w:rsidRPr="00BB4F29">
              <w:rPr>
                <w:rFonts w:asciiTheme="majorBidi" w:hAnsiTheme="majorBidi" w:cstheme="majorBidi"/>
                <w:color w:val="auto"/>
                <w:sz w:val="24"/>
                <w:szCs w:val="24"/>
              </w:rPr>
              <w:t xml:space="preserve"> in this review.</w:t>
            </w:r>
          </w:p>
        </w:tc>
      </w:tr>
      <w:tr w:rsidR="009405C7" w14:paraId="7CFD57DF" w14:textId="77777777" w:rsidTr="00B20255">
        <w:tc>
          <w:tcPr>
            <w:tcW w:w="5403" w:type="dxa"/>
          </w:tcPr>
          <w:p w14:paraId="06EB112D" w14:textId="26DE4129" w:rsidR="009405C7" w:rsidRPr="00BB4F29" w:rsidRDefault="00BB4F29" w:rsidP="009405C7">
            <w:pPr>
              <w:pStyle w:val="MDPI31text"/>
              <w:ind w:left="0" w:firstLine="0"/>
              <w:rPr>
                <w:rFonts w:asciiTheme="majorBidi" w:hAnsiTheme="majorBidi" w:cstheme="majorBidi"/>
                <w:color w:val="auto"/>
                <w:sz w:val="24"/>
                <w:szCs w:val="24"/>
              </w:rPr>
            </w:pPr>
            <w:r w:rsidRPr="00BB4F29">
              <w:rPr>
                <w:rFonts w:asciiTheme="majorBidi" w:hAnsiTheme="majorBidi" w:cstheme="majorBidi"/>
                <w:color w:val="auto"/>
                <w:sz w:val="24"/>
                <w:szCs w:val="24"/>
              </w:rPr>
              <w:t xml:space="preserve">Cerqueira-Silva T, Shah SA, Robertson C, Sanchez M, </w:t>
            </w:r>
            <w:proofErr w:type="spellStart"/>
            <w:r w:rsidRPr="00BB4F29">
              <w:rPr>
                <w:rFonts w:asciiTheme="majorBidi" w:hAnsiTheme="majorBidi" w:cstheme="majorBidi"/>
                <w:color w:val="auto"/>
                <w:sz w:val="24"/>
                <w:szCs w:val="24"/>
              </w:rPr>
              <w:t>Katikireddi</w:t>
            </w:r>
            <w:proofErr w:type="spellEnd"/>
            <w:r w:rsidRPr="00BB4F29">
              <w:rPr>
                <w:rFonts w:asciiTheme="majorBidi" w:hAnsiTheme="majorBidi" w:cstheme="majorBidi"/>
                <w:color w:val="auto"/>
                <w:sz w:val="24"/>
                <w:szCs w:val="24"/>
              </w:rPr>
              <w:t xml:space="preserve"> SV, de Araujo Oliveira V, et al. Effectiveness of mRNA boosters after homologous primary series with BNT162b2 or ChAdOx1 against symptomatic infection and severe COVID-19 in Brazil and Scotland: a test-negative design case-control study. </w:t>
            </w:r>
            <w:proofErr w:type="spellStart"/>
            <w:r w:rsidRPr="00BB4F29">
              <w:rPr>
                <w:rFonts w:asciiTheme="majorBidi" w:hAnsiTheme="majorBidi" w:cstheme="majorBidi"/>
                <w:color w:val="auto"/>
                <w:sz w:val="24"/>
                <w:szCs w:val="24"/>
              </w:rPr>
              <w:t>PLoS</w:t>
            </w:r>
            <w:proofErr w:type="spellEnd"/>
            <w:r w:rsidRPr="00BB4F29">
              <w:rPr>
                <w:rFonts w:asciiTheme="majorBidi" w:hAnsiTheme="majorBidi" w:cstheme="majorBidi"/>
                <w:color w:val="auto"/>
                <w:sz w:val="24"/>
                <w:szCs w:val="24"/>
              </w:rPr>
              <w:t xml:space="preserve"> Med. 2023;20(1):e1004156. https://doi.org/10.1371/journal.pmed.1004156</w:t>
            </w:r>
          </w:p>
        </w:tc>
        <w:tc>
          <w:tcPr>
            <w:tcW w:w="5938" w:type="dxa"/>
          </w:tcPr>
          <w:p w14:paraId="02FE9DEE" w14:textId="77777777" w:rsidR="009405C7" w:rsidRPr="00BB4F29" w:rsidRDefault="009405C7" w:rsidP="009405C7">
            <w:pPr>
              <w:pStyle w:val="MDPI31text"/>
              <w:ind w:left="0" w:firstLine="0"/>
              <w:rPr>
                <w:rFonts w:asciiTheme="majorBidi" w:hAnsiTheme="majorBidi" w:cstheme="majorBidi"/>
                <w:color w:val="auto"/>
                <w:sz w:val="24"/>
                <w:szCs w:val="24"/>
              </w:rPr>
            </w:pPr>
            <w:r w:rsidRPr="00BB4F29">
              <w:rPr>
                <w:rFonts w:asciiTheme="majorBidi" w:hAnsiTheme="majorBidi" w:cstheme="majorBidi"/>
                <w:color w:val="auto"/>
                <w:sz w:val="24"/>
                <w:szCs w:val="24"/>
              </w:rPr>
              <w:t>Outside the prespecified review scope. This large test-negative study evaluates ancestral (monovalent) mRNA booster doses following BNT162b2 or ChAdOx1 primary series during early Omicron predominance (January–April 2022). The study predates the late-Omicron evolutionary phase and does not assess variant-adapted vaccines (e.g. BA.4/BA.5, XBB, JN.1, KP-lineage), which are the focus of this review.</w:t>
            </w:r>
          </w:p>
        </w:tc>
      </w:tr>
      <w:tr w:rsidR="009405C7" w14:paraId="43E33DD4" w14:textId="77777777" w:rsidTr="00B20255">
        <w:tc>
          <w:tcPr>
            <w:tcW w:w="5403" w:type="dxa"/>
          </w:tcPr>
          <w:p w14:paraId="1E2110DC" w14:textId="631DF0A2" w:rsidR="009405C7" w:rsidRPr="00F3258D" w:rsidRDefault="00F3258D" w:rsidP="009405C7">
            <w:pPr>
              <w:pStyle w:val="MDPI31text"/>
              <w:ind w:left="0" w:firstLine="0"/>
              <w:rPr>
                <w:rFonts w:asciiTheme="majorBidi" w:hAnsiTheme="majorBidi" w:cstheme="majorBidi"/>
                <w:color w:val="auto"/>
                <w:sz w:val="24"/>
                <w:szCs w:val="24"/>
              </w:rPr>
            </w:pPr>
            <w:proofErr w:type="spellStart"/>
            <w:r w:rsidRPr="00F3258D">
              <w:rPr>
                <w:rFonts w:asciiTheme="majorBidi" w:hAnsiTheme="majorBidi" w:cstheme="majorBidi"/>
                <w:color w:val="auto"/>
                <w:sz w:val="24"/>
                <w:szCs w:val="24"/>
              </w:rPr>
              <w:t>Chaiyakulsil</w:t>
            </w:r>
            <w:proofErr w:type="spellEnd"/>
            <w:r w:rsidRPr="00F3258D">
              <w:rPr>
                <w:rFonts w:asciiTheme="majorBidi" w:hAnsiTheme="majorBidi" w:cstheme="majorBidi"/>
                <w:color w:val="auto"/>
                <w:sz w:val="24"/>
                <w:szCs w:val="24"/>
              </w:rPr>
              <w:t xml:space="preserve"> C, </w:t>
            </w:r>
            <w:proofErr w:type="spellStart"/>
            <w:r w:rsidRPr="00F3258D">
              <w:rPr>
                <w:rFonts w:asciiTheme="majorBidi" w:hAnsiTheme="majorBidi" w:cstheme="majorBidi"/>
                <w:color w:val="auto"/>
                <w:sz w:val="24"/>
                <w:szCs w:val="24"/>
              </w:rPr>
              <w:t>Sritipsukho</w:t>
            </w:r>
            <w:proofErr w:type="spellEnd"/>
            <w:r w:rsidRPr="00F3258D">
              <w:rPr>
                <w:rFonts w:asciiTheme="majorBidi" w:hAnsiTheme="majorBidi" w:cstheme="majorBidi"/>
                <w:color w:val="auto"/>
                <w:sz w:val="24"/>
                <w:szCs w:val="24"/>
              </w:rPr>
              <w:t xml:space="preserve"> P, </w:t>
            </w:r>
            <w:proofErr w:type="spellStart"/>
            <w:r w:rsidRPr="00F3258D">
              <w:rPr>
                <w:rFonts w:asciiTheme="majorBidi" w:hAnsiTheme="majorBidi" w:cstheme="majorBidi"/>
                <w:color w:val="auto"/>
                <w:sz w:val="24"/>
                <w:szCs w:val="24"/>
              </w:rPr>
              <w:t>Satdhabudha</w:t>
            </w:r>
            <w:proofErr w:type="spellEnd"/>
            <w:r w:rsidRPr="00F3258D">
              <w:rPr>
                <w:rFonts w:asciiTheme="majorBidi" w:hAnsiTheme="majorBidi" w:cstheme="majorBidi"/>
                <w:color w:val="auto"/>
                <w:sz w:val="24"/>
                <w:szCs w:val="24"/>
              </w:rPr>
              <w:t xml:space="preserve"> A, </w:t>
            </w:r>
            <w:proofErr w:type="spellStart"/>
            <w:r w:rsidRPr="00F3258D">
              <w:rPr>
                <w:rFonts w:asciiTheme="majorBidi" w:hAnsiTheme="majorBidi" w:cstheme="majorBidi"/>
                <w:color w:val="auto"/>
                <w:sz w:val="24"/>
                <w:szCs w:val="24"/>
              </w:rPr>
              <w:t>Bunjoungmanee</w:t>
            </w:r>
            <w:proofErr w:type="spellEnd"/>
            <w:r w:rsidRPr="00F3258D">
              <w:rPr>
                <w:rFonts w:asciiTheme="majorBidi" w:hAnsiTheme="majorBidi" w:cstheme="majorBidi"/>
                <w:color w:val="auto"/>
                <w:sz w:val="24"/>
                <w:szCs w:val="24"/>
              </w:rPr>
              <w:t xml:space="preserve"> P, </w:t>
            </w:r>
            <w:proofErr w:type="spellStart"/>
            <w:r w:rsidRPr="00F3258D">
              <w:rPr>
                <w:rFonts w:asciiTheme="majorBidi" w:hAnsiTheme="majorBidi" w:cstheme="majorBidi"/>
                <w:color w:val="auto"/>
                <w:sz w:val="24"/>
                <w:szCs w:val="24"/>
              </w:rPr>
              <w:t>Tangsathapornpong</w:t>
            </w:r>
            <w:proofErr w:type="spellEnd"/>
            <w:r w:rsidRPr="00F3258D">
              <w:rPr>
                <w:rFonts w:asciiTheme="majorBidi" w:hAnsiTheme="majorBidi" w:cstheme="majorBidi"/>
                <w:color w:val="auto"/>
                <w:sz w:val="24"/>
                <w:szCs w:val="24"/>
              </w:rPr>
              <w:t xml:space="preserve"> A, </w:t>
            </w:r>
            <w:proofErr w:type="spellStart"/>
            <w:r w:rsidRPr="00F3258D">
              <w:rPr>
                <w:rFonts w:asciiTheme="majorBidi" w:hAnsiTheme="majorBidi" w:cstheme="majorBidi"/>
                <w:color w:val="auto"/>
                <w:sz w:val="24"/>
                <w:szCs w:val="24"/>
              </w:rPr>
              <w:t>Sinlapamongkolkul</w:t>
            </w:r>
            <w:proofErr w:type="spellEnd"/>
            <w:r w:rsidRPr="00F3258D">
              <w:rPr>
                <w:rFonts w:asciiTheme="majorBidi" w:hAnsiTheme="majorBidi" w:cstheme="majorBidi"/>
                <w:color w:val="auto"/>
                <w:sz w:val="24"/>
                <w:szCs w:val="24"/>
              </w:rPr>
              <w:t xml:space="preserve"> P, et al. Prevalence, risk factors, and vaccine effectiveness of COVID-19 infection in Thai children, adolescents, and young adults in the Omicron era. Front </w:t>
            </w:r>
            <w:proofErr w:type="spellStart"/>
            <w:r w:rsidRPr="00F3258D">
              <w:rPr>
                <w:rFonts w:asciiTheme="majorBidi" w:hAnsiTheme="majorBidi" w:cstheme="majorBidi"/>
                <w:color w:val="auto"/>
                <w:sz w:val="24"/>
                <w:szCs w:val="24"/>
              </w:rPr>
              <w:t>Pediatr</w:t>
            </w:r>
            <w:proofErr w:type="spellEnd"/>
            <w:r w:rsidRPr="00F3258D">
              <w:rPr>
                <w:rFonts w:asciiTheme="majorBidi" w:hAnsiTheme="majorBidi" w:cstheme="majorBidi"/>
                <w:color w:val="auto"/>
                <w:sz w:val="24"/>
                <w:szCs w:val="24"/>
              </w:rPr>
              <w:t>. 2023;11:1173162. https://doi.org/10.3389/fped.2023.1173162</w:t>
            </w:r>
          </w:p>
        </w:tc>
        <w:tc>
          <w:tcPr>
            <w:tcW w:w="5938" w:type="dxa"/>
          </w:tcPr>
          <w:p w14:paraId="7590824A" w14:textId="77777777" w:rsidR="009405C7" w:rsidRPr="00F3258D" w:rsidRDefault="009405C7" w:rsidP="009405C7">
            <w:pPr>
              <w:pStyle w:val="MDPI31text"/>
              <w:ind w:left="0" w:firstLine="0"/>
              <w:rPr>
                <w:rFonts w:asciiTheme="majorBidi" w:hAnsiTheme="majorBidi" w:cstheme="majorBidi"/>
                <w:color w:val="auto"/>
                <w:sz w:val="24"/>
                <w:szCs w:val="24"/>
              </w:rPr>
            </w:pPr>
            <w:r w:rsidRPr="00F3258D">
              <w:rPr>
                <w:rFonts w:asciiTheme="majorBidi" w:hAnsiTheme="majorBidi" w:cstheme="majorBidi"/>
                <w:color w:val="auto"/>
                <w:sz w:val="24"/>
                <w:szCs w:val="24"/>
              </w:rPr>
              <w:t>Outside the prespecified review scope. This prospective test-negative study evaluates vaccine effectiveness against SARS-CoV-2 infection and at least moderate disease in children, adolescents, and young adults aged 0–24 years during an early Omicron (BA.1/BA.2) period in 2022, using heterogeneous vaccine regimens. The paediatric/young adult population, infection-focused outcomes, and early Omicron timeframe fall outside the adult severe-outcome focus of this review.</w:t>
            </w:r>
          </w:p>
        </w:tc>
      </w:tr>
      <w:tr w:rsidR="009405C7" w14:paraId="2B0950DA" w14:textId="77777777" w:rsidTr="00B20255">
        <w:tc>
          <w:tcPr>
            <w:tcW w:w="5403" w:type="dxa"/>
          </w:tcPr>
          <w:p w14:paraId="7FC7CC0C" w14:textId="016EB30A" w:rsidR="009405C7" w:rsidRPr="00D7663A" w:rsidRDefault="00D7663A" w:rsidP="009405C7">
            <w:pPr>
              <w:pStyle w:val="MDPI31text"/>
              <w:ind w:left="0" w:firstLine="0"/>
              <w:rPr>
                <w:rFonts w:asciiTheme="majorBidi" w:hAnsiTheme="majorBidi" w:cstheme="majorBidi"/>
                <w:color w:val="auto"/>
                <w:sz w:val="24"/>
                <w:szCs w:val="24"/>
              </w:rPr>
            </w:pPr>
            <w:r w:rsidRPr="00D7663A">
              <w:rPr>
                <w:rFonts w:asciiTheme="majorBidi" w:hAnsiTheme="majorBidi" w:cstheme="majorBidi"/>
                <w:color w:val="auto"/>
                <w:sz w:val="24"/>
                <w:szCs w:val="24"/>
              </w:rPr>
              <w:t xml:space="preserve">Chalkias S, Harper C, </w:t>
            </w:r>
            <w:proofErr w:type="spellStart"/>
            <w:r w:rsidRPr="00D7663A">
              <w:rPr>
                <w:rFonts w:asciiTheme="majorBidi" w:hAnsiTheme="majorBidi" w:cstheme="majorBidi"/>
                <w:color w:val="auto"/>
                <w:sz w:val="24"/>
                <w:szCs w:val="24"/>
              </w:rPr>
              <w:t>Vrbicky</w:t>
            </w:r>
            <w:proofErr w:type="spellEnd"/>
            <w:r w:rsidRPr="00D7663A">
              <w:rPr>
                <w:rFonts w:asciiTheme="majorBidi" w:hAnsiTheme="majorBidi" w:cstheme="majorBidi"/>
                <w:color w:val="auto"/>
                <w:sz w:val="24"/>
                <w:szCs w:val="24"/>
              </w:rPr>
              <w:t xml:space="preserve"> K, Walsh SR, Essink B, Brosz A, et al. A bivalent omicron-containing booster vaccine against COVID-19. N Engl J Med. 2022;387(14):1279–1291. https://doi.org/10.1056/NEJMoa2208343</w:t>
            </w:r>
          </w:p>
        </w:tc>
        <w:tc>
          <w:tcPr>
            <w:tcW w:w="5938" w:type="dxa"/>
          </w:tcPr>
          <w:p w14:paraId="2EEBE6FD" w14:textId="0DCCD4BE" w:rsidR="009405C7" w:rsidRPr="00D7663A" w:rsidRDefault="009405C7" w:rsidP="009405C7">
            <w:pPr>
              <w:pStyle w:val="MDPI31text"/>
              <w:ind w:left="0" w:firstLine="0"/>
              <w:rPr>
                <w:rFonts w:asciiTheme="majorBidi" w:hAnsiTheme="majorBidi" w:cstheme="majorBidi"/>
                <w:color w:val="auto"/>
                <w:sz w:val="24"/>
                <w:szCs w:val="24"/>
              </w:rPr>
            </w:pPr>
            <w:r w:rsidRPr="00D7663A">
              <w:rPr>
                <w:rFonts w:asciiTheme="majorBidi" w:hAnsiTheme="majorBidi" w:cstheme="majorBidi"/>
                <w:color w:val="auto"/>
                <w:sz w:val="24"/>
                <w:szCs w:val="24"/>
              </w:rPr>
              <w:t xml:space="preserve">Outside the prespecified review scope. This phase 2–3 clinical trial primarily evaluates safety and immunogenicity of a bivalent mRNA booster vaccine and does not report vaccine effectiveness </w:t>
            </w:r>
            <w:r w:rsidR="006B6983" w:rsidRPr="00D7663A">
              <w:rPr>
                <w:rFonts w:asciiTheme="majorBidi" w:hAnsiTheme="majorBidi" w:cstheme="majorBidi"/>
                <w:color w:val="auto"/>
                <w:sz w:val="24"/>
                <w:szCs w:val="24"/>
              </w:rPr>
              <w:t>(</w:t>
            </w:r>
            <w:r w:rsidRPr="00D7663A">
              <w:rPr>
                <w:rFonts w:asciiTheme="majorBidi" w:hAnsiTheme="majorBidi" w:cstheme="majorBidi"/>
                <w:color w:val="auto"/>
                <w:sz w:val="24"/>
                <w:szCs w:val="24"/>
              </w:rPr>
              <w:t>VE</w:t>
            </w:r>
            <w:r w:rsidR="006B6983" w:rsidRPr="00D7663A">
              <w:rPr>
                <w:rFonts w:asciiTheme="majorBidi" w:hAnsiTheme="majorBidi" w:cstheme="majorBidi"/>
                <w:color w:val="auto"/>
                <w:sz w:val="24"/>
                <w:szCs w:val="24"/>
              </w:rPr>
              <w:t>)</w:t>
            </w:r>
            <w:r w:rsidRPr="00D7663A">
              <w:rPr>
                <w:rFonts w:asciiTheme="majorBidi" w:hAnsiTheme="majorBidi" w:cstheme="majorBidi"/>
                <w:color w:val="auto"/>
                <w:sz w:val="24"/>
                <w:szCs w:val="24"/>
              </w:rPr>
              <w:t xml:space="preserve"> or relative vaccine effectiveness (</w:t>
            </w:r>
            <w:proofErr w:type="spellStart"/>
            <w:r w:rsidRPr="00D7663A">
              <w:rPr>
                <w:rFonts w:asciiTheme="majorBidi" w:hAnsiTheme="majorBidi" w:cstheme="majorBidi"/>
                <w:color w:val="auto"/>
                <w:sz w:val="24"/>
                <w:szCs w:val="24"/>
              </w:rPr>
              <w:t>rVE</w:t>
            </w:r>
            <w:proofErr w:type="spellEnd"/>
            <w:r w:rsidRPr="00D7663A">
              <w:rPr>
                <w:rFonts w:asciiTheme="majorBidi" w:hAnsiTheme="majorBidi" w:cstheme="majorBidi"/>
                <w:color w:val="auto"/>
                <w:sz w:val="24"/>
                <w:szCs w:val="24"/>
              </w:rPr>
              <w:t>) estimates against clinical outcomes. SARS-CoV-2 infections were assessed only as exploratory endpoints without comparative effectiveness analyses, precluding inclusion in the variant-specific VE synthesis of this review.</w:t>
            </w:r>
          </w:p>
        </w:tc>
      </w:tr>
      <w:tr w:rsidR="009405C7" w14:paraId="2EE611EB" w14:textId="77777777" w:rsidTr="00B20255">
        <w:tc>
          <w:tcPr>
            <w:tcW w:w="5403" w:type="dxa"/>
          </w:tcPr>
          <w:p w14:paraId="1F6F85FA" w14:textId="70534AF4" w:rsidR="009405C7" w:rsidRPr="00EF6A46" w:rsidRDefault="00EF6A46" w:rsidP="009405C7">
            <w:pPr>
              <w:pStyle w:val="MDPI31text"/>
              <w:ind w:left="0" w:firstLine="0"/>
              <w:rPr>
                <w:rFonts w:asciiTheme="majorBidi" w:hAnsiTheme="majorBidi" w:cstheme="majorBidi"/>
                <w:color w:val="auto"/>
                <w:sz w:val="24"/>
                <w:szCs w:val="24"/>
              </w:rPr>
            </w:pPr>
            <w:r w:rsidRPr="00EF6A46">
              <w:rPr>
                <w:rFonts w:asciiTheme="majorBidi" w:hAnsiTheme="majorBidi" w:cstheme="majorBidi"/>
                <w:color w:val="auto"/>
                <w:sz w:val="24"/>
                <w:szCs w:val="24"/>
              </w:rPr>
              <w:t>Chalkias S, Dennis P, Petersen D, Radhakrishnan K, Vaughan L, Handforth R, et al. Efficacy, immunogenicity, and safety of a next-generation mRNA-1283 COVID-19 vaccine compared with the mRNA-1273 vaccine (</w:t>
            </w:r>
            <w:proofErr w:type="spellStart"/>
            <w:r w:rsidRPr="00EF6A46">
              <w:rPr>
                <w:rFonts w:asciiTheme="majorBidi" w:hAnsiTheme="majorBidi" w:cstheme="majorBidi"/>
                <w:color w:val="auto"/>
                <w:sz w:val="24"/>
                <w:szCs w:val="24"/>
              </w:rPr>
              <w:t>NextCOVE</w:t>
            </w:r>
            <w:proofErr w:type="spellEnd"/>
            <w:r w:rsidRPr="00EF6A46">
              <w:rPr>
                <w:rFonts w:asciiTheme="majorBidi" w:hAnsiTheme="majorBidi" w:cstheme="majorBidi"/>
                <w:color w:val="auto"/>
                <w:sz w:val="24"/>
                <w:szCs w:val="24"/>
              </w:rPr>
              <w:t>): a phase 3 randomised trial. Lancet Infect Dis. 2025;25:1230–1242. https://doi.org/10.1016/S1473-3099(25)00236-1</w:t>
            </w:r>
          </w:p>
        </w:tc>
        <w:tc>
          <w:tcPr>
            <w:tcW w:w="5938" w:type="dxa"/>
          </w:tcPr>
          <w:p w14:paraId="147385F0" w14:textId="77777777" w:rsidR="009405C7" w:rsidRPr="00EF6A46" w:rsidRDefault="009405C7" w:rsidP="009405C7">
            <w:pPr>
              <w:pStyle w:val="MDPI31text"/>
              <w:ind w:left="0" w:firstLine="0"/>
              <w:rPr>
                <w:rFonts w:asciiTheme="majorBidi" w:hAnsiTheme="majorBidi" w:cstheme="majorBidi"/>
                <w:color w:val="auto"/>
                <w:sz w:val="24"/>
                <w:szCs w:val="24"/>
              </w:rPr>
            </w:pPr>
            <w:r w:rsidRPr="00EF6A46">
              <w:rPr>
                <w:rFonts w:asciiTheme="majorBidi" w:hAnsiTheme="majorBidi" w:cstheme="majorBidi"/>
                <w:color w:val="auto"/>
                <w:sz w:val="24"/>
                <w:szCs w:val="24"/>
              </w:rPr>
              <w:t>Outside the prespecified review scope. This phase 3 randomized controlled trial evaluates relative vaccine efficacy, immunogenicity, and safety of an investigational mRNA vaccine compared with mRNA-1273 under controlled trial conditions, rather than reporting real-world observational vaccine effectiveness estimates against severe outcomes required for inclusion in this review.</w:t>
            </w:r>
          </w:p>
        </w:tc>
      </w:tr>
      <w:tr w:rsidR="009405C7" w14:paraId="25EF0225" w14:textId="77777777" w:rsidTr="00B20255">
        <w:tc>
          <w:tcPr>
            <w:tcW w:w="5403" w:type="dxa"/>
          </w:tcPr>
          <w:p w14:paraId="4B4A3405" w14:textId="53E20F1C" w:rsidR="009405C7" w:rsidRPr="00917FFD" w:rsidRDefault="00917FFD" w:rsidP="009405C7">
            <w:pPr>
              <w:pStyle w:val="MDPI31text"/>
              <w:ind w:left="0" w:firstLine="0"/>
              <w:rPr>
                <w:rFonts w:asciiTheme="majorBidi" w:hAnsiTheme="majorBidi" w:cstheme="majorBidi"/>
                <w:color w:val="auto"/>
                <w:sz w:val="24"/>
                <w:szCs w:val="24"/>
              </w:rPr>
            </w:pPr>
            <w:proofErr w:type="spellStart"/>
            <w:r w:rsidRPr="00917FFD">
              <w:rPr>
                <w:rFonts w:asciiTheme="majorBidi" w:hAnsiTheme="majorBidi" w:cstheme="majorBidi"/>
                <w:color w:val="auto"/>
                <w:sz w:val="24"/>
                <w:szCs w:val="24"/>
              </w:rPr>
              <w:lastRenderedPageBreak/>
              <w:t>Chatzilena</w:t>
            </w:r>
            <w:proofErr w:type="spellEnd"/>
            <w:r w:rsidRPr="00917FFD">
              <w:rPr>
                <w:rFonts w:asciiTheme="majorBidi" w:hAnsiTheme="majorBidi" w:cstheme="majorBidi"/>
                <w:color w:val="auto"/>
                <w:sz w:val="24"/>
                <w:szCs w:val="24"/>
              </w:rPr>
              <w:t xml:space="preserve"> A, Hyams C, Challen R, Marlow R, King J, Adegbite D, et al. Effectiveness of BNT162b2 COVID-19 vaccination in prevention of </w:t>
            </w:r>
            <w:proofErr w:type="spellStart"/>
            <w:r w:rsidRPr="00917FFD">
              <w:rPr>
                <w:rFonts w:asciiTheme="majorBidi" w:hAnsiTheme="majorBidi" w:cstheme="majorBidi"/>
                <w:color w:val="auto"/>
                <w:sz w:val="24"/>
                <w:szCs w:val="24"/>
              </w:rPr>
              <w:t>hospitalisations</w:t>
            </w:r>
            <w:proofErr w:type="spellEnd"/>
            <w:r w:rsidRPr="00917FFD">
              <w:rPr>
                <w:rFonts w:asciiTheme="majorBidi" w:hAnsiTheme="majorBidi" w:cstheme="majorBidi"/>
                <w:color w:val="auto"/>
                <w:sz w:val="24"/>
                <w:szCs w:val="24"/>
              </w:rPr>
              <w:t xml:space="preserve"> and severe disease in adults with Delta and Omicron variant SARS-CoV-2 infection: a prospective test-negative case-control study. Lancet Reg Health Eur. 2023;25:100552. https://doi.org/10.1016/j.lanepe.2022.100552</w:t>
            </w:r>
          </w:p>
        </w:tc>
        <w:tc>
          <w:tcPr>
            <w:tcW w:w="5938" w:type="dxa"/>
          </w:tcPr>
          <w:p w14:paraId="78BA80E0" w14:textId="2384BF50" w:rsidR="009405C7" w:rsidRPr="00917FFD" w:rsidRDefault="009405C7" w:rsidP="009405C7">
            <w:pPr>
              <w:pStyle w:val="MDPI31text"/>
              <w:ind w:left="0" w:firstLine="0"/>
              <w:rPr>
                <w:rFonts w:asciiTheme="majorBidi" w:hAnsiTheme="majorBidi" w:cstheme="majorBidi"/>
                <w:color w:val="auto"/>
                <w:sz w:val="24"/>
                <w:szCs w:val="24"/>
              </w:rPr>
            </w:pPr>
            <w:r w:rsidRPr="00917FFD">
              <w:rPr>
                <w:rFonts w:asciiTheme="majorBidi" w:hAnsiTheme="majorBidi" w:cstheme="majorBidi"/>
                <w:color w:val="auto"/>
                <w:sz w:val="24"/>
                <w:szCs w:val="24"/>
              </w:rPr>
              <w:t>Outside the prespecified review scope. This prospective test-negative study evaluates ancestral (monovalent) BNT162b2 vaccination against hospitali</w:t>
            </w:r>
            <w:r w:rsidR="00BA12A9" w:rsidRPr="00917FFD">
              <w:rPr>
                <w:rFonts w:asciiTheme="majorBidi" w:hAnsiTheme="majorBidi" w:cstheme="majorBidi"/>
                <w:color w:val="auto"/>
                <w:sz w:val="24"/>
                <w:szCs w:val="24"/>
              </w:rPr>
              <w:t>z</w:t>
            </w:r>
            <w:r w:rsidRPr="00917FFD">
              <w:rPr>
                <w:rFonts w:asciiTheme="majorBidi" w:hAnsiTheme="majorBidi" w:cstheme="majorBidi"/>
                <w:color w:val="auto"/>
                <w:sz w:val="24"/>
                <w:szCs w:val="24"/>
              </w:rPr>
              <w:t>ation and in-hospital severity outcomes during Delta and early Omicron (BA.1/BA.2) predominance, and does not assess variant-adapted vaccines (e.g. BA.4/BA.5, XBB, JN.1, KP-lineage), which are the focus of this review.</w:t>
            </w:r>
          </w:p>
        </w:tc>
      </w:tr>
      <w:tr w:rsidR="009405C7" w14:paraId="0D6E139D" w14:textId="77777777" w:rsidTr="00B20255">
        <w:tc>
          <w:tcPr>
            <w:tcW w:w="5403" w:type="dxa"/>
          </w:tcPr>
          <w:p w14:paraId="5D320727" w14:textId="3F637948" w:rsidR="009405C7" w:rsidRPr="00917FFD" w:rsidRDefault="00917FFD" w:rsidP="009405C7">
            <w:pPr>
              <w:pStyle w:val="MDPI31text"/>
              <w:ind w:left="0" w:firstLine="0"/>
              <w:rPr>
                <w:rFonts w:asciiTheme="majorBidi" w:hAnsiTheme="majorBidi" w:cstheme="majorBidi"/>
                <w:color w:val="auto"/>
                <w:sz w:val="24"/>
                <w:szCs w:val="24"/>
              </w:rPr>
            </w:pPr>
            <w:proofErr w:type="spellStart"/>
            <w:r w:rsidRPr="00917FFD">
              <w:rPr>
                <w:rFonts w:asciiTheme="majorBidi" w:hAnsiTheme="majorBidi" w:cstheme="majorBidi"/>
                <w:color w:val="auto"/>
                <w:sz w:val="24"/>
                <w:szCs w:val="24"/>
              </w:rPr>
              <w:t>Chatzilena</w:t>
            </w:r>
            <w:proofErr w:type="spellEnd"/>
            <w:r w:rsidRPr="00917FFD">
              <w:rPr>
                <w:rFonts w:asciiTheme="majorBidi" w:hAnsiTheme="majorBidi" w:cstheme="majorBidi"/>
                <w:color w:val="auto"/>
                <w:sz w:val="24"/>
                <w:szCs w:val="24"/>
              </w:rPr>
              <w:t xml:space="preserve"> A, Hyams C, Challen R, Marlow R, King J, Adegbite D, et al. Relative vaccine effectiveness of mRNA COVID-19 boosters in people aged ≥75 years during the spring-summer (monovalent) and autumn-winter (bivalent) booster campaigns: a prospective test-negative case-control study, United Kingdom, 2022. Euro </w:t>
            </w:r>
            <w:proofErr w:type="spellStart"/>
            <w:r w:rsidRPr="00917FFD">
              <w:rPr>
                <w:rFonts w:asciiTheme="majorBidi" w:hAnsiTheme="majorBidi" w:cstheme="majorBidi"/>
                <w:color w:val="auto"/>
                <w:sz w:val="24"/>
                <w:szCs w:val="24"/>
              </w:rPr>
              <w:t>Surveill</w:t>
            </w:r>
            <w:proofErr w:type="spellEnd"/>
            <w:r w:rsidRPr="00917FFD">
              <w:rPr>
                <w:rFonts w:asciiTheme="majorBidi" w:hAnsiTheme="majorBidi" w:cstheme="majorBidi"/>
                <w:color w:val="auto"/>
                <w:sz w:val="24"/>
                <w:szCs w:val="24"/>
              </w:rPr>
              <w:t>. 2023;28(48):2300173. https://doi.org/10.2807/1560-7917.ES.2023.28.48.2300173</w:t>
            </w:r>
          </w:p>
        </w:tc>
        <w:tc>
          <w:tcPr>
            <w:tcW w:w="5938" w:type="dxa"/>
          </w:tcPr>
          <w:p w14:paraId="63494878" w14:textId="3DDE3018" w:rsidR="009405C7" w:rsidRPr="00917FFD" w:rsidRDefault="009405C7" w:rsidP="009405C7">
            <w:pPr>
              <w:pStyle w:val="MDPI31text"/>
              <w:ind w:left="0" w:firstLine="0"/>
              <w:rPr>
                <w:rFonts w:asciiTheme="majorBidi" w:hAnsiTheme="majorBidi" w:cstheme="majorBidi"/>
                <w:color w:val="auto"/>
                <w:sz w:val="24"/>
                <w:szCs w:val="24"/>
              </w:rPr>
            </w:pPr>
            <w:r w:rsidRPr="00917FFD">
              <w:rPr>
                <w:rFonts w:asciiTheme="majorBidi" w:hAnsiTheme="majorBidi" w:cstheme="majorBidi"/>
                <w:color w:val="auto"/>
                <w:sz w:val="24"/>
                <w:szCs w:val="24"/>
              </w:rPr>
              <w:t>Outside the prespecified review scope. This study evaluates the relative effectiveness of ancestral monovalent and BA.1/ancestral bivalent mRNA booster vaccines during early Omicron circulation (2022–early 2023). It does not assess late-Omicron sub-lineages (e.g., sustained XBB predominance, JN.1, KP lineages) or the effectiveness of updated, variant-adapted COVID-19 vaccines (e.g., XBB.1.5- or JN.1-adapted formulations) that are the focus of this review.</w:t>
            </w:r>
          </w:p>
        </w:tc>
      </w:tr>
      <w:tr w:rsidR="009405C7" w14:paraId="6E0BA2C9" w14:textId="77777777" w:rsidTr="00B20255">
        <w:tc>
          <w:tcPr>
            <w:tcW w:w="5403" w:type="dxa"/>
          </w:tcPr>
          <w:p w14:paraId="52F336B7" w14:textId="232AD5E6" w:rsidR="009405C7" w:rsidRPr="00306461" w:rsidRDefault="00306461" w:rsidP="009405C7">
            <w:pPr>
              <w:pStyle w:val="MDPI31text"/>
              <w:ind w:left="0" w:firstLine="0"/>
              <w:rPr>
                <w:rFonts w:asciiTheme="majorBidi" w:hAnsiTheme="majorBidi" w:cstheme="majorBidi"/>
                <w:color w:val="auto"/>
                <w:sz w:val="24"/>
                <w:szCs w:val="24"/>
              </w:rPr>
            </w:pPr>
            <w:proofErr w:type="spellStart"/>
            <w:r w:rsidRPr="00306461">
              <w:rPr>
                <w:rFonts w:asciiTheme="majorBidi" w:hAnsiTheme="majorBidi" w:cstheme="majorBidi"/>
                <w:color w:val="auto"/>
                <w:sz w:val="24"/>
                <w:szCs w:val="24"/>
              </w:rPr>
              <w:t>Chemaitelly</w:t>
            </w:r>
            <w:proofErr w:type="spellEnd"/>
            <w:r w:rsidRPr="00306461">
              <w:rPr>
                <w:rFonts w:asciiTheme="majorBidi" w:hAnsiTheme="majorBidi" w:cstheme="majorBidi"/>
                <w:color w:val="auto"/>
                <w:sz w:val="24"/>
                <w:szCs w:val="24"/>
              </w:rPr>
              <w:t xml:space="preserve"> H, Tang P, Coyle P, Yassine HM, Al-Khatib HA, </w:t>
            </w:r>
            <w:proofErr w:type="spellStart"/>
            <w:r w:rsidRPr="00306461">
              <w:rPr>
                <w:rFonts w:asciiTheme="majorBidi" w:hAnsiTheme="majorBidi" w:cstheme="majorBidi"/>
                <w:color w:val="auto"/>
                <w:sz w:val="24"/>
                <w:szCs w:val="24"/>
              </w:rPr>
              <w:t>Smatti</w:t>
            </w:r>
            <w:proofErr w:type="spellEnd"/>
            <w:r w:rsidRPr="00306461">
              <w:rPr>
                <w:rFonts w:asciiTheme="majorBidi" w:hAnsiTheme="majorBidi" w:cstheme="majorBidi"/>
                <w:color w:val="auto"/>
                <w:sz w:val="24"/>
                <w:szCs w:val="24"/>
              </w:rPr>
              <w:t xml:space="preserve"> MK, et al. Protection against reinfection with the Omicron BA.2.75 subvariant. N Engl J Med. 2023;388(7):665–667. https://doi.org/10.1056/NEJMc2214114</w:t>
            </w:r>
          </w:p>
        </w:tc>
        <w:tc>
          <w:tcPr>
            <w:tcW w:w="5938" w:type="dxa"/>
          </w:tcPr>
          <w:p w14:paraId="5786EBA9" w14:textId="0259A81A" w:rsidR="009405C7" w:rsidRPr="00306461" w:rsidRDefault="009405C7" w:rsidP="009405C7">
            <w:pPr>
              <w:pStyle w:val="MDPI31text"/>
              <w:ind w:left="0" w:firstLine="0"/>
              <w:rPr>
                <w:rFonts w:asciiTheme="majorBidi" w:hAnsiTheme="majorBidi" w:cstheme="majorBidi"/>
                <w:color w:val="auto"/>
                <w:sz w:val="24"/>
                <w:szCs w:val="24"/>
              </w:rPr>
            </w:pPr>
            <w:r w:rsidRPr="00306461">
              <w:rPr>
                <w:rFonts w:asciiTheme="majorBidi" w:hAnsiTheme="majorBidi" w:cstheme="majorBidi"/>
                <w:color w:val="auto"/>
                <w:sz w:val="24"/>
                <w:szCs w:val="24"/>
              </w:rPr>
              <w:t>Outside the prespecified review scope. This correspondence evaluates protection conferred by prior SARS-CoV-2 infection against BA.2.75 reinfection, with vaccination included only as a stratification or adjustment variable. The study focuses on reinfection outcomes, and severe COVID-19 outcomes were too rare to estimate, precluding assessment of vaccine effectiveness against hospitali</w:t>
            </w:r>
            <w:r w:rsidR="00BA12A9" w:rsidRPr="00306461">
              <w:rPr>
                <w:rFonts w:asciiTheme="majorBidi" w:hAnsiTheme="majorBidi" w:cstheme="majorBidi"/>
                <w:color w:val="auto"/>
                <w:sz w:val="24"/>
                <w:szCs w:val="24"/>
              </w:rPr>
              <w:t>z</w:t>
            </w:r>
            <w:r w:rsidRPr="00306461">
              <w:rPr>
                <w:rFonts w:asciiTheme="majorBidi" w:hAnsiTheme="majorBidi" w:cstheme="majorBidi"/>
                <w:color w:val="auto"/>
                <w:sz w:val="24"/>
                <w:szCs w:val="24"/>
              </w:rPr>
              <w:t>ation, ICU admission, or death, which were the primary outcomes of interest in this review.</w:t>
            </w:r>
          </w:p>
        </w:tc>
      </w:tr>
      <w:tr w:rsidR="009405C7" w14:paraId="482705AD" w14:textId="77777777" w:rsidTr="00B20255">
        <w:tc>
          <w:tcPr>
            <w:tcW w:w="5403" w:type="dxa"/>
          </w:tcPr>
          <w:p w14:paraId="4F70E48B" w14:textId="72771BB6" w:rsidR="009405C7" w:rsidRPr="00DF7DF0" w:rsidRDefault="00DF7DF0" w:rsidP="009405C7">
            <w:pPr>
              <w:pStyle w:val="MDPI31text"/>
              <w:ind w:left="0" w:firstLine="0"/>
              <w:rPr>
                <w:rFonts w:asciiTheme="majorBidi" w:hAnsiTheme="majorBidi" w:cstheme="majorBidi"/>
                <w:color w:val="auto"/>
                <w:sz w:val="24"/>
                <w:szCs w:val="24"/>
              </w:rPr>
            </w:pPr>
            <w:proofErr w:type="spellStart"/>
            <w:r w:rsidRPr="00DF7DF0">
              <w:rPr>
                <w:rFonts w:asciiTheme="majorBidi" w:hAnsiTheme="majorBidi" w:cstheme="majorBidi"/>
                <w:color w:val="auto"/>
                <w:sz w:val="24"/>
                <w:szCs w:val="24"/>
              </w:rPr>
              <w:t>Chemaitelly</w:t>
            </w:r>
            <w:proofErr w:type="spellEnd"/>
            <w:r w:rsidRPr="00DF7DF0">
              <w:rPr>
                <w:rFonts w:asciiTheme="majorBidi" w:hAnsiTheme="majorBidi" w:cstheme="majorBidi"/>
                <w:color w:val="auto"/>
                <w:sz w:val="24"/>
                <w:szCs w:val="24"/>
              </w:rPr>
              <w:t xml:space="preserve"> H, Ayoub HH, </w:t>
            </w:r>
            <w:proofErr w:type="spellStart"/>
            <w:r w:rsidRPr="00DF7DF0">
              <w:rPr>
                <w:rFonts w:asciiTheme="majorBidi" w:hAnsiTheme="majorBidi" w:cstheme="majorBidi"/>
                <w:color w:val="auto"/>
                <w:sz w:val="24"/>
                <w:szCs w:val="24"/>
              </w:rPr>
              <w:t>AlMukdad</w:t>
            </w:r>
            <w:proofErr w:type="spellEnd"/>
            <w:r w:rsidRPr="00DF7DF0">
              <w:rPr>
                <w:rFonts w:asciiTheme="majorBidi" w:hAnsiTheme="majorBidi" w:cstheme="majorBidi"/>
                <w:color w:val="auto"/>
                <w:sz w:val="24"/>
                <w:szCs w:val="24"/>
              </w:rPr>
              <w:t xml:space="preserve"> S, Coyle P, Tang P, Yassine HM, et al. Duration of mRNA vaccine protection against SARS-CoV-2 Omicron BA.1 and BA.2 subvariants in Qatar. Nat Commun. 2022;13:3082. https://doi.org/10.1038/s41467-022-30895-3</w:t>
            </w:r>
          </w:p>
        </w:tc>
        <w:tc>
          <w:tcPr>
            <w:tcW w:w="5938" w:type="dxa"/>
          </w:tcPr>
          <w:p w14:paraId="38FC7526" w14:textId="77777777" w:rsidR="009405C7" w:rsidRPr="00DF7DF0" w:rsidRDefault="009405C7" w:rsidP="009405C7">
            <w:pPr>
              <w:pStyle w:val="MDPI31text"/>
              <w:ind w:left="0" w:firstLine="0"/>
              <w:rPr>
                <w:rFonts w:asciiTheme="majorBidi" w:hAnsiTheme="majorBidi" w:cstheme="majorBidi"/>
                <w:color w:val="auto"/>
                <w:sz w:val="24"/>
                <w:szCs w:val="24"/>
              </w:rPr>
            </w:pPr>
            <w:r w:rsidRPr="00DF7DF0">
              <w:rPr>
                <w:rFonts w:asciiTheme="majorBidi" w:hAnsiTheme="majorBidi" w:cstheme="majorBidi"/>
                <w:color w:val="auto"/>
                <w:sz w:val="24"/>
                <w:szCs w:val="24"/>
              </w:rPr>
              <w:t>Outside the prespecified review scope. This test-negative case–control study evaluates the duration of protection of ancestral (monovalent) mRNA vaccines against early Omicron subvariants (BA.1 and BA.2) during December 2021–February 2022. The study predates the late-Omicron evolutionary phase and does not assess variant-adapted vaccines (e.g. BA.4/BA.5, XBB, JN.1, KP-lineage), which are the focus of this review.</w:t>
            </w:r>
          </w:p>
        </w:tc>
      </w:tr>
      <w:tr w:rsidR="009405C7" w14:paraId="36173FF7" w14:textId="77777777" w:rsidTr="00B20255">
        <w:tc>
          <w:tcPr>
            <w:tcW w:w="5403" w:type="dxa"/>
          </w:tcPr>
          <w:p w14:paraId="1C1193A5" w14:textId="2E5CFBA5" w:rsidR="009405C7" w:rsidRPr="000F517A" w:rsidRDefault="000F517A" w:rsidP="009405C7">
            <w:pPr>
              <w:pStyle w:val="MDPI31text"/>
              <w:ind w:left="0" w:firstLine="0"/>
              <w:rPr>
                <w:rFonts w:asciiTheme="majorBidi" w:hAnsiTheme="majorBidi" w:cstheme="majorBidi"/>
                <w:color w:val="auto"/>
                <w:sz w:val="24"/>
                <w:szCs w:val="24"/>
              </w:rPr>
            </w:pPr>
            <w:proofErr w:type="spellStart"/>
            <w:r w:rsidRPr="000F517A">
              <w:rPr>
                <w:rFonts w:asciiTheme="majorBidi" w:hAnsiTheme="majorBidi" w:cstheme="majorBidi"/>
                <w:color w:val="auto"/>
                <w:sz w:val="24"/>
                <w:szCs w:val="24"/>
              </w:rPr>
              <w:t>Chemaitelly</w:t>
            </w:r>
            <w:proofErr w:type="spellEnd"/>
            <w:r w:rsidRPr="000F517A">
              <w:rPr>
                <w:rFonts w:asciiTheme="majorBidi" w:hAnsiTheme="majorBidi" w:cstheme="majorBidi"/>
                <w:color w:val="auto"/>
                <w:sz w:val="24"/>
                <w:szCs w:val="24"/>
              </w:rPr>
              <w:t xml:space="preserve"> H, Ayoub HH, </w:t>
            </w:r>
            <w:proofErr w:type="spellStart"/>
            <w:r w:rsidRPr="000F517A">
              <w:rPr>
                <w:rFonts w:asciiTheme="majorBidi" w:hAnsiTheme="majorBidi" w:cstheme="majorBidi"/>
                <w:color w:val="auto"/>
                <w:sz w:val="24"/>
                <w:szCs w:val="24"/>
              </w:rPr>
              <w:t>AlMukdad</w:t>
            </w:r>
            <w:proofErr w:type="spellEnd"/>
            <w:r w:rsidRPr="000F517A">
              <w:rPr>
                <w:rFonts w:asciiTheme="majorBidi" w:hAnsiTheme="majorBidi" w:cstheme="majorBidi"/>
                <w:color w:val="auto"/>
                <w:sz w:val="24"/>
                <w:szCs w:val="24"/>
              </w:rPr>
              <w:t xml:space="preserve"> S, Faust JS, Tang P, Coyle P, et al. Bivalent mRNA-1273.214 vaccine effectiveness against SARS-CoV-2 Omicron XBB* infections. J Travel Med. 2023;30(5):taad106. https://doi.org/10.1093/jtm/taad106</w:t>
            </w:r>
          </w:p>
        </w:tc>
        <w:tc>
          <w:tcPr>
            <w:tcW w:w="5938" w:type="dxa"/>
          </w:tcPr>
          <w:p w14:paraId="6959D397" w14:textId="48904B45" w:rsidR="009405C7" w:rsidRPr="000F517A" w:rsidRDefault="009405C7" w:rsidP="009405C7">
            <w:pPr>
              <w:pStyle w:val="MDPI31text"/>
              <w:ind w:left="0" w:firstLine="0"/>
              <w:rPr>
                <w:rFonts w:asciiTheme="majorBidi" w:hAnsiTheme="majorBidi" w:cstheme="majorBidi"/>
                <w:color w:val="auto"/>
                <w:sz w:val="24"/>
                <w:szCs w:val="24"/>
              </w:rPr>
            </w:pPr>
            <w:r w:rsidRPr="000F517A">
              <w:rPr>
                <w:rFonts w:asciiTheme="majorBidi" w:hAnsiTheme="majorBidi" w:cstheme="majorBidi"/>
                <w:color w:val="auto"/>
                <w:sz w:val="24"/>
                <w:szCs w:val="24"/>
              </w:rPr>
              <w:t>Outside the prespecified review scope. This retrospective cohort study evaluates vaccine effectiveness against SARS-CoV-2 infection (PCR or rapid-antigen positive) only during Omicron XBB* circulation. The study reports no severe, critical, or fatal COVID-19 cases, and therefore does not provide estimable vaccine effectiveness against severe COVID-19 outcomes (hospitali</w:t>
            </w:r>
            <w:r w:rsidR="00BA12A9" w:rsidRPr="000F517A">
              <w:rPr>
                <w:rFonts w:asciiTheme="majorBidi" w:hAnsiTheme="majorBidi" w:cstheme="majorBidi"/>
                <w:color w:val="auto"/>
                <w:sz w:val="24"/>
                <w:szCs w:val="24"/>
              </w:rPr>
              <w:t>z</w:t>
            </w:r>
            <w:r w:rsidRPr="000F517A">
              <w:rPr>
                <w:rFonts w:asciiTheme="majorBidi" w:hAnsiTheme="majorBidi" w:cstheme="majorBidi"/>
                <w:color w:val="auto"/>
                <w:sz w:val="24"/>
                <w:szCs w:val="24"/>
              </w:rPr>
              <w:t>ation, ICU admission, or death), which were the primary outcomes of interest in this review.</w:t>
            </w:r>
          </w:p>
        </w:tc>
      </w:tr>
      <w:tr w:rsidR="009405C7" w14:paraId="491885FE" w14:textId="77777777" w:rsidTr="00B20255">
        <w:tc>
          <w:tcPr>
            <w:tcW w:w="5403" w:type="dxa"/>
          </w:tcPr>
          <w:p w14:paraId="34FDC717" w14:textId="47CC844C" w:rsidR="009405C7" w:rsidRPr="008B4621" w:rsidRDefault="008B4621" w:rsidP="009405C7">
            <w:pPr>
              <w:pStyle w:val="MDPI31text"/>
              <w:ind w:left="0" w:firstLine="0"/>
              <w:rPr>
                <w:rFonts w:asciiTheme="majorBidi" w:hAnsiTheme="majorBidi" w:cstheme="majorBidi"/>
                <w:color w:val="auto"/>
                <w:sz w:val="24"/>
                <w:szCs w:val="24"/>
              </w:rPr>
            </w:pPr>
            <w:proofErr w:type="spellStart"/>
            <w:r w:rsidRPr="008B4621">
              <w:rPr>
                <w:rFonts w:asciiTheme="majorBidi" w:hAnsiTheme="majorBidi" w:cstheme="majorBidi"/>
                <w:color w:val="auto"/>
                <w:sz w:val="24"/>
                <w:szCs w:val="24"/>
              </w:rPr>
              <w:t>Chiwandire</w:t>
            </w:r>
            <w:proofErr w:type="spellEnd"/>
            <w:r w:rsidRPr="008B4621">
              <w:rPr>
                <w:rFonts w:asciiTheme="majorBidi" w:hAnsiTheme="majorBidi" w:cstheme="majorBidi"/>
                <w:color w:val="auto"/>
                <w:sz w:val="24"/>
                <w:szCs w:val="24"/>
              </w:rPr>
              <w:t xml:space="preserve"> N, Walaza S, von Gottberg A, Wolter N, du Plessis M, Moosa F, et al. Estimation of vaccine effectiveness against SARS-CoV-2-associated hospitalization using sentinel surveillance in South Africa. Int J Epidemiol. 2024;53(5):dyae116. https://doi.org/10.1093/ije/dyae116</w:t>
            </w:r>
          </w:p>
        </w:tc>
        <w:tc>
          <w:tcPr>
            <w:tcW w:w="5938" w:type="dxa"/>
          </w:tcPr>
          <w:p w14:paraId="06CB8777" w14:textId="5A433EFE" w:rsidR="009405C7" w:rsidRPr="008B4621" w:rsidRDefault="009405C7" w:rsidP="009405C7">
            <w:pPr>
              <w:pStyle w:val="MDPI31text"/>
              <w:ind w:left="0" w:firstLine="0"/>
              <w:rPr>
                <w:rFonts w:asciiTheme="majorBidi" w:hAnsiTheme="majorBidi" w:cstheme="majorBidi"/>
                <w:color w:val="auto"/>
                <w:sz w:val="24"/>
                <w:szCs w:val="24"/>
              </w:rPr>
            </w:pPr>
            <w:r w:rsidRPr="008B4621">
              <w:rPr>
                <w:rFonts w:asciiTheme="majorBidi" w:hAnsiTheme="majorBidi" w:cstheme="majorBidi"/>
                <w:color w:val="auto"/>
                <w:sz w:val="24"/>
                <w:szCs w:val="24"/>
              </w:rPr>
              <w:t>Outside the prespecified review scope. This test-negative sentinel surveillance study evaluates ancestral COVID-19 vaccines (BNT162b2 and Ad26.COV2.S primary series) against hospitali</w:t>
            </w:r>
            <w:r w:rsidR="00BA12A9" w:rsidRPr="008B4621">
              <w:rPr>
                <w:rFonts w:asciiTheme="majorBidi" w:hAnsiTheme="majorBidi" w:cstheme="majorBidi"/>
                <w:color w:val="auto"/>
                <w:sz w:val="24"/>
                <w:szCs w:val="24"/>
              </w:rPr>
              <w:t>z</w:t>
            </w:r>
            <w:r w:rsidRPr="008B4621">
              <w:rPr>
                <w:rFonts w:asciiTheme="majorBidi" w:hAnsiTheme="majorBidi" w:cstheme="majorBidi"/>
                <w:color w:val="auto"/>
                <w:sz w:val="24"/>
                <w:szCs w:val="24"/>
              </w:rPr>
              <w:t xml:space="preserve">ation during Delta and early Omicron (BA.1/BA.2) predominance (June 2021–March 2022). The study predates the late-Omicron evolutionary phase and </w:t>
            </w:r>
            <w:r w:rsidRPr="008B4621">
              <w:rPr>
                <w:rFonts w:asciiTheme="majorBidi" w:hAnsiTheme="majorBidi" w:cstheme="majorBidi"/>
                <w:color w:val="auto"/>
                <w:sz w:val="24"/>
                <w:szCs w:val="24"/>
              </w:rPr>
              <w:lastRenderedPageBreak/>
              <w:t>does not assess variant-adapted or updated vaccines, which are the focus of this review.</w:t>
            </w:r>
          </w:p>
        </w:tc>
      </w:tr>
      <w:tr w:rsidR="009405C7" w14:paraId="55AF3107" w14:textId="77777777" w:rsidTr="00B20255">
        <w:tc>
          <w:tcPr>
            <w:tcW w:w="5403" w:type="dxa"/>
          </w:tcPr>
          <w:p w14:paraId="4CD95018" w14:textId="0CBC7A7F" w:rsidR="009405C7" w:rsidRPr="00E85356" w:rsidRDefault="00E85356" w:rsidP="009405C7">
            <w:pPr>
              <w:pStyle w:val="MDPI31text"/>
              <w:ind w:left="0" w:firstLine="0"/>
              <w:rPr>
                <w:rFonts w:asciiTheme="majorBidi" w:hAnsiTheme="majorBidi" w:cstheme="majorBidi"/>
                <w:color w:val="auto"/>
                <w:sz w:val="24"/>
                <w:szCs w:val="24"/>
                <w:lang w:val="nb-NO"/>
              </w:rPr>
            </w:pPr>
            <w:r w:rsidRPr="00E85356">
              <w:rPr>
                <w:rFonts w:asciiTheme="majorBidi" w:hAnsiTheme="majorBidi" w:cstheme="majorBidi"/>
                <w:color w:val="auto"/>
                <w:sz w:val="24"/>
                <w:szCs w:val="24"/>
                <w:lang w:val="en-AU"/>
              </w:rPr>
              <w:lastRenderedPageBreak/>
              <w:t xml:space="preserve">Choi YS, Ryu S, Kim RK, Chiara A, Baek S, Nam H, et al. Effectiveness of the bivalent mRNA COVID-19 vaccine for preventing critical infection from the SARS-CoV-2 Omicron variant in the Republic of Korea. </w:t>
            </w:r>
            <w:r w:rsidRPr="00E85356">
              <w:rPr>
                <w:rFonts w:asciiTheme="majorBidi" w:hAnsiTheme="majorBidi" w:cstheme="majorBidi"/>
                <w:color w:val="auto"/>
                <w:sz w:val="24"/>
                <w:szCs w:val="24"/>
                <w:lang w:val="nb-NO"/>
              </w:rPr>
              <w:t xml:space="preserve">J Korean Med </w:t>
            </w:r>
            <w:proofErr w:type="spellStart"/>
            <w:r w:rsidRPr="00E85356">
              <w:rPr>
                <w:rFonts w:asciiTheme="majorBidi" w:hAnsiTheme="majorBidi" w:cstheme="majorBidi"/>
                <w:color w:val="auto"/>
                <w:sz w:val="24"/>
                <w:szCs w:val="24"/>
                <w:lang w:val="nb-NO"/>
              </w:rPr>
              <w:t>Sci</w:t>
            </w:r>
            <w:proofErr w:type="spellEnd"/>
            <w:r w:rsidRPr="00E85356">
              <w:rPr>
                <w:rFonts w:asciiTheme="majorBidi" w:hAnsiTheme="majorBidi" w:cstheme="majorBidi"/>
                <w:color w:val="auto"/>
                <w:sz w:val="24"/>
                <w:szCs w:val="24"/>
                <w:lang w:val="nb-NO"/>
              </w:rPr>
              <w:t>. 2024;39(37):e258. https://doi.org/10.3346/jkms.2024.39.e258</w:t>
            </w:r>
          </w:p>
        </w:tc>
        <w:tc>
          <w:tcPr>
            <w:tcW w:w="5938" w:type="dxa"/>
          </w:tcPr>
          <w:p w14:paraId="47E274FF" w14:textId="16540398" w:rsidR="009405C7" w:rsidRPr="00E85356" w:rsidRDefault="009405C7" w:rsidP="009405C7">
            <w:pPr>
              <w:pStyle w:val="MDPI31text"/>
              <w:ind w:left="0" w:firstLine="0"/>
              <w:rPr>
                <w:rFonts w:asciiTheme="majorBidi" w:hAnsiTheme="majorBidi" w:cstheme="majorBidi"/>
                <w:color w:val="auto"/>
                <w:sz w:val="24"/>
                <w:szCs w:val="24"/>
              </w:rPr>
            </w:pPr>
            <w:r w:rsidRPr="00E85356">
              <w:rPr>
                <w:rFonts w:asciiTheme="majorBidi" w:hAnsiTheme="majorBidi" w:cstheme="majorBidi"/>
                <w:color w:val="auto"/>
                <w:sz w:val="24"/>
                <w:szCs w:val="24"/>
              </w:rPr>
              <w:t>Outside the prespecified review scope. This nationwide matched cohort study evaluates BA.4/BA.5 bivalent mRNA vaccines against a composite outcome of critical COVID-19 infection (ICU-level care or death) compared with unvaccinated individuals during a broadly defined Omicron-predominant period. The study does not assess late-Omicron sub-lineages (e.g., XBB-dominant, JN.1, KP lineages) or updated variant-adapted vaccines (e.g., XBB.1.5- or JN.1-adapted formulations), and its outcome and comparator framework are not directly comparable with the hospitali</w:t>
            </w:r>
            <w:r w:rsidR="00BA12A9" w:rsidRPr="00E85356">
              <w:rPr>
                <w:rFonts w:asciiTheme="majorBidi" w:hAnsiTheme="majorBidi" w:cstheme="majorBidi"/>
                <w:color w:val="auto"/>
                <w:sz w:val="24"/>
                <w:szCs w:val="24"/>
              </w:rPr>
              <w:t>z</w:t>
            </w:r>
            <w:r w:rsidRPr="00E85356">
              <w:rPr>
                <w:rFonts w:asciiTheme="majorBidi" w:hAnsiTheme="majorBidi" w:cstheme="majorBidi"/>
                <w:color w:val="auto"/>
                <w:sz w:val="24"/>
                <w:szCs w:val="24"/>
              </w:rPr>
              <w:t>ation-based effectiveness estimates synthesised in this review.</w:t>
            </w:r>
          </w:p>
        </w:tc>
      </w:tr>
      <w:tr w:rsidR="009405C7" w14:paraId="447028A8" w14:textId="77777777" w:rsidTr="00B20255">
        <w:tc>
          <w:tcPr>
            <w:tcW w:w="5403" w:type="dxa"/>
          </w:tcPr>
          <w:p w14:paraId="3CF8C3F1" w14:textId="5EEBF565" w:rsidR="009405C7" w:rsidRPr="009C7696" w:rsidRDefault="009C7696" w:rsidP="009405C7">
            <w:pPr>
              <w:pStyle w:val="MDPI31text"/>
              <w:ind w:left="0" w:firstLine="0"/>
              <w:rPr>
                <w:rFonts w:asciiTheme="majorBidi" w:hAnsiTheme="majorBidi" w:cstheme="majorBidi"/>
                <w:color w:val="auto"/>
                <w:sz w:val="24"/>
                <w:szCs w:val="24"/>
              </w:rPr>
            </w:pPr>
            <w:r w:rsidRPr="009C7696">
              <w:rPr>
                <w:rFonts w:asciiTheme="majorBidi" w:hAnsiTheme="majorBidi" w:cstheme="majorBidi"/>
                <w:color w:val="auto"/>
                <w:sz w:val="24"/>
                <w:szCs w:val="24"/>
                <w:lang w:val="nb-NO"/>
              </w:rPr>
              <w:t xml:space="preserve">Chung H, Austin PC, Brown KA, </w:t>
            </w:r>
            <w:proofErr w:type="spellStart"/>
            <w:r w:rsidRPr="009C7696">
              <w:rPr>
                <w:rFonts w:asciiTheme="majorBidi" w:hAnsiTheme="majorBidi" w:cstheme="majorBidi"/>
                <w:color w:val="auto"/>
                <w:sz w:val="24"/>
                <w:szCs w:val="24"/>
                <w:lang w:val="nb-NO"/>
              </w:rPr>
              <w:t>Buchan</w:t>
            </w:r>
            <w:proofErr w:type="spellEnd"/>
            <w:r w:rsidRPr="009C7696">
              <w:rPr>
                <w:rFonts w:asciiTheme="majorBidi" w:hAnsiTheme="majorBidi" w:cstheme="majorBidi"/>
                <w:color w:val="auto"/>
                <w:sz w:val="24"/>
                <w:szCs w:val="24"/>
                <w:lang w:val="nb-NO"/>
              </w:rPr>
              <w:t xml:space="preserve"> SA, Fell DB, </w:t>
            </w:r>
            <w:proofErr w:type="spellStart"/>
            <w:r w:rsidRPr="009C7696">
              <w:rPr>
                <w:rFonts w:asciiTheme="majorBidi" w:hAnsiTheme="majorBidi" w:cstheme="majorBidi"/>
                <w:color w:val="auto"/>
                <w:sz w:val="24"/>
                <w:szCs w:val="24"/>
                <w:lang w:val="nb-NO"/>
              </w:rPr>
              <w:t>Fong</w:t>
            </w:r>
            <w:proofErr w:type="spellEnd"/>
            <w:r w:rsidRPr="009C7696">
              <w:rPr>
                <w:rFonts w:asciiTheme="majorBidi" w:hAnsiTheme="majorBidi" w:cstheme="majorBidi"/>
                <w:color w:val="auto"/>
                <w:sz w:val="24"/>
                <w:szCs w:val="24"/>
                <w:lang w:val="nb-NO"/>
              </w:rPr>
              <w:t xml:space="preserve"> C, et al. </w:t>
            </w:r>
            <w:r w:rsidRPr="009C7696">
              <w:rPr>
                <w:rFonts w:asciiTheme="majorBidi" w:hAnsiTheme="majorBidi" w:cstheme="majorBidi"/>
                <w:color w:val="auto"/>
                <w:sz w:val="24"/>
                <w:szCs w:val="24"/>
              </w:rPr>
              <w:t>COVID-19 vaccine effectiveness over time in Ontario, Canada: a test-negative design study. Open Forum Infect Dis. 2022;9(9):ofac449. https://doi.org/10.1093/ofid/ofac449</w:t>
            </w:r>
          </w:p>
        </w:tc>
        <w:tc>
          <w:tcPr>
            <w:tcW w:w="5938" w:type="dxa"/>
          </w:tcPr>
          <w:p w14:paraId="2E81CBB2" w14:textId="77777777" w:rsidR="009405C7" w:rsidRPr="009C7696" w:rsidRDefault="009405C7" w:rsidP="009405C7">
            <w:pPr>
              <w:pStyle w:val="MDPI31text"/>
              <w:ind w:left="0" w:firstLine="0"/>
              <w:rPr>
                <w:rFonts w:asciiTheme="majorBidi" w:hAnsiTheme="majorBidi" w:cstheme="majorBidi"/>
                <w:color w:val="auto"/>
                <w:sz w:val="24"/>
                <w:szCs w:val="24"/>
              </w:rPr>
            </w:pPr>
            <w:r w:rsidRPr="009C7696">
              <w:rPr>
                <w:rFonts w:asciiTheme="majorBidi" w:hAnsiTheme="majorBidi" w:cstheme="majorBidi"/>
                <w:color w:val="auto"/>
                <w:sz w:val="24"/>
                <w:szCs w:val="24"/>
              </w:rPr>
              <w:t>Outside the prespecified review scope. This test-negative study evaluates two-dose primary series of ancestral (monovalent) COVID-19 vaccines against infection, symptomatic infection, and severe outcomes during pre-Omicron circulation (wild-type, Alpha, and Delta variants; January–November 2021). The study predates the Omicron era and does not assess variant-adapted or bivalent vaccines, which are the focus of this review.</w:t>
            </w:r>
          </w:p>
        </w:tc>
      </w:tr>
      <w:tr w:rsidR="009405C7" w14:paraId="4239C10E" w14:textId="77777777" w:rsidTr="00B20255">
        <w:tc>
          <w:tcPr>
            <w:tcW w:w="5403" w:type="dxa"/>
          </w:tcPr>
          <w:p w14:paraId="1DD48954" w14:textId="5E7C5460" w:rsidR="009405C7" w:rsidRPr="008C7664" w:rsidRDefault="008C7664" w:rsidP="009405C7">
            <w:pPr>
              <w:pStyle w:val="MDPI31text"/>
              <w:ind w:left="0" w:firstLine="0"/>
              <w:rPr>
                <w:rFonts w:asciiTheme="majorBidi" w:hAnsiTheme="majorBidi" w:cstheme="majorBidi"/>
                <w:color w:val="auto"/>
                <w:sz w:val="24"/>
                <w:szCs w:val="24"/>
                <w:lang w:val="en-AU"/>
              </w:rPr>
            </w:pPr>
            <w:r w:rsidRPr="008C7664">
              <w:rPr>
                <w:rFonts w:asciiTheme="majorBidi" w:hAnsiTheme="majorBidi" w:cstheme="majorBidi"/>
                <w:color w:val="auto"/>
                <w:sz w:val="24"/>
                <w:szCs w:val="24"/>
                <w:lang w:val="en-AU"/>
              </w:rPr>
              <w:t>Ciesla AA, Wiegand RE, Smith ZR, Britton A, Fleming-Dutra KE, Miller J, et al. Effectiveness of booster doses of monovalent mRNA COVID-19 vaccine against symptomatic SARS-CoV-2 infection during Omicron subvariant BA.2/BA.2.12.1 and BA.4/BA.5 predominant periods. Open Forum Infect Dis. 2023;10(5):ofad187. https://doi.org/10.1093/ofid/ofad187</w:t>
            </w:r>
          </w:p>
        </w:tc>
        <w:tc>
          <w:tcPr>
            <w:tcW w:w="5938" w:type="dxa"/>
          </w:tcPr>
          <w:p w14:paraId="7DA51C40" w14:textId="30380E95" w:rsidR="009405C7" w:rsidRPr="008C7664" w:rsidRDefault="009405C7" w:rsidP="009405C7">
            <w:pPr>
              <w:pStyle w:val="MDPI31text"/>
              <w:ind w:left="0" w:firstLine="0"/>
              <w:rPr>
                <w:rFonts w:asciiTheme="majorBidi" w:hAnsiTheme="majorBidi" w:cstheme="majorBidi"/>
                <w:color w:val="auto"/>
                <w:sz w:val="24"/>
                <w:szCs w:val="24"/>
              </w:rPr>
            </w:pPr>
            <w:r w:rsidRPr="008C7664">
              <w:rPr>
                <w:rFonts w:asciiTheme="majorBidi" w:hAnsiTheme="majorBidi" w:cstheme="majorBidi"/>
                <w:color w:val="auto"/>
                <w:sz w:val="24"/>
                <w:szCs w:val="24"/>
              </w:rPr>
              <w:t>Outside the prespecified review scope. This test-negative case–control study evaluates relative vaccine effectiveness of monovalent mRNA booster doses against symptomatic SARS-CoV-2 infection during early Omicron (BA.2/BA.2.12.1 and BA.4/BA.5) circulation in 2022, without reporting vaccine effectiveness against severe clinical outcomes (hospitali</w:t>
            </w:r>
            <w:r w:rsidR="00BA12A9" w:rsidRPr="008C7664">
              <w:rPr>
                <w:rFonts w:asciiTheme="majorBidi" w:hAnsiTheme="majorBidi" w:cstheme="majorBidi"/>
                <w:color w:val="auto"/>
                <w:sz w:val="24"/>
                <w:szCs w:val="24"/>
              </w:rPr>
              <w:t>z</w:t>
            </w:r>
            <w:r w:rsidRPr="008C7664">
              <w:rPr>
                <w:rFonts w:asciiTheme="majorBidi" w:hAnsiTheme="majorBidi" w:cstheme="majorBidi"/>
                <w:color w:val="auto"/>
                <w:sz w:val="24"/>
                <w:szCs w:val="24"/>
              </w:rPr>
              <w:t>ation, ICU admission, or death). The infection-focused outcome and early Omicron timeframe fall outside the severe-outcome Omicron evolutionary spectrum addressed in this review.</w:t>
            </w:r>
          </w:p>
        </w:tc>
      </w:tr>
      <w:tr w:rsidR="009405C7" w14:paraId="4F591044" w14:textId="77777777" w:rsidTr="00B20255">
        <w:tc>
          <w:tcPr>
            <w:tcW w:w="5403" w:type="dxa"/>
          </w:tcPr>
          <w:p w14:paraId="3CB00F07" w14:textId="24986924" w:rsidR="009405C7" w:rsidRPr="006C28C8" w:rsidRDefault="006C28C8" w:rsidP="009405C7">
            <w:pPr>
              <w:pStyle w:val="MDPI31text"/>
              <w:ind w:left="0" w:firstLine="0"/>
              <w:rPr>
                <w:rFonts w:asciiTheme="majorBidi" w:hAnsiTheme="majorBidi" w:cstheme="majorBidi"/>
                <w:color w:val="auto"/>
                <w:sz w:val="24"/>
                <w:szCs w:val="24"/>
              </w:rPr>
            </w:pPr>
            <w:proofErr w:type="spellStart"/>
            <w:r w:rsidRPr="006C28C8">
              <w:rPr>
                <w:rFonts w:asciiTheme="majorBidi" w:hAnsiTheme="majorBidi" w:cstheme="majorBidi"/>
                <w:color w:val="auto"/>
                <w:sz w:val="24"/>
                <w:szCs w:val="24"/>
                <w:lang w:val="nb-NO"/>
              </w:rPr>
              <w:t>Ciesla</w:t>
            </w:r>
            <w:proofErr w:type="spellEnd"/>
            <w:r w:rsidRPr="006C28C8">
              <w:rPr>
                <w:rFonts w:asciiTheme="majorBidi" w:hAnsiTheme="majorBidi" w:cstheme="majorBidi"/>
                <w:color w:val="auto"/>
                <w:sz w:val="24"/>
                <w:szCs w:val="24"/>
                <w:lang w:val="nb-NO"/>
              </w:rPr>
              <w:t xml:space="preserve"> AA, Mak J, Roper LE, Fleming-</w:t>
            </w:r>
            <w:proofErr w:type="spellStart"/>
            <w:r w:rsidRPr="006C28C8">
              <w:rPr>
                <w:rFonts w:asciiTheme="majorBidi" w:hAnsiTheme="majorBidi" w:cstheme="majorBidi"/>
                <w:color w:val="auto"/>
                <w:sz w:val="24"/>
                <w:szCs w:val="24"/>
                <w:lang w:val="nb-NO"/>
              </w:rPr>
              <w:t>Dutra</w:t>
            </w:r>
            <w:proofErr w:type="spellEnd"/>
            <w:r w:rsidRPr="006C28C8">
              <w:rPr>
                <w:rFonts w:asciiTheme="majorBidi" w:hAnsiTheme="majorBidi" w:cstheme="majorBidi"/>
                <w:color w:val="auto"/>
                <w:sz w:val="24"/>
                <w:szCs w:val="24"/>
                <w:lang w:val="nb-NO"/>
              </w:rPr>
              <w:t xml:space="preserve"> KE, Smith ZR, </w:t>
            </w:r>
            <w:proofErr w:type="spellStart"/>
            <w:r w:rsidRPr="006C28C8">
              <w:rPr>
                <w:rFonts w:asciiTheme="majorBidi" w:hAnsiTheme="majorBidi" w:cstheme="majorBidi"/>
                <w:color w:val="auto"/>
                <w:sz w:val="24"/>
                <w:szCs w:val="24"/>
                <w:lang w:val="nb-NO"/>
              </w:rPr>
              <w:t>Wiegand</w:t>
            </w:r>
            <w:proofErr w:type="spellEnd"/>
            <w:r w:rsidRPr="006C28C8">
              <w:rPr>
                <w:rFonts w:asciiTheme="majorBidi" w:hAnsiTheme="majorBidi" w:cstheme="majorBidi"/>
                <w:color w:val="auto"/>
                <w:sz w:val="24"/>
                <w:szCs w:val="24"/>
                <w:lang w:val="nb-NO"/>
              </w:rPr>
              <w:t xml:space="preserve"> RE, et al. </w:t>
            </w:r>
            <w:r w:rsidRPr="006C28C8">
              <w:rPr>
                <w:rFonts w:asciiTheme="majorBidi" w:hAnsiTheme="majorBidi" w:cstheme="majorBidi"/>
                <w:color w:val="auto"/>
                <w:sz w:val="24"/>
                <w:szCs w:val="24"/>
                <w:lang w:val="en-AU"/>
              </w:rPr>
              <w:t xml:space="preserve">Effectiveness of bivalent mRNA vaccines in preventing symptomatic SARS-CoV-2 infection—Increasing Community Access to Testing Program, United States, January–September 2023. </w:t>
            </w:r>
            <w:proofErr w:type="spellStart"/>
            <w:r w:rsidRPr="006C28C8">
              <w:rPr>
                <w:rFonts w:asciiTheme="majorBidi" w:hAnsiTheme="majorBidi" w:cstheme="majorBidi"/>
                <w:color w:val="auto"/>
                <w:sz w:val="24"/>
                <w:szCs w:val="24"/>
                <w:lang w:val="nb-NO"/>
              </w:rPr>
              <w:t>Influenza</w:t>
            </w:r>
            <w:proofErr w:type="spellEnd"/>
            <w:r w:rsidRPr="006C28C8">
              <w:rPr>
                <w:rFonts w:asciiTheme="majorBidi" w:hAnsiTheme="majorBidi" w:cstheme="majorBidi"/>
                <w:color w:val="auto"/>
                <w:sz w:val="24"/>
                <w:szCs w:val="24"/>
                <w:lang w:val="nb-NO"/>
              </w:rPr>
              <w:t xml:space="preserve"> </w:t>
            </w:r>
            <w:proofErr w:type="spellStart"/>
            <w:r w:rsidRPr="006C28C8">
              <w:rPr>
                <w:rFonts w:asciiTheme="majorBidi" w:hAnsiTheme="majorBidi" w:cstheme="majorBidi"/>
                <w:color w:val="auto"/>
                <w:sz w:val="24"/>
                <w:szCs w:val="24"/>
                <w:lang w:val="nb-NO"/>
              </w:rPr>
              <w:t>Other</w:t>
            </w:r>
            <w:proofErr w:type="spellEnd"/>
            <w:r w:rsidRPr="006C28C8">
              <w:rPr>
                <w:rFonts w:asciiTheme="majorBidi" w:hAnsiTheme="majorBidi" w:cstheme="majorBidi"/>
                <w:color w:val="auto"/>
                <w:sz w:val="24"/>
                <w:szCs w:val="24"/>
                <w:lang w:val="nb-NO"/>
              </w:rPr>
              <w:t xml:space="preserve"> </w:t>
            </w:r>
            <w:proofErr w:type="spellStart"/>
            <w:r w:rsidRPr="006C28C8">
              <w:rPr>
                <w:rFonts w:asciiTheme="majorBidi" w:hAnsiTheme="majorBidi" w:cstheme="majorBidi"/>
                <w:color w:val="auto"/>
                <w:sz w:val="24"/>
                <w:szCs w:val="24"/>
                <w:lang w:val="nb-NO"/>
              </w:rPr>
              <w:t>Respir</w:t>
            </w:r>
            <w:proofErr w:type="spellEnd"/>
            <w:r w:rsidRPr="006C28C8">
              <w:rPr>
                <w:rFonts w:asciiTheme="majorBidi" w:hAnsiTheme="majorBidi" w:cstheme="majorBidi"/>
                <w:color w:val="auto"/>
                <w:sz w:val="24"/>
                <w:szCs w:val="24"/>
                <w:lang w:val="nb-NO"/>
              </w:rPr>
              <w:t xml:space="preserve"> </w:t>
            </w:r>
            <w:proofErr w:type="spellStart"/>
            <w:r w:rsidRPr="006C28C8">
              <w:rPr>
                <w:rFonts w:asciiTheme="majorBidi" w:hAnsiTheme="majorBidi" w:cstheme="majorBidi"/>
                <w:color w:val="auto"/>
                <w:sz w:val="24"/>
                <w:szCs w:val="24"/>
                <w:lang w:val="nb-NO"/>
              </w:rPr>
              <w:t>Viruses</w:t>
            </w:r>
            <w:proofErr w:type="spellEnd"/>
            <w:r w:rsidRPr="006C28C8">
              <w:rPr>
                <w:rFonts w:asciiTheme="majorBidi" w:hAnsiTheme="majorBidi" w:cstheme="majorBidi"/>
                <w:color w:val="auto"/>
                <w:sz w:val="24"/>
                <w:szCs w:val="24"/>
                <w:lang w:val="nb-NO"/>
              </w:rPr>
              <w:t>. 2024;18:e70038. https://doi.org/10.1111/irv.70038</w:t>
            </w:r>
          </w:p>
        </w:tc>
        <w:tc>
          <w:tcPr>
            <w:tcW w:w="5938" w:type="dxa"/>
          </w:tcPr>
          <w:p w14:paraId="493D4A52" w14:textId="5FAD0204" w:rsidR="009405C7" w:rsidRPr="006C28C8" w:rsidRDefault="009405C7" w:rsidP="009405C7">
            <w:pPr>
              <w:pStyle w:val="MDPI31text"/>
              <w:ind w:left="0" w:firstLine="0"/>
              <w:rPr>
                <w:rFonts w:asciiTheme="majorBidi" w:hAnsiTheme="majorBidi" w:cstheme="majorBidi"/>
                <w:color w:val="auto"/>
                <w:sz w:val="24"/>
                <w:szCs w:val="24"/>
              </w:rPr>
            </w:pPr>
            <w:r w:rsidRPr="006C28C8">
              <w:rPr>
                <w:rFonts w:asciiTheme="majorBidi" w:hAnsiTheme="majorBidi" w:cstheme="majorBidi"/>
                <w:color w:val="auto"/>
                <w:sz w:val="24"/>
                <w:szCs w:val="24"/>
              </w:rPr>
              <w:t>Outside the prespecified review scope. This test-negative study evaluates vaccine effectiveness against symptomatic SARS-CoV-2 infection only using a pharmacy-based community testing program and does not assess severe COVID-19 outcomes (hospitali</w:t>
            </w:r>
            <w:r w:rsidR="00BA12A9" w:rsidRPr="006C28C8">
              <w:rPr>
                <w:rFonts w:asciiTheme="majorBidi" w:hAnsiTheme="majorBidi" w:cstheme="majorBidi"/>
                <w:color w:val="auto"/>
                <w:sz w:val="24"/>
                <w:szCs w:val="24"/>
              </w:rPr>
              <w:t>z</w:t>
            </w:r>
            <w:r w:rsidRPr="006C28C8">
              <w:rPr>
                <w:rFonts w:asciiTheme="majorBidi" w:hAnsiTheme="majorBidi" w:cstheme="majorBidi"/>
                <w:color w:val="auto"/>
                <w:sz w:val="24"/>
                <w:szCs w:val="24"/>
              </w:rPr>
              <w:t>ation, ICU admission, or death), which were the primary outcomes of interest in this review.</w:t>
            </w:r>
          </w:p>
        </w:tc>
      </w:tr>
      <w:tr w:rsidR="009405C7" w14:paraId="73579C89" w14:textId="77777777" w:rsidTr="00B20255">
        <w:tc>
          <w:tcPr>
            <w:tcW w:w="5403" w:type="dxa"/>
          </w:tcPr>
          <w:p w14:paraId="26D1F0CC" w14:textId="4090B4BD" w:rsidR="009405C7" w:rsidRPr="00263681" w:rsidRDefault="00263681" w:rsidP="009405C7">
            <w:pPr>
              <w:pStyle w:val="MDPI31text"/>
              <w:ind w:left="0" w:firstLine="0"/>
              <w:rPr>
                <w:rFonts w:asciiTheme="majorBidi" w:hAnsiTheme="majorBidi" w:cstheme="majorBidi"/>
                <w:color w:val="auto"/>
                <w:sz w:val="24"/>
                <w:szCs w:val="24"/>
              </w:rPr>
            </w:pPr>
            <w:r w:rsidRPr="00263681">
              <w:rPr>
                <w:rFonts w:asciiTheme="majorBidi" w:hAnsiTheme="majorBidi" w:cstheme="majorBidi"/>
                <w:color w:val="auto"/>
                <w:sz w:val="24"/>
                <w:szCs w:val="24"/>
              </w:rPr>
              <w:t xml:space="preserve">Corsini CA, Campos GRF, Martins </w:t>
            </w:r>
            <w:proofErr w:type="spellStart"/>
            <w:r w:rsidRPr="00263681">
              <w:rPr>
                <w:rFonts w:asciiTheme="majorBidi" w:hAnsiTheme="majorBidi" w:cstheme="majorBidi"/>
                <w:color w:val="auto"/>
                <w:sz w:val="24"/>
                <w:szCs w:val="24"/>
              </w:rPr>
              <w:t>PFdS</w:t>
            </w:r>
            <w:proofErr w:type="spellEnd"/>
            <w:r w:rsidRPr="00263681">
              <w:rPr>
                <w:rFonts w:asciiTheme="majorBidi" w:hAnsiTheme="majorBidi" w:cstheme="majorBidi"/>
                <w:color w:val="auto"/>
                <w:sz w:val="24"/>
                <w:szCs w:val="24"/>
              </w:rPr>
              <w:t xml:space="preserve">, Filgueiras PS, Lima </w:t>
            </w:r>
            <w:proofErr w:type="spellStart"/>
            <w:r w:rsidRPr="00263681">
              <w:rPr>
                <w:rFonts w:asciiTheme="majorBidi" w:hAnsiTheme="majorBidi" w:cstheme="majorBidi"/>
                <w:color w:val="auto"/>
                <w:sz w:val="24"/>
                <w:szCs w:val="24"/>
              </w:rPr>
              <w:t>AEdS</w:t>
            </w:r>
            <w:proofErr w:type="spellEnd"/>
            <w:r w:rsidRPr="00263681">
              <w:rPr>
                <w:rFonts w:asciiTheme="majorBidi" w:hAnsiTheme="majorBidi" w:cstheme="majorBidi"/>
                <w:color w:val="auto"/>
                <w:sz w:val="24"/>
                <w:szCs w:val="24"/>
              </w:rPr>
              <w:t>, Gomes SVC, et al. Neutralizing antibody response to Omicron subvariants BA.1 and BA.5 in children and adolescents following the two-dose CoronaVac protocol (Immunita-002, Brazil): a 12-month longitudinal study. Front Immunol. 2025;16:1589733. https://doi.org/10.3389/fimmu.2025.1589733</w:t>
            </w:r>
          </w:p>
        </w:tc>
        <w:tc>
          <w:tcPr>
            <w:tcW w:w="5938" w:type="dxa"/>
          </w:tcPr>
          <w:p w14:paraId="5F0F91C2" w14:textId="3DD1A733" w:rsidR="009405C7" w:rsidRPr="00263681" w:rsidRDefault="009405C7" w:rsidP="009405C7">
            <w:pPr>
              <w:pStyle w:val="MDPI31text"/>
              <w:ind w:left="0" w:firstLine="0"/>
              <w:rPr>
                <w:rFonts w:asciiTheme="majorBidi" w:hAnsiTheme="majorBidi" w:cstheme="majorBidi"/>
                <w:color w:val="auto"/>
                <w:sz w:val="24"/>
                <w:szCs w:val="24"/>
              </w:rPr>
            </w:pPr>
            <w:r w:rsidRPr="00263681">
              <w:rPr>
                <w:rFonts w:asciiTheme="majorBidi" w:hAnsiTheme="majorBidi" w:cstheme="majorBidi"/>
                <w:color w:val="auto"/>
                <w:sz w:val="24"/>
                <w:szCs w:val="24"/>
              </w:rPr>
              <w:t xml:space="preserve">Outside the prespecified review scope. This longitudinal cohort study evaluates immunogenicity and </w:t>
            </w:r>
            <w:r w:rsidR="00635F44" w:rsidRPr="00263681">
              <w:rPr>
                <w:rFonts w:asciiTheme="majorBidi" w:hAnsiTheme="majorBidi" w:cstheme="majorBidi"/>
                <w:color w:val="auto"/>
                <w:sz w:val="24"/>
                <w:szCs w:val="24"/>
              </w:rPr>
              <w:t>neutralizing</w:t>
            </w:r>
            <w:r w:rsidRPr="00263681">
              <w:rPr>
                <w:rFonts w:asciiTheme="majorBidi" w:hAnsiTheme="majorBidi" w:cstheme="majorBidi"/>
                <w:color w:val="auto"/>
                <w:sz w:val="24"/>
                <w:szCs w:val="24"/>
              </w:rPr>
              <w:t xml:space="preserve"> antibody responses to the two-dose CoronaVac primary series against Omicron subvariants BA.1 and BA.5 in children and adolescents (3–17 years), without reporting vaccine effectiveness against clinical outcomes (hospitali</w:t>
            </w:r>
            <w:r w:rsidR="00EA081A" w:rsidRPr="00263681">
              <w:rPr>
                <w:rFonts w:asciiTheme="majorBidi" w:hAnsiTheme="majorBidi" w:cstheme="majorBidi"/>
                <w:color w:val="auto"/>
                <w:sz w:val="24"/>
                <w:szCs w:val="24"/>
              </w:rPr>
              <w:t>z</w:t>
            </w:r>
            <w:r w:rsidRPr="00263681">
              <w:rPr>
                <w:rFonts w:asciiTheme="majorBidi" w:hAnsiTheme="majorBidi" w:cstheme="majorBidi"/>
                <w:color w:val="auto"/>
                <w:sz w:val="24"/>
                <w:szCs w:val="24"/>
              </w:rPr>
              <w:t>ation, ICU admission, or death). The immunogenicity-only outcomes and paediatric population fall outside the adult severe-outcome focus of this review.</w:t>
            </w:r>
          </w:p>
        </w:tc>
      </w:tr>
      <w:tr w:rsidR="009405C7" w14:paraId="3E41DAC6" w14:textId="77777777" w:rsidTr="00B20255">
        <w:tc>
          <w:tcPr>
            <w:tcW w:w="5403" w:type="dxa"/>
          </w:tcPr>
          <w:p w14:paraId="031D248A" w14:textId="32AC3834" w:rsidR="009405C7" w:rsidRPr="00592669" w:rsidRDefault="00592669" w:rsidP="009405C7">
            <w:pPr>
              <w:pStyle w:val="MDPI31text"/>
              <w:ind w:left="0" w:firstLine="0"/>
              <w:rPr>
                <w:rFonts w:asciiTheme="majorBidi" w:hAnsiTheme="majorBidi" w:cstheme="majorBidi"/>
                <w:color w:val="auto"/>
                <w:sz w:val="24"/>
                <w:szCs w:val="24"/>
              </w:rPr>
            </w:pPr>
            <w:proofErr w:type="spellStart"/>
            <w:r w:rsidRPr="00592669">
              <w:rPr>
                <w:rFonts w:asciiTheme="majorBidi" w:hAnsiTheme="majorBidi" w:cstheme="majorBidi"/>
                <w:color w:val="auto"/>
                <w:sz w:val="24"/>
                <w:szCs w:val="24"/>
              </w:rPr>
              <w:lastRenderedPageBreak/>
              <w:t>DeCuir</w:t>
            </w:r>
            <w:proofErr w:type="spellEnd"/>
            <w:r w:rsidRPr="00592669">
              <w:rPr>
                <w:rFonts w:asciiTheme="majorBidi" w:hAnsiTheme="majorBidi" w:cstheme="majorBidi"/>
                <w:color w:val="auto"/>
                <w:sz w:val="24"/>
                <w:szCs w:val="24"/>
              </w:rPr>
              <w:t xml:space="preserve"> J, Payne AB, Self WH, Rowley EAK, Dascomb K, DeSilva MB, et al. Interim effectiveness of updated 2023–2024 (monovalent XBB.1.5) COVID-19 vaccines against COVID-19–associated emergency department and urgent care encounters and hospitalization among immunocompetent adults aged ≥18 years—VISION and IVY networks, September 2023–January 2024. MMWR </w:t>
            </w:r>
            <w:proofErr w:type="spellStart"/>
            <w:r w:rsidRPr="00592669">
              <w:rPr>
                <w:rFonts w:asciiTheme="majorBidi" w:hAnsiTheme="majorBidi" w:cstheme="majorBidi"/>
                <w:color w:val="auto"/>
                <w:sz w:val="24"/>
                <w:szCs w:val="24"/>
              </w:rPr>
              <w:t>Morb</w:t>
            </w:r>
            <w:proofErr w:type="spellEnd"/>
            <w:r w:rsidRPr="00592669">
              <w:rPr>
                <w:rFonts w:asciiTheme="majorBidi" w:hAnsiTheme="majorBidi" w:cstheme="majorBidi"/>
                <w:color w:val="auto"/>
                <w:sz w:val="24"/>
                <w:szCs w:val="24"/>
              </w:rPr>
              <w:t xml:space="preserve"> Mortal </w:t>
            </w:r>
            <w:proofErr w:type="spellStart"/>
            <w:r w:rsidRPr="00592669">
              <w:rPr>
                <w:rFonts w:asciiTheme="majorBidi" w:hAnsiTheme="majorBidi" w:cstheme="majorBidi"/>
                <w:color w:val="auto"/>
                <w:sz w:val="24"/>
                <w:szCs w:val="24"/>
              </w:rPr>
              <w:t>Wkly</w:t>
            </w:r>
            <w:proofErr w:type="spellEnd"/>
            <w:r w:rsidRPr="00592669">
              <w:rPr>
                <w:rFonts w:asciiTheme="majorBidi" w:hAnsiTheme="majorBidi" w:cstheme="majorBidi"/>
                <w:color w:val="auto"/>
                <w:sz w:val="24"/>
                <w:szCs w:val="24"/>
              </w:rPr>
              <w:t xml:space="preserve"> Rep. 2024;73(8):180–188. https://doi.org/10.15585/mmwr.mm7308a1</w:t>
            </w:r>
          </w:p>
        </w:tc>
        <w:tc>
          <w:tcPr>
            <w:tcW w:w="5938" w:type="dxa"/>
          </w:tcPr>
          <w:p w14:paraId="100F83D9" w14:textId="6880BD4D" w:rsidR="009405C7" w:rsidRPr="00592669" w:rsidRDefault="009405C7" w:rsidP="009405C7">
            <w:pPr>
              <w:pStyle w:val="MDPI31text"/>
              <w:ind w:left="0" w:firstLine="0"/>
              <w:rPr>
                <w:rFonts w:asciiTheme="majorBidi" w:hAnsiTheme="majorBidi" w:cstheme="majorBidi"/>
                <w:color w:val="auto"/>
                <w:sz w:val="24"/>
                <w:szCs w:val="24"/>
              </w:rPr>
            </w:pPr>
            <w:r w:rsidRPr="00592669">
              <w:rPr>
                <w:rFonts w:asciiTheme="majorBidi" w:hAnsiTheme="majorBidi" w:cstheme="majorBidi"/>
                <w:color w:val="auto"/>
                <w:sz w:val="24"/>
                <w:szCs w:val="24"/>
              </w:rPr>
              <w:t xml:space="preserve">Outside the prespecified review scope. This interim surveillance analysis evaluates the incremental effectiveness of an updated 2023–2024 monovalent XBB.1.5 vaccine dose using a mixed comparator (“no updated dose”) that includes previously vaccinated individuals, rather than estimating absolute or standardised relative vaccine effectiveness against clearly defined comparators. In addition, outcomes include emergency department and urgent care encounters, which are not </w:t>
            </w:r>
            <w:r w:rsidR="00635F44" w:rsidRPr="00592669">
              <w:rPr>
                <w:rFonts w:asciiTheme="majorBidi" w:hAnsiTheme="majorBidi" w:cstheme="majorBidi"/>
                <w:color w:val="auto"/>
                <w:sz w:val="24"/>
                <w:szCs w:val="24"/>
              </w:rPr>
              <w:t>harmonized</w:t>
            </w:r>
            <w:r w:rsidRPr="00592669">
              <w:rPr>
                <w:rFonts w:asciiTheme="majorBidi" w:hAnsiTheme="majorBidi" w:cstheme="majorBidi"/>
                <w:color w:val="auto"/>
                <w:sz w:val="24"/>
                <w:szCs w:val="24"/>
              </w:rPr>
              <w:t xml:space="preserve"> with the severe clinical outcome framework synthesised in this review.</w:t>
            </w:r>
          </w:p>
        </w:tc>
      </w:tr>
      <w:tr w:rsidR="009405C7" w14:paraId="4095EBAD" w14:textId="77777777" w:rsidTr="00B20255">
        <w:tc>
          <w:tcPr>
            <w:tcW w:w="5403" w:type="dxa"/>
          </w:tcPr>
          <w:p w14:paraId="7F72BE95" w14:textId="4ED4889F" w:rsidR="009405C7" w:rsidRPr="00592669" w:rsidRDefault="00592669" w:rsidP="009405C7">
            <w:pPr>
              <w:pStyle w:val="MDPI31text"/>
              <w:ind w:left="0" w:firstLine="0"/>
              <w:rPr>
                <w:rFonts w:asciiTheme="majorBidi" w:hAnsiTheme="majorBidi" w:cstheme="majorBidi"/>
                <w:color w:val="auto"/>
                <w:sz w:val="24"/>
                <w:szCs w:val="24"/>
              </w:rPr>
            </w:pPr>
            <w:proofErr w:type="spellStart"/>
            <w:r w:rsidRPr="00592669">
              <w:rPr>
                <w:rFonts w:asciiTheme="majorBidi" w:hAnsiTheme="majorBidi" w:cstheme="majorBidi"/>
                <w:color w:val="auto"/>
                <w:sz w:val="24"/>
                <w:szCs w:val="24"/>
              </w:rPr>
              <w:t>DeCuir</w:t>
            </w:r>
            <w:proofErr w:type="spellEnd"/>
            <w:r w:rsidRPr="00592669">
              <w:rPr>
                <w:rFonts w:asciiTheme="majorBidi" w:hAnsiTheme="majorBidi" w:cstheme="majorBidi"/>
                <w:color w:val="auto"/>
                <w:sz w:val="24"/>
                <w:szCs w:val="24"/>
              </w:rPr>
              <w:t xml:space="preserve"> J, Surie D, Zhu Y, Lauring AS, Gaglani M, McNeal T, et al. Effectiveness of original monovalent and bivalent COVID-19 vaccines against COVID-19-associated hospitalization and severe in-hospital outcomes among adults in the United States, September 2022–August 2023. Influenza Other Respir Viruses. 2024;18:e70027. https://doi.org/10.1111/irv.70027</w:t>
            </w:r>
          </w:p>
        </w:tc>
        <w:tc>
          <w:tcPr>
            <w:tcW w:w="5938" w:type="dxa"/>
          </w:tcPr>
          <w:p w14:paraId="70066678" w14:textId="6AA4F4C1" w:rsidR="009405C7" w:rsidRPr="00592669" w:rsidRDefault="009405C7" w:rsidP="009405C7">
            <w:pPr>
              <w:pStyle w:val="MDPI31text"/>
              <w:ind w:left="0" w:firstLine="0"/>
              <w:rPr>
                <w:rFonts w:asciiTheme="majorBidi" w:hAnsiTheme="majorBidi" w:cstheme="majorBidi"/>
                <w:color w:val="auto"/>
                <w:sz w:val="24"/>
                <w:szCs w:val="24"/>
              </w:rPr>
            </w:pPr>
            <w:r w:rsidRPr="00592669">
              <w:rPr>
                <w:rFonts w:asciiTheme="majorBidi" w:hAnsiTheme="majorBidi" w:cstheme="majorBidi"/>
                <w:color w:val="auto"/>
                <w:sz w:val="24"/>
                <w:szCs w:val="24"/>
              </w:rPr>
              <w:t>Outside the prespecified review scope. This IVY Network test-negative case–control study evaluates ancestral monovalent and BA.4/BA.5 bivalent COVID-19 vaccines during the 2022–2023 bivalent-booster era and does not assess updated, variant-adapted vaccines (e.g., XBB.1.5- or JN.1-adapted formulations) or sustained late-Omicron sub-lineages (XBB-dominant, JN.1, KP lineages) that are the focus of this review.</w:t>
            </w:r>
          </w:p>
        </w:tc>
      </w:tr>
      <w:tr w:rsidR="009405C7" w14:paraId="345744F7" w14:textId="77777777" w:rsidTr="00B20255">
        <w:tc>
          <w:tcPr>
            <w:tcW w:w="5403" w:type="dxa"/>
          </w:tcPr>
          <w:p w14:paraId="527F1CD8" w14:textId="12993B57" w:rsidR="009405C7" w:rsidRPr="00E45F9A" w:rsidRDefault="00E45F9A" w:rsidP="009405C7">
            <w:pPr>
              <w:pStyle w:val="MDPI31text"/>
              <w:ind w:left="0" w:firstLine="0"/>
              <w:rPr>
                <w:rFonts w:asciiTheme="majorBidi" w:hAnsiTheme="majorBidi" w:cstheme="majorBidi"/>
                <w:color w:val="auto"/>
                <w:sz w:val="24"/>
                <w:szCs w:val="24"/>
              </w:rPr>
            </w:pPr>
            <w:r w:rsidRPr="00E45F9A">
              <w:rPr>
                <w:rFonts w:asciiTheme="majorBidi" w:hAnsiTheme="majorBidi" w:cstheme="majorBidi"/>
                <w:color w:val="auto"/>
                <w:sz w:val="24"/>
                <w:szCs w:val="24"/>
              </w:rPr>
              <w:t xml:space="preserve">Delaunay CL, </w:t>
            </w:r>
            <w:proofErr w:type="spellStart"/>
            <w:r w:rsidRPr="00E45F9A">
              <w:rPr>
                <w:rFonts w:asciiTheme="majorBidi" w:hAnsiTheme="majorBidi" w:cstheme="majorBidi"/>
                <w:color w:val="auto"/>
                <w:sz w:val="24"/>
                <w:szCs w:val="24"/>
              </w:rPr>
              <w:t>Mazagatos</w:t>
            </w:r>
            <w:proofErr w:type="spellEnd"/>
            <w:r w:rsidRPr="00E45F9A">
              <w:rPr>
                <w:rFonts w:asciiTheme="majorBidi" w:hAnsiTheme="majorBidi" w:cstheme="majorBidi"/>
                <w:color w:val="auto"/>
                <w:sz w:val="24"/>
                <w:szCs w:val="24"/>
              </w:rPr>
              <w:t xml:space="preserve"> C, Martínez-Baz I, Túri G, Goerlitz L, </w:t>
            </w:r>
            <w:proofErr w:type="spellStart"/>
            <w:r w:rsidRPr="00E45F9A">
              <w:rPr>
                <w:rFonts w:asciiTheme="majorBidi" w:hAnsiTheme="majorBidi" w:cstheme="majorBidi"/>
                <w:color w:val="auto"/>
                <w:sz w:val="24"/>
                <w:szCs w:val="24"/>
              </w:rPr>
              <w:t>Domegan</w:t>
            </w:r>
            <w:proofErr w:type="spellEnd"/>
            <w:r w:rsidRPr="00E45F9A">
              <w:rPr>
                <w:rFonts w:asciiTheme="majorBidi" w:hAnsiTheme="majorBidi" w:cstheme="majorBidi"/>
                <w:color w:val="auto"/>
                <w:sz w:val="24"/>
                <w:szCs w:val="24"/>
              </w:rPr>
              <w:t xml:space="preserve"> L, et al. COVID-19 vaccine effectiveness in autumn and winter 2022 to 2023 among older Europeans. JAMA </w:t>
            </w:r>
            <w:proofErr w:type="spellStart"/>
            <w:r w:rsidRPr="00E45F9A">
              <w:rPr>
                <w:rFonts w:asciiTheme="majorBidi" w:hAnsiTheme="majorBidi" w:cstheme="majorBidi"/>
                <w:color w:val="auto"/>
                <w:sz w:val="24"/>
                <w:szCs w:val="24"/>
              </w:rPr>
              <w:t>Netw</w:t>
            </w:r>
            <w:proofErr w:type="spellEnd"/>
            <w:r w:rsidRPr="00E45F9A">
              <w:rPr>
                <w:rFonts w:asciiTheme="majorBidi" w:hAnsiTheme="majorBidi" w:cstheme="majorBidi"/>
                <w:color w:val="auto"/>
                <w:sz w:val="24"/>
                <w:szCs w:val="24"/>
              </w:rPr>
              <w:t xml:space="preserve"> Open. 2024;7(7):e2419258. https://doi.org/10.1001/jamanetworkopen.2024.19258</w:t>
            </w:r>
          </w:p>
        </w:tc>
        <w:tc>
          <w:tcPr>
            <w:tcW w:w="5938" w:type="dxa"/>
          </w:tcPr>
          <w:p w14:paraId="718271DE" w14:textId="2DE712C5" w:rsidR="009405C7" w:rsidRPr="00E45F9A" w:rsidRDefault="009405C7" w:rsidP="009405C7">
            <w:pPr>
              <w:pStyle w:val="MDPI31text"/>
              <w:ind w:left="0" w:firstLine="0"/>
              <w:rPr>
                <w:rFonts w:asciiTheme="majorBidi" w:hAnsiTheme="majorBidi" w:cstheme="majorBidi"/>
                <w:color w:val="auto"/>
                <w:sz w:val="24"/>
                <w:szCs w:val="24"/>
              </w:rPr>
            </w:pPr>
            <w:r w:rsidRPr="00E45F9A">
              <w:rPr>
                <w:rFonts w:asciiTheme="majorBidi" w:hAnsiTheme="majorBidi" w:cstheme="majorBidi"/>
                <w:color w:val="auto"/>
                <w:sz w:val="24"/>
                <w:szCs w:val="24"/>
              </w:rPr>
              <w:t xml:space="preserve">Outside the prespecified review scope. This </w:t>
            </w:r>
            <w:r w:rsidR="00635F44" w:rsidRPr="00E45F9A">
              <w:rPr>
                <w:rFonts w:asciiTheme="majorBidi" w:hAnsiTheme="majorBidi" w:cstheme="majorBidi"/>
                <w:color w:val="auto"/>
                <w:sz w:val="24"/>
                <w:szCs w:val="24"/>
              </w:rPr>
              <w:t>multicenter</w:t>
            </w:r>
            <w:r w:rsidRPr="00E45F9A">
              <w:rPr>
                <w:rFonts w:asciiTheme="majorBidi" w:hAnsiTheme="majorBidi" w:cstheme="majorBidi"/>
                <w:color w:val="auto"/>
                <w:sz w:val="24"/>
                <w:szCs w:val="24"/>
              </w:rPr>
              <w:t xml:space="preserve"> primary-care test-negative study estimates vaccine effectiveness against symptomatic, medically attended SARS-CoV-2 infection only, using seasonal, absolute, and relative CVE approaches. It does not evaluate severe COVID-19 outcomes (e.g. hospitali</w:t>
            </w:r>
            <w:r w:rsidR="00F10ED1" w:rsidRPr="00E45F9A">
              <w:rPr>
                <w:rFonts w:asciiTheme="majorBidi" w:hAnsiTheme="majorBidi" w:cstheme="majorBidi"/>
                <w:color w:val="auto"/>
                <w:sz w:val="24"/>
                <w:szCs w:val="24"/>
              </w:rPr>
              <w:t>z</w:t>
            </w:r>
            <w:r w:rsidRPr="00E45F9A">
              <w:rPr>
                <w:rFonts w:asciiTheme="majorBidi" w:hAnsiTheme="majorBidi" w:cstheme="majorBidi"/>
                <w:color w:val="auto"/>
                <w:sz w:val="24"/>
                <w:szCs w:val="24"/>
              </w:rPr>
              <w:t>ation, ICU admission, or death) and therefore is not directly comparable with the severe-outcome–focused vaccine-effectiveness framework applied in this review.</w:t>
            </w:r>
          </w:p>
        </w:tc>
      </w:tr>
      <w:tr w:rsidR="009405C7" w14:paraId="7982ABDF" w14:textId="77777777" w:rsidTr="00B20255">
        <w:tc>
          <w:tcPr>
            <w:tcW w:w="5403" w:type="dxa"/>
          </w:tcPr>
          <w:p w14:paraId="12FD8030" w14:textId="07297174" w:rsidR="009405C7" w:rsidRPr="00E45F9A" w:rsidRDefault="00E45F9A" w:rsidP="009405C7">
            <w:pPr>
              <w:pStyle w:val="MDPI31text"/>
              <w:ind w:left="0" w:firstLine="0"/>
              <w:rPr>
                <w:rFonts w:asciiTheme="majorBidi" w:hAnsiTheme="majorBidi" w:cstheme="majorBidi"/>
                <w:color w:val="auto"/>
                <w:sz w:val="24"/>
                <w:szCs w:val="24"/>
              </w:rPr>
            </w:pPr>
            <w:r w:rsidRPr="00E45F9A">
              <w:rPr>
                <w:rFonts w:asciiTheme="majorBidi" w:hAnsiTheme="majorBidi" w:cstheme="majorBidi"/>
                <w:color w:val="auto"/>
                <w:sz w:val="24"/>
                <w:szCs w:val="24"/>
              </w:rPr>
              <w:t xml:space="preserve">Delaunay CL, Martínez-Baz I, Sève N, </w:t>
            </w:r>
            <w:proofErr w:type="spellStart"/>
            <w:r w:rsidRPr="00E45F9A">
              <w:rPr>
                <w:rFonts w:asciiTheme="majorBidi" w:hAnsiTheme="majorBidi" w:cstheme="majorBidi"/>
                <w:color w:val="auto"/>
                <w:sz w:val="24"/>
                <w:szCs w:val="24"/>
              </w:rPr>
              <w:t>Domegan</w:t>
            </w:r>
            <w:proofErr w:type="spellEnd"/>
            <w:r w:rsidRPr="00E45F9A">
              <w:rPr>
                <w:rFonts w:asciiTheme="majorBidi" w:hAnsiTheme="majorBidi" w:cstheme="majorBidi"/>
                <w:color w:val="auto"/>
                <w:sz w:val="24"/>
                <w:szCs w:val="24"/>
              </w:rPr>
              <w:t xml:space="preserve"> L, </w:t>
            </w:r>
            <w:proofErr w:type="spellStart"/>
            <w:r w:rsidRPr="00E45F9A">
              <w:rPr>
                <w:rFonts w:asciiTheme="majorBidi" w:hAnsiTheme="majorBidi" w:cstheme="majorBidi"/>
                <w:color w:val="auto"/>
                <w:sz w:val="24"/>
                <w:szCs w:val="24"/>
              </w:rPr>
              <w:t>Mazagatos</w:t>
            </w:r>
            <w:proofErr w:type="spellEnd"/>
            <w:r w:rsidRPr="00E45F9A">
              <w:rPr>
                <w:rFonts w:asciiTheme="majorBidi" w:hAnsiTheme="majorBidi" w:cstheme="majorBidi"/>
                <w:color w:val="auto"/>
                <w:sz w:val="24"/>
                <w:szCs w:val="24"/>
              </w:rPr>
              <w:t xml:space="preserve"> C, Buda S, et al. COVID-19 vaccine effectiveness against symptomatic infection with SARS-CoV-2 BA.1/BA.2 lineages among adults and adolescents in a </w:t>
            </w:r>
            <w:proofErr w:type="spellStart"/>
            <w:r w:rsidRPr="00E45F9A">
              <w:rPr>
                <w:rFonts w:asciiTheme="majorBidi" w:hAnsiTheme="majorBidi" w:cstheme="majorBidi"/>
                <w:color w:val="auto"/>
                <w:sz w:val="24"/>
                <w:szCs w:val="24"/>
              </w:rPr>
              <w:t>multicentre</w:t>
            </w:r>
            <w:proofErr w:type="spellEnd"/>
            <w:r w:rsidRPr="00E45F9A">
              <w:rPr>
                <w:rFonts w:asciiTheme="majorBidi" w:hAnsiTheme="majorBidi" w:cstheme="majorBidi"/>
                <w:color w:val="auto"/>
                <w:sz w:val="24"/>
                <w:szCs w:val="24"/>
              </w:rPr>
              <w:t xml:space="preserve"> primary care study, Europe, December 2021 to June 2022. Euro </w:t>
            </w:r>
            <w:proofErr w:type="spellStart"/>
            <w:r w:rsidRPr="00E45F9A">
              <w:rPr>
                <w:rFonts w:asciiTheme="majorBidi" w:hAnsiTheme="majorBidi" w:cstheme="majorBidi"/>
                <w:color w:val="auto"/>
                <w:sz w:val="24"/>
                <w:szCs w:val="24"/>
              </w:rPr>
              <w:t>Surveill</w:t>
            </w:r>
            <w:proofErr w:type="spellEnd"/>
            <w:r w:rsidRPr="00E45F9A">
              <w:rPr>
                <w:rFonts w:asciiTheme="majorBidi" w:hAnsiTheme="majorBidi" w:cstheme="majorBidi"/>
                <w:color w:val="auto"/>
                <w:sz w:val="24"/>
                <w:szCs w:val="24"/>
              </w:rPr>
              <w:t>. 2024;29(13):2300403. https://doi.org/10.2807/1560-7917.ES.2024.29.13.2300403</w:t>
            </w:r>
          </w:p>
        </w:tc>
        <w:tc>
          <w:tcPr>
            <w:tcW w:w="5938" w:type="dxa"/>
          </w:tcPr>
          <w:p w14:paraId="222B7DB7" w14:textId="521EA5CD" w:rsidR="009405C7" w:rsidRPr="00E45F9A" w:rsidRDefault="009405C7" w:rsidP="009405C7">
            <w:pPr>
              <w:pStyle w:val="MDPI31text"/>
              <w:ind w:left="0" w:firstLine="0"/>
              <w:rPr>
                <w:rFonts w:asciiTheme="majorBidi" w:hAnsiTheme="majorBidi" w:cstheme="majorBidi"/>
                <w:color w:val="auto"/>
                <w:sz w:val="24"/>
                <w:szCs w:val="24"/>
              </w:rPr>
            </w:pPr>
            <w:r w:rsidRPr="00E45F9A">
              <w:rPr>
                <w:rFonts w:asciiTheme="majorBidi" w:hAnsiTheme="majorBidi" w:cstheme="majorBidi"/>
                <w:color w:val="auto"/>
                <w:sz w:val="24"/>
                <w:szCs w:val="24"/>
              </w:rPr>
              <w:t xml:space="preserve">Outside the prespecified review scope. This </w:t>
            </w:r>
            <w:r w:rsidR="00635F44" w:rsidRPr="00E45F9A">
              <w:rPr>
                <w:rFonts w:asciiTheme="majorBidi" w:hAnsiTheme="majorBidi" w:cstheme="majorBidi"/>
                <w:color w:val="auto"/>
                <w:sz w:val="24"/>
                <w:szCs w:val="24"/>
              </w:rPr>
              <w:t>multicenter</w:t>
            </w:r>
            <w:r w:rsidRPr="00E45F9A">
              <w:rPr>
                <w:rFonts w:asciiTheme="majorBidi" w:hAnsiTheme="majorBidi" w:cstheme="majorBidi"/>
                <w:color w:val="auto"/>
                <w:sz w:val="24"/>
                <w:szCs w:val="24"/>
              </w:rPr>
              <w:t xml:space="preserve"> primary-care test-negative study evaluates vaccine effectiveness against symptomatic SARS-CoV-2 infection only during an early Omicron (BA.1/BA.2) period. It does not assess severe COVID-19 outcomes (e.g. hospitali</w:t>
            </w:r>
            <w:r w:rsidR="00F10ED1" w:rsidRPr="00E45F9A">
              <w:rPr>
                <w:rFonts w:asciiTheme="majorBidi" w:hAnsiTheme="majorBidi" w:cstheme="majorBidi"/>
                <w:color w:val="auto"/>
                <w:sz w:val="24"/>
                <w:szCs w:val="24"/>
              </w:rPr>
              <w:t>z</w:t>
            </w:r>
            <w:r w:rsidRPr="00E45F9A">
              <w:rPr>
                <w:rFonts w:asciiTheme="majorBidi" w:hAnsiTheme="majorBidi" w:cstheme="majorBidi"/>
                <w:color w:val="auto"/>
                <w:sz w:val="24"/>
                <w:szCs w:val="24"/>
              </w:rPr>
              <w:t xml:space="preserve">ation, ICU admission, or death) and predates later Omicron subvariants and updated or variant-adapted vaccines </w:t>
            </w:r>
            <w:r w:rsidR="00AA15B8" w:rsidRPr="00E45F9A">
              <w:rPr>
                <w:rFonts w:asciiTheme="majorBidi" w:hAnsiTheme="majorBidi" w:cstheme="majorBidi"/>
                <w:color w:val="auto"/>
                <w:sz w:val="24"/>
                <w:szCs w:val="24"/>
              </w:rPr>
              <w:t>prioritized</w:t>
            </w:r>
            <w:r w:rsidRPr="00E45F9A">
              <w:rPr>
                <w:rFonts w:asciiTheme="majorBidi" w:hAnsiTheme="majorBidi" w:cstheme="majorBidi"/>
                <w:color w:val="auto"/>
                <w:sz w:val="24"/>
                <w:szCs w:val="24"/>
              </w:rPr>
              <w:t xml:space="preserve"> in this review.</w:t>
            </w:r>
          </w:p>
        </w:tc>
      </w:tr>
      <w:tr w:rsidR="009405C7" w14:paraId="0F924EE1" w14:textId="77777777" w:rsidTr="00B20255">
        <w:tc>
          <w:tcPr>
            <w:tcW w:w="5403" w:type="dxa"/>
          </w:tcPr>
          <w:p w14:paraId="25087469" w14:textId="50C70BFE" w:rsidR="009405C7" w:rsidRPr="0056214A" w:rsidRDefault="0056214A" w:rsidP="009405C7">
            <w:pPr>
              <w:pStyle w:val="MDPI31text"/>
              <w:ind w:left="0" w:firstLine="0"/>
              <w:rPr>
                <w:rFonts w:asciiTheme="majorBidi" w:hAnsiTheme="majorBidi" w:cstheme="majorBidi"/>
                <w:color w:val="auto"/>
                <w:sz w:val="24"/>
                <w:szCs w:val="24"/>
              </w:rPr>
            </w:pPr>
            <w:r w:rsidRPr="0056214A">
              <w:rPr>
                <w:rFonts w:asciiTheme="majorBidi" w:hAnsiTheme="majorBidi" w:cstheme="majorBidi"/>
                <w:color w:val="auto"/>
                <w:sz w:val="24"/>
                <w:szCs w:val="24"/>
              </w:rPr>
              <w:t>Dong S, Sun Y, Feng Z, Tian Y, Jia L, Wang X, et al. Effectiveness of inactivated coronavirus disease 2019 vaccine against Omicron BA.2.2 infection in Beijing, China, 2022: a cohabitation retrospective cohort study. Viruses. 2025;17(1):31. https://doi.org/10.3390/v17010031</w:t>
            </w:r>
          </w:p>
        </w:tc>
        <w:tc>
          <w:tcPr>
            <w:tcW w:w="5938" w:type="dxa"/>
          </w:tcPr>
          <w:p w14:paraId="5066B749" w14:textId="7ADA5A46" w:rsidR="009405C7" w:rsidRPr="0056214A" w:rsidRDefault="009405C7" w:rsidP="009405C7">
            <w:pPr>
              <w:pStyle w:val="MDPI31text"/>
              <w:ind w:left="0" w:firstLine="0"/>
              <w:rPr>
                <w:rFonts w:asciiTheme="majorBidi" w:hAnsiTheme="majorBidi" w:cstheme="majorBidi"/>
                <w:color w:val="auto"/>
                <w:sz w:val="24"/>
                <w:szCs w:val="24"/>
              </w:rPr>
            </w:pPr>
            <w:r w:rsidRPr="0056214A">
              <w:rPr>
                <w:rFonts w:asciiTheme="majorBidi" w:hAnsiTheme="majorBidi" w:cstheme="majorBidi"/>
                <w:color w:val="auto"/>
                <w:sz w:val="24"/>
                <w:szCs w:val="24"/>
              </w:rPr>
              <w:t>Outside the prespecified review scope. The study evaluates prototype inactivated COVID-19 vaccines during Omicron BA.2.2 circulation and reports effectiveness for infection, symptoms, and pneumonia only, with no effectiveness estimates for severe clinical outcomes (hospitali</w:t>
            </w:r>
            <w:r w:rsidR="00F10ED1" w:rsidRPr="0056214A">
              <w:rPr>
                <w:rFonts w:asciiTheme="majorBidi" w:hAnsiTheme="majorBidi" w:cstheme="majorBidi"/>
                <w:color w:val="auto"/>
                <w:sz w:val="24"/>
                <w:szCs w:val="24"/>
              </w:rPr>
              <w:t>z</w:t>
            </w:r>
            <w:r w:rsidRPr="0056214A">
              <w:rPr>
                <w:rFonts w:asciiTheme="majorBidi" w:hAnsiTheme="majorBidi" w:cstheme="majorBidi"/>
                <w:color w:val="auto"/>
                <w:sz w:val="24"/>
                <w:szCs w:val="24"/>
              </w:rPr>
              <w:t xml:space="preserve">ation, ICU admission, or death) and no assessment of variant-adapted vaccines (e.g., bivalent </w:t>
            </w:r>
            <w:r w:rsidR="00A13B79" w:rsidRPr="0056214A">
              <w:rPr>
                <w:rFonts w:asciiTheme="majorBidi" w:hAnsiTheme="majorBidi" w:cstheme="majorBidi"/>
                <w:color w:val="auto"/>
                <w:sz w:val="24"/>
                <w:szCs w:val="24"/>
              </w:rPr>
              <w:t xml:space="preserve">BA.4/BA.5 </w:t>
            </w:r>
            <w:r w:rsidRPr="0056214A">
              <w:rPr>
                <w:rFonts w:asciiTheme="majorBidi" w:hAnsiTheme="majorBidi" w:cstheme="majorBidi"/>
                <w:color w:val="auto"/>
                <w:sz w:val="24"/>
                <w:szCs w:val="24"/>
              </w:rPr>
              <w:t>or updated XBB/JN.1 formulations).</w:t>
            </w:r>
          </w:p>
        </w:tc>
      </w:tr>
      <w:tr w:rsidR="009405C7" w14:paraId="718DE1EB" w14:textId="77777777" w:rsidTr="00B20255">
        <w:tc>
          <w:tcPr>
            <w:tcW w:w="5403" w:type="dxa"/>
          </w:tcPr>
          <w:p w14:paraId="73F1CAAB" w14:textId="4E955114" w:rsidR="009405C7" w:rsidRPr="0026760C" w:rsidRDefault="0026760C" w:rsidP="009405C7">
            <w:pPr>
              <w:pStyle w:val="MDPI31text"/>
              <w:ind w:left="0" w:firstLine="0"/>
              <w:rPr>
                <w:rFonts w:asciiTheme="majorBidi" w:hAnsiTheme="majorBidi" w:cstheme="majorBidi"/>
                <w:color w:val="auto"/>
                <w:sz w:val="24"/>
                <w:szCs w:val="24"/>
              </w:rPr>
            </w:pPr>
            <w:proofErr w:type="spellStart"/>
            <w:r w:rsidRPr="0026760C">
              <w:rPr>
                <w:rFonts w:asciiTheme="majorBidi" w:hAnsiTheme="majorBidi" w:cstheme="majorBidi"/>
                <w:color w:val="auto"/>
                <w:sz w:val="24"/>
                <w:szCs w:val="24"/>
                <w:lang w:val="nb-NO"/>
              </w:rPr>
              <w:t>Emani</w:t>
            </w:r>
            <w:proofErr w:type="spellEnd"/>
            <w:r w:rsidRPr="0026760C">
              <w:rPr>
                <w:rFonts w:asciiTheme="majorBidi" w:hAnsiTheme="majorBidi" w:cstheme="majorBidi"/>
                <w:color w:val="auto"/>
                <w:sz w:val="24"/>
                <w:szCs w:val="24"/>
                <w:lang w:val="nb-NO"/>
              </w:rPr>
              <w:t xml:space="preserve"> VR, </w:t>
            </w:r>
            <w:proofErr w:type="spellStart"/>
            <w:r w:rsidRPr="0026760C">
              <w:rPr>
                <w:rFonts w:asciiTheme="majorBidi" w:hAnsiTheme="majorBidi" w:cstheme="majorBidi"/>
                <w:color w:val="auto"/>
                <w:sz w:val="24"/>
                <w:szCs w:val="24"/>
                <w:lang w:val="nb-NO"/>
              </w:rPr>
              <w:t>Pallipuram</w:t>
            </w:r>
            <w:proofErr w:type="spellEnd"/>
            <w:r w:rsidRPr="0026760C">
              <w:rPr>
                <w:rFonts w:asciiTheme="majorBidi" w:hAnsiTheme="majorBidi" w:cstheme="majorBidi"/>
                <w:color w:val="auto"/>
                <w:sz w:val="24"/>
                <w:szCs w:val="24"/>
                <w:lang w:val="nb-NO"/>
              </w:rPr>
              <w:t xml:space="preserve"> Krishnamani V, </w:t>
            </w:r>
            <w:proofErr w:type="spellStart"/>
            <w:r w:rsidRPr="0026760C">
              <w:rPr>
                <w:rFonts w:asciiTheme="majorBidi" w:hAnsiTheme="majorBidi" w:cstheme="majorBidi"/>
                <w:color w:val="auto"/>
                <w:sz w:val="24"/>
                <w:szCs w:val="24"/>
                <w:lang w:val="nb-NO"/>
              </w:rPr>
              <w:t>Goswami</w:t>
            </w:r>
            <w:proofErr w:type="spellEnd"/>
            <w:r w:rsidRPr="0026760C">
              <w:rPr>
                <w:rFonts w:asciiTheme="majorBidi" w:hAnsiTheme="majorBidi" w:cstheme="majorBidi"/>
                <w:color w:val="auto"/>
                <w:sz w:val="24"/>
                <w:szCs w:val="24"/>
                <w:lang w:val="nb-NO"/>
              </w:rPr>
              <w:t xml:space="preserve"> KK, </w:t>
            </w:r>
            <w:proofErr w:type="spellStart"/>
            <w:r w:rsidRPr="0026760C">
              <w:rPr>
                <w:rFonts w:asciiTheme="majorBidi" w:hAnsiTheme="majorBidi" w:cstheme="majorBidi"/>
                <w:color w:val="auto"/>
                <w:sz w:val="24"/>
                <w:szCs w:val="24"/>
                <w:lang w:val="nb-NO"/>
              </w:rPr>
              <w:t>Maddula</w:t>
            </w:r>
            <w:proofErr w:type="spellEnd"/>
            <w:r w:rsidRPr="0026760C">
              <w:rPr>
                <w:rFonts w:asciiTheme="majorBidi" w:hAnsiTheme="majorBidi" w:cstheme="majorBidi"/>
                <w:color w:val="auto"/>
                <w:sz w:val="24"/>
                <w:szCs w:val="24"/>
                <w:lang w:val="nb-NO"/>
              </w:rPr>
              <w:t xml:space="preserve"> KR, Reddy R, </w:t>
            </w:r>
            <w:proofErr w:type="spellStart"/>
            <w:r w:rsidRPr="0026760C">
              <w:rPr>
                <w:rFonts w:asciiTheme="majorBidi" w:hAnsiTheme="majorBidi" w:cstheme="majorBidi"/>
                <w:color w:val="auto"/>
                <w:sz w:val="24"/>
                <w:szCs w:val="24"/>
                <w:lang w:val="nb-NO"/>
              </w:rPr>
              <w:t>Nakka</w:t>
            </w:r>
            <w:proofErr w:type="spellEnd"/>
            <w:r w:rsidRPr="0026760C">
              <w:rPr>
                <w:rFonts w:asciiTheme="majorBidi" w:hAnsiTheme="majorBidi" w:cstheme="majorBidi"/>
                <w:color w:val="auto"/>
                <w:sz w:val="24"/>
                <w:szCs w:val="24"/>
                <w:lang w:val="nb-NO"/>
              </w:rPr>
              <w:t xml:space="preserve"> AS, et al. </w:t>
            </w:r>
            <w:r w:rsidRPr="0026760C">
              <w:rPr>
                <w:rFonts w:asciiTheme="majorBidi" w:hAnsiTheme="majorBidi" w:cstheme="majorBidi"/>
                <w:color w:val="auto"/>
                <w:sz w:val="24"/>
                <w:szCs w:val="24"/>
                <w:lang w:val="en-AU"/>
              </w:rPr>
              <w:t xml:space="preserve">Increasing SARS-CoV-2 cases, hospitalizations, and deaths among the vaccinated populations during the Omicron (B.1.1.529) variant surge in the UK. </w:t>
            </w:r>
            <w:r w:rsidRPr="0026760C">
              <w:rPr>
                <w:rFonts w:asciiTheme="majorBidi" w:hAnsiTheme="majorBidi" w:cstheme="majorBidi"/>
                <w:color w:val="auto"/>
                <w:sz w:val="24"/>
                <w:szCs w:val="24"/>
                <w:lang w:val="nb-NO"/>
              </w:rPr>
              <w:t xml:space="preserve">J </w:t>
            </w:r>
            <w:proofErr w:type="spellStart"/>
            <w:r w:rsidRPr="0026760C">
              <w:rPr>
                <w:rFonts w:asciiTheme="majorBidi" w:hAnsiTheme="majorBidi" w:cstheme="majorBidi"/>
                <w:color w:val="auto"/>
                <w:sz w:val="24"/>
                <w:szCs w:val="24"/>
                <w:lang w:val="nb-NO"/>
              </w:rPr>
              <w:t>Vaccines</w:t>
            </w:r>
            <w:proofErr w:type="spellEnd"/>
            <w:r w:rsidRPr="0026760C">
              <w:rPr>
                <w:rFonts w:asciiTheme="majorBidi" w:hAnsiTheme="majorBidi" w:cstheme="majorBidi"/>
                <w:color w:val="auto"/>
                <w:sz w:val="24"/>
                <w:szCs w:val="24"/>
                <w:lang w:val="nb-NO"/>
              </w:rPr>
              <w:t xml:space="preserve"> </w:t>
            </w:r>
            <w:proofErr w:type="spellStart"/>
            <w:r w:rsidRPr="0026760C">
              <w:rPr>
                <w:rFonts w:asciiTheme="majorBidi" w:hAnsiTheme="majorBidi" w:cstheme="majorBidi"/>
                <w:color w:val="auto"/>
                <w:sz w:val="24"/>
                <w:szCs w:val="24"/>
                <w:lang w:val="nb-NO"/>
              </w:rPr>
              <w:lastRenderedPageBreak/>
              <w:t>Vaccin</w:t>
            </w:r>
            <w:proofErr w:type="spellEnd"/>
            <w:r w:rsidRPr="0026760C">
              <w:rPr>
                <w:rFonts w:asciiTheme="majorBidi" w:hAnsiTheme="majorBidi" w:cstheme="majorBidi"/>
                <w:color w:val="auto"/>
                <w:sz w:val="24"/>
                <w:szCs w:val="24"/>
                <w:lang w:val="nb-NO"/>
              </w:rPr>
              <w:t>. 2022;13(</w:t>
            </w:r>
            <w:proofErr w:type="spellStart"/>
            <w:r w:rsidRPr="0026760C">
              <w:rPr>
                <w:rFonts w:asciiTheme="majorBidi" w:hAnsiTheme="majorBidi" w:cstheme="majorBidi"/>
                <w:color w:val="auto"/>
                <w:sz w:val="24"/>
                <w:szCs w:val="24"/>
                <w:lang w:val="nb-NO"/>
              </w:rPr>
              <w:t>Suppl</w:t>
            </w:r>
            <w:proofErr w:type="spellEnd"/>
            <w:r w:rsidRPr="0026760C">
              <w:rPr>
                <w:rFonts w:asciiTheme="majorBidi" w:hAnsiTheme="majorBidi" w:cstheme="majorBidi"/>
                <w:color w:val="auto"/>
                <w:sz w:val="24"/>
                <w:szCs w:val="24"/>
                <w:lang w:val="nb-NO"/>
              </w:rPr>
              <w:t xml:space="preserve"> 21):1000001. https://doi.org/10.35248/2157-7560.22.S21.001</w:t>
            </w:r>
          </w:p>
        </w:tc>
        <w:tc>
          <w:tcPr>
            <w:tcW w:w="5938" w:type="dxa"/>
          </w:tcPr>
          <w:p w14:paraId="1DF8EC4C" w14:textId="77777777" w:rsidR="009405C7" w:rsidRPr="0026760C" w:rsidRDefault="009405C7" w:rsidP="009405C7">
            <w:pPr>
              <w:pStyle w:val="MDPI31text"/>
              <w:ind w:left="0" w:firstLine="0"/>
              <w:rPr>
                <w:rFonts w:asciiTheme="majorBidi" w:hAnsiTheme="majorBidi" w:cstheme="majorBidi"/>
                <w:color w:val="auto"/>
                <w:sz w:val="24"/>
                <w:szCs w:val="24"/>
              </w:rPr>
            </w:pPr>
            <w:r w:rsidRPr="0026760C">
              <w:rPr>
                <w:rFonts w:asciiTheme="majorBidi" w:hAnsiTheme="majorBidi" w:cstheme="majorBidi"/>
                <w:color w:val="auto"/>
                <w:sz w:val="24"/>
                <w:szCs w:val="24"/>
              </w:rPr>
              <w:lastRenderedPageBreak/>
              <w:t xml:space="preserve">Outside the prespecified review scope. This study is an ecological analysis based on aggregate national surveillance data and estimates vaccine effectiveness using unadjusted population-level proportions, without individual-level linkage or adequate control for key confounders (e.g. age, </w:t>
            </w:r>
            <w:r w:rsidRPr="0026760C">
              <w:rPr>
                <w:rFonts w:asciiTheme="majorBidi" w:hAnsiTheme="majorBidi" w:cstheme="majorBidi"/>
                <w:color w:val="auto"/>
                <w:sz w:val="24"/>
                <w:szCs w:val="24"/>
              </w:rPr>
              <w:lastRenderedPageBreak/>
              <w:t>comorbidities, time since vaccination, prior infection). The study does not provide valid individual-level estimates of vaccine effectiveness against severe COVID-19 outcomes, and therefore does not meet the methodological eligibility criteria of this review.</w:t>
            </w:r>
          </w:p>
        </w:tc>
      </w:tr>
      <w:tr w:rsidR="009405C7" w14:paraId="6B039340" w14:textId="77777777" w:rsidTr="00B20255">
        <w:tc>
          <w:tcPr>
            <w:tcW w:w="5403" w:type="dxa"/>
          </w:tcPr>
          <w:p w14:paraId="6B20EB0E" w14:textId="54EBF672" w:rsidR="009405C7" w:rsidRPr="000363C4" w:rsidRDefault="000363C4" w:rsidP="009405C7">
            <w:pPr>
              <w:pStyle w:val="MDPI31text"/>
              <w:ind w:left="0" w:firstLine="0"/>
              <w:rPr>
                <w:rFonts w:asciiTheme="majorBidi" w:hAnsiTheme="majorBidi" w:cstheme="majorBidi"/>
                <w:color w:val="auto"/>
                <w:sz w:val="24"/>
                <w:szCs w:val="24"/>
              </w:rPr>
            </w:pPr>
            <w:r w:rsidRPr="000363C4">
              <w:rPr>
                <w:rFonts w:asciiTheme="majorBidi" w:hAnsiTheme="majorBidi" w:cstheme="majorBidi"/>
                <w:color w:val="auto"/>
                <w:sz w:val="24"/>
                <w:szCs w:val="24"/>
                <w:lang w:val="en-AU"/>
              </w:rPr>
              <w:lastRenderedPageBreak/>
              <w:t xml:space="preserve">España PP, Castillo-Sintes I, Legarreta MJ, Bilbao-González A, Larrea N, Gascon M, Uranga A, </w:t>
            </w:r>
            <w:proofErr w:type="spellStart"/>
            <w:r w:rsidRPr="000363C4">
              <w:rPr>
                <w:rFonts w:asciiTheme="majorBidi" w:hAnsiTheme="majorBidi" w:cstheme="majorBidi"/>
                <w:color w:val="auto"/>
                <w:sz w:val="24"/>
                <w:szCs w:val="24"/>
                <w:lang w:val="en-AU"/>
              </w:rPr>
              <w:t>Artaraz</w:t>
            </w:r>
            <w:proofErr w:type="spellEnd"/>
            <w:r w:rsidRPr="000363C4">
              <w:rPr>
                <w:rFonts w:asciiTheme="majorBidi" w:hAnsiTheme="majorBidi" w:cstheme="majorBidi"/>
                <w:color w:val="auto"/>
                <w:sz w:val="24"/>
                <w:szCs w:val="24"/>
                <w:lang w:val="en-AU"/>
              </w:rPr>
              <w:t xml:space="preserve"> A, Garcia-Asensio J, </w:t>
            </w:r>
            <w:proofErr w:type="spellStart"/>
            <w:r w:rsidRPr="000363C4">
              <w:rPr>
                <w:rFonts w:asciiTheme="majorBidi" w:hAnsiTheme="majorBidi" w:cstheme="majorBidi"/>
                <w:color w:val="auto"/>
                <w:sz w:val="24"/>
                <w:szCs w:val="24"/>
                <w:lang w:val="en-AU"/>
              </w:rPr>
              <w:t>Quintana</w:t>
            </w:r>
            <w:proofErr w:type="spellEnd"/>
            <w:r w:rsidRPr="000363C4">
              <w:rPr>
                <w:rFonts w:asciiTheme="majorBidi" w:hAnsiTheme="majorBidi" w:cstheme="majorBidi"/>
                <w:color w:val="auto"/>
                <w:sz w:val="24"/>
                <w:szCs w:val="24"/>
                <w:lang w:val="en-AU"/>
              </w:rPr>
              <w:t xml:space="preserve"> JM; the COVID-Health Basque Country Research Group. Effectiveness of bivalent mRNA booster vaccination and previous infection in older adults during Omicron period: real-world evidence. </w:t>
            </w:r>
            <w:r w:rsidRPr="000363C4">
              <w:rPr>
                <w:rFonts w:asciiTheme="majorBidi" w:hAnsiTheme="majorBidi" w:cstheme="majorBidi"/>
                <w:color w:val="auto"/>
                <w:sz w:val="24"/>
                <w:szCs w:val="24"/>
                <w:lang w:val="nb-NO"/>
              </w:rPr>
              <w:t xml:space="preserve">Age </w:t>
            </w:r>
            <w:proofErr w:type="spellStart"/>
            <w:r w:rsidRPr="000363C4">
              <w:rPr>
                <w:rFonts w:asciiTheme="majorBidi" w:hAnsiTheme="majorBidi" w:cstheme="majorBidi"/>
                <w:color w:val="auto"/>
                <w:sz w:val="24"/>
                <w:szCs w:val="24"/>
                <w:lang w:val="nb-NO"/>
              </w:rPr>
              <w:t>Ageing</w:t>
            </w:r>
            <w:proofErr w:type="spellEnd"/>
            <w:r w:rsidRPr="000363C4">
              <w:rPr>
                <w:rFonts w:asciiTheme="majorBidi" w:hAnsiTheme="majorBidi" w:cstheme="majorBidi"/>
                <w:color w:val="auto"/>
                <w:sz w:val="24"/>
                <w:szCs w:val="24"/>
                <w:lang w:val="nb-NO"/>
              </w:rPr>
              <w:t>. 2024;53(11):afae251. https://doi.org/10.1093/ageing/afae251</w:t>
            </w:r>
          </w:p>
        </w:tc>
        <w:tc>
          <w:tcPr>
            <w:tcW w:w="5938" w:type="dxa"/>
          </w:tcPr>
          <w:p w14:paraId="68E66D7F" w14:textId="21BE7BAB" w:rsidR="009405C7" w:rsidRPr="000363C4" w:rsidRDefault="009405C7" w:rsidP="009405C7">
            <w:pPr>
              <w:pStyle w:val="MDPI31text"/>
              <w:ind w:left="0" w:firstLine="0"/>
              <w:rPr>
                <w:rFonts w:asciiTheme="majorBidi" w:hAnsiTheme="majorBidi" w:cstheme="majorBidi"/>
                <w:color w:val="auto"/>
                <w:sz w:val="24"/>
                <w:szCs w:val="24"/>
              </w:rPr>
            </w:pPr>
            <w:r w:rsidRPr="000363C4">
              <w:rPr>
                <w:rFonts w:asciiTheme="majorBidi" w:hAnsiTheme="majorBidi" w:cstheme="majorBidi"/>
                <w:color w:val="auto"/>
                <w:sz w:val="24"/>
                <w:szCs w:val="24"/>
              </w:rPr>
              <w:t>Outside the prespecified review scope. This retrospective matched cohort study evaluates a BA.4/BA.5 bivalent mRNA booster (fourth dose) during the early bivalent era (2022–2023) and does not assess updated, variant-adapted vaccines (e.g., XBB.1.5- or JN.1-adapted formulations) or sustained late-Omicron sub-lineages (XBB-dominant, JN.1, KP lineages) that are the focus of this review.</w:t>
            </w:r>
          </w:p>
        </w:tc>
      </w:tr>
      <w:tr w:rsidR="009405C7" w14:paraId="65FB33EC" w14:textId="77777777" w:rsidTr="00B20255">
        <w:tc>
          <w:tcPr>
            <w:tcW w:w="5403" w:type="dxa"/>
          </w:tcPr>
          <w:p w14:paraId="0334F098" w14:textId="7948B2E4" w:rsidR="009405C7" w:rsidRPr="00C5612A" w:rsidRDefault="00C5612A" w:rsidP="009405C7">
            <w:pPr>
              <w:pStyle w:val="MDPI31text"/>
              <w:ind w:left="0" w:firstLine="0"/>
              <w:rPr>
                <w:rFonts w:asciiTheme="majorBidi" w:hAnsiTheme="majorBidi" w:cstheme="majorBidi"/>
                <w:color w:val="auto"/>
                <w:sz w:val="24"/>
                <w:szCs w:val="24"/>
              </w:rPr>
            </w:pPr>
            <w:r w:rsidRPr="00C5612A">
              <w:rPr>
                <w:rFonts w:asciiTheme="majorBidi" w:hAnsiTheme="majorBidi" w:cstheme="majorBidi"/>
                <w:color w:val="auto"/>
                <w:sz w:val="24"/>
                <w:szCs w:val="24"/>
              </w:rPr>
              <w:t xml:space="preserve">Fabiani M, Mateo-Urdiales A, Sacco C, Rota MC, Petrone D, Bressi M, Del Manso M, Siddu A, Proietti V, </w:t>
            </w:r>
            <w:proofErr w:type="spellStart"/>
            <w:r w:rsidRPr="00C5612A">
              <w:rPr>
                <w:rFonts w:asciiTheme="majorBidi" w:hAnsiTheme="majorBidi" w:cstheme="majorBidi"/>
                <w:color w:val="auto"/>
                <w:sz w:val="24"/>
                <w:szCs w:val="24"/>
              </w:rPr>
              <w:t>Battilomo</w:t>
            </w:r>
            <w:proofErr w:type="spellEnd"/>
            <w:r w:rsidRPr="00C5612A">
              <w:rPr>
                <w:rFonts w:asciiTheme="majorBidi" w:hAnsiTheme="majorBidi" w:cstheme="majorBidi"/>
                <w:color w:val="auto"/>
                <w:sz w:val="24"/>
                <w:szCs w:val="24"/>
              </w:rPr>
              <w:t xml:space="preserve"> S, Menniti-Ippolito F, Popoli P, Bella A, Riccardo F, Palamara AT, Rezza G, </w:t>
            </w:r>
            <w:proofErr w:type="spellStart"/>
            <w:r w:rsidRPr="00C5612A">
              <w:rPr>
                <w:rFonts w:asciiTheme="majorBidi" w:hAnsiTheme="majorBidi" w:cstheme="majorBidi"/>
                <w:color w:val="auto"/>
                <w:sz w:val="24"/>
                <w:szCs w:val="24"/>
              </w:rPr>
              <w:t>Brusaferro</w:t>
            </w:r>
            <w:proofErr w:type="spellEnd"/>
            <w:r w:rsidRPr="00C5612A">
              <w:rPr>
                <w:rFonts w:asciiTheme="majorBidi" w:hAnsiTheme="majorBidi" w:cstheme="majorBidi"/>
                <w:color w:val="auto"/>
                <w:sz w:val="24"/>
                <w:szCs w:val="24"/>
              </w:rPr>
              <w:t xml:space="preserve"> S, Pezzotti P. Relative effectiveness of a second booster dose of COVID-19 mRNA vaccine up to four months post administration in individuals aged ≥80 years in Italy: a retrospective matched cohort study. Vaccine. 2023;41:76–84. https://doi.org/10.1016/j.vaccine.2022.11.013</w:t>
            </w:r>
          </w:p>
        </w:tc>
        <w:tc>
          <w:tcPr>
            <w:tcW w:w="5938" w:type="dxa"/>
          </w:tcPr>
          <w:p w14:paraId="20FEB1E4" w14:textId="77777777" w:rsidR="009405C7" w:rsidRPr="00C5612A" w:rsidRDefault="009405C7" w:rsidP="009405C7">
            <w:pPr>
              <w:pStyle w:val="MDPI31text"/>
              <w:ind w:left="0" w:firstLine="0"/>
              <w:rPr>
                <w:rFonts w:asciiTheme="majorBidi" w:hAnsiTheme="majorBidi" w:cstheme="majorBidi"/>
                <w:color w:val="auto"/>
                <w:sz w:val="24"/>
                <w:szCs w:val="24"/>
              </w:rPr>
            </w:pPr>
            <w:r w:rsidRPr="00C5612A">
              <w:rPr>
                <w:rFonts w:asciiTheme="majorBidi" w:hAnsiTheme="majorBidi" w:cstheme="majorBidi"/>
                <w:color w:val="auto"/>
                <w:sz w:val="24"/>
                <w:szCs w:val="24"/>
              </w:rPr>
              <w:t>Outside the prespecified review scope. This retrospective matched cohort study evaluates the relative effectiveness of a second booster (fourth dose) of ancestral (monovalent) mRNA vaccines during early Omicron circulation (BA.2 with emerging BA.5; April–August 2022), using a dose-number–based comparator (second vs first booster). The study predates the late-Omicron evolutionary phase and does not assess variant-adapted (bivalent or updated) vaccines, which are the focus of this review.</w:t>
            </w:r>
          </w:p>
        </w:tc>
      </w:tr>
      <w:tr w:rsidR="009405C7" w14:paraId="20ED07F4" w14:textId="77777777" w:rsidTr="00B20255">
        <w:tc>
          <w:tcPr>
            <w:tcW w:w="5403" w:type="dxa"/>
          </w:tcPr>
          <w:p w14:paraId="7103C923" w14:textId="1D6570D5" w:rsidR="009405C7" w:rsidRPr="00C5612A" w:rsidRDefault="00C5612A" w:rsidP="009405C7">
            <w:pPr>
              <w:pStyle w:val="MDPI31text"/>
              <w:ind w:left="0" w:firstLine="0"/>
              <w:rPr>
                <w:rFonts w:asciiTheme="majorBidi" w:hAnsiTheme="majorBidi" w:cstheme="majorBidi"/>
                <w:color w:val="auto"/>
                <w:sz w:val="24"/>
                <w:szCs w:val="24"/>
              </w:rPr>
            </w:pPr>
            <w:r w:rsidRPr="00C5612A">
              <w:rPr>
                <w:rFonts w:asciiTheme="majorBidi" w:hAnsiTheme="majorBidi" w:cstheme="majorBidi"/>
                <w:color w:val="auto"/>
                <w:sz w:val="24"/>
                <w:szCs w:val="24"/>
              </w:rPr>
              <w:t xml:space="preserve">Fabiani M, Mateo-Urdiales A, Sacco C, </w:t>
            </w:r>
            <w:proofErr w:type="spellStart"/>
            <w:r w:rsidRPr="00C5612A">
              <w:rPr>
                <w:rFonts w:asciiTheme="majorBidi" w:hAnsiTheme="majorBidi" w:cstheme="majorBidi"/>
                <w:color w:val="auto"/>
                <w:sz w:val="24"/>
                <w:szCs w:val="24"/>
              </w:rPr>
              <w:t>Fotakis</w:t>
            </w:r>
            <w:proofErr w:type="spellEnd"/>
            <w:r w:rsidRPr="00C5612A">
              <w:rPr>
                <w:rFonts w:asciiTheme="majorBidi" w:hAnsiTheme="majorBidi" w:cstheme="majorBidi"/>
                <w:color w:val="auto"/>
                <w:sz w:val="24"/>
                <w:szCs w:val="24"/>
              </w:rPr>
              <w:t xml:space="preserve"> EA, </w:t>
            </w:r>
            <w:proofErr w:type="spellStart"/>
            <w:r w:rsidRPr="00C5612A">
              <w:rPr>
                <w:rFonts w:asciiTheme="majorBidi" w:hAnsiTheme="majorBidi" w:cstheme="majorBidi"/>
                <w:color w:val="auto"/>
                <w:sz w:val="24"/>
                <w:szCs w:val="24"/>
              </w:rPr>
              <w:t>Battilomo</w:t>
            </w:r>
            <w:proofErr w:type="spellEnd"/>
            <w:r w:rsidRPr="00C5612A">
              <w:rPr>
                <w:rFonts w:asciiTheme="majorBidi" w:hAnsiTheme="majorBidi" w:cstheme="majorBidi"/>
                <w:color w:val="auto"/>
                <w:sz w:val="24"/>
                <w:szCs w:val="24"/>
              </w:rPr>
              <w:t xml:space="preserve"> S, Petrone D, Del Manso M, Bella A, Riccardo F, Stefanelli P, Palamara AT, Pezzotti P. Effectiveness against severe COVID-19 of a seasonal booster dose of bivalent (original/Omicron BA.4-5) mRNA vaccines in persons aged ≥60 years: estimates over calendar time and by time since administration during prevalent circulation of different Omicron subvariants, Italy, 2022–2023. Vaccine. 2024;42:126026. https://doi.org/10.1016/j.vaccine.2024.05.074</w:t>
            </w:r>
          </w:p>
        </w:tc>
        <w:tc>
          <w:tcPr>
            <w:tcW w:w="5938" w:type="dxa"/>
          </w:tcPr>
          <w:p w14:paraId="39482CD7" w14:textId="07932575" w:rsidR="009405C7" w:rsidRPr="00C5612A" w:rsidRDefault="009405C7" w:rsidP="009405C7">
            <w:pPr>
              <w:pStyle w:val="MDPI31text"/>
              <w:ind w:left="0" w:firstLine="0"/>
              <w:rPr>
                <w:rFonts w:asciiTheme="majorBidi" w:hAnsiTheme="majorBidi" w:cstheme="majorBidi"/>
                <w:color w:val="auto"/>
                <w:sz w:val="24"/>
                <w:szCs w:val="24"/>
              </w:rPr>
            </w:pPr>
            <w:r w:rsidRPr="00C5612A">
              <w:rPr>
                <w:rFonts w:asciiTheme="majorBidi" w:hAnsiTheme="majorBidi" w:cstheme="majorBidi"/>
                <w:color w:val="auto"/>
                <w:sz w:val="24"/>
                <w:szCs w:val="24"/>
              </w:rPr>
              <w:t xml:space="preserve">Outside the prespecified review scope. This nationwide cohort study evaluates a seasonal booster dose of bivalent (original/Omicron </w:t>
            </w:r>
            <w:r w:rsidR="00A35A67" w:rsidRPr="00C5612A">
              <w:rPr>
                <w:rFonts w:asciiTheme="majorBidi" w:hAnsiTheme="majorBidi" w:cstheme="majorBidi"/>
                <w:color w:val="auto"/>
                <w:sz w:val="24"/>
                <w:szCs w:val="24"/>
              </w:rPr>
              <w:t>BA.4/BA.5</w:t>
            </w:r>
            <w:r w:rsidRPr="00C5612A">
              <w:rPr>
                <w:rFonts w:asciiTheme="majorBidi" w:hAnsiTheme="majorBidi" w:cstheme="majorBidi"/>
                <w:color w:val="auto"/>
                <w:sz w:val="24"/>
                <w:szCs w:val="24"/>
              </w:rPr>
              <w:t>) mRNA vaccines during the 2022–2023 vaccination campaign and does not assess updated, variant-adapted vaccines (e.g., XBB.1.5- or JN.1-adapted formulations) or sustained late-Omicron sub-lineages (XBB-dominant, JN.1, KP lineages) that are the focus of this review.</w:t>
            </w:r>
          </w:p>
        </w:tc>
      </w:tr>
      <w:tr w:rsidR="009405C7" w14:paraId="7C50811A" w14:textId="77777777" w:rsidTr="00B20255">
        <w:tc>
          <w:tcPr>
            <w:tcW w:w="5403" w:type="dxa"/>
          </w:tcPr>
          <w:p w14:paraId="4056D8EF" w14:textId="14910E4D" w:rsidR="009405C7" w:rsidRPr="009A021E" w:rsidRDefault="009A021E" w:rsidP="009405C7">
            <w:pPr>
              <w:pStyle w:val="MDPI31text"/>
              <w:ind w:left="0" w:firstLine="0"/>
              <w:rPr>
                <w:rFonts w:asciiTheme="majorBidi" w:hAnsiTheme="majorBidi" w:cstheme="majorBidi"/>
                <w:color w:val="auto"/>
                <w:sz w:val="24"/>
                <w:szCs w:val="24"/>
                <w:lang w:val="en-AU"/>
              </w:rPr>
            </w:pPr>
            <w:r w:rsidRPr="009A021E">
              <w:rPr>
                <w:rFonts w:asciiTheme="majorBidi" w:hAnsiTheme="majorBidi" w:cstheme="majorBidi"/>
                <w:color w:val="auto"/>
                <w:sz w:val="24"/>
                <w:szCs w:val="24"/>
                <w:lang w:val="en-GB"/>
              </w:rPr>
              <w:t xml:space="preserve">Fairall L, Yende-Zuma N, Reddy T, Garrett N, Goga A, Bennett S, </w:t>
            </w:r>
            <w:proofErr w:type="spellStart"/>
            <w:r w:rsidRPr="009A021E">
              <w:rPr>
                <w:rFonts w:asciiTheme="majorBidi" w:hAnsiTheme="majorBidi" w:cstheme="majorBidi"/>
                <w:color w:val="auto"/>
                <w:sz w:val="24"/>
                <w:szCs w:val="24"/>
                <w:lang w:val="en-GB"/>
              </w:rPr>
              <w:t>Folb</w:t>
            </w:r>
            <w:proofErr w:type="spellEnd"/>
            <w:r w:rsidRPr="009A021E">
              <w:rPr>
                <w:rFonts w:asciiTheme="majorBidi" w:hAnsiTheme="majorBidi" w:cstheme="majorBidi"/>
                <w:color w:val="auto"/>
                <w:sz w:val="24"/>
                <w:szCs w:val="24"/>
                <w:lang w:val="en-GB"/>
              </w:rPr>
              <w:t xml:space="preserve"> N, </w:t>
            </w:r>
            <w:proofErr w:type="spellStart"/>
            <w:r w:rsidRPr="009A021E">
              <w:rPr>
                <w:rFonts w:asciiTheme="majorBidi" w:hAnsiTheme="majorBidi" w:cstheme="majorBidi"/>
                <w:color w:val="auto"/>
                <w:sz w:val="24"/>
                <w:szCs w:val="24"/>
                <w:lang w:val="en-GB"/>
              </w:rPr>
              <w:t>Seocharan</w:t>
            </w:r>
            <w:proofErr w:type="spellEnd"/>
            <w:r w:rsidRPr="009A021E">
              <w:rPr>
                <w:rFonts w:asciiTheme="majorBidi" w:hAnsiTheme="majorBidi" w:cstheme="majorBidi"/>
                <w:color w:val="auto"/>
                <w:sz w:val="24"/>
                <w:szCs w:val="24"/>
                <w:lang w:val="en-GB"/>
              </w:rPr>
              <w:t xml:space="preserve"> I, Mametja S, Semenya M, Simelane SRN, Bekker L-G, Gray GE. </w:t>
            </w:r>
            <w:r w:rsidRPr="009A021E">
              <w:rPr>
                <w:rFonts w:asciiTheme="majorBidi" w:hAnsiTheme="majorBidi" w:cstheme="majorBidi"/>
                <w:color w:val="auto"/>
                <w:sz w:val="24"/>
                <w:szCs w:val="24"/>
                <w:lang w:val="en-AU"/>
              </w:rPr>
              <w:t xml:space="preserve">Real-world effectiveness of Ad26.COV2.S or BNT162b2 booster vaccines against severe COVID-19 in adults who received a primary dose of Ad26.COV2.S in South Africa during the Delta period: a retrospective cohort study. S </w:t>
            </w:r>
            <w:proofErr w:type="spellStart"/>
            <w:r w:rsidRPr="009A021E">
              <w:rPr>
                <w:rFonts w:asciiTheme="majorBidi" w:hAnsiTheme="majorBidi" w:cstheme="majorBidi"/>
                <w:color w:val="auto"/>
                <w:sz w:val="24"/>
                <w:szCs w:val="24"/>
                <w:lang w:val="en-AU"/>
              </w:rPr>
              <w:t>Afr</w:t>
            </w:r>
            <w:proofErr w:type="spellEnd"/>
            <w:r w:rsidRPr="009A021E">
              <w:rPr>
                <w:rFonts w:asciiTheme="majorBidi" w:hAnsiTheme="majorBidi" w:cstheme="majorBidi"/>
                <w:color w:val="auto"/>
                <w:sz w:val="24"/>
                <w:szCs w:val="24"/>
                <w:lang w:val="en-AU"/>
              </w:rPr>
              <w:t xml:space="preserve"> Med J. 2025;115(7):e2532. https://doi.org/10.7196/SAMJ.2025.v115i7.2532</w:t>
            </w:r>
          </w:p>
        </w:tc>
        <w:tc>
          <w:tcPr>
            <w:tcW w:w="5938" w:type="dxa"/>
          </w:tcPr>
          <w:p w14:paraId="5ECD12A1" w14:textId="6BFCDE92" w:rsidR="009405C7" w:rsidRPr="009A021E" w:rsidRDefault="00AB12AA" w:rsidP="009405C7">
            <w:pPr>
              <w:pStyle w:val="MDPI31text"/>
              <w:ind w:left="0" w:firstLine="0"/>
              <w:rPr>
                <w:rFonts w:asciiTheme="majorBidi" w:hAnsiTheme="majorBidi" w:cstheme="majorBidi"/>
                <w:color w:val="auto"/>
                <w:sz w:val="24"/>
                <w:szCs w:val="24"/>
              </w:rPr>
            </w:pPr>
            <w:r w:rsidRPr="009A021E">
              <w:rPr>
                <w:rFonts w:asciiTheme="majorBidi" w:hAnsiTheme="majorBidi" w:cstheme="majorBidi"/>
                <w:color w:val="auto"/>
                <w:sz w:val="24"/>
                <w:szCs w:val="24"/>
              </w:rPr>
              <w:t>Outside the prespecified review scope. This retrospective cohort study evaluates ancestral (first-generation) COVID-19 vaccines (Ad26.COV2.S and BNT162b2) used as homologous or heterologous boosters following a primary Ad26.COV2.S dose during Delta and early Omicron circulation (BA.1 followed by BA.4/BA.5). The study does not assess variant-adapted (bivalent or updated) vaccines and therefore falls outside the late-Omicron, variant-adapted vaccine effectiveness framework applied in this review.</w:t>
            </w:r>
          </w:p>
        </w:tc>
      </w:tr>
      <w:tr w:rsidR="009405C7" w14:paraId="1E8ED865" w14:textId="77777777" w:rsidTr="00B20255">
        <w:tc>
          <w:tcPr>
            <w:tcW w:w="5403" w:type="dxa"/>
          </w:tcPr>
          <w:p w14:paraId="3775C1C0" w14:textId="222D8887" w:rsidR="009405C7" w:rsidRPr="009A021E" w:rsidRDefault="009A021E" w:rsidP="009405C7">
            <w:pPr>
              <w:pStyle w:val="MDPI31text"/>
              <w:ind w:left="0" w:firstLine="0"/>
              <w:rPr>
                <w:rFonts w:asciiTheme="majorBidi" w:hAnsiTheme="majorBidi" w:cstheme="majorBidi"/>
                <w:color w:val="auto"/>
                <w:sz w:val="24"/>
                <w:szCs w:val="24"/>
              </w:rPr>
            </w:pPr>
            <w:proofErr w:type="spellStart"/>
            <w:r w:rsidRPr="009A021E">
              <w:rPr>
                <w:rFonts w:asciiTheme="majorBidi" w:hAnsiTheme="majorBidi" w:cstheme="majorBidi"/>
                <w:color w:val="auto"/>
                <w:sz w:val="24"/>
                <w:szCs w:val="24"/>
                <w:lang w:val="en-AU"/>
              </w:rPr>
              <w:t>Feikin</w:t>
            </w:r>
            <w:proofErr w:type="spellEnd"/>
            <w:r w:rsidRPr="009A021E">
              <w:rPr>
                <w:rFonts w:asciiTheme="majorBidi" w:hAnsiTheme="majorBidi" w:cstheme="majorBidi"/>
                <w:color w:val="auto"/>
                <w:sz w:val="24"/>
                <w:szCs w:val="24"/>
                <w:lang w:val="en-AU"/>
              </w:rPr>
              <w:t xml:space="preserve"> DR, Abu-</w:t>
            </w:r>
            <w:proofErr w:type="spellStart"/>
            <w:r w:rsidRPr="009A021E">
              <w:rPr>
                <w:rFonts w:asciiTheme="majorBidi" w:hAnsiTheme="majorBidi" w:cstheme="majorBidi"/>
                <w:color w:val="auto"/>
                <w:sz w:val="24"/>
                <w:szCs w:val="24"/>
                <w:lang w:val="en-AU"/>
              </w:rPr>
              <w:t>Raddad</w:t>
            </w:r>
            <w:proofErr w:type="spellEnd"/>
            <w:r w:rsidRPr="009A021E">
              <w:rPr>
                <w:rFonts w:asciiTheme="majorBidi" w:hAnsiTheme="majorBidi" w:cstheme="majorBidi"/>
                <w:color w:val="auto"/>
                <w:sz w:val="24"/>
                <w:szCs w:val="24"/>
                <w:lang w:val="en-AU"/>
              </w:rPr>
              <w:t xml:space="preserve"> LJ, Andrews N, Davies M-A, Higdon MM, Orenstein WA, Patel MK. Assessing vaccine effectiveness against severe COVID-19 disease caused by omicron variant: report from a meeting of the World Health Organization. </w:t>
            </w:r>
            <w:r w:rsidRPr="0002017A">
              <w:rPr>
                <w:rFonts w:asciiTheme="majorBidi" w:hAnsiTheme="majorBidi" w:cstheme="majorBidi"/>
                <w:color w:val="auto"/>
                <w:sz w:val="24"/>
                <w:szCs w:val="24"/>
                <w:lang w:val="en-AU"/>
              </w:rPr>
              <w:t xml:space="preserve">Vaccine. </w:t>
            </w:r>
            <w:r w:rsidRPr="0002017A">
              <w:rPr>
                <w:rFonts w:asciiTheme="majorBidi" w:hAnsiTheme="majorBidi" w:cstheme="majorBidi"/>
                <w:color w:val="auto"/>
                <w:sz w:val="24"/>
                <w:szCs w:val="24"/>
                <w:lang w:val="en-AU"/>
              </w:rPr>
              <w:lastRenderedPageBreak/>
              <w:t>2022;40:3516–3527. https://doi.org/10.1016/j.vaccine.2022.04.069</w:t>
            </w:r>
          </w:p>
        </w:tc>
        <w:tc>
          <w:tcPr>
            <w:tcW w:w="5938" w:type="dxa"/>
          </w:tcPr>
          <w:p w14:paraId="3B96AD9B" w14:textId="26B8A2E4" w:rsidR="009405C7" w:rsidRPr="009A021E" w:rsidRDefault="009405C7" w:rsidP="009405C7">
            <w:pPr>
              <w:pStyle w:val="MDPI31text"/>
              <w:ind w:left="0" w:firstLine="0"/>
              <w:rPr>
                <w:rFonts w:asciiTheme="majorBidi" w:hAnsiTheme="majorBidi" w:cstheme="majorBidi"/>
                <w:color w:val="auto"/>
                <w:sz w:val="24"/>
                <w:szCs w:val="24"/>
              </w:rPr>
            </w:pPr>
            <w:r w:rsidRPr="009A021E">
              <w:rPr>
                <w:rFonts w:asciiTheme="majorBidi" w:hAnsiTheme="majorBidi" w:cstheme="majorBidi"/>
                <w:color w:val="auto"/>
                <w:sz w:val="24"/>
                <w:szCs w:val="24"/>
              </w:rPr>
              <w:lastRenderedPageBreak/>
              <w:t xml:space="preserve">Outside the prespecified review scope. This article is a World Health Organization expert meeting report </w:t>
            </w:r>
            <w:r w:rsidR="00635F44" w:rsidRPr="009A021E">
              <w:rPr>
                <w:rFonts w:asciiTheme="majorBidi" w:hAnsiTheme="majorBidi" w:cstheme="majorBidi"/>
                <w:color w:val="auto"/>
                <w:sz w:val="24"/>
                <w:szCs w:val="24"/>
              </w:rPr>
              <w:t>summarizing</w:t>
            </w:r>
            <w:r w:rsidRPr="009A021E">
              <w:rPr>
                <w:rFonts w:asciiTheme="majorBidi" w:hAnsiTheme="majorBidi" w:cstheme="majorBidi"/>
                <w:color w:val="auto"/>
                <w:sz w:val="24"/>
                <w:szCs w:val="24"/>
              </w:rPr>
              <w:t xml:space="preserve"> evidence from multiple countries (including Qatar, the United States, the United Kingdom, and South Africa) during the early Omicron period (December 2021–</w:t>
            </w:r>
            <w:r w:rsidRPr="009A021E">
              <w:rPr>
                <w:rFonts w:asciiTheme="majorBidi" w:hAnsiTheme="majorBidi" w:cstheme="majorBidi"/>
                <w:color w:val="auto"/>
                <w:sz w:val="24"/>
                <w:szCs w:val="24"/>
              </w:rPr>
              <w:lastRenderedPageBreak/>
              <w:t>early 2022; predominantly BA.1/BA.2). It does not present original, peer-reviewed primary observational analyses, but instead provides a narrative and methodological discussion on outcome definitions for severe COVID-19 (e.g., hospitali</w:t>
            </w:r>
            <w:r w:rsidR="00F10ED1" w:rsidRPr="009A021E">
              <w:rPr>
                <w:rFonts w:asciiTheme="majorBidi" w:hAnsiTheme="majorBidi" w:cstheme="majorBidi"/>
                <w:color w:val="auto"/>
                <w:sz w:val="24"/>
                <w:szCs w:val="24"/>
              </w:rPr>
              <w:t>z</w:t>
            </w:r>
            <w:r w:rsidRPr="009A021E">
              <w:rPr>
                <w:rFonts w:asciiTheme="majorBidi" w:hAnsiTheme="majorBidi" w:cstheme="majorBidi"/>
                <w:color w:val="auto"/>
                <w:sz w:val="24"/>
                <w:szCs w:val="24"/>
              </w:rPr>
              <w:t xml:space="preserve">ation vs WHO severity classifications, ICU admission, mechanical ventilation, or death). The report does not provide extractable absolute or standardised relative vaccine effectiveness (VE or </w:t>
            </w:r>
            <w:proofErr w:type="spellStart"/>
            <w:r w:rsidRPr="009A021E">
              <w:rPr>
                <w:rFonts w:asciiTheme="majorBidi" w:hAnsiTheme="majorBidi" w:cstheme="majorBidi"/>
                <w:color w:val="auto"/>
                <w:sz w:val="24"/>
                <w:szCs w:val="24"/>
              </w:rPr>
              <w:t>rVE</w:t>
            </w:r>
            <w:proofErr w:type="spellEnd"/>
            <w:r w:rsidRPr="009A021E">
              <w:rPr>
                <w:rFonts w:asciiTheme="majorBidi" w:hAnsiTheme="majorBidi" w:cstheme="majorBidi"/>
                <w:color w:val="auto"/>
                <w:sz w:val="24"/>
                <w:szCs w:val="24"/>
              </w:rPr>
              <w:t>) estimates for later Omicron subvariants (BA.5, XBB, JN.1, KP.3) or for updated/variant-adapted vaccines, which are the focus of this review.</w:t>
            </w:r>
          </w:p>
        </w:tc>
      </w:tr>
      <w:tr w:rsidR="009405C7" w14:paraId="44FCC52D" w14:textId="77777777" w:rsidTr="00B20255">
        <w:tc>
          <w:tcPr>
            <w:tcW w:w="5403" w:type="dxa"/>
          </w:tcPr>
          <w:p w14:paraId="6910604C" w14:textId="6BE17282" w:rsidR="009405C7" w:rsidRPr="009A021E" w:rsidRDefault="009A021E" w:rsidP="009405C7">
            <w:pPr>
              <w:pStyle w:val="MDPI31text"/>
              <w:ind w:left="0" w:firstLine="0"/>
              <w:rPr>
                <w:rFonts w:asciiTheme="majorBidi" w:hAnsiTheme="majorBidi" w:cstheme="majorBidi"/>
                <w:color w:val="auto"/>
                <w:sz w:val="24"/>
                <w:szCs w:val="24"/>
              </w:rPr>
            </w:pPr>
            <w:proofErr w:type="spellStart"/>
            <w:r w:rsidRPr="009A021E">
              <w:rPr>
                <w:rFonts w:asciiTheme="majorBidi" w:hAnsiTheme="majorBidi" w:cstheme="majorBidi"/>
                <w:color w:val="auto"/>
                <w:sz w:val="24"/>
                <w:szCs w:val="24"/>
                <w:lang w:val="en-AU"/>
              </w:rPr>
              <w:lastRenderedPageBreak/>
              <w:t>Feikin</w:t>
            </w:r>
            <w:proofErr w:type="spellEnd"/>
            <w:r w:rsidRPr="009A021E">
              <w:rPr>
                <w:rFonts w:asciiTheme="majorBidi" w:hAnsiTheme="majorBidi" w:cstheme="majorBidi"/>
                <w:color w:val="auto"/>
                <w:sz w:val="24"/>
                <w:szCs w:val="24"/>
                <w:lang w:val="en-AU"/>
              </w:rPr>
              <w:t xml:space="preserve"> DR, Higdon MM, Andrews N, Collie S, Deloria Knoll M, Kwong JC, Link-Gelles R, </w:t>
            </w:r>
            <w:proofErr w:type="spellStart"/>
            <w:r w:rsidRPr="009A021E">
              <w:rPr>
                <w:rFonts w:asciiTheme="majorBidi" w:hAnsiTheme="majorBidi" w:cstheme="majorBidi"/>
                <w:color w:val="auto"/>
                <w:sz w:val="24"/>
                <w:szCs w:val="24"/>
                <w:lang w:val="en-AU"/>
              </w:rPr>
              <w:t>Pilishvili</w:t>
            </w:r>
            <w:proofErr w:type="spellEnd"/>
            <w:r w:rsidRPr="009A021E">
              <w:rPr>
                <w:rFonts w:asciiTheme="majorBidi" w:hAnsiTheme="majorBidi" w:cstheme="majorBidi"/>
                <w:color w:val="auto"/>
                <w:sz w:val="24"/>
                <w:szCs w:val="24"/>
                <w:lang w:val="en-AU"/>
              </w:rPr>
              <w:t xml:space="preserve"> T, Patel MK. Assessing COVID-19 vaccine effectiveness against Omicron subvariants: report from a meeting of the World Health Organization. </w:t>
            </w:r>
            <w:r w:rsidRPr="0002017A">
              <w:rPr>
                <w:rFonts w:asciiTheme="majorBidi" w:hAnsiTheme="majorBidi" w:cstheme="majorBidi"/>
                <w:color w:val="auto"/>
                <w:sz w:val="24"/>
                <w:szCs w:val="24"/>
                <w:lang w:val="en-AU"/>
              </w:rPr>
              <w:t>Vaccine. 2023;41:2329–2338. https://doi.org/10.1016/j.vaccine.2023.02.020</w:t>
            </w:r>
          </w:p>
        </w:tc>
        <w:tc>
          <w:tcPr>
            <w:tcW w:w="5938" w:type="dxa"/>
          </w:tcPr>
          <w:p w14:paraId="344B39FF" w14:textId="083C30A1" w:rsidR="009405C7" w:rsidRPr="009A021E" w:rsidRDefault="009405C7" w:rsidP="009405C7">
            <w:pPr>
              <w:pStyle w:val="MDPI31text"/>
              <w:ind w:left="0" w:firstLine="0"/>
              <w:rPr>
                <w:rFonts w:asciiTheme="majorBidi" w:hAnsiTheme="majorBidi" w:cstheme="majorBidi"/>
                <w:color w:val="auto"/>
                <w:sz w:val="24"/>
                <w:szCs w:val="24"/>
              </w:rPr>
            </w:pPr>
            <w:r w:rsidRPr="009A021E">
              <w:rPr>
                <w:rFonts w:asciiTheme="majorBidi" w:hAnsiTheme="majorBidi" w:cstheme="majorBidi"/>
                <w:color w:val="auto"/>
                <w:sz w:val="24"/>
                <w:szCs w:val="24"/>
              </w:rPr>
              <w:t xml:space="preserve">Outside the prespecified review scope. This publication is a WHO meeting report and narrative synthesis </w:t>
            </w:r>
            <w:r w:rsidR="00635F44" w:rsidRPr="009A021E">
              <w:rPr>
                <w:rFonts w:asciiTheme="majorBidi" w:hAnsiTheme="majorBidi" w:cstheme="majorBidi"/>
                <w:color w:val="auto"/>
                <w:sz w:val="24"/>
                <w:szCs w:val="24"/>
              </w:rPr>
              <w:t>summarizing</w:t>
            </w:r>
            <w:r w:rsidRPr="009A021E">
              <w:rPr>
                <w:rFonts w:asciiTheme="majorBidi" w:hAnsiTheme="majorBidi" w:cstheme="majorBidi"/>
                <w:color w:val="auto"/>
                <w:sz w:val="24"/>
                <w:szCs w:val="24"/>
              </w:rPr>
              <w:t xml:space="preserve"> findings from multiple previously published and unpublished studies and does not present original individual-level vaccine effectiveness estimates from a defined cohort or test-negative design. As a secondary evidence synthesis, inclusion would risk double-counting primary studies already considered separately in this review.</w:t>
            </w:r>
          </w:p>
        </w:tc>
      </w:tr>
      <w:tr w:rsidR="009405C7" w14:paraId="17C1262D" w14:textId="77777777" w:rsidTr="00B20255">
        <w:tc>
          <w:tcPr>
            <w:tcW w:w="5403" w:type="dxa"/>
          </w:tcPr>
          <w:p w14:paraId="30252B83" w14:textId="4E96C749" w:rsidR="009405C7" w:rsidRPr="009A021E" w:rsidRDefault="009A021E" w:rsidP="009405C7">
            <w:pPr>
              <w:pStyle w:val="MDPI31text"/>
              <w:ind w:left="0" w:firstLine="0"/>
              <w:rPr>
                <w:rFonts w:asciiTheme="majorBidi" w:hAnsiTheme="majorBidi" w:cstheme="majorBidi"/>
                <w:color w:val="auto"/>
                <w:sz w:val="24"/>
                <w:szCs w:val="24"/>
              </w:rPr>
            </w:pPr>
            <w:proofErr w:type="spellStart"/>
            <w:r w:rsidRPr="009A021E">
              <w:rPr>
                <w:rFonts w:asciiTheme="majorBidi" w:hAnsiTheme="majorBidi" w:cstheme="majorBidi"/>
                <w:color w:val="auto"/>
                <w:sz w:val="24"/>
                <w:szCs w:val="24"/>
              </w:rPr>
              <w:t>Feikin</w:t>
            </w:r>
            <w:proofErr w:type="spellEnd"/>
            <w:r w:rsidRPr="009A021E">
              <w:rPr>
                <w:rFonts w:asciiTheme="majorBidi" w:hAnsiTheme="majorBidi" w:cstheme="majorBidi"/>
                <w:color w:val="auto"/>
                <w:sz w:val="24"/>
                <w:szCs w:val="24"/>
              </w:rPr>
              <w:t xml:space="preserve"> DR, Higdon MM, Abu-</w:t>
            </w:r>
            <w:proofErr w:type="spellStart"/>
            <w:r w:rsidRPr="009A021E">
              <w:rPr>
                <w:rFonts w:asciiTheme="majorBidi" w:hAnsiTheme="majorBidi" w:cstheme="majorBidi"/>
                <w:color w:val="auto"/>
                <w:sz w:val="24"/>
                <w:szCs w:val="24"/>
              </w:rPr>
              <w:t>Raddad</w:t>
            </w:r>
            <w:proofErr w:type="spellEnd"/>
            <w:r w:rsidRPr="009A021E">
              <w:rPr>
                <w:rFonts w:asciiTheme="majorBidi" w:hAnsiTheme="majorBidi" w:cstheme="majorBidi"/>
                <w:color w:val="auto"/>
                <w:sz w:val="24"/>
                <w:szCs w:val="24"/>
              </w:rPr>
              <w:t xml:space="preserve"> LJ, Andrews N, Araos R, Goldberg Y, Groome MJ, Huppert A, O’Brien KL, Smith PG, Wilder-Smith A, Zeger S, Deloria Knoll M, Patel MK. Duration of effectiveness of vaccines against SARS-CoV-2 infection and COVID-19 disease: results of a systematic review and meta-regression. Lancet. 2022;399:924–944. https://doi.org/10.1016/S0140-6736(22)00152-0</w:t>
            </w:r>
          </w:p>
        </w:tc>
        <w:tc>
          <w:tcPr>
            <w:tcW w:w="5938" w:type="dxa"/>
          </w:tcPr>
          <w:p w14:paraId="1D03041A" w14:textId="77777777" w:rsidR="009405C7" w:rsidRPr="009A021E" w:rsidRDefault="009405C7" w:rsidP="009405C7">
            <w:pPr>
              <w:pStyle w:val="MDPI31text"/>
              <w:ind w:left="0" w:firstLine="0"/>
              <w:rPr>
                <w:rFonts w:asciiTheme="majorBidi" w:hAnsiTheme="majorBidi" w:cstheme="majorBidi"/>
                <w:color w:val="auto"/>
                <w:sz w:val="24"/>
                <w:szCs w:val="24"/>
              </w:rPr>
            </w:pPr>
            <w:r w:rsidRPr="009A021E">
              <w:rPr>
                <w:rFonts w:asciiTheme="majorBidi" w:hAnsiTheme="majorBidi" w:cstheme="majorBidi"/>
                <w:color w:val="auto"/>
                <w:sz w:val="24"/>
                <w:szCs w:val="24"/>
              </w:rPr>
              <w:t>Outside the prespecified review scope. This systematic review and meta-regression evaluates vaccine effectiveness and waning immunity during the pre-Omicron era, with included studies conducted before the emergence and widespread circulation of Omicron subvariants. No variant-specific effectiveness estimates are reported for BA.2, BA.5, XBB, JN.1, or KP.3, and the analysis focuses primarily on primary-series vaccines rather than updated or variant-adapted formulations. Accordingly, the study does not meet the eligibility criteria for Omicron subvariant-specific effectiveness analyses defined in this review.</w:t>
            </w:r>
          </w:p>
        </w:tc>
      </w:tr>
      <w:tr w:rsidR="009405C7" w14:paraId="2D04708B" w14:textId="77777777" w:rsidTr="00B20255">
        <w:tc>
          <w:tcPr>
            <w:tcW w:w="5403" w:type="dxa"/>
          </w:tcPr>
          <w:p w14:paraId="67E23FD2" w14:textId="431E163A" w:rsidR="009405C7" w:rsidRPr="00866C0A" w:rsidRDefault="00866C0A" w:rsidP="009405C7">
            <w:pPr>
              <w:pStyle w:val="MDPI31text"/>
              <w:ind w:left="0" w:firstLine="0"/>
              <w:rPr>
                <w:rFonts w:asciiTheme="majorBidi" w:hAnsiTheme="majorBidi" w:cstheme="majorBidi"/>
                <w:color w:val="auto"/>
                <w:sz w:val="24"/>
                <w:szCs w:val="24"/>
              </w:rPr>
            </w:pPr>
            <w:r w:rsidRPr="00866C0A">
              <w:rPr>
                <w:rFonts w:asciiTheme="majorBidi" w:hAnsiTheme="majorBidi" w:cstheme="majorBidi"/>
                <w:color w:val="auto"/>
                <w:sz w:val="24"/>
                <w:szCs w:val="24"/>
              </w:rPr>
              <w:t>Ferdinands JM, Rao S, Dixon BE, Mitchell PK, DeSilva MB, Irving SA, Lewis N, Natarajan K, Stenehjem E, Grannis SJ, et al. Waning of vaccine effectiveness against moderate and severe COVID-19 among adults in the US from the VISION network: a test-negative, case-control study. BMJ. 2022;379:e072141. https://doi.org/10.1136/bmj-2022-072141</w:t>
            </w:r>
          </w:p>
        </w:tc>
        <w:tc>
          <w:tcPr>
            <w:tcW w:w="5938" w:type="dxa"/>
          </w:tcPr>
          <w:p w14:paraId="6DB75352" w14:textId="77777777" w:rsidR="009405C7" w:rsidRPr="00866C0A" w:rsidRDefault="009405C7" w:rsidP="009405C7">
            <w:pPr>
              <w:pStyle w:val="MDPI31text"/>
              <w:ind w:left="0" w:firstLine="0"/>
              <w:rPr>
                <w:rFonts w:asciiTheme="majorBidi" w:hAnsiTheme="majorBidi" w:cstheme="majorBidi"/>
                <w:color w:val="auto"/>
                <w:sz w:val="24"/>
                <w:szCs w:val="24"/>
              </w:rPr>
            </w:pPr>
            <w:r w:rsidRPr="00866C0A">
              <w:rPr>
                <w:rFonts w:asciiTheme="majorBidi" w:hAnsiTheme="majorBidi" w:cstheme="majorBidi"/>
                <w:color w:val="auto"/>
                <w:sz w:val="24"/>
                <w:szCs w:val="24"/>
              </w:rPr>
              <w:t>Outside the prespecified review scope. This large test-negative study evaluates ancestral (monovalent) mRNA vaccines (primary series and monovalent booster doses) against moderate and severe COVID-19 during pre-Omicron, Delta, and early Omicron (predominantly BA.1) periods (January 2021–July 2022). The study predates the late-Omicron evolutionary phase and does not assess variant-adapted (bivalent or updated) vaccines, which are the focus of this review.</w:t>
            </w:r>
          </w:p>
        </w:tc>
      </w:tr>
      <w:tr w:rsidR="009405C7" w14:paraId="1360693D" w14:textId="77777777" w:rsidTr="00B20255">
        <w:tc>
          <w:tcPr>
            <w:tcW w:w="5403" w:type="dxa"/>
          </w:tcPr>
          <w:p w14:paraId="1E5E52CC" w14:textId="02CFBA0E" w:rsidR="009405C7" w:rsidRPr="00670E3A" w:rsidRDefault="00670E3A" w:rsidP="009405C7">
            <w:pPr>
              <w:pStyle w:val="MDPI31text"/>
              <w:ind w:left="0" w:firstLine="0"/>
              <w:rPr>
                <w:rFonts w:asciiTheme="majorBidi" w:hAnsiTheme="majorBidi" w:cstheme="majorBidi"/>
                <w:color w:val="auto"/>
                <w:sz w:val="24"/>
                <w:szCs w:val="24"/>
              </w:rPr>
            </w:pPr>
            <w:r w:rsidRPr="00670E3A">
              <w:rPr>
                <w:rFonts w:asciiTheme="majorBidi" w:hAnsiTheme="majorBidi" w:cstheme="majorBidi"/>
                <w:color w:val="auto"/>
                <w:sz w:val="24"/>
                <w:szCs w:val="24"/>
              </w:rPr>
              <w:t>Fisman DN, Simmons AE, Tuite AR. Case-cohort design as an efficient approach to evaluating COVID-19 vaccine effectiveness, waning, heterologous immune effect and optimal dosing interval. Vaccine. 2024;42:126134. https://doi.org/10.1016/j.vaccine.2024.07.035</w:t>
            </w:r>
          </w:p>
        </w:tc>
        <w:tc>
          <w:tcPr>
            <w:tcW w:w="5938" w:type="dxa"/>
          </w:tcPr>
          <w:p w14:paraId="239B2ED5" w14:textId="77777777" w:rsidR="009405C7" w:rsidRPr="00670E3A" w:rsidRDefault="009405C7" w:rsidP="009405C7">
            <w:pPr>
              <w:pStyle w:val="MDPI31text"/>
              <w:ind w:left="0" w:firstLine="0"/>
              <w:rPr>
                <w:rFonts w:asciiTheme="majorBidi" w:hAnsiTheme="majorBidi" w:cstheme="majorBidi"/>
                <w:color w:val="auto"/>
                <w:sz w:val="24"/>
                <w:szCs w:val="24"/>
              </w:rPr>
            </w:pPr>
            <w:r w:rsidRPr="00670E3A">
              <w:rPr>
                <w:rFonts w:asciiTheme="majorBidi" w:hAnsiTheme="majorBidi" w:cstheme="majorBidi"/>
                <w:color w:val="auto"/>
                <w:sz w:val="24"/>
                <w:szCs w:val="24"/>
              </w:rPr>
              <w:t>Outside the prespecified review scope. This population-based case-cohort study evaluates vaccine effectiveness against SARS-CoV-2 infection during the pre-Omicron period (wild-type, Alpha/Beta/Gamma, and Delta variants) and does not assess vaccine effectiveness during Omicron-dominant periods. Therefore, it does not meet the inclusion criteria for this review.</w:t>
            </w:r>
          </w:p>
        </w:tc>
      </w:tr>
      <w:tr w:rsidR="009405C7" w14:paraId="2EF0331B" w14:textId="77777777" w:rsidTr="00B20255">
        <w:tc>
          <w:tcPr>
            <w:tcW w:w="5403" w:type="dxa"/>
          </w:tcPr>
          <w:p w14:paraId="74B2040D" w14:textId="55BE8C8C" w:rsidR="009405C7" w:rsidRPr="00670E3A" w:rsidRDefault="00670E3A" w:rsidP="009405C7">
            <w:pPr>
              <w:pStyle w:val="MDPI31text"/>
              <w:ind w:left="0" w:firstLine="0"/>
              <w:rPr>
                <w:rFonts w:asciiTheme="majorBidi" w:hAnsiTheme="majorBidi" w:cstheme="majorBidi"/>
                <w:color w:val="auto"/>
                <w:sz w:val="24"/>
                <w:szCs w:val="24"/>
              </w:rPr>
            </w:pPr>
            <w:r w:rsidRPr="00670E3A">
              <w:rPr>
                <w:rFonts w:asciiTheme="majorBidi" w:hAnsiTheme="majorBidi" w:cstheme="majorBidi"/>
                <w:color w:val="auto"/>
                <w:sz w:val="24"/>
                <w:szCs w:val="24"/>
              </w:rPr>
              <w:t xml:space="preserve">Florea A, Sy LS, Qian L, Ackerson BK, Luo Y, </w:t>
            </w:r>
            <w:proofErr w:type="spellStart"/>
            <w:r w:rsidRPr="00670E3A">
              <w:rPr>
                <w:rFonts w:asciiTheme="majorBidi" w:hAnsiTheme="majorBidi" w:cstheme="majorBidi"/>
                <w:color w:val="auto"/>
                <w:sz w:val="24"/>
                <w:szCs w:val="24"/>
              </w:rPr>
              <w:t>Tubert</w:t>
            </w:r>
            <w:proofErr w:type="spellEnd"/>
            <w:r w:rsidRPr="00670E3A">
              <w:rPr>
                <w:rFonts w:asciiTheme="majorBidi" w:hAnsiTheme="majorBidi" w:cstheme="majorBidi"/>
                <w:color w:val="auto"/>
                <w:sz w:val="24"/>
                <w:szCs w:val="24"/>
              </w:rPr>
              <w:t xml:space="preserve"> JE, Lee GS, Ku JH, Bruxvoort KJ, Talarico CA, Qiu S, Tian Y, Tseng HF. Effectiveness of messenger </w:t>
            </w:r>
            <w:r w:rsidRPr="00670E3A">
              <w:rPr>
                <w:rFonts w:asciiTheme="majorBidi" w:hAnsiTheme="majorBidi" w:cstheme="majorBidi"/>
                <w:color w:val="auto"/>
                <w:sz w:val="24"/>
                <w:szCs w:val="24"/>
              </w:rPr>
              <w:lastRenderedPageBreak/>
              <w:t>RNA-1273 vaccine booster against coronavirus disease 2019 in immunocompetent adults. Clin Infect Dis. 2023;76(2):252–262. https://doi.org/10.1093/cid/ciac785</w:t>
            </w:r>
          </w:p>
        </w:tc>
        <w:tc>
          <w:tcPr>
            <w:tcW w:w="5938" w:type="dxa"/>
          </w:tcPr>
          <w:p w14:paraId="6C525E15" w14:textId="77838781" w:rsidR="009405C7" w:rsidRPr="00670E3A" w:rsidRDefault="009405C7" w:rsidP="009405C7">
            <w:pPr>
              <w:pStyle w:val="MDPI31text"/>
              <w:ind w:left="0" w:firstLine="0"/>
              <w:rPr>
                <w:rFonts w:asciiTheme="majorBidi" w:hAnsiTheme="majorBidi" w:cstheme="majorBidi"/>
                <w:color w:val="auto"/>
                <w:sz w:val="24"/>
                <w:szCs w:val="24"/>
              </w:rPr>
            </w:pPr>
            <w:r w:rsidRPr="00670E3A">
              <w:rPr>
                <w:rFonts w:asciiTheme="majorBidi" w:hAnsiTheme="majorBidi" w:cstheme="majorBidi"/>
                <w:color w:val="auto"/>
                <w:sz w:val="24"/>
                <w:szCs w:val="24"/>
              </w:rPr>
              <w:lastRenderedPageBreak/>
              <w:t xml:space="preserve">Outside the prespecified review scope. This study evaluates the relative effectiveness of an ancestral-strain mRNA-1273 booster dose compared with a 2-dose primary series during </w:t>
            </w:r>
            <w:r w:rsidRPr="00670E3A">
              <w:rPr>
                <w:rFonts w:asciiTheme="majorBidi" w:hAnsiTheme="majorBidi" w:cstheme="majorBidi"/>
                <w:color w:val="auto"/>
                <w:sz w:val="24"/>
                <w:szCs w:val="24"/>
              </w:rPr>
              <w:lastRenderedPageBreak/>
              <w:t>a Delta-dominant and early Omicron (BA.1) period. It predates the introduction of updated or variant-adapted vaccines and does not provide Omicron subvariant-specific effectiveness estimates (e.g., BA.2, BA.5, XBB, JN.1, KP.3). In addition, the booster-versus-primary-series comparator framework is not directly comparable with the population-based vaccine-effectiveness analyses synthesised in this review.</w:t>
            </w:r>
          </w:p>
        </w:tc>
      </w:tr>
      <w:tr w:rsidR="009405C7" w14:paraId="269325BD" w14:textId="77777777" w:rsidTr="00B20255">
        <w:tc>
          <w:tcPr>
            <w:tcW w:w="5403" w:type="dxa"/>
          </w:tcPr>
          <w:p w14:paraId="4FE566CD" w14:textId="4F5160B0" w:rsidR="009405C7" w:rsidRPr="00101F99" w:rsidRDefault="00101F99" w:rsidP="009405C7">
            <w:pPr>
              <w:pStyle w:val="MDPI31text"/>
              <w:ind w:left="0" w:firstLine="0"/>
              <w:rPr>
                <w:rFonts w:asciiTheme="majorBidi" w:hAnsiTheme="majorBidi" w:cstheme="majorBidi"/>
                <w:color w:val="auto"/>
                <w:sz w:val="24"/>
                <w:szCs w:val="24"/>
              </w:rPr>
            </w:pPr>
            <w:proofErr w:type="spellStart"/>
            <w:r w:rsidRPr="00101F99">
              <w:rPr>
                <w:rFonts w:asciiTheme="majorBidi" w:hAnsiTheme="majorBidi" w:cstheme="majorBidi"/>
                <w:color w:val="auto"/>
                <w:sz w:val="24"/>
                <w:szCs w:val="24"/>
                <w:lang w:val="en-GB"/>
              </w:rPr>
              <w:lastRenderedPageBreak/>
              <w:t>Fontán</w:t>
            </w:r>
            <w:proofErr w:type="spellEnd"/>
            <w:r w:rsidRPr="00101F99">
              <w:rPr>
                <w:rFonts w:asciiTheme="majorBidi" w:hAnsiTheme="majorBidi" w:cstheme="majorBidi"/>
                <w:color w:val="auto"/>
                <w:sz w:val="24"/>
                <w:szCs w:val="24"/>
                <w:lang w:val="en-GB"/>
              </w:rPr>
              <w:t xml:space="preserve">-Vela M, Kissling E, Nicolay N, </w:t>
            </w:r>
            <w:proofErr w:type="spellStart"/>
            <w:r w:rsidRPr="00101F99">
              <w:rPr>
                <w:rFonts w:asciiTheme="majorBidi" w:hAnsiTheme="majorBidi" w:cstheme="majorBidi"/>
                <w:color w:val="auto"/>
                <w:sz w:val="24"/>
                <w:szCs w:val="24"/>
                <w:lang w:val="en-GB"/>
              </w:rPr>
              <w:t>Braeye</w:t>
            </w:r>
            <w:proofErr w:type="spellEnd"/>
            <w:r w:rsidRPr="00101F99">
              <w:rPr>
                <w:rFonts w:asciiTheme="majorBidi" w:hAnsiTheme="majorBidi" w:cstheme="majorBidi"/>
                <w:color w:val="auto"/>
                <w:sz w:val="24"/>
                <w:szCs w:val="24"/>
                <w:lang w:val="en-GB"/>
              </w:rPr>
              <w:t xml:space="preserve"> T, Van </w:t>
            </w:r>
            <w:proofErr w:type="spellStart"/>
            <w:r w:rsidRPr="00101F99">
              <w:rPr>
                <w:rFonts w:asciiTheme="majorBidi" w:hAnsiTheme="majorBidi" w:cstheme="majorBidi"/>
                <w:color w:val="auto"/>
                <w:sz w:val="24"/>
                <w:szCs w:val="24"/>
                <w:lang w:val="en-GB"/>
              </w:rPr>
              <w:t>Evercooren</w:t>
            </w:r>
            <w:proofErr w:type="spellEnd"/>
            <w:r w:rsidRPr="00101F99">
              <w:rPr>
                <w:rFonts w:asciiTheme="majorBidi" w:hAnsiTheme="majorBidi" w:cstheme="majorBidi"/>
                <w:color w:val="auto"/>
                <w:sz w:val="24"/>
                <w:szCs w:val="24"/>
                <w:lang w:val="en-GB"/>
              </w:rPr>
              <w:t xml:space="preserve"> I, Holm Hansen C, Emborg HD, Fabiani M, Mateo-Urdiales A, </w:t>
            </w:r>
            <w:proofErr w:type="spellStart"/>
            <w:r w:rsidRPr="00101F99">
              <w:rPr>
                <w:rFonts w:asciiTheme="majorBidi" w:hAnsiTheme="majorBidi" w:cstheme="majorBidi"/>
                <w:color w:val="auto"/>
                <w:sz w:val="24"/>
                <w:szCs w:val="24"/>
                <w:lang w:val="en-GB"/>
              </w:rPr>
              <w:t>AlKerwi</w:t>
            </w:r>
            <w:proofErr w:type="spellEnd"/>
            <w:r w:rsidRPr="00101F99">
              <w:rPr>
                <w:rFonts w:asciiTheme="majorBidi" w:hAnsiTheme="majorBidi" w:cstheme="majorBidi"/>
                <w:color w:val="auto"/>
                <w:sz w:val="24"/>
                <w:szCs w:val="24"/>
                <w:lang w:val="en-GB"/>
              </w:rPr>
              <w:t xml:space="preserve"> A, Schmitz S, Castilla J, Martínez-Baz I, de Gier B, </w:t>
            </w:r>
            <w:proofErr w:type="spellStart"/>
            <w:r w:rsidRPr="00101F99">
              <w:rPr>
                <w:rFonts w:asciiTheme="majorBidi" w:hAnsiTheme="majorBidi" w:cstheme="majorBidi"/>
                <w:color w:val="auto"/>
                <w:sz w:val="24"/>
                <w:szCs w:val="24"/>
                <w:lang w:val="en-GB"/>
              </w:rPr>
              <w:t>Hahné</w:t>
            </w:r>
            <w:proofErr w:type="spellEnd"/>
            <w:r w:rsidRPr="00101F99">
              <w:rPr>
                <w:rFonts w:asciiTheme="majorBidi" w:hAnsiTheme="majorBidi" w:cstheme="majorBidi"/>
                <w:color w:val="auto"/>
                <w:sz w:val="24"/>
                <w:szCs w:val="24"/>
                <w:lang w:val="en-GB"/>
              </w:rPr>
              <w:t xml:space="preserve"> S, </w:t>
            </w:r>
            <w:proofErr w:type="spellStart"/>
            <w:r w:rsidRPr="00101F99">
              <w:rPr>
                <w:rFonts w:asciiTheme="majorBidi" w:hAnsiTheme="majorBidi" w:cstheme="majorBidi"/>
                <w:color w:val="auto"/>
                <w:sz w:val="24"/>
                <w:szCs w:val="24"/>
                <w:lang w:val="en-GB"/>
              </w:rPr>
              <w:t>Meijerink</w:t>
            </w:r>
            <w:proofErr w:type="spellEnd"/>
            <w:r w:rsidRPr="00101F99">
              <w:rPr>
                <w:rFonts w:asciiTheme="majorBidi" w:hAnsiTheme="majorBidi" w:cstheme="majorBidi"/>
                <w:color w:val="auto"/>
                <w:sz w:val="24"/>
                <w:szCs w:val="24"/>
                <w:lang w:val="en-GB"/>
              </w:rPr>
              <w:t xml:space="preserve"> H, </w:t>
            </w:r>
            <w:proofErr w:type="spellStart"/>
            <w:r w:rsidRPr="00101F99">
              <w:rPr>
                <w:rFonts w:asciiTheme="majorBidi" w:hAnsiTheme="majorBidi" w:cstheme="majorBidi"/>
                <w:color w:val="auto"/>
                <w:sz w:val="24"/>
                <w:szCs w:val="24"/>
                <w:lang w:val="en-GB"/>
              </w:rPr>
              <w:t>Starrfelt</w:t>
            </w:r>
            <w:proofErr w:type="spellEnd"/>
            <w:r w:rsidRPr="00101F99">
              <w:rPr>
                <w:rFonts w:asciiTheme="majorBidi" w:hAnsiTheme="majorBidi" w:cstheme="majorBidi"/>
                <w:color w:val="auto"/>
                <w:sz w:val="24"/>
                <w:szCs w:val="24"/>
                <w:lang w:val="en-GB"/>
              </w:rPr>
              <w:t xml:space="preserve"> J, Nunes B, Caetano C, Derrough T, Nardone A, Monge S, VEBIS-Lot4 working group. </w:t>
            </w:r>
            <w:r w:rsidRPr="00101F99">
              <w:rPr>
                <w:rFonts w:asciiTheme="majorBidi" w:hAnsiTheme="majorBidi" w:cstheme="majorBidi"/>
                <w:color w:val="auto"/>
                <w:sz w:val="24"/>
                <w:szCs w:val="24"/>
                <w:lang w:val="en-AU"/>
              </w:rPr>
              <w:t xml:space="preserve">(2024). Relative vaccine effectiveness against COVID-19 hospitalisation in persons aged ≥65 years: results from a VEBIS network, Europe, October 2021 to July 2023. </w:t>
            </w:r>
            <w:r w:rsidRPr="00101F99">
              <w:rPr>
                <w:rFonts w:asciiTheme="majorBidi" w:hAnsiTheme="majorBidi" w:cstheme="majorBidi"/>
                <w:color w:val="auto"/>
                <w:sz w:val="24"/>
                <w:szCs w:val="24"/>
                <w:lang w:val="nb-NO"/>
              </w:rPr>
              <w:t xml:space="preserve">Euro </w:t>
            </w:r>
            <w:proofErr w:type="spellStart"/>
            <w:r w:rsidRPr="00101F99">
              <w:rPr>
                <w:rFonts w:asciiTheme="majorBidi" w:hAnsiTheme="majorBidi" w:cstheme="majorBidi"/>
                <w:color w:val="auto"/>
                <w:sz w:val="24"/>
                <w:szCs w:val="24"/>
                <w:lang w:val="nb-NO"/>
              </w:rPr>
              <w:t>Surveill</w:t>
            </w:r>
            <w:proofErr w:type="spellEnd"/>
            <w:r w:rsidRPr="00101F99">
              <w:rPr>
                <w:rFonts w:asciiTheme="majorBidi" w:hAnsiTheme="majorBidi" w:cstheme="majorBidi"/>
                <w:color w:val="auto"/>
                <w:sz w:val="24"/>
                <w:szCs w:val="24"/>
                <w:lang w:val="nb-NO"/>
              </w:rPr>
              <w:t>. 29(1):2300670. https://doi.org/10.2807/1560-7917.ES.2024.29.1.2300670</w:t>
            </w:r>
          </w:p>
        </w:tc>
        <w:tc>
          <w:tcPr>
            <w:tcW w:w="5938" w:type="dxa"/>
          </w:tcPr>
          <w:p w14:paraId="2EA5B811" w14:textId="77777777" w:rsidR="009405C7" w:rsidRPr="00101F99" w:rsidRDefault="009405C7" w:rsidP="009405C7">
            <w:pPr>
              <w:pStyle w:val="MDPI31text"/>
              <w:ind w:left="0" w:firstLine="0"/>
              <w:rPr>
                <w:rFonts w:asciiTheme="majorBidi" w:hAnsiTheme="majorBidi" w:cstheme="majorBidi"/>
                <w:color w:val="auto"/>
                <w:sz w:val="24"/>
                <w:szCs w:val="24"/>
              </w:rPr>
            </w:pPr>
            <w:r w:rsidRPr="00101F99">
              <w:rPr>
                <w:rFonts w:asciiTheme="majorBidi" w:hAnsiTheme="majorBidi" w:cstheme="majorBidi"/>
                <w:color w:val="auto"/>
                <w:sz w:val="24"/>
                <w:szCs w:val="24"/>
              </w:rPr>
              <w:t>Outside the prespecified review scope. This study reports relative vaccine effectiveness of successive booster doses compared with complete primary vaccination in adults aged ≥65 years using rolling monitoring cohorts. It does not provide population-based absolute vaccine effectiveness estimates with a comparator framework directly comparable to those synthesised in this review.</w:t>
            </w:r>
          </w:p>
        </w:tc>
      </w:tr>
      <w:tr w:rsidR="009405C7" w14:paraId="4037100F" w14:textId="77777777" w:rsidTr="00B20255">
        <w:tc>
          <w:tcPr>
            <w:tcW w:w="5403" w:type="dxa"/>
          </w:tcPr>
          <w:p w14:paraId="761B9B06" w14:textId="1BFB14A9" w:rsidR="009405C7" w:rsidRPr="004A29CB" w:rsidRDefault="004A29CB" w:rsidP="009405C7">
            <w:pPr>
              <w:pStyle w:val="MDPI31text"/>
              <w:ind w:left="0" w:firstLine="0"/>
              <w:rPr>
                <w:rFonts w:asciiTheme="majorBidi" w:hAnsiTheme="majorBidi" w:cstheme="majorBidi"/>
                <w:color w:val="auto"/>
                <w:sz w:val="24"/>
                <w:szCs w:val="24"/>
              </w:rPr>
            </w:pPr>
            <w:r w:rsidRPr="004A29CB">
              <w:rPr>
                <w:rFonts w:asciiTheme="majorBidi" w:hAnsiTheme="majorBidi" w:cstheme="majorBidi"/>
                <w:color w:val="auto"/>
                <w:sz w:val="24"/>
                <w:szCs w:val="24"/>
              </w:rPr>
              <w:t>Fu D, He G, Li H, Tan H, Ji X, Lin Z, Hu J, Liu T, Xiao J, Liang X, Ma W. (2023). Effectiveness of COVID-19 vaccination against SARS-CoV-2 Omicron variant infection and symptoms—China, December 2022–February 2023. China CDC Weekly. 5(17):369–373. https://doi.org/10.46234/ccdcw2023.070</w:t>
            </w:r>
          </w:p>
        </w:tc>
        <w:tc>
          <w:tcPr>
            <w:tcW w:w="5938" w:type="dxa"/>
          </w:tcPr>
          <w:p w14:paraId="1C172D71" w14:textId="69EF77C8" w:rsidR="009405C7" w:rsidRPr="004A29CB" w:rsidRDefault="009405C7" w:rsidP="009405C7">
            <w:pPr>
              <w:pStyle w:val="MDPI31text"/>
              <w:ind w:left="0" w:firstLine="0"/>
              <w:rPr>
                <w:rFonts w:asciiTheme="majorBidi" w:hAnsiTheme="majorBidi" w:cstheme="majorBidi"/>
                <w:color w:val="auto"/>
                <w:sz w:val="24"/>
                <w:szCs w:val="24"/>
              </w:rPr>
            </w:pPr>
            <w:r w:rsidRPr="004A29CB">
              <w:rPr>
                <w:rFonts w:asciiTheme="majorBidi" w:hAnsiTheme="majorBidi" w:cstheme="majorBidi"/>
                <w:color w:val="auto"/>
                <w:sz w:val="24"/>
                <w:szCs w:val="24"/>
              </w:rPr>
              <w:t>Outside the prespecified review scope. This study primarily evaluates vaccine effectiveness against SARS-CoV-2 Omicron infection and self-reported symptoms using online survey data, rather than severe COVID-19 outcomes (e.g., hospitali</w:t>
            </w:r>
            <w:r w:rsidR="00F10ED1" w:rsidRPr="004A29CB">
              <w:rPr>
                <w:rFonts w:asciiTheme="majorBidi" w:hAnsiTheme="majorBidi" w:cstheme="majorBidi"/>
                <w:color w:val="auto"/>
                <w:sz w:val="24"/>
                <w:szCs w:val="24"/>
              </w:rPr>
              <w:t>z</w:t>
            </w:r>
            <w:r w:rsidRPr="004A29CB">
              <w:rPr>
                <w:rFonts w:asciiTheme="majorBidi" w:hAnsiTheme="majorBidi" w:cstheme="majorBidi"/>
                <w:color w:val="auto"/>
                <w:sz w:val="24"/>
                <w:szCs w:val="24"/>
              </w:rPr>
              <w:t>ation or death) as defined in this review. Outcome ascertainment relies largely on self-reported infection and symptoms, limiting comparability with the population-based, registry- or test-negative designs synthesised in this review.</w:t>
            </w:r>
          </w:p>
        </w:tc>
      </w:tr>
      <w:tr w:rsidR="009405C7" w14:paraId="37B474CC" w14:textId="77777777" w:rsidTr="00B20255">
        <w:tc>
          <w:tcPr>
            <w:tcW w:w="5403" w:type="dxa"/>
          </w:tcPr>
          <w:p w14:paraId="1B6FD848" w14:textId="2A8E0B72" w:rsidR="009405C7" w:rsidRPr="004A29CB" w:rsidRDefault="004A29CB" w:rsidP="009405C7">
            <w:pPr>
              <w:pStyle w:val="MDPI31text"/>
              <w:ind w:left="0" w:firstLine="0"/>
              <w:rPr>
                <w:rFonts w:asciiTheme="majorBidi" w:hAnsiTheme="majorBidi" w:cstheme="majorBidi"/>
                <w:color w:val="auto"/>
                <w:sz w:val="24"/>
                <w:szCs w:val="24"/>
              </w:rPr>
            </w:pPr>
            <w:r w:rsidRPr="004A29CB">
              <w:rPr>
                <w:rFonts w:asciiTheme="majorBidi" w:hAnsiTheme="majorBidi" w:cstheme="majorBidi"/>
                <w:color w:val="auto"/>
                <w:sz w:val="24"/>
                <w:szCs w:val="24"/>
              </w:rPr>
              <w:t>Fu Y, Wu K, Wang Z, Yang H, Chen Y, Wu L, Yanagihara R, Hedges JR, Wang H, Deng Y, on behalf of the N3C consortium. (2023). Effectiveness of various COVID-19 vaccine regimens among 10.4 million patients from the National COVID Cohort Collaborative during Pre-Delta to Omicron periods—United States, 11 December 2020 to 30 June 2022. Vaccine. 41(40):6339–6349. https://doi.org/10.1016/j.vaccine.2023.08.069</w:t>
            </w:r>
          </w:p>
        </w:tc>
        <w:tc>
          <w:tcPr>
            <w:tcW w:w="5938" w:type="dxa"/>
          </w:tcPr>
          <w:p w14:paraId="2CC90AEA" w14:textId="77777777" w:rsidR="009405C7" w:rsidRPr="004A29CB" w:rsidRDefault="009405C7" w:rsidP="009405C7">
            <w:pPr>
              <w:pStyle w:val="MDPI31text"/>
              <w:ind w:left="0" w:firstLine="0"/>
              <w:rPr>
                <w:rFonts w:asciiTheme="majorBidi" w:hAnsiTheme="majorBidi" w:cstheme="majorBidi"/>
                <w:color w:val="auto"/>
                <w:sz w:val="24"/>
                <w:szCs w:val="24"/>
              </w:rPr>
            </w:pPr>
            <w:r w:rsidRPr="004A29CB">
              <w:rPr>
                <w:rFonts w:asciiTheme="majorBidi" w:hAnsiTheme="majorBidi" w:cstheme="majorBidi"/>
                <w:color w:val="auto"/>
                <w:sz w:val="24"/>
                <w:szCs w:val="24"/>
              </w:rPr>
              <w:t>Outside the prespecified review scope. This large retrospective cohort primarily evaluates vaccine effectiveness against SARS-CoV-2 infection across Pre-Delta, Delta, and early Omicron periods (December 2020–June 2022) using ancestral vaccine regimens. The study predates the introduction of updated/bivalent vaccines and does not focus on late-Omicron subvariants or contemporary severe-outcome–focused effectiveness estimates central to this review.</w:t>
            </w:r>
          </w:p>
        </w:tc>
      </w:tr>
      <w:tr w:rsidR="009405C7" w14:paraId="1AE7F2C1" w14:textId="77777777" w:rsidTr="00B20255">
        <w:tc>
          <w:tcPr>
            <w:tcW w:w="5403" w:type="dxa"/>
          </w:tcPr>
          <w:p w14:paraId="20F17C05" w14:textId="560BF3D4" w:rsidR="009405C7" w:rsidRPr="00EE4E50" w:rsidRDefault="00EE4E50" w:rsidP="009405C7">
            <w:pPr>
              <w:pStyle w:val="MDPI31text"/>
              <w:ind w:left="0" w:firstLine="0"/>
              <w:rPr>
                <w:rFonts w:asciiTheme="majorBidi" w:hAnsiTheme="majorBidi" w:cstheme="majorBidi"/>
                <w:color w:val="auto"/>
                <w:sz w:val="24"/>
                <w:szCs w:val="24"/>
              </w:rPr>
            </w:pPr>
            <w:r w:rsidRPr="00EE4E50">
              <w:rPr>
                <w:rFonts w:asciiTheme="majorBidi" w:hAnsiTheme="majorBidi" w:cstheme="majorBidi"/>
                <w:color w:val="auto"/>
                <w:sz w:val="24"/>
                <w:szCs w:val="24"/>
              </w:rPr>
              <w:t>Furuse Y, Tabuchi T. (2025). Impact of COVID-19 vaccination by implementation timing and coverage rate in relation to misinformation prevalence in Japan. Vaccine. 59:127273. https://doi.org/10.1016/j.vaccine.2025.127273</w:t>
            </w:r>
          </w:p>
        </w:tc>
        <w:tc>
          <w:tcPr>
            <w:tcW w:w="5938" w:type="dxa"/>
          </w:tcPr>
          <w:p w14:paraId="6B2F9159" w14:textId="77777777" w:rsidR="009405C7" w:rsidRPr="00EE4E50" w:rsidRDefault="009405C7" w:rsidP="009405C7">
            <w:pPr>
              <w:pStyle w:val="MDPI31text"/>
              <w:ind w:left="0" w:firstLine="0"/>
              <w:rPr>
                <w:rFonts w:asciiTheme="majorBidi" w:hAnsiTheme="majorBidi" w:cstheme="majorBidi"/>
                <w:color w:val="auto"/>
                <w:sz w:val="24"/>
                <w:szCs w:val="24"/>
              </w:rPr>
            </w:pPr>
            <w:r w:rsidRPr="00EE4E50">
              <w:rPr>
                <w:rFonts w:asciiTheme="majorBidi" w:hAnsiTheme="majorBidi" w:cstheme="majorBidi"/>
                <w:color w:val="auto"/>
                <w:sz w:val="24"/>
                <w:szCs w:val="24"/>
              </w:rPr>
              <w:t xml:space="preserve">Outside the prespecified review scope. This study is a counterfactual mathematical modelling analysis evaluating vaccination timing, coverage, and misinformation scenarios. Vaccine effectiveness inputs are modelled or derived from prior literature, and outcomes are scenario-based projections rather than primary, population-based vaccine effectiveness (VE or </w:t>
            </w:r>
            <w:proofErr w:type="spellStart"/>
            <w:r w:rsidRPr="00EE4E50">
              <w:rPr>
                <w:rFonts w:asciiTheme="majorBidi" w:hAnsiTheme="majorBidi" w:cstheme="majorBidi"/>
                <w:color w:val="auto"/>
                <w:sz w:val="24"/>
                <w:szCs w:val="24"/>
              </w:rPr>
              <w:t>rVE</w:t>
            </w:r>
            <w:proofErr w:type="spellEnd"/>
            <w:r w:rsidRPr="00EE4E50">
              <w:rPr>
                <w:rFonts w:asciiTheme="majorBidi" w:hAnsiTheme="majorBidi" w:cstheme="majorBidi"/>
                <w:color w:val="auto"/>
                <w:sz w:val="24"/>
                <w:szCs w:val="24"/>
              </w:rPr>
              <w:t>) estimates obtained from cohort, case–control, or test-negative designs. Therefore, it does not meet the inclusion criteria for this review.</w:t>
            </w:r>
          </w:p>
        </w:tc>
      </w:tr>
      <w:tr w:rsidR="009405C7" w14:paraId="00E391C0" w14:textId="77777777" w:rsidTr="00B20255">
        <w:tc>
          <w:tcPr>
            <w:tcW w:w="5403" w:type="dxa"/>
          </w:tcPr>
          <w:p w14:paraId="4F588D7C" w14:textId="2D3256B0" w:rsidR="009405C7" w:rsidRPr="00EE4E50" w:rsidRDefault="00EE4E50" w:rsidP="009405C7">
            <w:pPr>
              <w:pStyle w:val="MDPI31text"/>
              <w:ind w:left="0" w:firstLine="0"/>
              <w:rPr>
                <w:rFonts w:asciiTheme="majorBidi" w:hAnsiTheme="majorBidi" w:cstheme="majorBidi"/>
                <w:color w:val="auto"/>
                <w:sz w:val="24"/>
                <w:szCs w:val="24"/>
              </w:rPr>
            </w:pPr>
            <w:r w:rsidRPr="00EE4E50">
              <w:rPr>
                <w:rFonts w:asciiTheme="majorBidi" w:hAnsiTheme="majorBidi" w:cstheme="majorBidi"/>
                <w:color w:val="auto"/>
                <w:sz w:val="24"/>
                <w:szCs w:val="24"/>
                <w:lang w:val="en-GB"/>
              </w:rPr>
              <w:t xml:space="preserve">Gan J, Zhang H, Wu J, Liu Y, Liu P, Cheng R, Tang X, Yang L, Luo W, Li W. (2024). </w:t>
            </w:r>
            <w:r w:rsidRPr="00EE4E50">
              <w:rPr>
                <w:rFonts w:asciiTheme="majorBidi" w:hAnsiTheme="majorBidi" w:cstheme="majorBidi"/>
                <w:color w:val="auto"/>
                <w:sz w:val="24"/>
                <w:szCs w:val="24"/>
                <w:lang w:val="en-AU"/>
              </w:rPr>
              <w:t xml:space="preserve">Effect of inactivated </w:t>
            </w:r>
            <w:r w:rsidRPr="00EE4E50">
              <w:rPr>
                <w:rFonts w:asciiTheme="majorBidi" w:hAnsiTheme="majorBidi" w:cstheme="majorBidi"/>
                <w:color w:val="auto"/>
                <w:sz w:val="24"/>
                <w:szCs w:val="24"/>
                <w:lang w:val="en-AU"/>
              </w:rPr>
              <w:lastRenderedPageBreak/>
              <w:t xml:space="preserve">vaccine boosters against severe and critical COVID-19 during the Omicron BA.5 wave: a retrospective analysis of hospitalized patients in China. </w:t>
            </w:r>
            <w:r w:rsidRPr="00EE4E50">
              <w:rPr>
                <w:rFonts w:asciiTheme="majorBidi" w:hAnsiTheme="majorBidi" w:cstheme="majorBidi"/>
                <w:color w:val="auto"/>
                <w:sz w:val="24"/>
                <w:szCs w:val="24"/>
                <w:lang w:val="nb-NO"/>
              </w:rPr>
              <w:t xml:space="preserve">Journal </w:t>
            </w:r>
            <w:proofErr w:type="spellStart"/>
            <w:r w:rsidRPr="00EE4E50">
              <w:rPr>
                <w:rFonts w:asciiTheme="majorBidi" w:hAnsiTheme="majorBidi" w:cstheme="majorBidi"/>
                <w:color w:val="auto"/>
                <w:sz w:val="24"/>
                <w:szCs w:val="24"/>
                <w:lang w:val="nb-NO"/>
              </w:rPr>
              <w:t>of</w:t>
            </w:r>
            <w:proofErr w:type="spellEnd"/>
            <w:r w:rsidRPr="00EE4E50">
              <w:rPr>
                <w:rFonts w:asciiTheme="majorBidi" w:hAnsiTheme="majorBidi" w:cstheme="majorBidi"/>
                <w:color w:val="auto"/>
                <w:sz w:val="24"/>
                <w:szCs w:val="24"/>
                <w:lang w:val="nb-NO"/>
              </w:rPr>
              <w:t xml:space="preserve"> Medical </w:t>
            </w:r>
            <w:proofErr w:type="spellStart"/>
            <w:r w:rsidRPr="00EE4E50">
              <w:rPr>
                <w:rFonts w:asciiTheme="majorBidi" w:hAnsiTheme="majorBidi" w:cstheme="majorBidi"/>
                <w:color w:val="auto"/>
                <w:sz w:val="24"/>
                <w:szCs w:val="24"/>
                <w:lang w:val="nb-NO"/>
              </w:rPr>
              <w:t>Virology</w:t>
            </w:r>
            <w:proofErr w:type="spellEnd"/>
            <w:r w:rsidRPr="00EE4E50">
              <w:rPr>
                <w:rFonts w:asciiTheme="majorBidi" w:hAnsiTheme="majorBidi" w:cstheme="majorBidi"/>
                <w:color w:val="auto"/>
                <w:sz w:val="24"/>
                <w:szCs w:val="24"/>
                <w:lang w:val="nb-NO"/>
              </w:rPr>
              <w:t>. 96:e29402. https://doi.org/10.1002/jmv.29402</w:t>
            </w:r>
          </w:p>
        </w:tc>
        <w:tc>
          <w:tcPr>
            <w:tcW w:w="5938" w:type="dxa"/>
          </w:tcPr>
          <w:p w14:paraId="1338B0CE" w14:textId="3AB71F58" w:rsidR="009405C7" w:rsidRPr="00EE4E50" w:rsidRDefault="009405C7" w:rsidP="009405C7">
            <w:pPr>
              <w:pStyle w:val="MDPI31text"/>
              <w:ind w:left="0" w:firstLine="0"/>
              <w:rPr>
                <w:rFonts w:asciiTheme="majorBidi" w:hAnsiTheme="majorBidi" w:cstheme="majorBidi"/>
                <w:color w:val="auto"/>
                <w:sz w:val="24"/>
                <w:szCs w:val="24"/>
              </w:rPr>
            </w:pPr>
            <w:r w:rsidRPr="00EE4E50">
              <w:rPr>
                <w:rFonts w:asciiTheme="majorBidi" w:hAnsiTheme="majorBidi" w:cstheme="majorBidi"/>
                <w:color w:val="auto"/>
                <w:sz w:val="24"/>
                <w:szCs w:val="24"/>
              </w:rPr>
              <w:lastRenderedPageBreak/>
              <w:t xml:space="preserve">Outside the prespecified review scope. This single-centre retrospective study is restricted to </w:t>
            </w:r>
            <w:r w:rsidR="000C0C3F" w:rsidRPr="00EE4E50">
              <w:rPr>
                <w:rFonts w:asciiTheme="majorBidi" w:hAnsiTheme="majorBidi" w:cstheme="majorBidi"/>
                <w:color w:val="auto"/>
                <w:sz w:val="24"/>
                <w:szCs w:val="24"/>
              </w:rPr>
              <w:t>hospitalized</w:t>
            </w:r>
            <w:r w:rsidRPr="00EE4E50">
              <w:rPr>
                <w:rFonts w:asciiTheme="majorBidi" w:hAnsiTheme="majorBidi" w:cstheme="majorBidi"/>
                <w:color w:val="auto"/>
                <w:sz w:val="24"/>
                <w:szCs w:val="24"/>
              </w:rPr>
              <w:t xml:space="preserve"> COVID-19 </w:t>
            </w:r>
            <w:r w:rsidRPr="00EE4E50">
              <w:rPr>
                <w:rFonts w:asciiTheme="majorBidi" w:hAnsiTheme="majorBidi" w:cstheme="majorBidi"/>
                <w:color w:val="auto"/>
                <w:sz w:val="24"/>
                <w:szCs w:val="24"/>
              </w:rPr>
              <w:lastRenderedPageBreak/>
              <w:t>patients and evaluates disease severity (severe vs critical) conditional on hospital admission, rather than estimating vaccine effectiveness against hospitali</w:t>
            </w:r>
            <w:r w:rsidR="00F10ED1" w:rsidRPr="00EE4E50">
              <w:rPr>
                <w:rFonts w:asciiTheme="majorBidi" w:hAnsiTheme="majorBidi" w:cstheme="majorBidi"/>
                <w:color w:val="auto"/>
                <w:sz w:val="24"/>
                <w:szCs w:val="24"/>
              </w:rPr>
              <w:t>z</w:t>
            </w:r>
            <w:r w:rsidRPr="00EE4E50">
              <w:rPr>
                <w:rFonts w:asciiTheme="majorBidi" w:hAnsiTheme="majorBidi" w:cstheme="majorBidi"/>
                <w:color w:val="auto"/>
                <w:sz w:val="24"/>
                <w:szCs w:val="24"/>
              </w:rPr>
              <w:t>ation, ICU admission, or death at the population level. The study therefore does not provide population-based or test-negative vaccine effectiveness estimates comparable with the analytic framework applied in this review.</w:t>
            </w:r>
          </w:p>
        </w:tc>
      </w:tr>
      <w:tr w:rsidR="009405C7" w14:paraId="67C5DC6F" w14:textId="77777777" w:rsidTr="00B20255">
        <w:tc>
          <w:tcPr>
            <w:tcW w:w="5403" w:type="dxa"/>
          </w:tcPr>
          <w:p w14:paraId="355B2E18" w14:textId="10631E89" w:rsidR="009405C7" w:rsidRPr="00EE4E50" w:rsidRDefault="00EE4E50" w:rsidP="009405C7">
            <w:pPr>
              <w:pStyle w:val="MDPI31text"/>
              <w:ind w:left="0" w:firstLine="0"/>
              <w:rPr>
                <w:rFonts w:asciiTheme="majorBidi" w:hAnsiTheme="majorBidi" w:cstheme="majorBidi"/>
                <w:color w:val="auto"/>
                <w:sz w:val="24"/>
                <w:szCs w:val="24"/>
              </w:rPr>
            </w:pPr>
            <w:r w:rsidRPr="00EE4E50">
              <w:rPr>
                <w:rFonts w:asciiTheme="majorBidi" w:hAnsiTheme="majorBidi" w:cstheme="majorBidi"/>
                <w:color w:val="auto"/>
                <w:sz w:val="24"/>
                <w:szCs w:val="24"/>
              </w:rPr>
              <w:lastRenderedPageBreak/>
              <w:t xml:space="preserve">González S, </w:t>
            </w:r>
            <w:proofErr w:type="spellStart"/>
            <w:r w:rsidRPr="00EE4E50">
              <w:rPr>
                <w:rFonts w:asciiTheme="majorBidi" w:hAnsiTheme="majorBidi" w:cstheme="majorBidi"/>
                <w:color w:val="auto"/>
                <w:sz w:val="24"/>
                <w:szCs w:val="24"/>
              </w:rPr>
              <w:t>Olszevicki</w:t>
            </w:r>
            <w:proofErr w:type="spellEnd"/>
            <w:r w:rsidRPr="00EE4E50">
              <w:rPr>
                <w:rFonts w:asciiTheme="majorBidi" w:hAnsiTheme="majorBidi" w:cstheme="majorBidi"/>
                <w:color w:val="auto"/>
                <w:sz w:val="24"/>
                <w:szCs w:val="24"/>
              </w:rPr>
              <w:t xml:space="preserve"> S, </w:t>
            </w:r>
            <w:proofErr w:type="spellStart"/>
            <w:r w:rsidRPr="00EE4E50">
              <w:rPr>
                <w:rFonts w:asciiTheme="majorBidi" w:hAnsiTheme="majorBidi" w:cstheme="majorBidi"/>
                <w:color w:val="auto"/>
                <w:sz w:val="24"/>
                <w:szCs w:val="24"/>
              </w:rPr>
              <w:t>Gaiano</w:t>
            </w:r>
            <w:proofErr w:type="spellEnd"/>
            <w:r w:rsidRPr="00EE4E50">
              <w:rPr>
                <w:rFonts w:asciiTheme="majorBidi" w:hAnsiTheme="majorBidi" w:cstheme="majorBidi"/>
                <w:color w:val="auto"/>
                <w:sz w:val="24"/>
                <w:szCs w:val="24"/>
              </w:rPr>
              <w:t xml:space="preserve"> A, Salazar M, </w:t>
            </w:r>
            <w:proofErr w:type="spellStart"/>
            <w:r w:rsidRPr="00EE4E50">
              <w:rPr>
                <w:rFonts w:asciiTheme="majorBidi" w:hAnsiTheme="majorBidi" w:cstheme="majorBidi"/>
                <w:color w:val="auto"/>
                <w:sz w:val="24"/>
                <w:szCs w:val="24"/>
              </w:rPr>
              <w:t>Regairaz</w:t>
            </w:r>
            <w:proofErr w:type="spellEnd"/>
            <w:r w:rsidRPr="00EE4E50">
              <w:rPr>
                <w:rFonts w:asciiTheme="majorBidi" w:hAnsiTheme="majorBidi" w:cstheme="majorBidi"/>
                <w:color w:val="auto"/>
                <w:sz w:val="24"/>
                <w:szCs w:val="24"/>
              </w:rPr>
              <w:t xml:space="preserve"> L, Varela Baino AN, Bartel E, Varela T, González Martínez VV, Pesci S, Marín L, </w:t>
            </w:r>
            <w:proofErr w:type="spellStart"/>
            <w:r w:rsidRPr="00EE4E50">
              <w:rPr>
                <w:rFonts w:asciiTheme="majorBidi" w:hAnsiTheme="majorBidi" w:cstheme="majorBidi"/>
                <w:color w:val="auto"/>
                <w:sz w:val="24"/>
                <w:szCs w:val="24"/>
              </w:rPr>
              <w:t>Irassar</w:t>
            </w:r>
            <w:proofErr w:type="spellEnd"/>
            <w:r w:rsidRPr="00EE4E50">
              <w:rPr>
                <w:rFonts w:asciiTheme="majorBidi" w:hAnsiTheme="majorBidi" w:cstheme="majorBidi"/>
                <w:color w:val="auto"/>
                <w:sz w:val="24"/>
                <w:szCs w:val="24"/>
              </w:rPr>
              <w:t xml:space="preserve"> JI, Ceriani L, Garcia E, </w:t>
            </w:r>
            <w:proofErr w:type="spellStart"/>
            <w:r w:rsidRPr="00EE4E50">
              <w:rPr>
                <w:rFonts w:asciiTheme="majorBidi" w:hAnsiTheme="majorBidi" w:cstheme="majorBidi"/>
                <w:color w:val="auto"/>
                <w:sz w:val="24"/>
                <w:szCs w:val="24"/>
              </w:rPr>
              <w:t>Kreplak</w:t>
            </w:r>
            <w:proofErr w:type="spellEnd"/>
            <w:r w:rsidRPr="00EE4E50">
              <w:rPr>
                <w:rFonts w:asciiTheme="majorBidi" w:hAnsiTheme="majorBidi" w:cstheme="majorBidi"/>
                <w:color w:val="auto"/>
                <w:sz w:val="24"/>
                <w:szCs w:val="24"/>
              </w:rPr>
              <w:t xml:space="preserve"> N, Estenssoro E, Marsico F. (2023). Protection of homologous and heterologous boosters after primary schemes of rAd26–rAd5, ChAdOx1 nCoV-19 and BBIBP-CorV during the Omicron outbreak in adults ≥50 years in Argentina: a test-negative case–control study. The Lancet Regional Health – Americas. 27:100607. https://doi.org/10.1016/j.lana.2023.100607</w:t>
            </w:r>
          </w:p>
        </w:tc>
        <w:tc>
          <w:tcPr>
            <w:tcW w:w="5938" w:type="dxa"/>
          </w:tcPr>
          <w:p w14:paraId="0604232B" w14:textId="77777777" w:rsidR="009405C7" w:rsidRPr="00EE4E50" w:rsidRDefault="009405C7" w:rsidP="009405C7">
            <w:pPr>
              <w:pStyle w:val="MDPI31text"/>
              <w:ind w:left="0" w:firstLine="0"/>
              <w:rPr>
                <w:rFonts w:asciiTheme="majorBidi" w:hAnsiTheme="majorBidi" w:cstheme="majorBidi"/>
                <w:color w:val="auto"/>
                <w:sz w:val="24"/>
                <w:szCs w:val="24"/>
              </w:rPr>
            </w:pPr>
            <w:r w:rsidRPr="00EE4E50">
              <w:rPr>
                <w:rFonts w:asciiTheme="majorBidi" w:hAnsiTheme="majorBidi" w:cstheme="majorBidi"/>
                <w:color w:val="auto"/>
                <w:sz w:val="24"/>
                <w:szCs w:val="24"/>
              </w:rPr>
              <w:t>Outside the prespecified review scope. This test-negative case–control study was conducted during early Omicron BA.1 predominance (January–April 2022) and evaluates homologous and heterologous boosters using ancestral vaccine platforms (viral-vectored, inactivated virus, and early mRNA vaccines). The study predates the late-Omicron evolutionary phase and does not assess variant-adapted vaccines (e.g. BA.4/BA.5, XBB, JN.1, KP-lineage), which are the focus of this review.</w:t>
            </w:r>
          </w:p>
        </w:tc>
      </w:tr>
      <w:tr w:rsidR="009405C7" w14:paraId="5471E8EF" w14:textId="77777777" w:rsidTr="00B20255">
        <w:tc>
          <w:tcPr>
            <w:tcW w:w="5403" w:type="dxa"/>
          </w:tcPr>
          <w:p w14:paraId="2CA66C2C" w14:textId="1A080107" w:rsidR="009405C7" w:rsidRPr="003A1CF8" w:rsidRDefault="003A1CF8" w:rsidP="009405C7">
            <w:pPr>
              <w:pStyle w:val="MDPI31text"/>
              <w:ind w:left="0" w:firstLine="0"/>
              <w:rPr>
                <w:rFonts w:asciiTheme="majorBidi" w:hAnsiTheme="majorBidi" w:cstheme="majorBidi"/>
                <w:color w:val="auto"/>
                <w:sz w:val="24"/>
                <w:szCs w:val="24"/>
              </w:rPr>
            </w:pPr>
            <w:r w:rsidRPr="003A1CF8">
              <w:rPr>
                <w:rFonts w:asciiTheme="majorBidi" w:hAnsiTheme="majorBidi" w:cstheme="majorBidi"/>
                <w:color w:val="auto"/>
                <w:sz w:val="24"/>
                <w:szCs w:val="24"/>
              </w:rPr>
              <w:t xml:space="preserve">González S, </w:t>
            </w:r>
            <w:proofErr w:type="spellStart"/>
            <w:r w:rsidRPr="003A1CF8">
              <w:rPr>
                <w:rFonts w:asciiTheme="majorBidi" w:hAnsiTheme="majorBidi" w:cstheme="majorBidi"/>
                <w:color w:val="auto"/>
                <w:sz w:val="24"/>
                <w:szCs w:val="24"/>
              </w:rPr>
              <w:t>Olszevicki</w:t>
            </w:r>
            <w:proofErr w:type="spellEnd"/>
            <w:r w:rsidRPr="003A1CF8">
              <w:rPr>
                <w:rFonts w:asciiTheme="majorBidi" w:hAnsiTheme="majorBidi" w:cstheme="majorBidi"/>
                <w:color w:val="auto"/>
                <w:sz w:val="24"/>
                <w:szCs w:val="24"/>
              </w:rPr>
              <w:t xml:space="preserve"> S, </w:t>
            </w:r>
            <w:proofErr w:type="spellStart"/>
            <w:r w:rsidRPr="003A1CF8">
              <w:rPr>
                <w:rFonts w:asciiTheme="majorBidi" w:hAnsiTheme="majorBidi" w:cstheme="majorBidi"/>
                <w:color w:val="auto"/>
                <w:sz w:val="24"/>
                <w:szCs w:val="24"/>
              </w:rPr>
              <w:t>Gaiano</w:t>
            </w:r>
            <w:proofErr w:type="spellEnd"/>
            <w:r w:rsidRPr="003A1CF8">
              <w:rPr>
                <w:rFonts w:asciiTheme="majorBidi" w:hAnsiTheme="majorBidi" w:cstheme="majorBidi"/>
                <w:color w:val="auto"/>
                <w:sz w:val="24"/>
                <w:szCs w:val="24"/>
              </w:rPr>
              <w:t xml:space="preserve"> A, Varela Baino AN, </w:t>
            </w:r>
            <w:proofErr w:type="spellStart"/>
            <w:r w:rsidRPr="003A1CF8">
              <w:rPr>
                <w:rFonts w:asciiTheme="majorBidi" w:hAnsiTheme="majorBidi" w:cstheme="majorBidi"/>
                <w:color w:val="auto"/>
                <w:sz w:val="24"/>
                <w:szCs w:val="24"/>
              </w:rPr>
              <w:t>Regairaz</w:t>
            </w:r>
            <w:proofErr w:type="spellEnd"/>
            <w:r w:rsidRPr="003A1CF8">
              <w:rPr>
                <w:rFonts w:asciiTheme="majorBidi" w:hAnsiTheme="majorBidi" w:cstheme="majorBidi"/>
                <w:color w:val="auto"/>
                <w:sz w:val="24"/>
                <w:szCs w:val="24"/>
              </w:rPr>
              <w:t xml:space="preserve"> L, Salazar M, Pesci S, Marín L, González Martínez VV, Varela T, Ceriani L, Garcia E, </w:t>
            </w:r>
            <w:proofErr w:type="spellStart"/>
            <w:r w:rsidRPr="003A1CF8">
              <w:rPr>
                <w:rFonts w:asciiTheme="majorBidi" w:hAnsiTheme="majorBidi" w:cstheme="majorBidi"/>
                <w:color w:val="auto"/>
                <w:sz w:val="24"/>
                <w:szCs w:val="24"/>
              </w:rPr>
              <w:t>Kreplak</w:t>
            </w:r>
            <w:proofErr w:type="spellEnd"/>
            <w:r w:rsidRPr="003A1CF8">
              <w:rPr>
                <w:rFonts w:asciiTheme="majorBidi" w:hAnsiTheme="majorBidi" w:cstheme="majorBidi"/>
                <w:color w:val="auto"/>
                <w:sz w:val="24"/>
                <w:szCs w:val="24"/>
              </w:rPr>
              <w:t xml:space="preserve"> N, Navarro A, Estenssoro E, Marsico F. (2022). Effectiveness of BBIBP-CorV, BNT162b2 and mRNA-1273 vaccines against </w:t>
            </w:r>
            <w:proofErr w:type="spellStart"/>
            <w:r w:rsidRPr="003A1CF8">
              <w:rPr>
                <w:rFonts w:asciiTheme="majorBidi" w:hAnsiTheme="majorBidi" w:cstheme="majorBidi"/>
                <w:color w:val="auto"/>
                <w:sz w:val="24"/>
                <w:szCs w:val="24"/>
              </w:rPr>
              <w:t>hospitalisations</w:t>
            </w:r>
            <w:proofErr w:type="spellEnd"/>
            <w:r w:rsidRPr="003A1CF8">
              <w:rPr>
                <w:rFonts w:asciiTheme="majorBidi" w:hAnsiTheme="majorBidi" w:cstheme="majorBidi"/>
                <w:color w:val="auto"/>
                <w:sz w:val="24"/>
                <w:szCs w:val="24"/>
              </w:rPr>
              <w:t xml:space="preserve"> among children and adolescents during the Omicron outbreak in Argentina: a retrospective cohort study. The Lancet Regional Health – Americas. 13:100316. https://doi.org/10.1016/j.lana.2022.100316</w:t>
            </w:r>
          </w:p>
        </w:tc>
        <w:tc>
          <w:tcPr>
            <w:tcW w:w="5938" w:type="dxa"/>
          </w:tcPr>
          <w:p w14:paraId="0790AE0D" w14:textId="0C177F40" w:rsidR="009405C7" w:rsidRPr="003A1CF8" w:rsidRDefault="009405C7" w:rsidP="009405C7">
            <w:pPr>
              <w:pStyle w:val="MDPI31text"/>
              <w:ind w:left="0" w:firstLine="0"/>
              <w:rPr>
                <w:rFonts w:asciiTheme="majorBidi" w:hAnsiTheme="majorBidi" w:cstheme="majorBidi"/>
                <w:color w:val="auto"/>
                <w:sz w:val="24"/>
                <w:szCs w:val="24"/>
              </w:rPr>
            </w:pPr>
            <w:r w:rsidRPr="003A1CF8">
              <w:rPr>
                <w:rFonts w:asciiTheme="majorBidi" w:hAnsiTheme="majorBidi" w:cstheme="majorBidi"/>
                <w:color w:val="auto"/>
                <w:sz w:val="24"/>
                <w:szCs w:val="24"/>
              </w:rPr>
              <w:t>Outside the prespecified review scope. This retrospective cohort study evaluates COVID-19 vaccine effectiveness against hospitali</w:t>
            </w:r>
            <w:r w:rsidR="00F10ED1" w:rsidRPr="003A1CF8">
              <w:rPr>
                <w:rFonts w:asciiTheme="majorBidi" w:hAnsiTheme="majorBidi" w:cstheme="majorBidi"/>
                <w:color w:val="auto"/>
                <w:sz w:val="24"/>
                <w:szCs w:val="24"/>
              </w:rPr>
              <w:t>z</w:t>
            </w:r>
            <w:r w:rsidRPr="003A1CF8">
              <w:rPr>
                <w:rFonts w:asciiTheme="majorBidi" w:hAnsiTheme="majorBidi" w:cstheme="majorBidi"/>
                <w:color w:val="auto"/>
                <w:sz w:val="24"/>
                <w:szCs w:val="24"/>
              </w:rPr>
              <w:t>ation in children and adolescents (3–17 years) during early Omicron (BA.1) circulation, using primary-series vaccination, including an inactivated vaccine (BBIBP-CorV). The study does not assess adult populations, late-Omicron sub-lineages, or updated/variant-adapted vaccines (e.g., BA.4/BA.5-, XBB- or JN.1-adapted) that are the focus of this review.</w:t>
            </w:r>
          </w:p>
        </w:tc>
      </w:tr>
      <w:tr w:rsidR="009405C7" w14:paraId="0324A312" w14:textId="77777777" w:rsidTr="00B20255">
        <w:tc>
          <w:tcPr>
            <w:tcW w:w="5403" w:type="dxa"/>
          </w:tcPr>
          <w:p w14:paraId="31020C37" w14:textId="36F8B355" w:rsidR="009405C7" w:rsidRPr="00B976B1" w:rsidRDefault="00B976B1" w:rsidP="009405C7">
            <w:pPr>
              <w:pStyle w:val="MDPI31text"/>
              <w:ind w:left="0" w:firstLine="0"/>
              <w:rPr>
                <w:rFonts w:asciiTheme="majorBidi" w:hAnsiTheme="majorBidi" w:cstheme="majorBidi"/>
                <w:color w:val="auto"/>
                <w:sz w:val="24"/>
                <w:szCs w:val="24"/>
              </w:rPr>
            </w:pPr>
            <w:r w:rsidRPr="00B976B1">
              <w:rPr>
                <w:rFonts w:asciiTheme="majorBidi" w:hAnsiTheme="majorBidi" w:cstheme="majorBidi"/>
                <w:color w:val="auto"/>
                <w:sz w:val="24"/>
                <w:szCs w:val="24"/>
              </w:rPr>
              <w:t xml:space="preserve">Gram MA, Emborg H-D, Schelde AB, Friis NU, Nielsen KF, </w:t>
            </w:r>
            <w:proofErr w:type="spellStart"/>
            <w:r w:rsidRPr="00B976B1">
              <w:rPr>
                <w:rFonts w:asciiTheme="majorBidi" w:hAnsiTheme="majorBidi" w:cstheme="majorBidi"/>
                <w:color w:val="auto"/>
                <w:sz w:val="24"/>
                <w:szCs w:val="24"/>
              </w:rPr>
              <w:t>Moustsen</w:t>
            </w:r>
            <w:proofErr w:type="spellEnd"/>
            <w:r w:rsidRPr="00B976B1">
              <w:rPr>
                <w:rFonts w:asciiTheme="majorBidi" w:hAnsiTheme="majorBidi" w:cstheme="majorBidi"/>
                <w:color w:val="auto"/>
                <w:sz w:val="24"/>
                <w:szCs w:val="24"/>
              </w:rPr>
              <w:t>-Helms IR, Legarth R, Lam JUH, Chaine M, Malik AZ, Rasmussen M, Fonager J, Sieber RN, Stegger M, Ethelberg S, Valentiner-Branth P, Hansen CH. (2022). Vaccine effectiveness against SARS-CoV-2 infection or COVID-19 hospitalization with the Alpha, Delta, or Omicron SARS-CoV-2 variant: a nationwide Danish cohort study. PLOS Medicine. 19(9):e1003992. https://doi.org/10.1371/journal.pmed.1003992</w:t>
            </w:r>
          </w:p>
        </w:tc>
        <w:tc>
          <w:tcPr>
            <w:tcW w:w="5938" w:type="dxa"/>
          </w:tcPr>
          <w:p w14:paraId="369B6955" w14:textId="77777777" w:rsidR="009405C7" w:rsidRPr="00B976B1" w:rsidRDefault="009405C7" w:rsidP="009405C7">
            <w:pPr>
              <w:pStyle w:val="MDPI31text"/>
              <w:ind w:left="0" w:firstLine="0"/>
              <w:rPr>
                <w:rFonts w:asciiTheme="majorBidi" w:hAnsiTheme="majorBidi" w:cstheme="majorBidi"/>
                <w:color w:val="auto"/>
                <w:sz w:val="24"/>
                <w:szCs w:val="24"/>
              </w:rPr>
            </w:pPr>
            <w:r w:rsidRPr="00B976B1">
              <w:rPr>
                <w:rFonts w:asciiTheme="majorBidi" w:hAnsiTheme="majorBidi" w:cstheme="majorBidi"/>
                <w:color w:val="auto"/>
                <w:sz w:val="24"/>
                <w:szCs w:val="24"/>
              </w:rPr>
              <w:t>Outside the prespecified review scope. This nationwide cohort study primarily evaluates vaccine effectiveness against SARS-CoV-2 infection and COVID-19 hospitalization during Alpha, Delta, and early Omicron periods (December 2021–January 2022) using ancestral mRNA vaccines. It predates later Omicron subvariants and updated/bivalent vaccines and does not address contemporary, late-Omicron severe-outcome effectiveness estimates central to this review.</w:t>
            </w:r>
          </w:p>
        </w:tc>
      </w:tr>
      <w:tr w:rsidR="009405C7" w14:paraId="3421AA7D" w14:textId="77777777" w:rsidTr="00B20255">
        <w:tc>
          <w:tcPr>
            <w:tcW w:w="5403" w:type="dxa"/>
          </w:tcPr>
          <w:p w14:paraId="2F909E11" w14:textId="2B581437" w:rsidR="009405C7" w:rsidRPr="0094499E" w:rsidRDefault="0094499E" w:rsidP="009405C7">
            <w:pPr>
              <w:pStyle w:val="MDPI31text"/>
              <w:ind w:left="0" w:firstLine="0"/>
              <w:rPr>
                <w:rFonts w:asciiTheme="majorBidi" w:hAnsiTheme="majorBidi" w:cstheme="majorBidi"/>
                <w:color w:val="auto"/>
                <w:sz w:val="24"/>
                <w:szCs w:val="24"/>
              </w:rPr>
            </w:pPr>
            <w:r w:rsidRPr="0094499E">
              <w:rPr>
                <w:rFonts w:asciiTheme="majorBidi" w:hAnsiTheme="majorBidi" w:cstheme="majorBidi"/>
                <w:color w:val="auto"/>
                <w:sz w:val="24"/>
                <w:szCs w:val="24"/>
              </w:rPr>
              <w:t xml:space="preserve">Gravenstein S, </w:t>
            </w:r>
            <w:proofErr w:type="spellStart"/>
            <w:r w:rsidRPr="0094499E">
              <w:rPr>
                <w:rFonts w:asciiTheme="majorBidi" w:hAnsiTheme="majorBidi" w:cstheme="majorBidi"/>
                <w:color w:val="auto"/>
                <w:sz w:val="24"/>
                <w:szCs w:val="24"/>
              </w:rPr>
              <w:t>DeVone</w:t>
            </w:r>
            <w:proofErr w:type="spellEnd"/>
            <w:r w:rsidRPr="0094499E">
              <w:rPr>
                <w:rFonts w:asciiTheme="majorBidi" w:hAnsiTheme="majorBidi" w:cstheme="majorBidi"/>
                <w:color w:val="auto"/>
                <w:sz w:val="24"/>
                <w:szCs w:val="24"/>
              </w:rPr>
              <w:t xml:space="preserve"> F, </w:t>
            </w:r>
            <w:proofErr w:type="spellStart"/>
            <w:r w:rsidRPr="0094499E">
              <w:rPr>
                <w:rFonts w:asciiTheme="majorBidi" w:hAnsiTheme="majorBidi" w:cstheme="majorBidi"/>
                <w:color w:val="auto"/>
                <w:sz w:val="24"/>
                <w:szCs w:val="24"/>
              </w:rPr>
              <w:t>Oyebanji</w:t>
            </w:r>
            <w:proofErr w:type="spellEnd"/>
            <w:r w:rsidRPr="0094499E">
              <w:rPr>
                <w:rFonts w:asciiTheme="majorBidi" w:hAnsiTheme="majorBidi" w:cstheme="majorBidi"/>
                <w:color w:val="auto"/>
                <w:sz w:val="24"/>
                <w:szCs w:val="24"/>
              </w:rPr>
              <w:t xml:space="preserve"> OA, Abul Y, Cao Y, Chan PA, Halladay CW, Rudolph JL, Nugent C, Bosch J, King CL, Wilson BM, Balazs AB, White EM, Canaday DH, McConeghy KW. (2024). Durability of immunity and clinical protection in nursing home residents following bivalent SARS-CoV-2 vaccination. </w:t>
            </w:r>
            <w:proofErr w:type="spellStart"/>
            <w:r w:rsidRPr="0094499E">
              <w:rPr>
                <w:rFonts w:asciiTheme="majorBidi" w:hAnsiTheme="majorBidi" w:cstheme="majorBidi"/>
                <w:color w:val="auto"/>
                <w:sz w:val="24"/>
                <w:szCs w:val="24"/>
              </w:rPr>
              <w:t>eBioMedicine</w:t>
            </w:r>
            <w:proofErr w:type="spellEnd"/>
            <w:r w:rsidRPr="0094499E">
              <w:rPr>
                <w:rFonts w:asciiTheme="majorBidi" w:hAnsiTheme="majorBidi" w:cstheme="majorBidi"/>
                <w:color w:val="auto"/>
                <w:sz w:val="24"/>
                <w:szCs w:val="24"/>
              </w:rPr>
              <w:t>. 105:105180. https://doi.org/10.1016/j.ebiom.2024.105180</w:t>
            </w:r>
          </w:p>
        </w:tc>
        <w:tc>
          <w:tcPr>
            <w:tcW w:w="5938" w:type="dxa"/>
          </w:tcPr>
          <w:p w14:paraId="5A0CB251" w14:textId="60B00287" w:rsidR="009405C7" w:rsidRPr="0094499E" w:rsidRDefault="009405C7" w:rsidP="009405C7">
            <w:pPr>
              <w:pStyle w:val="MDPI31text"/>
              <w:ind w:left="0" w:firstLine="0"/>
              <w:rPr>
                <w:rFonts w:asciiTheme="majorBidi" w:hAnsiTheme="majorBidi" w:cstheme="majorBidi"/>
                <w:color w:val="auto"/>
                <w:sz w:val="24"/>
                <w:szCs w:val="24"/>
              </w:rPr>
            </w:pPr>
            <w:r w:rsidRPr="0094499E">
              <w:rPr>
                <w:rFonts w:asciiTheme="majorBidi" w:hAnsiTheme="majorBidi" w:cstheme="majorBidi"/>
                <w:color w:val="auto"/>
                <w:sz w:val="24"/>
                <w:szCs w:val="24"/>
              </w:rPr>
              <w:t xml:space="preserve">Outside the prespecified review scope. This study evaluates immunogenicity and clinical protection following bivalent (original/Omicron </w:t>
            </w:r>
            <w:r w:rsidR="00B20588" w:rsidRPr="0094499E">
              <w:rPr>
                <w:rFonts w:asciiTheme="majorBidi" w:hAnsiTheme="majorBidi" w:cstheme="majorBidi"/>
                <w:color w:val="auto"/>
                <w:sz w:val="24"/>
                <w:szCs w:val="24"/>
              </w:rPr>
              <w:t>BA.4/BA.5</w:t>
            </w:r>
            <w:r w:rsidRPr="0094499E">
              <w:rPr>
                <w:rFonts w:asciiTheme="majorBidi" w:hAnsiTheme="majorBidi" w:cstheme="majorBidi"/>
                <w:color w:val="auto"/>
                <w:sz w:val="24"/>
                <w:szCs w:val="24"/>
              </w:rPr>
              <w:t>) vaccination in nursing home residents during the early bivalent era and does not assess updated, variant-adapted vaccines (e.g., XBB.1.5- or JN.1-adapted formulations) or sustained late-Omicron sub-lineages that are the focus of this review.</w:t>
            </w:r>
          </w:p>
        </w:tc>
      </w:tr>
      <w:tr w:rsidR="009405C7" w14:paraId="406018A6" w14:textId="77777777" w:rsidTr="00B20255">
        <w:tc>
          <w:tcPr>
            <w:tcW w:w="5403" w:type="dxa"/>
          </w:tcPr>
          <w:p w14:paraId="0A9647D1" w14:textId="318B7481" w:rsidR="009405C7" w:rsidRPr="0094499E" w:rsidRDefault="0094499E" w:rsidP="009405C7">
            <w:pPr>
              <w:pStyle w:val="MDPI31text"/>
              <w:ind w:left="0" w:firstLine="0"/>
              <w:rPr>
                <w:rFonts w:asciiTheme="majorBidi" w:hAnsiTheme="majorBidi" w:cstheme="majorBidi"/>
                <w:color w:val="auto"/>
                <w:sz w:val="24"/>
                <w:szCs w:val="24"/>
              </w:rPr>
            </w:pPr>
            <w:r w:rsidRPr="0094499E">
              <w:rPr>
                <w:rFonts w:asciiTheme="majorBidi" w:hAnsiTheme="majorBidi" w:cstheme="majorBidi"/>
                <w:color w:val="auto"/>
                <w:sz w:val="24"/>
                <w:szCs w:val="24"/>
                <w:lang w:val="en-AU"/>
              </w:rPr>
              <w:t xml:space="preserve">Grewal R, Kitchen SA, Nguyen L, Buchan SA, Wilson SE, Costa AP, Kwong JC. (2022). Effectiveness of a fourth dose of COVID-19 mRNA vaccine against the </w:t>
            </w:r>
            <w:r w:rsidRPr="0094499E">
              <w:rPr>
                <w:rFonts w:asciiTheme="majorBidi" w:hAnsiTheme="majorBidi" w:cstheme="majorBidi"/>
                <w:color w:val="auto"/>
                <w:sz w:val="24"/>
                <w:szCs w:val="24"/>
                <w:lang w:val="en-AU"/>
              </w:rPr>
              <w:lastRenderedPageBreak/>
              <w:t xml:space="preserve">Omicron variant among long term care residents in Ontario, Canada: a test negative design study. </w:t>
            </w:r>
            <w:r w:rsidRPr="0094499E">
              <w:rPr>
                <w:rFonts w:asciiTheme="majorBidi" w:hAnsiTheme="majorBidi" w:cstheme="majorBidi"/>
                <w:color w:val="auto"/>
                <w:sz w:val="24"/>
                <w:szCs w:val="24"/>
                <w:lang w:val="nb-NO"/>
              </w:rPr>
              <w:t>BMJ. 378:e071502. https://doi.org/10.1136/bmj-2022-071502</w:t>
            </w:r>
          </w:p>
        </w:tc>
        <w:tc>
          <w:tcPr>
            <w:tcW w:w="5938" w:type="dxa"/>
          </w:tcPr>
          <w:p w14:paraId="424DDE90" w14:textId="77777777" w:rsidR="009405C7" w:rsidRPr="0094499E" w:rsidRDefault="009405C7" w:rsidP="009405C7">
            <w:pPr>
              <w:pStyle w:val="MDPI31text"/>
              <w:ind w:left="0" w:firstLine="0"/>
              <w:rPr>
                <w:rFonts w:asciiTheme="majorBidi" w:hAnsiTheme="majorBidi" w:cstheme="majorBidi"/>
                <w:color w:val="auto"/>
                <w:sz w:val="24"/>
                <w:szCs w:val="24"/>
              </w:rPr>
            </w:pPr>
            <w:r w:rsidRPr="0094499E">
              <w:rPr>
                <w:rFonts w:asciiTheme="majorBidi" w:hAnsiTheme="majorBidi" w:cstheme="majorBidi"/>
                <w:color w:val="auto"/>
                <w:sz w:val="24"/>
                <w:szCs w:val="24"/>
              </w:rPr>
              <w:lastRenderedPageBreak/>
              <w:t xml:space="preserve">Outside the prespecified review scope. This study was conducted during the early Omicron (B.1.1.529) period (December 2021–April 2022) and does not provide vaccine </w:t>
            </w:r>
            <w:r w:rsidRPr="0094499E">
              <w:rPr>
                <w:rFonts w:asciiTheme="majorBidi" w:hAnsiTheme="majorBidi" w:cstheme="majorBidi"/>
                <w:color w:val="auto"/>
                <w:sz w:val="24"/>
                <w:szCs w:val="24"/>
              </w:rPr>
              <w:lastRenderedPageBreak/>
              <w:t>effectiveness estimates for later Omicron subvariants of interest (BA.2, BA.5, XBB, JN.1, or KP.3). In addition, the analysis is restricted to monovalent mRNA vaccines and to a highly selected population of long-term care residents, limiting comparability with the general-population, variant-adapted vaccine effectiveness analyses targeted in this review.</w:t>
            </w:r>
          </w:p>
        </w:tc>
      </w:tr>
      <w:tr w:rsidR="009405C7" w14:paraId="5DD3E487" w14:textId="77777777" w:rsidTr="00B20255">
        <w:tc>
          <w:tcPr>
            <w:tcW w:w="5403" w:type="dxa"/>
          </w:tcPr>
          <w:p w14:paraId="419E6615" w14:textId="57DC61EB" w:rsidR="009405C7" w:rsidRPr="0094499E" w:rsidRDefault="0094499E" w:rsidP="009405C7">
            <w:pPr>
              <w:pStyle w:val="MDPI31text"/>
              <w:ind w:left="0" w:firstLine="0"/>
              <w:rPr>
                <w:rFonts w:asciiTheme="majorBidi" w:hAnsiTheme="majorBidi" w:cstheme="majorBidi"/>
                <w:color w:val="auto"/>
                <w:sz w:val="24"/>
                <w:szCs w:val="24"/>
              </w:rPr>
            </w:pPr>
            <w:r w:rsidRPr="0094499E">
              <w:rPr>
                <w:rFonts w:asciiTheme="majorBidi" w:hAnsiTheme="majorBidi" w:cstheme="majorBidi"/>
                <w:color w:val="auto"/>
                <w:sz w:val="24"/>
                <w:szCs w:val="24"/>
                <w:lang w:val="en-GB"/>
              </w:rPr>
              <w:lastRenderedPageBreak/>
              <w:t xml:space="preserve">Grewal R, Nguyen L, Buchan SA, Wilson SE, Nasreen S, Austin PC, Brown KA, Fell DB, Gubbay JB, Schwartz KL, Tadrous M, Wilson K, Kwong JC. </w:t>
            </w:r>
            <w:r w:rsidRPr="0094499E">
              <w:rPr>
                <w:rFonts w:asciiTheme="majorBidi" w:hAnsiTheme="majorBidi" w:cstheme="majorBidi"/>
                <w:color w:val="auto"/>
                <w:sz w:val="24"/>
                <w:szCs w:val="24"/>
                <w:lang w:val="en-AU"/>
              </w:rPr>
              <w:t xml:space="preserve">(2023). Effectiveness of mRNA COVID-19 vaccine booster doses against Omicron severe outcomes. </w:t>
            </w:r>
            <w:r w:rsidRPr="0094499E">
              <w:rPr>
                <w:rFonts w:asciiTheme="majorBidi" w:hAnsiTheme="majorBidi" w:cstheme="majorBidi"/>
                <w:color w:val="auto"/>
                <w:sz w:val="24"/>
                <w:szCs w:val="24"/>
                <w:lang w:val="nb-NO"/>
              </w:rPr>
              <w:t>Nature Communications. 14:1273. https://doi.org/10.1038/s41467-023-36566-1</w:t>
            </w:r>
          </w:p>
        </w:tc>
        <w:tc>
          <w:tcPr>
            <w:tcW w:w="5938" w:type="dxa"/>
          </w:tcPr>
          <w:p w14:paraId="74BEFBEF" w14:textId="77777777" w:rsidR="009405C7" w:rsidRPr="0094499E" w:rsidRDefault="009405C7" w:rsidP="009405C7">
            <w:pPr>
              <w:pStyle w:val="MDPI31text"/>
              <w:ind w:left="0" w:firstLine="0"/>
              <w:rPr>
                <w:rFonts w:asciiTheme="majorBidi" w:hAnsiTheme="majorBidi" w:cstheme="majorBidi"/>
                <w:color w:val="auto"/>
                <w:sz w:val="24"/>
                <w:szCs w:val="24"/>
              </w:rPr>
            </w:pPr>
            <w:r w:rsidRPr="0094499E">
              <w:rPr>
                <w:rFonts w:asciiTheme="majorBidi" w:hAnsiTheme="majorBidi" w:cstheme="majorBidi"/>
                <w:color w:val="auto"/>
                <w:sz w:val="24"/>
                <w:szCs w:val="24"/>
              </w:rPr>
              <w:t>Outside the prespecified review scope. This test-negative study evaluates booster doses of ancestral (monovalent) mRNA vaccines (2, 3, and 4 doses) against Omicron-associated severe outcomes during BA.1/BA.2 and BA.4/BA.5 periods. The study does not assess variant-adapted (bivalent or updated) vaccines, which are the primary focus of this review.</w:t>
            </w:r>
          </w:p>
        </w:tc>
      </w:tr>
      <w:tr w:rsidR="009405C7" w14:paraId="6AB4B952" w14:textId="77777777" w:rsidTr="00B20255">
        <w:tc>
          <w:tcPr>
            <w:tcW w:w="5403" w:type="dxa"/>
          </w:tcPr>
          <w:p w14:paraId="24F2EDAE" w14:textId="7BD66636" w:rsidR="009405C7" w:rsidRPr="007021BF" w:rsidRDefault="007021BF" w:rsidP="009405C7">
            <w:pPr>
              <w:pStyle w:val="MDPI31text"/>
              <w:ind w:left="0" w:firstLine="0"/>
              <w:rPr>
                <w:rFonts w:asciiTheme="majorBidi" w:hAnsiTheme="majorBidi" w:cstheme="majorBidi"/>
                <w:color w:val="auto"/>
                <w:sz w:val="24"/>
                <w:szCs w:val="24"/>
              </w:rPr>
            </w:pPr>
            <w:r w:rsidRPr="007021BF">
              <w:rPr>
                <w:rFonts w:asciiTheme="majorBidi" w:hAnsiTheme="majorBidi" w:cstheme="majorBidi"/>
                <w:color w:val="auto"/>
                <w:sz w:val="24"/>
                <w:szCs w:val="24"/>
                <w:lang w:val="en-GB"/>
              </w:rPr>
              <w:t xml:space="preserve">Gupta SL, </w:t>
            </w:r>
            <w:proofErr w:type="spellStart"/>
            <w:r w:rsidRPr="007021BF">
              <w:rPr>
                <w:rFonts w:asciiTheme="majorBidi" w:hAnsiTheme="majorBidi" w:cstheme="majorBidi"/>
                <w:color w:val="auto"/>
                <w:sz w:val="24"/>
                <w:szCs w:val="24"/>
                <w:lang w:val="en-GB"/>
              </w:rPr>
              <w:t>Mantus</w:t>
            </w:r>
            <w:proofErr w:type="spellEnd"/>
            <w:r w:rsidRPr="007021BF">
              <w:rPr>
                <w:rFonts w:asciiTheme="majorBidi" w:hAnsiTheme="majorBidi" w:cstheme="majorBidi"/>
                <w:color w:val="auto"/>
                <w:sz w:val="24"/>
                <w:szCs w:val="24"/>
                <w:lang w:val="en-GB"/>
              </w:rPr>
              <w:t xml:space="preserve"> G, Manning KE, Ellis M, Patel M, Ciric CR, Lu A, Turner JS, O’Halloran JA, Presti RM, Joshi DJ, </w:t>
            </w:r>
            <w:proofErr w:type="spellStart"/>
            <w:r w:rsidRPr="007021BF">
              <w:rPr>
                <w:rFonts w:asciiTheme="majorBidi" w:hAnsiTheme="majorBidi" w:cstheme="majorBidi"/>
                <w:color w:val="auto"/>
                <w:sz w:val="24"/>
                <w:szCs w:val="24"/>
                <w:lang w:val="en-GB"/>
              </w:rPr>
              <w:t>Ellebedy</w:t>
            </w:r>
            <w:proofErr w:type="spellEnd"/>
            <w:r w:rsidRPr="007021BF">
              <w:rPr>
                <w:rFonts w:asciiTheme="majorBidi" w:hAnsiTheme="majorBidi" w:cstheme="majorBidi"/>
                <w:color w:val="auto"/>
                <w:sz w:val="24"/>
                <w:szCs w:val="24"/>
                <w:lang w:val="en-GB"/>
              </w:rPr>
              <w:t xml:space="preserve"> AH, Anderson EJ, Rostad CA, Suthar MS, </w:t>
            </w:r>
            <w:proofErr w:type="spellStart"/>
            <w:r w:rsidRPr="007021BF">
              <w:rPr>
                <w:rFonts w:asciiTheme="majorBidi" w:hAnsiTheme="majorBidi" w:cstheme="majorBidi"/>
                <w:color w:val="auto"/>
                <w:sz w:val="24"/>
                <w:szCs w:val="24"/>
                <w:lang w:val="en-GB"/>
              </w:rPr>
              <w:t>Wrammert</w:t>
            </w:r>
            <w:proofErr w:type="spellEnd"/>
            <w:r w:rsidRPr="007021BF">
              <w:rPr>
                <w:rFonts w:asciiTheme="majorBidi" w:hAnsiTheme="majorBidi" w:cstheme="majorBidi"/>
                <w:color w:val="auto"/>
                <w:sz w:val="24"/>
                <w:szCs w:val="24"/>
                <w:lang w:val="en-GB"/>
              </w:rPr>
              <w:t xml:space="preserve"> J. (2022). </w:t>
            </w:r>
            <w:r w:rsidRPr="007021BF">
              <w:rPr>
                <w:rFonts w:asciiTheme="majorBidi" w:hAnsiTheme="majorBidi" w:cstheme="majorBidi"/>
                <w:color w:val="auto"/>
                <w:sz w:val="24"/>
                <w:szCs w:val="24"/>
                <w:lang w:val="en-AU"/>
              </w:rPr>
              <w:t xml:space="preserve">Loss of Pfizer (BNT162b2) vaccine-induced antibody responses against the SARS-CoV-2 Omicron variant in adolescents and adults. </w:t>
            </w:r>
            <w:r w:rsidRPr="007021BF">
              <w:rPr>
                <w:rFonts w:asciiTheme="majorBidi" w:hAnsiTheme="majorBidi" w:cstheme="majorBidi"/>
                <w:color w:val="auto"/>
                <w:sz w:val="24"/>
                <w:szCs w:val="24"/>
                <w:lang w:val="nb-NO"/>
              </w:rPr>
              <w:t xml:space="preserve">Journal </w:t>
            </w:r>
            <w:proofErr w:type="spellStart"/>
            <w:r w:rsidRPr="007021BF">
              <w:rPr>
                <w:rFonts w:asciiTheme="majorBidi" w:hAnsiTheme="majorBidi" w:cstheme="majorBidi"/>
                <w:color w:val="auto"/>
                <w:sz w:val="24"/>
                <w:szCs w:val="24"/>
                <w:lang w:val="nb-NO"/>
              </w:rPr>
              <w:t>of</w:t>
            </w:r>
            <w:proofErr w:type="spellEnd"/>
            <w:r w:rsidRPr="007021BF">
              <w:rPr>
                <w:rFonts w:asciiTheme="majorBidi" w:hAnsiTheme="majorBidi" w:cstheme="majorBidi"/>
                <w:color w:val="auto"/>
                <w:sz w:val="24"/>
                <w:szCs w:val="24"/>
                <w:lang w:val="nb-NO"/>
              </w:rPr>
              <w:t xml:space="preserve"> </w:t>
            </w:r>
            <w:proofErr w:type="spellStart"/>
            <w:r w:rsidRPr="007021BF">
              <w:rPr>
                <w:rFonts w:asciiTheme="majorBidi" w:hAnsiTheme="majorBidi" w:cstheme="majorBidi"/>
                <w:color w:val="auto"/>
                <w:sz w:val="24"/>
                <w:szCs w:val="24"/>
                <w:lang w:val="nb-NO"/>
              </w:rPr>
              <w:t>Virology</w:t>
            </w:r>
            <w:proofErr w:type="spellEnd"/>
            <w:r w:rsidRPr="007021BF">
              <w:rPr>
                <w:rFonts w:asciiTheme="majorBidi" w:hAnsiTheme="majorBidi" w:cstheme="majorBidi"/>
                <w:color w:val="auto"/>
                <w:sz w:val="24"/>
                <w:szCs w:val="24"/>
                <w:lang w:val="nb-NO"/>
              </w:rPr>
              <w:t>. 96(17):e00582-22. https://doi.org/10.1128/jvi.00582-22</w:t>
            </w:r>
          </w:p>
        </w:tc>
        <w:tc>
          <w:tcPr>
            <w:tcW w:w="5938" w:type="dxa"/>
          </w:tcPr>
          <w:p w14:paraId="1694EF80" w14:textId="235D0603" w:rsidR="009405C7" w:rsidRPr="007021BF" w:rsidRDefault="009405C7" w:rsidP="009405C7">
            <w:pPr>
              <w:pStyle w:val="MDPI31text"/>
              <w:ind w:left="0" w:firstLine="0"/>
              <w:rPr>
                <w:rFonts w:asciiTheme="majorBidi" w:hAnsiTheme="majorBidi" w:cstheme="majorBidi"/>
                <w:color w:val="auto"/>
                <w:sz w:val="24"/>
                <w:szCs w:val="24"/>
              </w:rPr>
            </w:pPr>
            <w:r w:rsidRPr="007021BF">
              <w:rPr>
                <w:rFonts w:asciiTheme="majorBidi" w:hAnsiTheme="majorBidi" w:cstheme="majorBidi"/>
                <w:color w:val="auto"/>
                <w:sz w:val="24"/>
                <w:szCs w:val="24"/>
              </w:rPr>
              <w:t xml:space="preserve">Outside the prespecified review scope. This laboratory-based cohort study assesses immunogenicity and </w:t>
            </w:r>
            <w:r w:rsidR="00635F44" w:rsidRPr="007021BF">
              <w:rPr>
                <w:rFonts w:asciiTheme="majorBidi" w:hAnsiTheme="majorBidi" w:cstheme="majorBidi"/>
                <w:color w:val="auto"/>
                <w:sz w:val="24"/>
                <w:szCs w:val="24"/>
              </w:rPr>
              <w:t>neutralizing</w:t>
            </w:r>
            <w:r w:rsidRPr="007021BF">
              <w:rPr>
                <w:rFonts w:asciiTheme="majorBidi" w:hAnsiTheme="majorBidi" w:cstheme="majorBidi"/>
                <w:color w:val="auto"/>
                <w:sz w:val="24"/>
                <w:szCs w:val="24"/>
              </w:rPr>
              <w:t xml:space="preserve"> antibody responses to SARS-CoV-2 variants following two doses of BNT162b2, without reporting vaccine effectiveness against clinical outcomes (e.g., hospitali</w:t>
            </w:r>
            <w:r w:rsidR="00F10ED1" w:rsidRPr="007021BF">
              <w:rPr>
                <w:rFonts w:asciiTheme="majorBidi" w:hAnsiTheme="majorBidi" w:cstheme="majorBidi"/>
                <w:color w:val="auto"/>
                <w:sz w:val="24"/>
                <w:szCs w:val="24"/>
              </w:rPr>
              <w:t>z</w:t>
            </w:r>
            <w:r w:rsidRPr="007021BF">
              <w:rPr>
                <w:rFonts w:asciiTheme="majorBidi" w:hAnsiTheme="majorBidi" w:cstheme="majorBidi"/>
                <w:color w:val="auto"/>
                <w:sz w:val="24"/>
                <w:szCs w:val="24"/>
              </w:rPr>
              <w:t>ation, ICU admission, or death). The study therefore provides mechanistic immunological evidence only and does not contribute population-level effectiveness estimates suitable for synthesis in this review.</w:t>
            </w:r>
          </w:p>
        </w:tc>
      </w:tr>
      <w:tr w:rsidR="009405C7" w14:paraId="3A70403E" w14:textId="77777777" w:rsidTr="00B20255">
        <w:tc>
          <w:tcPr>
            <w:tcW w:w="5403" w:type="dxa"/>
          </w:tcPr>
          <w:p w14:paraId="323664FE" w14:textId="78C61A4D" w:rsidR="009405C7" w:rsidRPr="00C33BC9" w:rsidRDefault="00C33BC9" w:rsidP="009405C7">
            <w:pPr>
              <w:pStyle w:val="MDPI31text"/>
              <w:ind w:left="0" w:firstLine="0"/>
              <w:rPr>
                <w:rFonts w:asciiTheme="majorBidi" w:hAnsiTheme="majorBidi" w:cstheme="majorBidi"/>
                <w:color w:val="auto"/>
                <w:sz w:val="24"/>
                <w:szCs w:val="24"/>
              </w:rPr>
            </w:pPr>
            <w:r w:rsidRPr="00C33BC9">
              <w:rPr>
                <w:rFonts w:asciiTheme="majorBidi" w:hAnsiTheme="majorBidi" w:cstheme="majorBidi"/>
                <w:color w:val="auto"/>
                <w:sz w:val="24"/>
                <w:szCs w:val="24"/>
                <w:lang w:val="en-GB"/>
              </w:rPr>
              <w:t xml:space="preserve">Gwak E, Choe SA, Kim K, Bolormaa E, Fix J, </w:t>
            </w:r>
            <w:proofErr w:type="spellStart"/>
            <w:r w:rsidRPr="00C33BC9">
              <w:rPr>
                <w:rFonts w:asciiTheme="majorBidi" w:hAnsiTheme="majorBidi" w:cstheme="majorBidi"/>
                <w:color w:val="auto"/>
                <w:sz w:val="24"/>
                <w:szCs w:val="24"/>
                <w:lang w:val="en-GB"/>
              </w:rPr>
              <w:t>Vadivale</w:t>
            </w:r>
            <w:proofErr w:type="spellEnd"/>
            <w:r w:rsidRPr="00C33BC9">
              <w:rPr>
                <w:rFonts w:asciiTheme="majorBidi" w:hAnsiTheme="majorBidi" w:cstheme="majorBidi"/>
                <w:color w:val="auto"/>
                <w:sz w:val="24"/>
                <w:szCs w:val="24"/>
                <w:lang w:val="en-GB"/>
              </w:rPr>
              <w:t xml:space="preserve"> M, Rousculp MD, Choe YJ. </w:t>
            </w:r>
            <w:r w:rsidRPr="00C33BC9">
              <w:rPr>
                <w:rFonts w:asciiTheme="majorBidi" w:hAnsiTheme="majorBidi" w:cstheme="majorBidi"/>
                <w:color w:val="auto"/>
                <w:sz w:val="24"/>
                <w:szCs w:val="24"/>
                <w:lang w:val="en-AU"/>
              </w:rPr>
              <w:t xml:space="preserve">(2025). Real-world effectiveness of NVX-CoV2373 and BNT162b2 mRNA COVID-19 vaccination in South Korea. </w:t>
            </w:r>
            <w:proofErr w:type="spellStart"/>
            <w:r w:rsidRPr="00C33BC9">
              <w:rPr>
                <w:rFonts w:asciiTheme="majorBidi" w:hAnsiTheme="majorBidi" w:cstheme="majorBidi"/>
                <w:color w:val="auto"/>
                <w:sz w:val="24"/>
                <w:szCs w:val="24"/>
                <w:lang w:val="nb-NO"/>
              </w:rPr>
              <w:t>Vaccine</w:t>
            </w:r>
            <w:proofErr w:type="spellEnd"/>
            <w:r w:rsidRPr="00C33BC9">
              <w:rPr>
                <w:rFonts w:asciiTheme="majorBidi" w:hAnsiTheme="majorBidi" w:cstheme="majorBidi"/>
                <w:color w:val="auto"/>
                <w:sz w:val="24"/>
                <w:szCs w:val="24"/>
                <w:lang w:val="nb-NO"/>
              </w:rPr>
              <w:t>. 62:127496. https://doi.org/10.1016/j.vaccine.2025.127496</w:t>
            </w:r>
          </w:p>
        </w:tc>
        <w:tc>
          <w:tcPr>
            <w:tcW w:w="5938" w:type="dxa"/>
          </w:tcPr>
          <w:p w14:paraId="6BCD34D2" w14:textId="77777777" w:rsidR="009405C7" w:rsidRPr="00C33BC9" w:rsidRDefault="009405C7" w:rsidP="009405C7">
            <w:pPr>
              <w:pStyle w:val="MDPI31text"/>
              <w:ind w:left="0" w:firstLine="0"/>
              <w:rPr>
                <w:rFonts w:asciiTheme="majorBidi" w:hAnsiTheme="majorBidi" w:cstheme="majorBidi"/>
                <w:color w:val="auto"/>
                <w:sz w:val="24"/>
                <w:szCs w:val="24"/>
              </w:rPr>
            </w:pPr>
            <w:r w:rsidRPr="00C33BC9">
              <w:rPr>
                <w:rFonts w:asciiTheme="majorBidi" w:hAnsiTheme="majorBidi" w:cstheme="majorBidi"/>
                <w:color w:val="auto"/>
                <w:sz w:val="24"/>
                <w:szCs w:val="24"/>
              </w:rPr>
              <w:t>Outside the prespecified review scope. This retrospective cohort study primarily evaluates the comparative effectiveness of the protein-based vaccine NVX-CoV2373 versus BNT162b2 using prototype (ancestral) vaccine formulations, without assessment of variant-adapted mRNA boosters or Omicron subvariant-specific effectiveness outcomes required for inclusion in this review.</w:t>
            </w:r>
          </w:p>
        </w:tc>
      </w:tr>
      <w:tr w:rsidR="009405C7" w14:paraId="67A6318C" w14:textId="77777777" w:rsidTr="00B20255">
        <w:tc>
          <w:tcPr>
            <w:tcW w:w="5403" w:type="dxa"/>
          </w:tcPr>
          <w:p w14:paraId="7F5D7059" w14:textId="71DAE23C" w:rsidR="009405C7" w:rsidRPr="00416D65" w:rsidRDefault="00416D65" w:rsidP="009405C7">
            <w:pPr>
              <w:pStyle w:val="MDPI31text"/>
              <w:ind w:left="0" w:firstLine="0"/>
              <w:rPr>
                <w:rFonts w:asciiTheme="majorBidi" w:hAnsiTheme="majorBidi" w:cstheme="majorBidi"/>
                <w:color w:val="auto"/>
                <w:sz w:val="24"/>
                <w:szCs w:val="24"/>
              </w:rPr>
            </w:pPr>
            <w:r w:rsidRPr="00416D65">
              <w:rPr>
                <w:rFonts w:asciiTheme="majorBidi" w:hAnsiTheme="majorBidi" w:cstheme="majorBidi"/>
                <w:color w:val="auto"/>
                <w:sz w:val="24"/>
                <w:szCs w:val="24"/>
              </w:rPr>
              <w:t>Hall VJ, Insalata F, Foulkes S, Kirwan P, Sparkes D, Atti A, Cole M, de Lacy E, Price L, Corrigan D, Brown CS, Islam J, Charlett A, Hopkins S; SIREN Study Group. (2024). Effectiveness of BNT162b2 mRNA vaccine third doses and previous infection in protecting against SARS-CoV-2 infections during the Delta and Omicron variant waves; the UK SIREN cohort study September 2021 to February 2022. Journal of Infection. 88(1):30–40. https://doi.org/10.1016/j.jinf.2023.10.022</w:t>
            </w:r>
          </w:p>
        </w:tc>
        <w:tc>
          <w:tcPr>
            <w:tcW w:w="5938" w:type="dxa"/>
          </w:tcPr>
          <w:p w14:paraId="3EAC00C4" w14:textId="77777777" w:rsidR="009405C7" w:rsidRPr="00416D65" w:rsidRDefault="009405C7" w:rsidP="009405C7">
            <w:pPr>
              <w:pStyle w:val="MDPI31text"/>
              <w:ind w:left="0" w:firstLine="0"/>
              <w:rPr>
                <w:rFonts w:asciiTheme="majorBidi" w:hAnsiTheme="majorBidi" w:cstheme="majorBidi"/>
                <w:color w:val="auto"/>
                <w:sz w:val="24"/>
                <w:szCs w:val="24"/>
              </w:rPr>
            </w:pPr>
            <w:r w:rsidRPr="00416D65">
              <w:rPr>
                <w:rFonts w:asciiTheme="majorBidi" w:hAnsiTheme="majorBidi" w:cstheme="majorBidi"/>
                <w:color w:val="auto"/>
                <w:sz w:val="24"/>
                <w:szCs w:val="24"/>
              </w:rPr>
              <w:t>Outside the prespecified review scope. This prospective cohort study evaluates relative protection against SARS-CoV-2 infection (symptomatic and asymptomatic) during Delta and early Omicron (BA.1/BA.2) periods in healthcare workers and does not assess vaccine effectiveness against severe clinical outcomes or later Omicron subvariants required for inclusion in this review.</w:t>
            </w:r>
          </w:p>
        </w:tc>
      </w:tr>
      <w:tr w:rsidR="009405C7" w14:paraId="773E9C9C" w14:textId="77777777" w:rsidTr="00B20255">
        <w:tc>
          <w:tcPr>
            <w:tcW w:w="5403" w:type="dxa"/>
          </w:tcPr>
          <w:p w14:paraId="6DC7B999" w14:textId="4E778F58" w:rsidR="009405C7" w:rsidRPr="00C131D6" w:rsidRDefault="00C131D6" w:rsidP="009405C7">
            <w:pPr>
              <w:pStyle w:val="MDPI31text"/>
              <w:ind w:left="0" w:firstLine="0"/>
              <w:rPr>
                <w:rFonts w:asciiTheme="majorBidi" w:hAnsiTheme="majorBidi" w:cstheme="majorBidi"/>
                <w:color w:val="auto"/>
                <w:sz w:val="24"/>
                <w:szCs w:val="24"/>
                <w:lang w:val="en-AU"/>
              </w:rPr>
            </w:pPr>
            <w:r w:rsidRPr="00C131D6">
              <w:rPr>
                <w:rFonts w:asciiTheme="majorBidi" w:hAnsiTheme="majorBidi" w:cstheme="majorBidi"/>
                <w:color w:val="auto"/>
                <w:sz w:val="24"/>
                <w:szCs w:val="24"/>
                <w:lang w:val="nb-NO"/>
              </w:rPr>
              <w:t xml:space="preserve">Hansen CH, </w:t>
            </w:r>
            <w:proofErr w:type="spellStart"/>
            <w:r w:rsidRPr="00C131D6">
              <w:rPr>
                <w:rFonts w:asciiTheme="majorBidi" w:hAnsiTheme="majorBidi" w:cstheme="majorBidi"/>
                <w:color w:val="auto"/>
                <w:sz w:val="24"/>
                <w:szCs w:val="24"/>
                <w:lang w:val="nb-NO"/>
              </w:rPr>
              <w:t>Moustsen-Helms</w:t>
            </w:r>
            <w:proofErr w:type="spellEnd"/>
            <w:r w:rsidRPr="00C131D6">
              <w:rPr>
                <w:rFonts w:asciiTheme="majorBidi" w:hAnsiTheme="majorBidi" w:cstheme="majorBidi"/>
                <w:color w:val="auto"/>
                <w:sz w:val="24"/>
                <w:szCs w:val="24"/>
                <w:lang w:val="nb-NO"/>
              </w:rPr>
              <w:t xml:space="preserve"> IR, Rasmussen M, </w:t>
            </w:r>
            <w:proofErr w:type="spellStart"/>
            <w:r w:rsidRPr="00C131D6">
              <w:rPr>
                <w:rFonts w:asciiTheme="majorBidi" w:hAnsiTheme="majorBidi" w:cstheme="majorBidi"/>
                <w:color w:val="auto"/>
                <w:sz w:val="24"/>
                <w:szCs w:val="24"/>
                <w:lang w:val="nb-NO"/>
              </w:rPr>
              <w:t>Søborg</w:t>
            </w:r>
            <w:proofErr w:type="spellEnd"/>
            <w:r w:rsidRPr="00C131D6">
              <w:rPr>
                <w:rFonts w:asciiTheme="majorBidi" w:hAnsiTheme="majorBidi" w:cstheme="majorBidi"/>
                <w:color w:val="auto"/>
                <w:sz w:val="24"/>
                <w:szCs w:val="24"/>
                <w:lang w:val="nb-NO"/>
              </w:rPr>
              <w:t xml:space="preserve"> B, </w:t>
            </w:r>
            <w:proofErr w:type="spellStart"/>
            <w:r w:rsidRPr="00C131D6">
              <w:rPr>
                <w:rFonts w:asciiTheme="majorBidi" w:hAnsiTheme="majorBidi" w:cstheme="majorBidi"/>
                <w:color w:val="auto"/>
                <w:sz w:val="24"/>
                <w:szCs w:val="24"/>
                <w:lang w:val="nb-NO"/>
              </w:rPr>
              <w:t>Ullum</w:t>
            </w:r>
            <w:proofErr w:type="spellEnd"/>
            <w:r w:rsidRPr="00C131D6">
              <w:rPr>
                <w:rFonts w:asciiTheme="majorBidi" w:hAnsiTheme="majorBidi" w:cstheme="majorBidi"/>
                <w:color w:val="auto"/>
                <w:sz w:val="24"/>
                <w:szCs w:val="24"/>
                <w:lang w:val="nb-NO"/>
              </w:rPr>
              <w:t xml:space="preserve"> H, Valentiner-</w:t>
            </w:r>
            <w:proofErr w:type="spellStart"/>
            <w:r w:rsidRPr="00C131D6">
              <w:rPr>
                <w:rFonts w:asciiTheme="majorBidi" w:hAnsiTheme="majorBidi" w:cstheme="majorBidi"/>
                <w:color w:val="auto"/>
                <w:sz w:val="24"/>
                <w:szCs w:val="24"/>
                <w:lang w:val="nb-NO"/>
              </w:rPr>
              <w:t>Branth</w:t>
            </w:r>
            <w:proofErr w:type="spellEnd"/>
            <w:r w:rsidRPr="00C131D6">
              <w:rPr>
                <w:rFonts w:asciiTheme="majorBidi" w:hAnsiTheme="majorBidi" w:cstheme="majorBidi"/>
                <w:color w:val="auto"/>
                <w:sz w:val="24"/>
                <w:szCs w:val="24"/>
                <w:lang w:val="nb-NO"/>
              </w:rPr>
              <w:t xml:space="preserve"> P. (2024). </w:t>
            </w:r>
            <w:r w:rsidRPr="00C131D6">
              <w:rPr>
                <w:rFonts w:asciiTheme="majorBidi" w:hAnsiTheme="majorBidi" w:cstheme="majorBidi"/>
                <w:color w:val="auto"/>
                <w:sz w:val="24"/>
                <w:szCs w:val="24"/>
                <w:lang w:val="en-AU"/>
              </w:rPr>
              <w:t>Short-term effectiveness of the XBB.1.5 updated COVID-19 vaccine against hospitalisation in Denmark: a national cohort study. The Lancet Infectious Diseases. 24(2):e73–e74. https://doi.org/10.1016/S1473-3099(23)00746-6</w:t>
            </w:r>
          </w:p>
        </w:tc>
        <w:tc>
          <w:tcPr>
            <w:tcW w:w="5938" w:type="dxa"/>
          </w:tcPr>
          <w:p w14:paraId="22281872" w14:textId="77777777" w:rsidR="009405C7" w:rsidRPr="00C131D6" w:rsidRDefault="009405C7" w:rsidP="009405C7">
            <w:pPr>
              <w:pStyle w:val="MDPI31text"/>
              <w:ind w:left="0" w:firstLine="0"/>
              <w:rPr>
                <w:rFonts w:asciiTheme="majorBidi" w:hAnsiTheme="majorBidi" w:cstheme="majorBidi"/>
                <w:color w:val="auto"/>
                <w:sz w:val="24"/>
                <w:szCs w:val="24"/>
              </w:rPr>
            </w:pPr>
            <w:r w:rsidRPr="00C131D6">
              <w:rPr>
                <w:rFonts w:asciiTheme="majorBidi" w:hAnsiTheme="majorBidi" w:cstheme="majorBidi"/>
                <w:color w:val="auto"/>
                <w:sz w:val="24"/>
                <w:szCs w:val="24"/>
              </w:rPr>
              <w:t>Outside the prespecified review scope. This report is a correspondence describing very short-term (≤3 weeks) incremental effectiveness of the XBB.1.5 seasonal booster compared with no 2023/24 booster among previously boosted individuals, rather than a full primary observational study estimating absolute or standardised vaccine effectiveness over a defined follow-up period.</w:t>
            </w:r>
          </w:p>
        </w:tc>
      </w:tr>
      <w:tr w:rsidR="009405C7" w14:paraId="2F4FCB14" w14:textId="77777777" w:rsidTr="00B20255">
        <w:tc>
          <w:tcPr>
            <w:tcW w:w="5403" w:type="dxa"/>
          </w:tcPr>
          <w:p w14:paraId="380B0CA6" w14:textId="21B3F613" w:rsidR="009405C7" w:rsidRPr="00C131D6" w:rsidRDefault="00C131D6" w:rsidP="009405C7">
            <w:pPr>
              <w:pStyle w:val="MDPI31text"/>
              <w:ind w:left="0" w:firstLine="0"/>
              <w:rPr>
                <w:rFonts w:asciiTheme="majorBidi" w:hAnsiTheme="majorBidi" w:cstheme="majorBidi"/>
                <w:color w:val="auto"/>
                <w:sz w:val="24"/>
                <w:szCs w:val="24"/>
              </w:rPr>
            </w:pPr>
            <w:r w:rsidRPr="00C131D6">
              <w:rPr>
                <w:rFonts w:asciiTheme="majorBidi" w:hAnsiTheme="majorBidi" w:cstheme="majorBidi"/>
                <w:color w:val="auto"/>
                <w:sz w:val="24"/>
                <w:szCs w:val="24"/>
              </w:rPr>
              <w:t xml:space="preserve">He X, Zeng B, Wang Y, Pang Y, Zhang M, Hu T, Liang Y, Kang M, Tang S. (2023). Effectiveness of </w:t>
            </w:r>
            <w:r w:rsidRPr="00C131D6">
              <w:rPr>
                <w:rFonts w:asciiTheme="majorBidi" w:hAnsiTheme="majorBidi" w:cstheme="majorBidi"/>
                <w:color w:val="auto"/>
                <w:sz w:val="24"/>
                <w:szCs w:val="24"/>
              </w:rPr>
              <w:lastRenderedPageBreak/>
              <w:t>booster vaccination with inactivated COVID-19 vaccines against SARS-CoV-2 Omicron BA.2 infection in Guangdong, China: a cohort study. Frontiers in Immunology. 14:1257360. https://doi.org/10.3389/fimmu.2023.1257360</w:t>
            </w:r>
          </w:p>
        </w:tc>
        <w:tc>
          <w:tcPr>
            <w:tcW w:w="5938" w:type="dxa"/>
          </w:tcPr>
          <w:p w14:paraId="1AF11F70" w14:textId="24E37565" w:rsidR="009405C7" w:rsidRPr="00C131D6" w:rsidRDefault="009405C7" w:rsidP="009405C7">
            <w:pPr>
              <w:pStyle w:val="MDPI31text"/>
              <w:ind w:left="0" w:firstLine="0"/>
              <w:rPr>
                <w:rFonts w:asciiTheme="majorBidi" w:hAnsiTheme="majorBidi" w:cstheme="majorBidi"/>
                <w:color w:val="auto"/>
                <w:sz w:val="24"/>
                <w:szCs w:val="24"/>
              </w:rPr>
            </w:pPr>
            <w:r w:rsidRPr="00C131D6">
              <w:rPr>
                <w:rFonts w:asciiTheme="majorBidi" w:hAnsiTheme="majorBidi" w:cstheme="majorBidi"/>
                <w:color w:val="auto"/>
                <w:sz w:val="24"/>
                <w:szCs w:val="24"/>
              </w:rPr>
              <w:lastRenderedPageBreak/>
              <w:t xml:space="preserve">Outside the prespecified review scope. This retrospective close-contacts cohort primarily evaluates vaccine </w:t>
            </w:r>
            <w:r w:rsidRPr="00C131D6">
              <w:rPr>
                <w:rFonts w:asciiTheme="majorBidi" w:hAnsiTheme="majorBidi" w:cstheme="majorBidi"/>
                <w:color w:val="auto"/>
                <w:sz w:val="24"/>
                <w:szCs w:val="24"/>
              </w:rPr>
              <w:lastRenderedPageBreak/>
              <w:t>effectiveness against Omicron BA.2 infection and symptomatic COVID-19 using inactivated vaccines under strict quarantine conditions. Severe clinical outcomes (hospitali</w:t>
            </w:r>
            <w:r w:rsidR="00F10ED1" w:rsidRPr="00C131D6">
              <w:rPr>
                <w:rFonts w:asciiTheme="majorBidi" w:hAnsiTheme="majorBidi" w:cstheme="majorBidi"/>
                <w:color w:val="auto"/>
                <w:sz w:val="24"/>
                <w:szCs w:val="24"/>
              </w:rPr>
              <w:t>z</w:t>
            </w:r>
            <w:r w:rsidRPr="00C131D6">
              <w:rPr>
                <w:rFonts w:asciiTheme="majorBidi" w:hAnsiTheme="majorBidi" w:cstheme="majorBidi"/>
                <w:color w:val="auto"/>
                <w:sz w:val="24"/>
                <w:szCs w:val="24"/>
              </w:rPr>
              <w:t>ation, ICU admission, or death) were not assessed, and the study predates later Omicron subvariants and updated vaccine formulations central to this review.</w:t>
            </w:r>
          </w:p>
        </w:tc>
      </w:tr>
      <w:tr w:rsidR="009405C7" w14:paraId="241897AA" w14:textId="77777777" w:rsidTr="00B20255">
        <w:tc>
          <w:tcPr>
            <w:tcW w:w="5403" w:type="dxa"/>
          </w:tcPr>
          <w:p w14:paraId="232E8B5E" w14:textId="61EFA89E" w:rsidR="009405C7" w:rsidRPr="00C131D6" w:rsidRDefault="00C131D6" w:rsidP="009405C7">
            <w:pPr>
              <w:pStyle w:val="MDPI31text"/>
              <w:ind w:left="0" w:firstLine="0"/>
              <w:rPr>
                <w:rFonts w:asciiTheme="majorBidi" w:hAnsiTheme="majorBidi" w:cstheme="majorBidi"/>
                <w:color w:val="auto"/>
                <w:sz w:val="24"/>
                <w:szCs w:val="24"/>
              </w:rPr>
            </w:pPr>
            <w:r w:rsidRPr="00C131D6">
              <w:rPr>
                <w:rFonts w:asciiTheme="majorBidi" w:hAnsiTheme="majorBidi" w:cstheme="majorBidi"/>
                <w:color w:val="auto"/>
                <w:sz w:val="24"/>
                <w:szCs w:val="24"/>
                <w:lang w:val="nb-NO"/>
              </w:rPr>
              <w:lastRenderedPageBreak/>
              <w:t xml:space="preserve">Henderson HI, </w:t>
            </w:r>
            <w:proofErr w:type="spellStart"/>
            <w:r w:rsidRPr="00C131D6">
              <w:rPr>
                <w:rFonts w:asciiTheme="majorBidi" w:hAnsiTheme="majorBidi" w:cstheme="majorBidi"/>
                <w:color w:val="auto"/>
                <w:sz w:val="24"/>
                <w:szCs w:val="24"/>
                <w:lang w:val="nb-NO"/>
              </w:rPr>
              <w:t>Wohl</w:t>
            </w:r>
            <w:proofErr w:type="spellEnd"/>
            <w:r w:rsidRPr="00C131D6">
              <w:rPr>
                <w:rFonts w:asciiTheme="majorBidi" w:hAnsiTheme="majorBidi" w:cstheme="majorBidi"/>
                <w:color w:val="auto"/>
                <w:sz w:val="24"/>
                <w:szCs w:val="24"/>
                <w:lang w:val="nb-NO"/>
              </w:rPr>
              <w:t xml:space="preserve"> DA, Fischer WA, Bartelt LA, van </w:t>
            </w:r>
            <w:proofErr w:type="spellStart"/>
            <w:r w:rsidRPr="00C131D6">
              <w:rPr>
                <w:rFonts w:asciiTheme="majorBidi" w:hAnsiTheme="majorBidi" w:cstheme="majorBidi"/>
                <w:color w:val="auto"/>
                <w:sz w:val="24"/>
                <w:szCs w:val="24"/>
                <w:lang w:val="nb-NO"/>
              </w:rPr>
              <w:t>Duin</w:t>
            </w:r>
            <w:proofErr w:type="spellEnd"/>
            <w:r w:rsidRPr="00C131D6">
              <w:rPr>
                <w:rFonts w:asciiTheme="majorBidi" w:hAnsiTheme="majorBidi" w:cstheme="majorBidi"/>
                <w:color w:val="auto"/>
                <w:sz w:val="24"/>
                <w:szCs w:val="24"/>
                <w:lang w:val="nb-NO"/>
              </w:rPr>
              <w:t xml:space="preserve"> D, Agil DM, Browne LE, Li K-P, </w:t>
            </w:r>
            <w:proofErr w:type="spellStart"/>
            <w:r w:rsidRPr="00C131D6">
              <w:rPr>
                <w:rFonts w:asciiTheme="majorBidi" w:hAnsiTheme="majorBidi" w:cstheme="majorBidi"/>
                <w:color w:val="auto"/>
                <w:sz w:val="24"/>
                <w:szCs w:val="24"/>
                <w:lang w:val="nb-NO"/>
              </w:rPr>
              <w:t>Moy</w:t>
            </w:r>
            <w:proofErr w:type="spellEnd"/>
            <w:r w:rsidRPr="00C131D6">
              <w:rPr>
                <w:rFonts w:asciiTheme="majorBidi" w:hAnsiTheme="majorBidi" w:cstheme="majorBidi"/>
                <w:color w:val="auto"/>
                <w:sz w:val="24"/>
                <w:szCs w:val="24"/>
                <w:lang w:val="nb-NO"/>
              </w:rPr>
              <w:t xml:space="preserve"> A, </w:t>
            </w:r>
            <w:proofErr w:type="spellStart"/>
            <w:r w:rsidRPr="00C131D6">
              <w:rPr>
                <w:rFonts w:asciiTheme="majorBidi" w:hAnsiTheme="majorBidi" w:cstheme="majorBidi"/>
                <w:color w:val="auto"/>
                <w:sz w:val="24"/>
                <w:szCs w:val="24"/>
                <w:lang w:val="nb-NO"/>
              </w:rPr>
              <w:t>Eron</w:t>
            </w:r>
            <w:proofErr w:type="spellEnd"/>
            <w:r w:rsidRPr="00C131D6">
              <w:rPr>
                <w:rFonts w:asciiTheme="majorBidi" w:hAnsiTheme="majorBidi" w:cstheme="majorBidi"/>
                <w:color w:val="auto"/>
                <w:sz w:val="24"/>
                <w:szCs w:val="24"/>
                <w:lang w:val="nb-NO"/>
              </w:rPr>
              <w:t xml:space="preserve"> JJ, </w:t>
            </w:r>
            <w:proofErr w:type="spellStart"/>
            <w:r w:rsidRPr="00C131D6">
              <w:rPr>
                <w:rFonts w:asciiTheme="majorBidi" w:hAnsiTheme="majorBidi" w:cstheme="majorBidi"/>
                <w:color w:val="auto"/>
                <w:sz w:val="24"/>
                <w:szCs w:val="24"/>
                <w:lang w:val="nb-NO"/>
              </w:rPr>
              <w:t>Napravnik</w:t>
            </w:r>
            <w:proofErr w:type="spellEnd"/>
            <w:r w:rsidRPr="00C131D6">
              <w:rPr>
                <w:rFonts w:asciiTheme="majorBidi" w:hAnsiTheme="majorBidi" w:cstheme="majorBidi"/>
                <w:color w:val="auto"/>
                <w:sz w:val="24"/>
                <w:szCs w:val="24"/>
                <w:lang w:val="nb-NO"/>
              </w:rPr>
              <w:t xml:space="preserve"> S. (2024). </w:t>
            </w:r>
            <w:r w:rsidRPr="00C131D6">
              <w:rPr>
                <w:rFonts w:asciiTheme="majorBidi" w:hAnsiTheme="majorBidi" w:cstheme="majorBidi"/>
                <w:color w:val="auto"/>
                <w:sz w:val="24"/>
                <w:szCs w:val="24"/>
              </w:rPr>
              <w:t>COVID-19 hospitalization risk after outpatient nirmatrelvir/ritonavir use, January to August 2022, North Carolina. Journal of Antimicrobial Chemotherapy. 79(3):859–867. https://doi.org/10.1093/jac/dkae042</w:t>
            </w:r>
          </w:p>
        </w:tc>
        <w:tc>
          <w:tcPr>
            <w:tcW w:w="5938" w:type="dxa"/>
          </w:tcPr>
          <w:p w14:paraId="4BA56B77" w14:textId="77777777" w:rsidR="009405C7" w:rsidRPr="00C131D6" w:rsidRDefault="009405C7" w:rsidP="009405C7">
            <w:pPr>
              <w:pStyle w:val="MDPI31text"/>
              <w:ind w:left="0" w:firstLine="0"/>
              <w:rPr>
                <w:rFonts w:asciiTheme="majorBidi" w:hAnsiTheme="majorBidi" w:cstheme="majorBidi"/>
                <w:color w:val="auto"/>
                <w:sz w:val="24"/>
                <w:szCs w:val="24"/>
              </w:rPr>
            </w:pPr>
            <w:r w:rsidRPr="00C131D6">
              <w:rPr>
                <w:rFonts w:asciiTheme="majorBidi" w:hAnsiTheme="majorBidi" w:cstheme="majorBidi"/>
                <w:color w:val="auto"/>
                <w:sz w:val="24"/>
                <w:szCs w:val="24"/>
              </w:rPr>
              <w:t xml:space="preserve">Outside the prespecified review scope. This study primarily evaluates the effectiveness of outpatient nirmatrelvir/ritonavir (Paxlovid) in reducing COVID-19–related hospitalization. Vaccination status is included only as a covariate or predictor and the study does not report absolute or relative vaccine effectiveness (VE or </w:t>
            </w:r>
            <w:proofErr w:type="spellStart"/>
            <w:r w:rsidRPr="00C131D6">
              <w:rPr>
                <w:rFonts w:asciiTheme="majorBidi" w:hAnsiTheme="majorBidi" w:cstheme="majorBidi"/>
                <w:color w:val="auto"/>
                <w:sz w:val="24"/>
                <w:szCs w:val="24"/>
              </w:rPr>
              <w:t>rVE</w:t>
            </w:r>
            <w:proofErr w:type="spellEnd"/>
            <w:r w:rsidRPr="00C131D6">
              <w:rPr>
                <w:rFonts w:asciiTheme="majorBidi" w:hAnsiTheme="majorBidi" w:cstheme="majorBidi"/>
                <w:color w:val="auto"/>
                <w:sz w:val="24"/>
                <w:szCs w:val="24"/>
              </w:rPr>
              <w:t>) estimates comparing vaccinated and unvaccinated individuals. The effect measures therefore relate to antiviral treatment effectiveness rather than vaccine effectiveness.</w:t>
            </w:r>
          </w:p>
        </w:tc>
      </w:tr>
      <w:tr w:rsidR="009405C7" w14:paraId="50A42BE8" w14:textId="77777777" w:rsidTr="00B20255">
        <w:tc>
          <w:tcPr>
            <w:tcW w:w="5403" w:type="dxa"/>
          </w:tcPr>
          <w:p w14:paraId="5E7F09A8" w14:textId="01FAA5C5" w:rsidR="009405C7" w:rsidRPr="001D02E4" w:rsidRDefault="00C159C4" w:rsidP="009405C7">
            <w:pPr>
              <w:pStyle w:val="MDPI31text"/>
              <w:ind w:left="0" w:firstLine="0"/>
              <w:rPr>
                <w:rFonts w:asciiTheme="majorBidi" w:hAnsiTheme="majorBidi" w:cstheme="majorBidi"/>
                <w:color w:val="auto"/>
                <w:sz w:val="24"/>
                <w:szCs w:val="24"/>
              </w:rPr>
            </w:pPr>
            <w:r w:rsidRPr="001D02E4">
              <w:rPr>
                <w:rFonts w:asciiTheme="majorBidi" w:hAnsiTheme="majorBidi" w:cstheme="majorBidi"/>
                <w:color w:val="auto"/>
                <w:sz w:val="24"/>
                <w:szCs w:val="24"/>
              </w:rPr>
              <w:t xml:space="preserve">Horne EMF, Hulme WJ, Keogh RH, Palmer TM, Williamson EJ, Parker EPP, Green A, et al. Waning effectiveness of BNT162b2 and ChAdOx1 covid-19 vaccines over six months since second dose: </w:t>
            </w:r>
            <w:proofErr w:type="spellStart"/>
            <w:r w:rsidRPr="001D02E4">
              <w:rPr>
                <w:rFonts w:asciiTheme="majorBidi" w:hAnsiTheme="majorBidi" w:cstheme="majorBidi"/>
                <w:color w:val="auto"/>
                <w:sz w:val="24"/>
                <w:szCs w:val="24"/>
              </w:rPr>
              <w:t>OpenSAFELY</w:t>
            </w:r>
            <w:proofErr w:type="spellEnd"/>
            <w:r w:rsidRPr="001D02E4">
              <w:rPr>
                <w:rFonts w:asciiTheme="majorBidi" w:hAnsiTheme="majorBidi" w:cstheme="majorBidi"/>
                <w:color w:val="auto"/>
                <w:sz w:val="24"/>
                <w:szCs w:val="24"/>
              </w:rPr>
              <w:t xml:space="preserve"> cohort study using linked electronic health records. BMJ. 2022;377:e071249. doi:10.1136/bmj-2022-071249.</w:t>
            </w:r>
          </w:p>
        </w:tc>
        <w:tc>
          <w:tcPr>
            <w:tcW w:w="5938" w:type="dxa"/>
          </w:tcPr>
          <w:p w14:paraId="4AA25503" w14:textId="77777777" w:rsidR="009405C7" w:rsidRPr="001D02E4" w:rsidRDefault="009405C7" w:rsidP="009405C7">
            <w:pPr>
              <w:pStyle w:val="MDPI31text"/>
              <w:ind w:left="0" w:firstLine="0"/>
              <w:rPr>
                <w:rFonts w:asciiTheme="majorBidi" w:hAnsiTheme="majorBidi" w:cstheme="majorBidi"/>
                <w:color w:val="auto"/>
                <w:sz w:val="24"/>
                <w:szCs w:val="24"/>
              </w:rPr>
            </w:pPr>
            <w:r w:rsidRPr="001D02E4">
              <w:rPr>
                <w:rFonts w:asciiTheme="majorBidi" w:hAnsiTheme="majorBidi" w:cstheme="majorBidi"/>
                <w:color w:val="auto"/>
                <w:sz w:val="24"/>
                <w:szCs w:val="24"/>
              </w:rPr>
              <w:t>Outside the prespecified review scope. This study evaluates waning effectiveness following a two-dose primary series of monovalent vaccines during Alpha and Delta-dominant periods, with minimal Omicron circulation. It predates booster and updated/bivalent vaccines and does not address contemporary Omicron-era vaccine effectiveness against severe outcomes central to this review.</w:t>
            </w:r>
          </w:p>
        </w:tc>
      </w:tr>
      <w:tr w:rsidR="009405C7" w14:paraId="57619BC6" w14:textId="77777777" w:rsidTr="00B20255">
        <w:tc>
          <w:tcPr>
            <w:tcW w:w="5403" w:type="dxa"/>
          </w:tcPr>
          <w:p w14:paraId="453538A0" w14:textId="76E1C3B5" w:rsidR="009405C7" w:rsidRPr="001D02E4" w:rsidRDefault="001D02E4" w:rsidP="009405C7">
            <w:pPr>
              <w:pStyle w:val="MDPI31text"/>
              <w:ind w:left="0" w:firstLine="0"/>
              <w:rPr>
                <w:rFonts w:asciiTheme="majorBidi" w:hAnsiTheme="majorBidi" w:cstheme="majorBidi"/>
                <w:color w:val="auto"/>
                <w:sz w:val="24"/>
                <w:szCs w:val="24"/>
              </w:rPr>
            </w:pPr>
            <w:r w:rsidRPr="001D02E4">
              <w:rPr>
                <w:rFonts w:asciiTheme="majorBidi" w:hAnsiTheme="majorBidi" w:cstheme="majorBidi"/>
                <w:color w:val="auto"/>
                <w:sz w:val="24"/>
                <w:szCs w:val="24"/>
              </w:rPr>
              <w:t xml:space="preserve">Horváth JK, Túri G, </w:t>
            </w:r>
            <w:proofErr w:type="spellStart"/>
            <w:r w:rsidRPr="001D02E4">
              <w:rPr>
                <w:rFonts w:asciiTheme="majorBidi" w:hAnsiTheme="majorBidi" w:cstheme="majorBidi"/>
                <w:color w:val="auto"/>
                <w:sz w:val="24"/>
                <w:szCs w:val="24"/>
              </w:rPr>
              <w:t>Krisztalovics</w:t>
            </w:r>
            <w:proofErr w:type="spellEnd"/>
            <w:r w:rsidRPr="001D02E4">
              <w:rPr>
                <w:rFonts w:asciiTheme="majorBidi" w:hAnsiTheme="majorBidi" w:cstheme="majorBidi"/>
                <w:color w:val="auto"/>
                <w:sz w:val="24"/>
                <w:szCs w:val="24"/>
              </w:rPr>
              <w:t xml:space="preserve"> K, Kristóf K, Oroszi B. Vaccine effectiveness against GP-attended symptomatic COVID-19 and hybrid immunity among adults in Hungary during the 2022–2023 respiratory season dominated by different SARS-CoV-2 Omicron subvariants. Vaccines (Basel). 2024;12(5):496. doi:10.3390/vaccines12050496.</w:t>
            </w:r>
          </w:p>
        </w:tc>
        <w:tc>
          <w:tcPr>
            <w:tcW w:w="5938" w:type="dxa"/>
          </w:tcPr>
          <w:p w14:paraId="25CA27B2" w14:textId="159CB2C9" w:rsidR="009405C7" w:rsidRPr="001D02E4" w:rsidRDefault="009405C7" w:rsidP="009405C7">
            <w:pPr>
              <w:pStyle w:val="MDPI31text"/>
              <w:ind w:left="0" w:firstLine="0"/>
              <w:rPr>
                <w:rFonts w:asciiTheme="majorBidi" w:hAnsiTheme="majorBidi" w:cstheme="majorBidi"/>
                <w:color w:val="auto"/>
                <w:sz w:val="24"/>
                <w:szCs w:val="24"/>
              </w:rPr>
            </w:pPr>
            <w:r w:rsidRPr="001D02E4">
              <w:rPr>
                <w:rFonts w:asciiTheme="majorBidi" w:hAnsiTheme="majorBidi" w:cstheme="majorBidi"/>
                <w:color w:val="auto"/>
                <w:sz w:val="24"/>
                <w:szCs w:val="24"/>
              </w:rPr>
              <w:t>Outside the prespecified review scope. The study evaluates vaccine effectiveness against GP-attended symptomatic SARS-CoV-2 infection in a primary care setting, with a focus on hybrid immunity, and does not assess severe clinical outcomes (hospitali</w:t>
            </w:r>
            <w:r w:rsidR="00F10ED1" w:rsidRPr="001D02E4">
              <w:rPr>
                <w:rFonts w:asciiTheme="majorBidi" w:hAnsiTheme="majorBidi" w:cstheme="majorBidi"/>
                <w:color w:val="auto"/>
                <w:sz w:val="24"/>
                <w:szCs w:val="24"/>
              </w:rPr>
              <w:t>z</w:t>
            </w:r>
            <w:r w:rsidRPr="001D02E4">
              <w:rPr>
                <w:rFonts w:asciiTheme="majorBidi" w:hAnsiTheme="majorBidi" w:cstheme="majorBidi"/>
                <w:color w:val="auto"/>
                <w:sz w:val="24"/>
                <w:szCs w:val="24"/>
              </w:rPr>
              <w:t xml:space="preserve">ation, ICU admission, or death) that are </w:t>
            </w:r>
            <w:r w:rsidR="00AA15B8" w:rsidRPr="001D02E4">
              <w:rPr>
                <w:rFonts w:asciiTheme="majorBidi" w:hAnsiTheme="majorBidi" w:cstheme="majorBidi"/>
                <w:color w:val="auto"/>
                <w:sz w:val="24"/>
                <w:szCs w:val="24"/>
              </w:rPr>
              <w:t>prioritized</w:t>
            </w:r>
            <w:r w:rsidRPr="001D02E4">
              <w:rPr>
                <w:rFonts w:asciiTheme="majorBidi" w:hAnsiTheme="majorBidi" w:cstheme="majorBidi"/>
                <w:color w:val="auto"/>
                <w:sz w:val="24"/>
                <w:szCs w:val="24"/>
              </w:rPr>
              <w:t xml:space="preserve"> in this review.</w:t>
            </w:r>
          </w:p>
        </w:tc>
      </w:tr>
      <w:tr w:rsidR="009405C7" w14:paraId="7AA2A050" w14:textId="77777777" w:rsidTr="00B20255">
        <w:tc>
          <w:tcPr>
            <w:tcW w:w="5403" w:type="dxa"/>
          </w:tcPr>
          <w:p w14:paraId="56A1D90A" w14:textId="752D21D1" w:rsidR="009405C7" w:rsidRPr="001D02E4" w:rsidRDefault="001D02E4" w:rsidP="009405C7">
            <w:pPr>
              <w:pStyle w:val="MDPI31text"/>
              <w:ind w:left="0" w:firstLine="0"/>
              <w:rPr>
                <w:rFonts w:asciiTheme="majorBidi" w:hAnsiTheme="majorBidi" w:cstheme="majorBidi"/>
                <w:color w:val="auto"/>
                <w:sz w:val="24"/>
                <w:szCs w:val="24"/>
              </w:rPr>
            </w:pPr>
            <w:r w:rsidRPr="001D02E4">
              <w:rPr>
                <w:rFonts w:asciiTheme="majorBidi" w:hAnsiTheme="majorBidi" w:cstheme="majorBidi"/>
                <w:color w:val="auto"/>
                <w:sz w:val="24"/>
                <w:szCs w:val="24"/>
              </w:rPr>
              <w:t>Hsu C-Y, Chang J-C, Chen S-L-S, Chang H-H, Lin AT-Y, Yen AM-F, Chen H-H. (2023). Primary and booster vaccination in reducing severe clinical outcomes associated with Omicron naïve infection. Journal of Infection and Public Health. 16(1):55–63. https://doi.org/10.1016/j.jiph.2022.11.028</w:t>
            </w:r>
          </w:p>
        </w:tc>
        <w:tc>
          <w:tcPr>
            <w:tcW w:w="5938" w:type="dxa"/>
          </w:tcPr>
          <w:p w14:paraId="1A1033DF" w14:textId="77777777" w:rsidR="009405C7" w:rsidRPr="001D02E4" w:rsidRDefault="009405C7" w:rsidP="009405C7">
            <w:pPr>
              <w:pStyle w:val="MDPI31text"/>
              <w:ind w:left="0" w:firstLine="0"/>
              <w:rPr>
                <w:rFonts w:asciiTheme="majorBidi" w:hAnsiTheme="majorBidi" w:cstheme="majorBidi"/>
                <w:color w:val="auto"/>
                <w:sz w:val="24"/>
                <w:szCs w:val="24"/>
              </w:rPr>
            </w:pPr>
            <w:r w:rsidRPr="001D02E4">
              <w:rPr>
                <w:rFonts w:asciiTheme="majorBidi" w:hAnsiTheme="majorBidi" w:cstheme="majorBidi"/>
                <w:color w:val="auto"/>
                <w:sz w:val="24"/>
                <w:szCs w:val="24"/>
              </w:rPr>
              <w:t>Outside the prespecified review scope. This study uses aggregated, population-level surveillance data and Bayesian hierarchical modelling to estimate population effectiveness of vaccination, NPIs, and oral antiviral therapy, rather than providing individual-level vaccine effectiveness estimates derived from cohort or test-negative designs required for inclusion in this review.</w:t>
            </w:r>
          </w:p>
        </w:tc>
      </w:tr>
      <w:tr w:rsidR="009405C7" w14:paraId="2B1C60EC" w14:textId="77777777" w:rsidTr="00B20255">
        <w:tc>
          <w:tcPr>
            <w:tcW w:w="5403" w:type="dxa"/>
          </w:tcPr>
          <w:p w14:paraId="4BED2701" w14:textId="57BD3930" w:rsidR="009405C7" w:rsidRPr="0037601F" w:rsidRDefault="0037601F" w:rsidP="009405C7">
            <w:pPr>
              <w:pStyle w:val="MDPI31text"/>
              <w:ind w:left="0" w:firstLine="0"/>
              <w:rPr>
                <w:rFonts w:asciiTheme="majorBidi" w:hAnsiTheme="majorBidi" w:cstheme="majorBidi"/>
                <w:color w:val="auto"/>
                <w:sz w:val="24"/>
                <w:szCs w:val="24"/>
              </w:rPr>
            </w:pPr>
            <w:r w:rsidRPr="0037601F">
              <w:rPr>
                <w:rFonts w:asciiTheme="majorBidi" w:hAnsiTheme="majorBidi" w:cstheme="majorBidi"/>
                <w:color w:val="auto"/>
                <w:sz w:val="24"/>
                <w:szCs w:val="24"/>
              </w:rPr>
              <w:t>Huang E, Kurkure S, Seo Y, Lau K, Puglisi J. The effectiveness of vaccination on the COVID-19 epidemic in California. Am J Infect Control. 2024;52(11):1252–1257. doi:10.1016/j.ajic.2024.05.020.</w:t>
            </w:r>
          </w:p>
        </w:tc>
        <w:tc>
          <w:tcPr>
            <w:tcW w:w="5938" w:type="dxa"/>
          </w:tcPr>
          <w:p w14:paraId="63FE3AA3" w14:textId="77777777" w:rsidR="009405C7" w:rsidRPr="0037601F" w:rsidRDefault="009405C7" w:rsidP="009405C7">
            <w:pPr>
              <w:pStyle w:val="MDPI31text"/>
              <w:ind w:left="0" w:firstLine="0"/>
              <w:rPr>
                <w:rFonts w:asciiTheme="majorBidi" w:hAnsiTheme="majorBidi" w:cstheme="majorBidi"/>
                <w:color w:val="auto"/>
                <w:sz w:val="24"/>
                <w:szCs w:val="24"/>
              </w:rPr>
            </w:pPr>
            <w:r w:rsidRPr="0037601F">
              <w:rPr>
                <w:rFonts w:asciiTheme="majorBidi" w:hAnsiTheme="majorBidi" w:cstheme="majorBidi"/>
                <w:color w:val="auto"/>
                <w:sz w:val="24"/>
                <w:szCs w:val="24"/>
              </w:rPr>
              <w:t>Outside the prespecified review scope. This study uses aggregated, state-level surveillance data to assess population-level impact of vaccination and reports ecological effect measures (e.g., incidence risk ratios, preventive fractions), rather than individual-level vaccine effectiveness estimates derived from cohort or test-negative designs required for inclusion in this review.</w:t>
            </w:r>
          </w:p>
        </w:tc>
      </w:tr>
      <w:tr w:rsidR="009405C7" w14:paraId="58548B4F" w14:textId="77777777" w:rsidTr="00B20255">
        <w:tc>
          <w:tcPr>
            <w:tcW w:w="5403" w:type="dxa"/>
          </w:tcPr>
          <w:p w14:paraId="6B0BBA9C" w14:textId="218D8173" w:rsidR="009405C7" w:rsidRPr="003A7725" w:rsidRDefault="003A7725" w:rsidP="009405C7">
            <w:pPr>
              <w:pStyle w:val="MDPI31text"/>
              <w:ind w:left="0" w:firstLine="0"/>
              <w:rPr>
                <w:rFonts w:asciiTheme="majorBidi" w:hAnsiTheme="majorBidi" w:cstheme="majorBidi"/>
                <w:color w:val="auto"/>
                <w:sz w:val="24"/>
                <w:szCs w:val="24"/>
              </w:rPr>
            </w:pPr>
            <w:r w:rsidRPr="003A7725">
              <w:rPr>
                <w:rFonts w:asciiTheme="majorBidi" w:hAnsiTheme="majorBidi" w:cstheme="majorBidi"/>
                <w:color w:val="auto"/>
                <w:sz w:val="24"/>
                <w:szCs w:val="24"/>
              </w:rPr>
              <w:t xml:space="preserve">Huang FS, Duan Q, Araya A, Sheets A, </w:t>
            </w:r>
            <w:proofErr w:type="spellStart"/>
            <w:r w:rsidRPr="003A7725">
              <w:rPr>
                <w:rFonts w:asciiTheme="majorBidi" w:hAnsiTheme="majorBidi" w:cstheme="majorBidi"/>
                <w:color w:val="auto"/>
                <w:sz w:val="24"/>
                <w:szCs w:val="24"/>
              </w:rPr>
              <w:t>Schaffzin</w:t>
            </w:r>
            <w:proofErr w:type="spellEnd"/>
            <w:r w:rsidRPr="003A7725">
              <w:rPr>
                <w:rFonts w:asciiTheme="majorBidi" w:hAnsiTheme="majorBidi" w:cstheme="majorBidi"/>
                <w:color w:val="auto"/>
                <w:sz w:val="24"/>
                <w:szCs w:val="24"/>
              </w:rPr>
              <w:t xml:space="preserve"> JK. Effectiveness of COVID-19 vaccination to prevent health care personnel absences: A single site experience. Am J Infect Control. 2025;53(10):1350–1353. doi:10.1016/j.ajic.2025.08.016.</w:t>
            </w:r>
          </w:p>
        </w:tc>
        <w:tc>
          <w:tcPr>
            <w:tcW w:w="5938" w:type="dxa"/>
          </w:tcPr>
          <w:p w14:paraId="3C02F3EC" w14:textId="77777777" w:rsidR="009405C7" w:rsidRPr="003A7725" w:rsidRDefault="009405C7" w:rsidP="009405C7">
            <w:pPr>
              <w:pStyle w:val="MDPI31text"/>
              <w:ind w:left="0" w:firstLine="0"/>
              <w:rPr>
                <w:rFonts w:asciiTheme="majorBidi" w:hAnsiTheme="majorBidi" w:cstheme="majorBidi"/>
                <w:color w:val="auto"/>
                <w:sz w:val="24"/>
                <w:szCs w:val="24"/>
              </w:rPr>
            </w:pPr>
            <w:r w:rsidRPr="003A7725">
              <w:rPr>
                <w:rFonts w:asciiTheme="majorBidi" w:hAnsiTheme="majorBidi" w:cstheme="majorBidi"/>
                <w:color w:val="auto"/>
                <w:sz w:val="24"/>
                <w:szCs w:val="24"/>
              </w:rPr>
              <w:t xml:space="preserve">Outside the prespecified review scope. This study evaluates the association between COVID-19 vaccination and health care personnel absenteeism as a workforce outcome. It does not report absolute or relative vaccine effectiveness (VE or </w:t>
            </w:r>
            <w:proofErr w:type="spellStart"/>
            <w:r w:rsidRPr="003A7725">
              <w:rPr>
                <w:rFonts w:asciiTheme="majorBidi" w:hAnsiTheme="majorBidi" w:cstheme="majorBidi"/>
                <w:color w:val="auto"/>
                <w:sz w:val="24"/>
                <w:szCs w:val="24"/>
              </w:rPr>
              <w:t>rVE</w:t>
            </w:r>
            <w:proofErr w:type="spellEnd"/>
            <w:r w:rsidRPr="003A7725">
              <w:rPr>
                <w:rFonts w:asciiTheme="majorBidi" w:hAnsiTheme="majorBidi" w:cstheme="majorBidi"/>
                <w:color w:val="auto"/>
                <w:sz w:val="24"/>
                <w:szCs w:val="24"/>
              </w:rPr>
              <w:t>) against SARS-CoV-2 infection, hospitalization, or other clinical outcomes using standard cohort or test-</w:t>
            </w:r>
            <w:r w:rsidRPr="003A7725">
              <w:rPr>
                <w:rFonts w:asciiTheme="majorBidi" w:hAnsiTheme="majorBidi" w:cstheme="majorBidi"/>
                <w:color w:val="auto"/>
                <w:sz w:val="24"/>
                <w:szCs w:val="24"/>
              </w:rPr>
              <w:lastRenderedPageBreak/>
              <w:t>negative designs. The effect measures are therefore not comparable with the vaccine effectiveness estimates synthesized in this review.</w:t>
            </w:r>
          </w:p>
        </w:tc>
      </w:tr>
      <w:tr w:rsidR="009405C7" w14:paraId="7A8CCEF0" w14:textId="77777777" w:rsidTr="00B20255">
        <w:tc>
          <w:tcPr>
            <w:tcW w:w="5403" w:type="dxa"/>
          </w:tcPr>
          <w:p w14:paraId="3E714917" w14:textId="3E544295" w:rsidR="009405C7" w:rsidRPr="00747F2C" w:rsidRDefault="00747F2C" w:rsidP="009405C7">
            <w:pPr>
              <w:pStyle w:val="MDPI31text"/>
              <w:ind w:left="0" w:firstLine="0"/>
              <w:rPr>
                <w:rFonts w:asciiTheme="majorBidi" w:hAnsiTheme="majorBidi" w:cstheme="majorBidi"/>
                <w:color w:val="auto"/>
                <w:sz w:val="24"/>
                <w:szCs w:val="24"/>
              </w:rPr>
            </w:pPr>
            <w:r w:rsidRPr="00747F2C">
              <w:rPr>
                <w:rFonts w:asciiTheme="majorBidi" w:hAnsiTheme="majorBidi" w:cstheme="majorBidi"/>
                <w:color w:val="auto"/>
                <w:sz w:val="24"/>
                <w:szCs w:val="24"/>
                <w:lang w:val="en-AU"/>
              </w:rPr>
              <w:lastRenderedPageBreak/>
              <w:t xml:space="preserve">Huang Y-T, Chen Y-C, Chuang C-H, Chang S-H, Chiu C-H. Effectiveness of mix-and-match vaccination in preventing SARS-CoV-2 Omicron variant infection in Taiwan: A test-negative control study. </w:t>
            </w:r>
            <w:r w:rsidRPr="0002017A">
              <w:rPr>
                <w:rFonts w:asciiTheme="majorBidi" w:hAnsiTheme="majorBidi" w:cstheme="majorBidi"/>
                <w:color w:val="auto"/>
                <w:sz w:val="24"/>
                <w:szCs w:val="24"/>
                <w:lang w:val="en-AU"/>
              </w:rPr>
              <w:t>Vaccines (Basel). 2023;11(9):1441. doi:10.3390/vaccines11091441.</w:t>
            </w:r>
          </w:p>
        </w:tc>
        <w:tc>
          <w:tcPr>
            <w:tcW w:w="5938" w:type="dxa"/>
          </w:tcPr>
          <w:p w14:paraId="1B0DC6B5" w14:textId="77777777" w:rsidR="009405C7" w:rsidRPr="00747F2C" w:rsidRDefault="009405C7" w:rsidP="009405C7">
            <w:pPr>
              <w:pStyle w:val="MDPI31text"/>
              <w:ind w:left="0" w:firstLine="0"/>
              <w:rPr>
                <w:rFonts w:asciiTheme="majorBidi" w:hAnsiTheme="majorBidi" w:cstheme="majorBidi"/>
                <w:color w:val="auto"/>
                <w:sz w:val="24"/>
                <w:szCs w:val="24"/>
              </w:rPr>
            </w:pPr>
            <w:r w:rsidRPr="00747F2C">
              <w:rPr>
                <w:rFonts w:asciiTheme="majorBidi" w:hAnsiTheme="majorBidi" w:cstheme="majorBidi"/>
                <w:color w:val="auto"/>
                <w:sz w:val="24"/>
                <w:szCs w:val="24"/>
              </w:rPr>
              <w:t>Outside the prespecified review scope. The study evaluates ancestral vaccine mix-and-match regimens during early Omicron circulation (March–August 2022), with PCR-confirmed infection as the primary outcome. It predates the variant-adapted/bivalent vaccine era and does not provide effectiveness estimates for later Omicron subvariants or focus on severe clinical outcomes prioritized in this review.</w:t>
            </w:r>
          </w:p>
        </w:tc>
      </w:tr>
      <w:tr w:rsidR="009405C7" w14:paraId="15144EBB" w14:textId="77777777" w:rsidTr="00B20255">
        <w:tc>
          <w:tcPr>
            <w:tcW w:w="5403" w:type="dxa"/>
          </w:tcPr>
          <w:p w14:paraId="06EBCE71" w14:textId="716C4BA1" w:rsidR="009405C7" w:rsidRPr="009162C1" w:rsidRDefault="009162C1" w:rsidP="009405C7">
            <w:pPr>
              <w:pStyle w:val="MDPI31text"/>
              <w:ind w:left="0" w:firstLine="0"/>
              <w:rPr>
                <w:rFonts w:asciiTheme="majorBidi" w:hAnsiTheme="majorBidi" w:cstheme="majorBidi"/>
                <w:color w:val="auto"/>
                <w:sz w:val="24"/>
                <w:szCs w:val="24"/>
              </w:rPr>
            </w:pPr>
            <w:r w:rsidRPr="009162C1">
              <w:rPr>
                <w:rFonts w:asciiTheme="majorBidi" w:hAnsiTheme="majorBidi" w:cstheme="majorBidi"/>
                <w:color w:val="auto"/>
                <w:sz w:val="24"/>
                <w:szCs w:val="24"/>
              </w:rPr>
              <w:t>Huang Z, Xu S, Liu J, Wu L, Qiu J, Wang N, Ren J, Li Z, Guo X, Tao F, Chen J, Lu D, Sun X, Wang W. Effectiveness of inactivated and Ad5-nCoV COVID-19 vaccines against SARS-CoV-2 Omicron BA.2 variant infection, severe illness, and death. BMC Med. 2022;20:400. doi:10.1186/s12916-022-02606-8.</w:t>
            </w:r>
          </w:p>
        </w:tc>
        <w:tc>
          <w:tcPr>
            <w:tcW w:w="5938" w:type="dxa"/>
          </w:tcPr>
          <w:p w14:paraId="1F5B8544" w14:textId="48F01575" w:rsidR="009405C7" w:rsidRPr="009162C1" w:rsidRDefault="009405C7" w:rsidP="009405C7">
            <w:pPr>
              <w:pStyle w:val="MDPI31text"/>
              <w:ind w:left="0" w:firstLine="0"/>
              <w:rPr>
                <w:rFonts w:asciiTheme="majorBidi" w:hAnsiTheme="majorBidi" w:cstheme="majorBidi"/>
                <w:color w:val="auto"/>
                <w:sz w:val="24"/>
                <w:szCs w:val="24"/>
              </w:rPr>
            </w:pPr>
            <w:r w:rsidRPr="009162C1">
              <w:rPr>
                <w:rFonts w:asciiTheme="majorBidi" w:hAnsiTheme="majorBidi" w:cstheme="majorBidi"/>
                <w:color w:val="auto"/>
                <w:sz w:val="24"/>
                <w:szCs w:val="24"/>
              </w:rPr>
              <w:t xml:space="preserve">Outside the prespecified review scope. This matched case–control study evaluates inactivated and adenovirus-vectored vaccines during an early Omicron BA.2 period under strict lockdown and mass-testing conditions. It predates later Omicron subvariants and does not assess updated or bivalent vaccine formulations </w:t>
            </w:r>
            <w:r w:rsidR="00AA15B8" w:rsidRPr="009162C1">
              <w:rPr>
                <w:rFonts w:asciiTheme="majorBidi" w:hAnsiTheme="majorBidi" w:cstheme="majorBidi"/>
                <w:color w:val="auto"/>
                <w:sz w:val="24"/>
                <w:szCs w:val="24"/>
              </w:rPr>
              <w:t>prioritized</w:t>
            </w:r>
            <w:r w:rsidRPr="009162C1">
              <w:rPr>
                <w:rFonts w:asciiTheme="majorBidi" w:hAnsiTheme="majorBidi" w:cstheme="majorBidi"/>
                <w:color w:val="auto"/>
                <w:sz w:val="24"/>
                <w:szCs w:val="24"/>
              </w:rPr>
              <w:t xml:space="preserve"> in this review, limiting comparability with contemporary population-based effectiveness estimates.</w:t>
            </w:r>
          </w:p>
        </w:tc>
      </w:tr>
      <w:tr w:rsidR="009405C7" w14:paraId="6AAF0AA4" w14:textId="77777777" w:rsidTr="00B20255">
        <w:tc>
          <w:tcPr>
            <w:tcW w:w="5403" w:type="dxa"/>
          </w:tcPr>
          <w:p w14:paraId="471D2B48" w14:textId="2F631CCA" w:rsidR="009405C7" w:rsidRPr="0081572F" w:rsidRDefault="0081572F" w:rsidP="009405C7">
            <w:pPr>
              <w:pStyle w:val="MDPI31text"/>
              <w:ind w:left="0" w:firstLine="0"/>
              <w:rPr>
                <w:rFonts w:asciiTheme="majorBidi" w:hAnsiTheme="majorBidi" w:cstheme="majorBidi"/>
                <w:color w:val="auto"/>
                <w:sz w:val="24"/>
                <w:szCs w:val="24"/>
              </w:rPr>
            </w:pPr>
            <w:proofErr w:type="spellStart"/>
            <w:r w:rsidRPr="0081572F">
              <w:rPr>
                <w:rFonts w:asciiTheme="majorBidi" w:hAnsiTheme="majorBidi" w:cstheme="majorBidi"/>
                <w:color w:val="auto"/>
                <w:sz w:val="24"/>
                <w:szCs w:val="24"/>
                <w:lang w:val="nb-NO"/>
              </w:rPr>
              <w:t>Huiberts</w:t>
            </w:r>
            <w:proofErr w:type="spellEnd"/>
            <w:r w:rsidRPr="0081572F">
              <w:rPr>
                <w:rFonts w:asciiTheme="majorBidi" w:hAnsiTheme="majorBidi" w:cstheme="majorBidi"/>
                <w:color w:val="auto"/>
                <w:sz w:val="24"/>
                <w:szCs w:val="24"/>
                <w:lang w:val="nb-NO"/>
              </w:rPr>
              <w:t xml:space="preserve"> AJ, </w:t>
            </w:r>
            <w:proofErr w:type="spellStart"/>
            <w:r w:rsidRPr="0081572F">
              <w:rPr>
                <w:rFonts w:asciiTheme="majorBidi" w:hAnsiTheme="majorBidi" w:cstheme="majorBidi"/>
                <w:color w:val="auto"/>
                <w:sz w:val="24"/>
                <w:szCs w:val="24"/>
                <w:lang w:val="nb-NO"/>
              </w:rPr>
              <w:t>Hoeve</w:t>
            </w:r>
            <w:proofErr w:type="spellEnd"/>
            <w:r w:rsidRPr="0081572F">
              <w:rPr>
                <w:rFonts w:asciiTheme="majorBidi" w:hAnsiTheme="majorBidi" w:cstheme="majorBidi"/>
                <w:color w:val="auto"/>
                <w:sz w:val="24"/>
                <w:szCs w:val="24"/>
                <w:lang w:val="nb-NO"/>
              </w:rPr>
              <w:t xml:space="preserve"> CE, de </w:t>
            </w:r>
            <w:proofErr w:type="spellStart"/>
            <w:r w:rsidRPr="0081572F">
              <w:rPr>
                <w:rFonts w:asciiTheme="majorBidi" w:hAnsiTheme="majorBidi" w:cstheme="majorBidi"/>
                <w:color w:val="auto"/>
                <w:sz w:val="24"/>
                <w:szCs w:val="24"/>
                <w:lang w:val="nb-NO"/>
              </w:rPr>
              <w:t>Gier</w:t>
            </w:r>
            <w:proofErr w:type="spellEnd"/>
            <w:r w:rsidRPr="0081572F">
              <w:rPr>
                <w:rFonts w:asciiTheme="majorBidi" w:hAnsiTheme="majorBidi" w:cstheme="majorBidi"/>
                <w:color w:val="auto"/>
                <w:sz w:val="24"/>
                <w:szCs w:val="24"/>
                <w:lang w:val="nb-NO"/>
              </w:rPr>
              <w:t xml:space="preserve"> B, </w:t>
            </w:r>
            <w:proofErr w:type="spellStart"/>
            <w:r w:rsidRPr="0081572F">
              <w:rPr>
                <w:rFonts w:asciiTheme="majorBidi" w:hAnsiTheme="majorBidi" w:cstheme="majorBidi"/>
                <w:color w:val="auto"/>
                <w:sz w:val="24"/>
                <w:szCs w:val="24"/>
                <w:lang w:val="nb-NO"/>
              </w:rPr>
              <w:t>Cremer</w:t>
            </w:r>
            <w:proofErr w:type="spellEnd"/>
            <w:r w:rsidRPr="0081572F">
              <w:rPr>
                <w:rFonts w:asciiTheme="majorBidi" w:hAnsiTheme="majorBidi" w:cstheme="majorBidi"/>
                <w:color w:val="auto"/>
                <w:sz w:val="24"/>
                <w:szCs w:val="24"/>
                <w:lang w:val="nb-NO"/>
              </w:rPr>
              <w:t xml:space="preserve"> J, van der Veer B, de Melker HE, van de </w:t>
            </w:r>
            <w:proofErr w:type="spellStart"/>
            <w:r w:rsidRPr="0081572F">
              <w:rPr>
                <w:rFonts w:asciiTheme="majorBidi" w:hAnsiTheme="majorBidi" w:cstheme="majorBidi"/>
                <w:color w:val="auto"/>
                <w:sz w:val="24"/>
                <w:szCs w:val="24"/>
                <w:lang w:val="nb-NO"/>
              </w:rPr>
              <w:t>Wijgert</w:t>
            </w:r>
            <w:proofErr w:type="spellEnd"/>
            <w:r w:rsidRPr="0081572F">
              <w:rPr>
                <w:rFonts w:asciiTheme="majorBidi" w:hAnsiTheme="majorBidi" w:cstheme="majorBidi"/>
                <w:color w:val="auto"/>
                <w:sz w:val="24"/>
                <w:szCs w:val="24"/>
                <w:lang w:val="nb-NO"/>
              </w:rPr>
              <w:t xml:space="preserve"> JHHM, van den Hof S, </w:t>
            </w:r>
            <w:proofErr w:type="spellStart"/>
            <w:r w:rsidRPr="0081572F">
              <w:rPr>
                <w:rFonts w:asciiTheme="majorBidi" w:hAnsiTheme="majorBidi" w:cstheme="majorBidi"/>
                <w:color w:val="auto"/>
                <w:sz w:val="24"/>
                <w:szCs w:val="24"/>
                <w:lang w:val="nb-NO"/>
              </w:rPr>
              <w:t>Eggink</w:t>
            </w:r>
            <w:proofErr w:type="spellEnd"/>
            <w:r w:rsidRPr="0081572F">
              <w:rPr>
                <w:rFonts w:asciiTheme="majorBidi" w:hAnsiTheme="majorBidi" w:cstheme="majorBidi"/>
                <w:color w:val="auto"/>
                <w:sz w:val="24"/>
                <w:szCs w:val="24"/>
                <w:lang w:val="nb-NO"/>
              </w:rPr>
              <w:t xml:space="preserve"> D, </w:t>
            </w:r>
            <w:proofErr w:type="spellStart"/>
            <w:r w:rsidRPr="0081572F">
              <w:rPr>
                <w:rFonts w:asciiTheme="majorBidi" w:hAnsiTheme="majorBidi" w:cstheme="majorBidi"/>
                <w:color w:val="auto"/>
                <w:sz w:val="24"/>
                <w:szCs w:val="24"/>
                <w:lang w:val="nb-NO"/>
              </w:rPr>
              <w:t>Knol</w:t>
            </w:r>
            <w:proofErr w:type="spellEnd"/>
            <w:r w:rsidRPr="0081572F">
              <w:rPr>
                <w:rFonts w:asciiTheme="majorBidi" w:hAnsiTheme="majorBidi" w:cstheme="majorBidi"/>
                <w:color w:val="auto"/>
                <w:sz w:val="24"/>
                <w:szCs w:val="24"/>
                <w:lang w:val="nb-NO"/>
              </w:rPr>
              <w:t xml:space="preserve"> MJ. </w:t>
            </w:r>
            <w:r w:rsidRPr="0081572F">
              <w:rPr>
                <w:rFonts w:asciiTheme="majorBidi" w:hAnsiTheme="majorBidi" w:cstheme="majorBidi"/>
                <w:color w:val="auto"/>
                <w:sz w:val="24"/>
                <w:szCs w:val="24"/>
              </w:rPr>
              <w:t xml:space="preserve">Effectiveness of Omicron XBB.1.5 vaccine against infection with SARS-CoV-2 Omicron XBB and JN.1 variants, prospective cohort study, the Netherlands, October 2023 to January 2024. Euro </w:t>
            </w:r>
            <w:proofErr w:type="spellStart"/>
            <w:r w:rsidRPr="0081572F">
              <w:rPr>
                <w:rFonts w:asciiTheme="majorBidi" w:hAnsiTheme="majorBidi" w:cstheme="majorBidi"/>
                <w:color w:val="auto"/>
                <w:sz w:val="24"/>
                <w:szCs w:val="24"/>
              </w:rPr>
              <w:t>Surveill</w:t>
            </w:r>
            <w:proofErr w:type="spellEnd"/>
            <w:r w:rsidRPr="0081572F">
              <w:rPr>
                <w:rFonts w:asciiTheme="majorBidi" w:hAnsiTheme="majorBidi" w:cstheme="majorBidi"/>
                <w:color w:val="auto"/>
                <w:sz w:val="24"/>
                <w:szCs w:val="24"/>
              </w:rPr>
              <w:t>. 2024;29(10):2400109. doi:10.2807/1560-7917.ES.2024.29.10.2400109.</w:t>
            </w:r>
          </w:p>
        </w:tc>
        <w:tc>
          <w:tcPr>
            <w:tcW w:w="5938" w:type="dxa"/>
          </w:tcPr>
          <w:p w14:paraId="451250B5" w14:textId="0C106927" w:rsidR="009405C7" w:rsidRPr="0081572F" w:rsidRDefault="009405C7" w:rsidP="009405C7">
            <w:pPr>
              <w:pStyle w:val="MDPI31text"/>
              <w:ind w:left="0" w:firstLine="0"/>
              <w:rPr>
                <w:rFonts w:asciiTheme="majorBidi" w:hAnsiTheme="majorBidi" w:cstheme="majorBidi"/>
                <w:color w:val="auto"/>
                <w:sz w:val="24"/>
                <w:szCs w:val="24"/>
              </w:rPr>
            </w:pPr>
            <w:r w:rsidRPr="0081572F">
              <w:rPr>
                <w:rFonts w:asciiTheme="majorBidi" w:hAnsiTheme="majorBidi" w:cstheme="majorBidi"/>
                <w:color w:val="auto"/>
                <w:sz w:val="24"/>
                <w:szCs w:val="24"/>
              </w:rPr>
              <w:t>Outside the prespecified review scope. This prospective cohort study evaluates the effectiveness of the XBB.1.5-adapted COVID-19 vaccine against SARS-CoV-2 infection (including symptomatic infection) and does not assess severe clinical outcomes such as COVID-19-related hospitali</w:t>
            </w:r>
            <w:r w:rsidR="00F10ED1" w:rsidRPr="0081572F">
              <w:rPr>
                <w:rFonts w:asciiTheme="majorBidi" w:hAnsiTheme="majorBidi" w:cstheme="majorBidi"/>
                <w:color w:val="auto"/>
                <w:sz w:val="24"/>
                <w:szCs w:val="24"/>
              </w:rPr>
              <w:t>z</w:t>
            </w:r>
            <w:r w:rsidRPr="0081572F">
              <w:rPr>
                <w:rFonts w:asciiTheme="majorBidi" w:hAnsiTheme="majorBidi" w:cstheme="majorBidi"/>
                <w:color w:val="auto"/>
                <w:sz w:val="24"/>
                <w:szCs w:val="24"/>
              </w:rPr>
              <w:t>ation or death, which are the focus of this review.</w:t>
            </w:r>
          </w:p>
        </w:tc>
      </w:tr>
      <w:tr w:rsidR="009405C7" w14:paraId="618B8E68" w14:textId="77777777" w:rsidTr="00B20255">
        <w:tc>
          <w:tcPr>
            <w:tcW w:w="5403" w:type="dxa"/>
          </w:tcPr>
          <w:p w14:paraId="58381C14" w14:textId="6F6C4806" w:rsidR="009405C7" w:rsidRPr="0081572F" w:rsidRDefault="0081572F" w:rsidP="009405C7">
            <w:pPr>
              <w:pStyle w:val="MDPI31text"/>
              <w:ind w:left="0" w:firstLine="0"/>
              <w:rPr>
                <w:rFonts w:asciiTheme="majorBidi" w:hAnsiTheme="majorBidi" w:cstheme="majorBidi"/>
                <w:color w:val="auto"/>
                <w:sz w:val="24"/>
                <w:szCs w:val="24"/>
              </w:rPr>
            </w:pPr>
            <w:proofErr w:type="spellStart"/>
            <w:r w:rsidRPr="0081572F">
              <w:rPr>
                <w:rFonts w:asciiTheme="majorBidi" w:hAnsiTheme="majorBidi" w:cstheme="majorBidi"/>
                <w:color w:val="auto"/>
                <w:sz w:val="24"/>
                <w:szCs w:val="24"/>
                <w:lang w:val="nb-NO"/>
              </w:rPr>
              <w:t>Huiberts</w:t>
            </w:r>
            <w:proofErr w:type="spellEnd"/>
            <w:r w:rsidRPr="0081572F">
              <w:rPr>
                <w:rFonts w:asciiTheme="majorBidi" w:hAnsiTheme="majorBidi" w:cstheme="majorBidi"/>
                <w:color w:val="auto"/>
                <w:sz w:val="24"/>
                <w:szCs w:val="24"/>
                <w:lang w:val="nb-NO"/>
              </w:rPr>
              <w:t xml:space="preserve"> AJ, de </w:t>
            </w:r>
            <w:proofErr w:type="spellStart"/>
            <w:r w:rsidRPr="0081572F">
              <w:rPr>
                <w:rFonts w:asciiTheme="majorBidi" w:hAnsiTheme="majorBidi" w:cstheme="majorBidi"/>
                <w:color w:val="auto"/>
                <w:sz w:val="24"/>
                <w:szCs w:val="24"/>
                <w:lang w:val="nb-NO"/>
              </w:rPr>
              <w:t>Gier</w:t>
            </w:r>
            <w:proofErr w:type="spellEnd"/>
            <w:r w:rsidRPr="0081572F">
              <w:rPr>
                <w:rFonts w:asciiTheme="majorBidi" w:hAnsiTheme="majorBidi" w:cstheme="majorBidi"/>
                <w:color w:val="auto"/>
                <w:sz w:val="24"/>
                <w:szCs w:val="24"/>
                <w:lang w:val="nb-NO"/>
              </w:rPr>
              <w:t xml:space="preserve"> B, </w:t>
            </w:r>
            <w:proofErr w:type="spellStart"/>
            <w:r w:rsidRPr="0081572F">
              <w:rPr>
                <w:rFonts w:asciiTheme="majorBidi" w:hAnsiTheme="majorBidi" w:cstheme="majorBidi"/>
                <w:color w:val="auto"/>
                <w:sz w:val="24"/>
                <w:szCs w:val="24"/>
                <w:lang w:val="nb-NO"/>
              </w:rPr>
              <w:t>Hoeve</w:t>
            </w:r>
            <w:proofErr w:type="spellEnd"/>
            <w:r w:rsidRPr="0081572F">
              <w:rPr>
                <w:rFonts w:asciiTheme="majorBidi" w:hAnsiTheme="majorBidi" w:cstheme="majorBidi"/>
                <w:color w:val="auto"/>
                <w:sz w:val="24"/>
                <w:szCs w:val="24"/>
                <w:lang w:val="nb-NO"/>
              </w:rPr>
              <w:t xml:space="preserve"> CE, de Melker HE, </w:t>
            </w:r>
            <w:proofErr w:type="spellStart"/>
            <w:r w:rsidRPr="0081572F">
              <w:rPr>
                <w:rFonts w:asciiTheme="majorBidi" w:hAnsiTheme="majorBidi" w:cstheme="majorBidi"/>
                <w:color w:val="auto"/>
                <w:sz w:val="24"/>
                <w:szCs w:val="24"/>
                <w:lang w:val="nb-NO"/>
              </w:rPr>
              <w:t>Hahné</w:t>
            </w:r>
            <w:proofErr w:type="spellEnd"/>
            <w:r w:rsidRPr="0081572F">
              <w:rPr>
                <w:rFonts w:asciiTheme="majorBidi" w:hAnsiTheme="majorBidi" w:cstheme="majorBidi"/>
                <w:color w:val="auto"/>
                <w:sz w:val="24"/>
                <w:szCs w:val="24"/>
                <w:lang w:val="nb-NO"/>
              </w:rPr>
              <w:t xml:space="preserve"> SJM, den </w:t>
            </w:r>
            <w:proofErr w:type="spellStart"/>
            <w:r w:rsidRPr="0081572F">
              <w:rPr>
                <w:rFonts w:asciiTheme="majorBidi" w:hAnsiTheme="majorBidi" w:cstheme="majorBidi"/>
                <w:color w:val="auto"/>
                <w:sz w:val="24"/>
                <w:szCs w:val="24"/>
                <w:lang w:val="nb-NO"/>
              </w:rPr>
              <w:t>Hartog</w:t>
            </w:r>
            <w:proofErr w:type="spellEnd"/>
            <w:r w:rsidRPr="0081572F">
              <w:rPr>
                <w:rFonts w:asciiTheme="majorBidi" w:hAnsiTheme="majorBidi" w:cstheme="majorBidi"/>
                <w:color w:val="auto"/>
                <w:sz w:val="24"/>
                <w:szCs w:val="24"/>
                <w:lang w:val="nb-NO"/>
              </w:rPr>
              <w:t xml:space="preserve"> G, van de </w:t>
            </w:r>
            <w:proofErr w:type="spellStart"/>
            <w:r w:rsidRPr="0081572F">
              <w:rPr>
                <w:rFonts w:asciiTheme="majorBidi" w:hAnsiTheme="majorBidi" w:cstheme="majorBidi"/>
                <w:color w:val="auto"/>
                <w:sz w:val="24"/>
                <w:szCs w:val="24"/>
                <w:lang w:val="nb-NO"/>
              </w:rPr>
              <w:t>Wijgert</w:t>
            </w:r>
            <w:proofErr w:type="spellEnd"/>
            <w:r w:rsidRPr="0081572F">
              <w:rPr>
                <w:rFonts w:asciiTheme="majorBidi" w:hAnsiTheme="majorBidi" w:cstheme="majorBidi"/>
                <w:color w:val="auto"/>
                <w:sz w:val="24"/>
                <w:szCs w:val="24"/>
                <w:lang w:val="nb-NO"/>
              </w:rPr>
              <w:t xml:space="preserve"> JHHM, van den Hof S, </w:t>
            </w:r>
            <w:proofErr w:type="spellStart"/>
            <w:r w:rsidRPr="0081572F">
              <w:rPr>
                <w:rFonts w:asciiTheme="majorBidi" w:hAnsiTheme="majorBidi" w:cstheme="majorBidi"/>
                <w:color w:val="auto"/>
                <w:sz w:val="24"/>
                <w:szCs w:val="24"/>
                <w:lang w:val="nb-NO"/>
              </w:rPr>
              <w:t>Knol</w:t>
            </w:r>
            <w:proofErr w:type="spellEnd"/>
            <w:r w:rsidRPr="0081572F">
              <w:rPr>
                <w:rFonts w:asciiTheme="majorBidi" w:hAnsiTheme="majorBidi" w:cstheme="majorBidi"/>
                <w:color w:val="auto"/>
                <w:sz w:val="24"/>
                <w:szCs w:val="24"/>
                <w:lang w:val="nb-NO"/>
              </w:rPr>
              <w:t xml:space="preserve"> MJ. </w:t>
            </w:r>
            <w:r w:rsidRPr="0081572F">
              <w:rPr>
                <w:rFonts w:asciiTheme="majorBidi" w:hAnsiTheme="majorBidi" w:cstheme="majorBidi"/>
                <w:color w:val="auto"/>
                <w:sz w:val="24"/>
                <w:szCs w:val="24"/>
              </w:rPr>
              <w:t xml:space="preserve">Effectiveness of bivalent mRNA booster vaccination against SARS-CoV-2 Omicron infection, the Netherlands, September to December 2022. Euro </w:t>
            </w:r>
            <w:proofErr w:type="spellStart"/>
            <w:r w:rsidRPr="0081572F">
              <w:rPr>
                <w:rFonts w:asciiTheme="majorBidi" w:hAnsiTheme="majorBidi" w:cstheme="majorBidi"/>
                <w:color w:val="auto"/>
                <w:sz w:val="24"/>
                <w:szCs w:val="24"/>
              </w:rPr>
              <w:t>Surveill</w:t>
            </w:r>
            <w:proofErr w:type="spellEnd"/>
            <w:r w:rsidRPr="0081572F">
              <w:rPr>
                <w:rFonts w:asciiTheme="majorBidi" w:hAnsiTheme="majorBidi" w:cstheme="majorBidi"/>
                <w:color w:val="auto"/>
                <w:sz w:val="24"/>
                <w:szCs w:val="24"/>
              </w:rPr>
              <w:t>. 2023;28(7):2300087. doi:10.2807/1560-7917.ES.2023.28.7.2300087.</w:t>
            </w:r>
          </w:p>
        </w:tc>
        <w:tc>
          <w:tcPr>
            <w:tcW w:w="5938" w:type="dxa"/>
          </w:tcPr>
          <w:p w14:paraId="7B9A17AF" w14:textId="21809DDF" w:rsidR="009405C7" w:rsidRPr="0081572F" w:rsidRDefault="009405C7" w:rsidP="009405C7">
            <w:pPr>
              <w:pStyle w:val="MDPI31text"/>
              <w:ind w:left="0" w:firstLine="0"/>
              <w:rPr>
                <w:rFonts w:asciiTheme="majorBidi" w:hAnsiTheme="majorBidi" w:cstheme="majorBidi"/>
                <w:color w:val="auto"/>
                <w:sz w:val="24"/>
                <w:szCs w:val="24"/>
              </w:rPr>
            </w:pPr>
            <w:r w:rsidRPr="0081572F">
              <w:rPr>
                <w:rFonts w:asciiTheme="majorBidi" w:hAnsiTheme="majorBidi" w:cstheme="majorBidi"/>
                <w:color w:val="auto"/>
                <w:sz w:val="24"/>
                <w:szCs w:val="24"/>
              </w:rPr>
              <w:t>Outside the prespecified review scope. This prospective cohort study evaluates relative vaccine effectiveness of bivalent mRNA boosters against SARS-CoV-2 Omicron infection only, with outcomes based on self-reported testing. It does not assess severe COVID-19 outcomes (e.g. hospitali</w:t>
            </w:r>
            <w:r w:rsidR="00F10ED1" w:rsidRPr="0081572F">
              <w:rPr>
                <w:rFonts w:asciiTheme="majorBidi" w:hAnsiTheme="majorBidi" w:cstheme="majorBidi"/>
                <w:color w:val="auto"/>
                <w:sz w:val="24"/>
                <w:szCs w:val="24"/>
              </w:rPr>
              <w:t>z</w:t>
            </w:r>
            <w:r w:rsidRPr="0081572F">
              <w:rPr>
                <w:rFonts w:asciiTheme="majorBidi" w:hAnsiTheme="majorBidi" w:cstheme="majorBidi"/>
                <w:color w:val="auto"/>
                <w:sz w:val="24"/>
                <w:szCs w:val="24"/>
              </w:rPr>
              <w:t>ation or death) and therefore is not directly comparable with the severe-outcome–focused vaccine effectiveness framework applied in this review.</w:t>
            </w:r>
          </w:p>
        </w:tc>
      </w:tr>
      <w:tr w:rsidR="009405C7" w14:paraId="025DCE0A" w14:textId="77777777" w:rsidTr="00B20255">
        <w:tc>
          <w:tcPr>
            <w:tcW w:w="5403" w:type="dxa"/>
          </w:tcPr>
          <w:p w14:paraId="41E3131C" w14:textId="51CC4326" w:rsidR="009405C7" w:rsidRPr="003C5ED3" w:rsidRDefault="003C5ED3" w:rsidP="009405C7">
            <w:pPr>
              <w:pStyle w:val="MDPI31text"/>
              <w:ind w:left="0" w:firstLine="0"/>
              <w:rPr>
                <w:rFonts w:asciiTheme="majorBidi" w:hAnsiTheme="majorBidi" w:cstheme="majorBidi"/>
                <w:color w:val="auto"/>
                <w:sz w:val="24"/>
                <w:szCs w:val="24"/>
              </w:rPr>
            </w:pPr>
            <w:r w:rsidRPr="003C5ED3">
              <w:rPr>
                <w:rFonts w:asciiTheme="majorBidi" w:hAnsiTheme="majorBidi" w:cstheme="majorBidi"/>
                <w:color w:val="auto"/>
                <w:sz w:val="24"/>
                <w:szCs w:val="24"/>
              </w:rPr>
              <w:t xml:space="preserve">Hulme WJ, Horne EMF, Parker EPK, Keogh RH, Williamson EJ, Walker V, Palmer TM, Curtis HJ, Walker AJ, Andrews CD, </w:t>
            </w:r>
            <w:proofErr w:type="spellStart"/>
            <w:r w:rsidRPr="003C5ED3">
              <w:rPr>
                <w:rFonts w:asciiTheme="majorBidi" w:hAnsiTheme="majorBidi" w:cstheme="majorBidi"/>
                <w:color w:val="auto"/>
                <w:sz w:val="24"/>
                <w:szCs w:val="24"/>
              </w:rPr>
              <w:t>Mehrkar</w:t>
            </w:r>
            <w:proofErr w:type="spellEnd"/>
            <w:r w:rsidRPr="003C5ED3">
              <w:rPr>
                <w:rFonts w:asciiTheme="majorBidi" w:hAnsiTheme="majorBidi" w:cstheme="majorBidi"/>
                <w:color w:val="auto"/>
                <w:sz w:val="24"/>
                <w:szCs w:val="24"/>
              </w:rPr>
              <w:t xml:space="preserve"> A, Morley J, MacKenna B, Bacon SCJ, Goldacre B, Hernán MA, Sterne JAC. Comparative effectiveness of BNT162b2 versus mRNA-1273 COVID-19 vaccine boosting in England: matched cohort study in </w:t>
            </w:r>
            <w:proofErr w:type="spellStart"/>
            <w:r w:rsidRPr="003C5ED3">
              <w:rPr>
                <w:rFonts w:asciiTheme="majorBidi" w:hAnsiTheme="majorBidi" w:cstheme="majorBidi"/>
                <w:color w:val="auto"/>
                <w:sz w:val="24"/>
                <w:szCs w:val="24"/>
              </w:rPr>
              <w:t>OpenSAFELY</w:t>
            </w:r>
            <w:proofErr w:type="spellEnd"/>
            <w:r w:rsidRPr="003C5ED3">
              <w:rPr>
                <w:rFonts w:asciiTheme="majorBidi" w:hAnsiTheme="majorBidi" w:cstheme="majorBidi"/>
                <w:color w:val="auto"/>
                <w:sz w:val="24"/>
                <w:szCs w:val="24"/>
              </w:rPr>
              <w:t>-TPP. BMJ. 2023;380:e072808. doi:10.1136/bmj-2022-072808.</w:t>
            </w:r>
          </w:p>
        </w:tc>
        <w:tc>
          <w:tcPr>
            <w:tcW w:w="5938" w:type="dxa"/>
          </w:tcPr>
          <w:p w14:paraId="3F60DF28" w14:textId="77777777" w:rsidR="009405C7" w:rsidRPr="003C5ED3" w:rsidRDefault="009405C7" w:rsidP="009405C7">
            <w:pPr>
              <w:pStyle w:val="MDPI31text"/>
              <w:ind w:left="0" w:firstLine="0"/>
              <w:rPr>
                <w:rFonts w:asciiTheme="majorBidi" w:hAnsiTheme="majorBidi" w:cstheme="majorBidi"/>
                <w:color w:val="auto"/>
                <w:sz w:val="24"/>
                <w:szCs w:val="24"/>
              </w:rPr>
            </w:pPr>
            <w:r w:rsidRPr="003C5ED3">
              <w:rPr>
                <w:rFonts w:asciiTheme="majorBidi" w:hAnsiTheme="majorBidi" w:cstheme="majorBidi"/>
                <w:color w:val="auto"/>
                <w:sz w:val="24"/>
                <w:szCs w:val="24"/>
              </w:rPr>
              <w:t>Outside the prespecified review scope. This matched cohort study evaluates the comparative effectiveness between two mRNA booster vaccines (mRNA-1273 vs BNT162b2) rather than estimating population-based vaccine effectiveness versus an unvaccinated comparator. The relative, head-to-head booster comparison framework is not directly comparable with the absolute vaccine-effectiveness estimates against severe COVID-19 outcomes synthesised in this review.</w:t>
            </w:r>
          </w:p>
        </w:tc>
      </w:tr>
      <w:tr w:rsidR="009405C7" w14:paraId="2DA20F5E" w14:textId="77777777" w:rsidTr="00B20255">
        <w:tc>
          <w:tcPr>
            <w:tcW w:w="5403" w:type="dxa"/>
          </w:tcPr>
          <w:p w14:paraId="63B5F434" w14:textId="2227A311" w:rsidR="009405C7" w:rsidRPr="003C5ED3" w:rsidRDefault="003C5ED3" w:rsidP="009405C7">
            <w:pPr>
              <w:pStyle w:val="MDPI31text"/>
              <w:ind w:left="0" w:firstLine="0"/>
              <w:rPr>
                <w:rFonts w:asciiTheme="majorBidi" w:hAnsiTheme="majorBidi" w:cstheme="majorBidi"/>
                <w:color w:val="auto"/>
                <w:sz w:val="24"/>
                <w:szCs w:val="24"/>
              </w:rPr>
            </w:pPr>
            <w:proofErr w:type="spellStart"/>
            <w:r w:rsidRPr="003C5ED3">
              <w:rPr>
                <w:rFonts w:asciiTheme="majorBidi" w:hAnsiTheme="majorBidi" w:cstheme="majorBidi"/>
                <w:color w:val="auto"/>
                <w:sz w:val="24"/>
                <w:szCs w:val="24"/>
              </w:rPr>
              <w:t>Intawong</w:t>
            </w:r>
            <w:proofErr w:type="spellEnd"/>
            <w:r w:rsidRPr="003C5ED3">
              <w:rPr>
                <w:rFonts w:asciiTheme="majorBidi" w:hAnsiTheme="majorBidi" w:cstheme="majorBidi"/>
                <w:color w:val="auto"/>
                <w:sz w:val="24"/>
                <w:szCs w:val="24"/>
              </w:rPr>
              <w:t xml:space="preserve"> K, </w:t>
            </w:r>
            <w:proofErr w:type="spellStart"/>
            <w:r w:rsidRPr="003C5ED3">
              <w:rPr>
                <w:rFonts w:asciiTheme="majorBidi" w:hAnsiTheme="majorBidi" w:cstheme="majorBidi"/>
                <w:color w:val="auto"/>
                <w:sz w:val="24"/>
                <w:szCs w:val="24"/>
              </w:rPr>
              <w:t>Chariyalertsak</w:t>
            </w:r>
            <w:proofErr w:type="spellEnd"/>
            <w:r w:rsidRPr="003C5ED3">
              <w:rPr>
                <w:rFonts w:asciiTheme="majorBidi" w:hAnsiTheme="majorBidi" w:cstheme="majorBidi"/>
                <w:color w:val="auto"/>
                <w:sz w:val="24"/>
                <w:szCs w:val="24"/>
              </w:rPr>
              <w:t xml:space="preserve"> S, </w:t>
            </w:r>
            <w:proofErr w:type="spellStart"/>
            <w:r w:rsidRPr="003C5ED3">
              <w:rPr>
                <w:rFonts w:asciiTheme="majorBidi" w:hAnsiTheme="majorBidi" w:cstheme="majorBidi"/>
                <w:color w:val="auto"/>
                <w:sz w:val="24"/>
                <w:szCs w:val="24"/>
              </w:rPr>
              <w:t>Chalom</w:t>
            </w:r>
            <w:proofErr w:type="spellEnd"/>
            <w:r w:rsidRPr="003C5ED3">
              <w:rPr>
                <w:rFonts w:asciiTheme="majorBidi" w:hAnsiTheme="majorBidi" w:cstheme="majorBidi"/>
                <w:color w:val="auto"/>
                <w:sz w:val="24"/>
                <w:szCs w:val="24"/>
              </w:rPr>
              <w:t xml:space="preserve"> K, </w:t>
            </w:r>
            <w:proofErr w:type="spellStart"/>
            <w:r w:rsidRPr="003C5ED3">
              <w:rPr>
                <w:rFonts w:asciiTheme="majorBidi" w:hAnsiTheme="majorBidi" w:cstheme="majorBidi"/>
                <w:color w:val="auto"/>
                <w:sz w:val="24"/>
                <w:szCs w:val="24"/>
              </w:rPr>
              <w:t>Wonghirundecha</w:t>
            </w:r>
            <w:proofErr w:type="spellEnd"/>
            <w:r w:rsidRPr="003C5ED3">
              <w:rPr>
                <w:rFonts w:asciiTheme="majorBidi" w:hAnsiTheme="majorBidi" w:cstheme="majorBidi"/>
                <w:color w:val="auto"/>
                <w:sz w:val="24"/>
                <w:szCs w:val="24"/>
              </w:rPr>
              <w:t xml:space="preserve"> T, </w:t>
            </w:r>
            <w:proofErr w:type="spellStart"/>
            <w:r w:rsidRPr="003C5ED3">
              <w:rPr>
                <w:rFonts w:asciiTheme="majorBidi" w:hAnsiTheme="majorBidi" w:cstheme="majorBidi"/>
                <w:color w:val="auto"/>
                <w:sz w:val="24"/>
                <w:szCs w:val="24"/>
              </w:rPr>
              <w:t>Kowatcharakul</w:t>
            </w:r>
            <w:proofErr w:type="spellEnd"/>
            <w:r w:rsidRPr="003C5ED3">
              <w:rPr>
                <w:rFonts w:asciiTheme="majorBidi" w:hAnsiTheme="majorBidi" w:cstheme="majorBidi"/>
                <w:color w:val="auto"/>
                <w:sz w:val="24"/>
                <w:szCs w:val="24"/>
              </w:rPr>
              <w:t xml:space="preserve"> W, </w:t>
            </w:r>
            <w:proofErr w:type="spellStart"/>
            <w:r w:rsidRPr="003C5ED3">
              <w:rPr>
                <w:rFonts w:asciiTheme="majorBidi" w:hAnsiTheme="majorBidi" w:cstheme="majorBidi"/>
                <w:color w:val="auto"/>
                <w:sz w:val="24"/>
                <w:szCs w:val="24"/>
              </w:rPr>
              <w:t>Thongprachum</w:t>
            </w:r>
            <w:proofErr w:type="spellEnd"/>
            <w:r w:rsidRPr="003C5ED3">
              <w:rPr>
                <w:rFonts w:asciiTheme="majorBidi" w:hAnsiTheme="majorBidi" w:cstheme="majorBidi"/>
                <w:color w:val="auto"/>
                <w:sz w:val="24"/>
                <w:szCs w:val="24"/>
              </w:rPr>
              <w:t xml:space="preserve"> A, </w:t>
            </w:r>
            <w:proofErr w:type="spellStart"/>
            <w:r w:rsidRPr="003C5ED3">
              <w:rPr>
                <w:rFonts w:asciiTheme="majorBidi" w:hAnsiTheme="majorBidi" w:cstheme="majorBidi"/>
                <w:color w:val="auto"/>
                <w:sz w:val="24"/>
                <w:szCs w:val="24"/>
              </w:rPr>
              <w:t>Chotirosniramit</w:t>
            </w:r>
            <w:proofErr w:type="spellEnd"/>
            <w:r w:rsidRPr="003C5ED3">
              <w:rPr>
                <w:rFonts w:asciiTheme="majorBidi" w:hAnsiTheme="majorBidi" w:cstheme="majorBidi"/>
                <w:color w:val="auto"/>
                <w:sz w:val="24"/>
                <w:szCs w:val="24"/>
              </w:rPr>
              <w:t xml:space="preserve"> N, </w:t>
            </w:r>
            <w:proofErr w:type="spellStart"/>
            <w:r w:rsidRPr="003C5ED3">
              <w:rPr>
                <w:rFonts w:asciiTheme="majorBidi" w:hAnsiTheme="majorBidi" w:cstheme="majorBidi"/>
                <w:color w:val="auto"/>
                <w:sz w:val="24"/>
                <w:szCs w:val="24"/>
              </w:rPr>
              <w:t>Teacharak</w:t>
            </w:r>
            <w:proofErr w:type="spellEnd"/>
            <w:r w:rsidRPr="003C5ED3">
              <w:rPr>
                <w:rFonts w:asciiTheme="majorBidi" w:hAnsiTheme="majorBidi" w:cstheme="majorBidi"/>
                <w:color w:val="auto"/>
                <w:sz w:val="24"/>
                <w:szCs w:val="24"/>
              </w:rPr>
              <w:t xml:space="preserve"> W, </w:t>
            </w:r>
            <w:proofErr w:type="spellStart"/>
            <w:r w:rsidRPr="003C5ED3">
              <w:rPr>
                <w:rFonts w:asciiTheme="majorBidi" w:hAnsiTheme="majorBidi" w:cstheme="majorBidi"/>
                <w:color w:val="auto"/>
                <w:sz w:val="24"/>
                <w:szCs w:val="24"/>
              </w:rPr>
              <w:t>Khammawan</w:t>
            </w:r>
            <w:proofErr w:type="spellEnd"/>
            <w:r w:rsidRPr="003C5ED3">
              <w:rPr>
                <w:rFonts w:asciiTheme="majorBidi" w:hAnsiTheme="majorBidi" w:cstheme="majorBidi"/>
                <w:color w:val="auto"/>
                <w:sz w:val="24"/>
                <w:szCs w:val="24"/>
              </w:rPr>
              <w:t xml:space="preserve"> P, </w:t>
            </w:r>
            <w:proofErr w:type="spellStart"/>
            <w:r w:rsidRPr="003C5ED3">
              <w:rPr>
                <w:rFonts w:asciiTheme="majorBidi" w:hAnsiTheme="majorBidi" w:cstheme="majorBidi"/>
                <w:color w:val="auto"/>
                <w:sz w:val="24"/>
                <w:szCs w:val="24"/>
              </w:rPr>
              <w:t>Waneesorn</w:t>
            </w:r>
            <w:proofErr w:type="spellEnd"/>
            <w:r w:rsidRPr="003C5ED3">
              <w:rPr>
                <w:rFonts w:asciiTheme="majorBidi" w:hAnsiTheme="majorBidi" w:cstheme="majorBidi"/>
                <w:color w:val="auto"/>
                <w:sz w:val="24"/>
                <w:szCs w:val="24"/>
              </w:rPr>
              <w:t xml:space="preserve"> J, </w:t>
            </w:r>
            <w:proofErr w:type="spellStart"/>
            <w:r w:rsidRPr="003C5ED3">
              <w:rPr>
                <w:rFonts w:asciiTheme="majorBidi" w:hAnsiTheme="majorBidi" w:cstheme="majorBidi"/>
                <w:color w:val="auto"/>
                <w:sz w:val="24"/>
                <w:szCs w:val="24"/>
              </w:rPr>
              <w:t>Iamsirithaworn</w:t>
            </w:r>
            <w:proofErr w:type="spellEnd"/>
            <w:r w:rsidRPr="003C5ED3">
              <w:rPr>
                <w:rFonts w:asciiTheme="majorBidi" w:hAnsiTheme="majorBidi" w:cstheme="majorBidi"/>
                <w:color w:val="auto"/>
                <w:sz w:val="24"/>
                <w:szCs w:val="24"/>
              </w:rPr>
              <w:t xml:space="preserve"> S. Effectiveness of heterologous third and fourth dose COVID-19 vaccine schedules for SARS-CoV-2 </w:t>
            </w:r>
            <w:r w:rsidRPr="003C5ED3">
              <w:rPr>
                <w:rFonts w:asciiTheme="majorBidi" w:hAnsiTheme="majorBidi" w:cstheme="majorBidi"/>
                <w:color w:val="auto"/>
                <w:sz w:val="24"/>
                <w:szCs w:val="24"/>
              </w:rPr>
              <w:lastRenderedPageBreak/>
              <w:t>infection during delta and omicron predominance in Thailand: a test-negative, case-control study. Lancet Reg Health Southeast Asia. 2023;10:100121. doi:10.1016/j.lansea.2022.100121.</w:t>
            </w:r>
          </w:p>
        </w:tc>
        <w:tc>
          <w:tcPr>
            <w:tcW w:w="5938" w:type="dxa"/>
          </w:tcPr>
          <w:p w14:paraId="56664CED" w14:textId="269CF98C" w:rsidR="009405C7" w:rsidRPr="003C5ED3" w:rsidRDefault="009405C7" w:rsidP="009405C7">
            <w:pPr>
              <w:pStyle w:val="MDPI31text"/>
              <w:ind w:left="0" w:firstLine="0"/>
              <w:rPr>
                <w:rFonts w:asciiTheme="majorBidi" w:hAnsiTheme="majorBidi" w:cstheme="majorBidi"/>
                <w:color w:val="auto"/>
                <w:sz w:val="24"/>
                <w:szCs w:val="24"/>
              </w:rPr>
            </w:pPr>
            <w:r w:rsidRPr="003C5ED3">
              <w:rPr>
                <w:rFonts w:asciiTheme="majorBidi" w:hAnsiTheme="majorBidi" w:cstheme="majorBidi"/>
                <w:color w:val="auto"/>
                <w:sz w:val="24"/>
                <w:szCs w:val="24"/>
              </w:rPr>
              <w:lastRenderedPageBreak/>
              <w:t>Outside the prespecified review scope. This test-negative case–control study evaluates vaccine effectiveness against SARS-CoV-2 infection only during Delta and early Omicron periods using heterologous vaccine schedules. It does not assess severe COVID-19 outcomes (e.g. hospitali</w:t>
            </w:r>
            <w:r w:rsidR="00F10ED1" w:rsidRPr="003C5ED3">
              <w:rPr>
                <w:rFonts w:asciiTheme="majorBidi" w:hAnsiTheme="majorBidi" w:cstheme="majorBidi"/>
                <w:color w:val="auto"/>
                <w:sz w:val="24"/>
                <w:szCs w:val="24"/>
              </w:rPr>
              <w:t>z</w:t>
            </w:r>
            <w:r w:rsidRPr="003C5ED3">
              <w:rPr>
                <w:rFonts w:asciiTheme="majorBidi" w:hAnsiTheme="majorBidi" w:cstheme="majorBidi"/>
                <w:color w:val="auto"/>
                <w:sz w:val="24"/>
                <w:szCs w:val="24"/>
              </w:rPr>
              <w:t xml:space="preserve">ation or death) and predates later Omicron </w:t>
            </w:r>
            <w:r w:rsidRPr="003C5ED3">
              <w:rPr>
                <w:rFonts w:asciiTheme="majorBidi" w:hAnsiTheme="majorBidi" w:cstheme="majorBidi"/>
                <w:color w:val="auto"/>
                <w:sz w:val="24"/>
                <w:szCs w:val="24"/>
              </w:rPr>
              <w:lastRenderedPageBreak/>
              <w:t xml:space="preserve">subvariants and updated vaccine formulations </w:t>
            </w:r>
            <w:r w:rsidR="00AA15B8" w:rsidRPr="003C5ED3">
              <w:rPr>
                <w:rFonts w:asciiTheme="majorBidi" w:hAnsiTheme="majorBidi" w:cstheme="majorBidi"/>
                <w:color w:val="auto"/>
                <w:sz w:val="24"/>
                <w:szCs w:val="24"/>
              </w:rPr>
              <w:t>prioritized</w:t>
            </w:r>
            <w:r w:rsidRPr="003C5ED3">
              <w:rPr>
                <w:rFonts w:asciiTheme="majorBidi" w:hAnsiTheme="majorBidi" w:cstheme="majorBidi"/>
                <w:color w:val="auto"/>
                <w:sz w:val="24"/>
                <w:szCs w:val="24"/>
              </w:rPr>
              <w:t xml:space="preserve"> in this review.</w:t>
            </w:r>
          </w:p>
        </w:tc>
      </w:tr>
      <w:tr w:rsidR="009405C7" w14:paraId="35AC3748" w14:textId="77777777" w:rsidTr="00B20255">
        <w:tc>
          <w:tcPr>
            <w:tcW w:w="5403" w:type="dxa"/>
          </w:tcPr>
          <w:p w14:paraId="3D3458DF" w14:textId="12ECDC05" w:rsidR="009405C7" w:rsidRPr="003C5ED3" w:rsidRDefault="003C5ED3" w:rsidP="009405C7">
            <w:pPr>
              <w:pStyle w:val="MDPI31text"/>
              <w:ind w:left="0" w:firstLine="0"/>
              <w:rPr>
                <w:rFonts w:asciiTheme="majorBidi" w:hAnsiTheme="majorBidi" w:cstheme="majorBidi"/>
                <w:color w:val="auto"/>
                <w:sz w:val="24"/>
                <w:szCs w:val="24"/>
              </w:rPr>
            </w:pPr>
            <w:r w:rsidRPr="003C5ED3">
              <w:rPr>
                <w:rFonts w:asciiTheme="majorBidi" w:hAnsiTheme="majorBidi" w:cstheme="majorBidi"/>
                <w:color w:val="auto"/>
                <w:sz w:val="24"/>
                <w:szCs w:val="24"/>
                <w:lang w:val="en-GB"/>
              </w:rPr>
              <w:lastRenderedPageBreak/>
              <w:t xml:space="preserve">Ioannou GN, Berry K, Rajeevan N, Li Y, Yan L, Huang Y, Lin HM, Bui D, Hynes DM, </w:t>
            </w:r>
            <w:proofErr w:type="spellStart"/>
            <w:r w:rsidRPr="003C5ED3">
              <w:rPr>
                <w:rFonts w:asciiTheme="majorBidi" w:hAnsiTheme="majorBidi" w:cstheme="majorBidi"/>
                <w:color w:val="auto"/>
                <w:sz w:val="24"/>
                <w:szCs w:val="24"/>
                <w:lang w:val="en-GB"/>
              </w:rPr>
              <w:t>Rowneki</w:t>
            </w:r>
            <w:proofErr w:type="spellEnd"/>
            <w:r w:rsidRPr="003C5ED3">
              <w:rPr>
                <w:rFonts w:asciiTheme="majorBidi" w:hAnsiTheme="majorBidi" w:cstheme="majorBidi"/>
                <w:color w:val="auto"/>
                <w:sz w:val="24"/>
                <w:szCs w:val="24"/>
                <w:lang w:val="en-GB"/>
              </w:rPr>
              <w:t xml:space="preserve"> M, Bohnert A, Boyko EJ, </w:t>
            </w:r>
            <w:proofErr w:type="spellStart"/>
            <w:r w:rsidRPr="003C5ED3">
              <w:rPr>
                <w:rFonts w:asciiTheme="majorBidi" w:hAnsiTheme="majorBidi" w:cstheme="majorBidi"/>
                <w:color w:val="auto"/>
                <w:sz w:val="24"/>
                <w:szCs w:val="24"/>
                <w:lang w:val="en-GB"/>
              </w:rPr>
              <w:t>Iwashyna</w:t>
            </w:r>
            <w:proofErr w:type="spellEnd"/>
            <w:r w:rsidRPr="003C5ED3">
              <w:rPr>
                <w:rFonts w:asciiTheme="majorBidi" w:hAnsiTheme="majorBidi" w:cstheme="majorBidi"/>
                <w:color w:val="auto"/>
                <w:sz w:val="24"/>
                <w:szCs w:val="24"/>
                <w:lang w:val="en-GB"/>
              </w:rPr>
              <w:t xml:space="preserve"> TJ, Maciejewski ML, Smith VA, Berkowitz TSZ, O’Hare AM, </w:t>
            </w:r>
            <w:proofErr w:type="spellStart"/>
            <w:r w:rsidRPr="003C5ED3">
              <w:rPr>
                <w:rFonts w:asciiTheme="majorBidi" w:hAnsiTheme="majorBidi" w:cstheme="majorBidi"/>
                <w:color w:val="auto"/>
                <w:sz w:val="24"/>
                <w:szCs w:val="24"/>
                <w:lang w:val="en-GB"/>
              </w:rPr>
              <w:t>Viglianti</w:t>
            </w:r>
            <w:proofErr w:type="spellEnd"/>
            <w:r w:rsidRPr="003C5ED3">
              <w:rPr>
                <w:rFonts w:asciiTheme="majorBidi" w:hAnsiTheme="majorBidi" w:cstheme="majorBidi"/>
                <w:color w:val="auto"/>
                <w:sz w:val="24"/>
                <w:szCs w:val="24"/>
                <w:lang w:val="en-GB"/>
              </w:rPr>
              <w:t xml:space="preserve"> EM, Aslan M, Bajema KL. </w:t>
            </w:r>
            <w:r w:rsidRPr="003C5ED3">
              <w:rPr>
                <w:rFonts w:asciiTheme="majorBidi" w:hAnsiTheme="majorBidi" w:cstheme="majorBidi"/>
                <w:color w:val="auto"/>
                <w:sz w:val="24"/>
                <w:szCs w:val="24"/>
                <w:lang w:val="en-AU"/>
              </w:rPr>
              <w:t xml:space="preserve">Effectiveness of the 2023–2024 XBB.1.5 COVID-19 vaccines over long-term follow-up: a target trial emulation. </w:t>
            </w:r>
            <w:r w:rsidRPr="003C5ED3">
              <w:rPr>
                <w:rFonts w:asciiTheme="majorBidi" w:hAnsiTheme="majorBidi" w:cstheme="majorBidi"/>
                <w:color w:val="auto"/>
                <w:sz w:val="24"/>
                <w:szCs w:val="24"/>
                <w:lang w:val="nb-NO"/>
              </w:rPr>
              <w:t>Ann Intern Med. 2025;178:348–359. doi:10.7326/ANNALS-24-01015.</w:t>
            </w:r>
          </w:p>
        </w:tc>
        <w:tc>
          <w:tcPr>
            <w:tcW w:w="5938" w:type="dxa"/>
          </w:tcPr>
          <w:p w14:paraId="1C42470B" w14:textId="4F807F47" w:rsidR="009405C7" w:rsidRPr="003C5ED3" w:rsidRDefault="009405C7" w:rsidP="009405C7">
            <w:pPr>
              <w:pStyle w:val="MDPI31text"/>
              <w:ind w:left="0" w:firstLine="0"/>
              <w:rPr>
                <w:rFonts w:asciiTheme="majorBidi" w:hAnsiTheme="majorBidi" w:cstheme="majorBidi"/>
                <w:color w:val="auto"/>
                <w:sz w:val="24"/>
                <w:szCs w:val="24"/>
              </w:rPr>
            </w:pPr>
            <w:r w:rsidRPr="003C5ED3">
              <w:rPr>
                <w:rFonts w:asciiTheme="majorBidi" w:hAnsiTheme="majorBidi" w:cstheme="majorBidi"/>
                <w:color w:val="auto"/>
                <w:sz w:val="24"/>
                <w:szCs w:val="24"/>
              </w:rPr>
              <w:t xml:space="preserve">Outside the prespecified review scope. This target-trial emulation evaluates incremental effectiveness of XBB.1.5 vaccination compared with no XBB.1.5 vaccination among previously vaccinated individuals, rather than absolute vaccine effectiveness against unvaccinated individuals or standardised relative vaccine effectiveness comparators defined a priori in this review. The comparator framework and effect measures are therefore not directly comparable with the </w:t>
            </w:r>
            <w:r w:rsidR="00635F44" w:rsidRPr="003C5ED3">
              <w:rPr>
                <w:rFonts w:asciiTheme="majorBidi" w:hAnsiTheme="majorBidi" w:cstheme="majorBidi"/>
                <w:color w:val="auto"/>
                <w:sz w:val="24"/>
                <w:szCs w:val="24"/>
              </w:rPr>
              <w:t>harmonized</w:t>
            </w:r>
            <w:r w:rsidRPr="003C5ED3">
              <w:rPr>
                <w:rFonts w:asciiTheme="majorBidi" w:hAnsiTheme="majorBidi" w:cstheme="majorBidi"/>
                <w:color w:val="auto"/>
                <w:sz w:val="24"/>
                <w:szCs w:val="24"/>
              </w:rPr>
              <w:t xml:space="preserve"> vaccine-effectiveness estimates synthesised here.</w:t>
            </w:r>
          </w:p>
        </w:tc>
      </w:tr>
      <w:tr w:rsidR="009405C7" w14:paraId="56961CDB" w14:textId="77777777" w:rsidTr="00B20255">
        <w:tc>
          <w:tcPr>
            <w:tcW w:w="5403" w:type="dxa"/>
          </w:tcPr>
          <w:p w14:paraId="2AD1872B" w14:textId="632AEAE9" w:rsidR="009405C7" w:rsidRPr="003C5ED3" w:rsidRDefault="003C5ED3" w:rsidP="009405C7">
            <w:pPr>
              <w:pStyle w:val="MDPI31text"/>
              <w:ind w:left="0" w:firstLine="0"/>
              <w:rPr>
                <w:rFonts w:asciiTheme="majorBidi" w:hAnsiTheme="majorBidi" w:cstheme="majorBidi"/>
                <w:color w:val="auto"/>
                <w:sz w:val="24"/>
                <w:szCs w:val="24"/>
              </w:rPr>
            </w:pPr>
            <w:r w:rsidRPr="003C5ED3">
              <w:rPr>
                <w:rFonts w:asciiTheme="majorBidi" w:hAnsiTheme="majorBidi" w:cstheme="majorBidi"/>
                <w:color w:val="auto"/>
                <w:sz w:val="24"/>
                <w:szCs w:val="24"/>
              </w:rPr>
              <w:t xml:space="preserve">Ioannou GN, Bohnert ASB, O’Hare AM, Boyko EJ, Maciejewski ML, Smith VA, Bowling CB, </w:t>
            </w:r>
            <w:proofErr w:type="spellStart"/>
            <w:r w:rsidRPr="003C5ED3">
              <w:rPr>
                <w:rFonts w:asciiTheme="majorBidi" w:hAnsiTheme="majorBidi" w:cstheme="majorBidi"/>
                <w:color w:val="auto"/>
                <w:sz w:val="24"/>
                <w:szCs w:val="24"/>
              </w:rPr>
              <w:t>Viglianti</w:t>
            </w:r>
            <w:proofErr w:type="spellEnd"/>
            <w:r w:rsidRPr="003C5ED3">
              <w:rPr>
                <w:rFonts w:asciiTheme="majorBidi" w:hAnsiTheme="majorBidi" w:cstheme="majorBidi"/>
                <w:color w:val="auto"/>
                <w:sz w:val="24"/>
                <w:szCs w:val="24"/>
              </w:rPr>
              <w:t xml:space="preserve"> E, </w:t>
            </w:r>
            <w:proofErr w:type="spellStart"/>
            <w:r w:rsidRPr="003C5ED3">
              <w:rPr>
                <w:rFonts w:asciiTheme="majorBidi" w:hAnsiTheme="majorBidi" w:cstheme="majorBidi"/>
                <w:color w:val="auto"/>
                <w:sz w:val="24"/>
                <w:szCs w:val="24"/>
              </w:rPr>
              <w:t>Iwashyna</w:t>
            </w:r>
            <w:proofErr w:type="spellEnd"/>
            <w:r w:rsidRPr="003C5ED3">
              <w:rPr>
                <w:rFonts w:asciiTheme="majorBidi" w:hAnsiTheme="majorBidi" w:cstheme="majorBidi"/>
                <w:color w:val="auto"/>
                <w:sz w:val="24"/>
                <w:szCs w:val="24"/>
              </w:rPr>
              <w:t xml:space="preserve"> TJ, Hynes DM, Berry K; COVID-19 Observational Research Collaboratory (CORC). Effectiveness of mRNA COVID-19 vaccine boosters against infection, hospitalization, and death: a target trial emulation in the Omicron (B.1.1.529) variant era. Ann Intern Med. 2022. doi:10.7326/M22-1856.</w:t>
            </w:r>
          </w:p>
        </w:tc>
        <w:tc>
          <w:tcPr>
            <w:tcW w:w="5938" w:type="dxa"/>
          </w:tcPr>
          <w:p w14:paraId="433B576F" w14:textId="77777777" w:rsidR="009405C7" w:rsidRPr="003C5ED3" w:rsidRDefault="009405C7" w:rsidP="009405C7">
            <w:pPr>
              <w:pStyle w:val="MDPI31text"/>
              <w:ind w:left="0" w:firstLine="0"/>
              <w:rPr>
                <w:rFonts w:asciiTheme="majorBidi" w:hAnsiTheme="majorBidi" w:cstheme="majorBidi"/>
                <w:color w:val="auto"/>
                <w:sz w:val="24"/>
                <w:szCs w:val="24"/>
              </w:rPr>
            </w:pPr>
            <w:r w:rsidRPr="003C5ED3">
              <w:rPr>
                <w:rFonts w:asciiTheme="majorBidi" w:hAnsiTheme="majorBidi" w:cstheme="majorBidi"/>
                <w:color w:val="auto"/>
                <w:sz w:val="24"/>
                <w:szCs w:val="24"/>
              </w:rPr>
              <w:t>Outside the prespecified review scope. This study evaluates the effectiveness of a third-dose (booster) monovalent mRNA vaccine compared with no booster among previously vaccinated individuals during early Omicron (B.1.1.529) circulation, rather than primary or updated vaccine effectiveness using comparator frameworks defined for this review.</w:t>
            </w:r>
          </w:p>
        </w:tc>
      </w:tr>
      <w:tr w:rsidR="009405C7" w14:paraId="537A4ED4" w14:textId="77777777" w:rsidTr="00B20255">
        <w:tc>
          <w:tcPr>
            <w:tcW w:w="5403" w:type="dxa"/>
          </w:tcPr>
          <w:p w14:paraId="57DDEE1A" w14:textId="1363BD3E" w:rsidR="009405C7" w:rsidRPr="00C468F7" w:rsidRDefault="00C468F7" w:rsidP="009405C7">
            <w:pPr>
              <w:pStyle w:val="MDPI31text"/>
              <w:ind w:left="0" w:firstLine="0"/>
              <w:rPr>
                <w:rFonts w:asciiTheme="majorBidi" w:hAnsiTheme="majorBidi" w:cstheme="majorBidi"/>
                <w:color w:val="auto"/>
                <w:sz w:val="24"/>
                <w:szCs w:val="24"/>
              </w:rPr>
            </w:pPr>
            <w:r w:rsidRPr="00C468F7">
              <w:rPr>
                <w:rFonts w:asciiTheme="majorBidi" w:hAnsiTheme="majorBidi" w:cstheme="majorBidi"/>
                <w:color w:val="auto"/>
                <w:sz w:val="24"/>
                <w:szCs w:val="24"/>
              </w:rPr>
              <w:t xml:space="preserve">Irala S, Hamid S, </w:t>
            </w:r>
            <w:proofErr w:type="spellStart"/>
            <w:r w:rsidRPr="00C468F7">
              <w:rPr>
                <w:rFonts w:asciiTheme="majorBidi" w:hAnsiTheme="majorBidi" w:cstheme="majorBidi"/>
                <w:color w:val="auto"/>
                <w:sz w:val="24"/>
                <w:szCs w:val="24"/>
              </w:rPr>
              <w:t>Penayo</w:t>
            </w:r>
            <w:proofErr w:type="spellEnd"/>
            <w:r w:rsidRPr="00C468F7">
              <w:rPr>
                <w:rFonts w:asciiTheme="majorBidi" w:hAnsiTheme="majorBidi" w:cstheme="majorBidi"/>
                <w:color w:val="auto"/>
                <w:sz w:val="24"/>
                <w:szCs w:val="24"/>
              </w:rPr>
              <w:t xml:space="preserve"> E, Michel F, Couto P, Vazquez C, Ortega MJ, Domínguez C, Battaglia S, Von Horoch M, Montoya R, Sequera G, </w:t>
            </w:r>
            <w:proofErr w:type="spellStart"/>
            <w:r w:rsidRPr="00C468F7">
              <w:rPr>
                <w:rFonts w:asciiTheme="majorBidi" w:hAnsiTheme="majorBidi" w:cstheme="majorBidi"/>
                <w:color w:val="auto"/>
                <w:sz w:val="24"/>
                <w:szCs w:val="24"/>
              </w:rPr>
              <w:t>Nogareda</w:t>
            </w:r>
            <w:proofErr w:type="spellEnd"/>
            <w:r w:rsidRPr="00C468F7">
              <w:rPr>
                <w:rFonts w:asciiTheme="majorBidi" w:hAnsiTheme="majorBidi" w:cstheme="majorBidi"/>
                <w:color w:val="auto"/>
                <w:sz w:val="24"/>
                <w:szCs w:val="24"/>
              </w:rPr>
              <w:t xml:space="preserve"> F. COVID-19 vaccine effectiveness against hospitalizations in Paraguay, May 2021–April 2022: a test-negative design. Vaccine. 2023;41:6453–6460. doi:10.1016/j.vaccine.2023.09.015.</w:t>
            </w:r>
          </w:p>
        </w:tc>
        <w:tc>
          <w:tcPr>
            <w:tcW w:w="5938" w:type="dxa"/>
          </w:tcPr>
          <w:p w14:paraId="78042E8A" w14:textId="7704C63D" w:rsidR="009405C7" w:rsidRPr="00C468F7" w:rsidRDefault="009405C7" w:rsidP="009405C7">
            <w:pPr>
              <w:pStyle w:val="MDPI31text"/>
              <w:ind w:left="0" w:firstLine="0"/>
              <w:rPr>
                <w:rFonts w:asciiTheme="majorBidi" w:hAnsiTheme="majorBidi" w:cstheme="majorBidi"/>
                <w:color w:val="auto"/>
                <w:sz w:val="24"/>
                <w:szCs w:val="24"/>
              </w:rPr>
            </w:pPr>
            <w:r w:rsidRPr="00C468F7">
              <w:rPr>
                <w:rFonts w:asciiTheme="majorBidi" w:hAnsiTheme="majorBidi" w:cstheme="majorBidi"/>
                <w:color w:val="auto"/>
                <w:sz w:val="24"/>
                <w:szCs w:val="24"/>
              </w:rPr>
              <w:t>Outside the prespecified review scope. This test-negative study evaluates vaccine effectiveness against COVID-19–associated hospitali</w:t>
            </w:r>
            <w:r w:rsidR="00F10ED1" w:rsidRPr="00C468F7">
              <w:rPr>
                <w:rFonts w:asciiTheme="majorBidi" w:hAnsiTheme="majorBidi" w:cstheme="majorBidi"/>
                <w:color w:val="auto"/>
                <w:sz w:val="24"/>
                <w:szCs w:val="24"/>
              </w:rPr>
              <w:t>z</w:t>
            </w:r>
            <w:r w:rsidRPr="00C468F7">
              <w:rPr>
                <w:rFonts w:asciiTheme="majorBidi" w:hAnsiTheme="majorBidi" w:cstheme="majorBidi"/>
                <w:color w:val="auto"/>
                <w:sz w:val="24"/>
                <w:szCs w:val="24"/>
              </w:rPr>
              <w:t>ation during early pandemic phases (Gamma, Delta, and early Omicron) using primary-series and early booster regimens. It predates later Omicron subvariants and updated/variant-adapted vaccines and is not directly comparable with the contemporary Omicron-era severe-outcome vaccine-effectiveness framework applied in this review.</w:t>
            </w:r>
          </w:p>
        </w:tc>
      </w:tr>
      <w:tr w:rsidR="009405C7" w14:paraId="1E487717" w14:textId="77777777" w:rsidTr="00B20255">
        <w:tc>
          <w:tcPr>
            <w:tcW w:w="5403" w:type="dxa"/>
          </w:tcPr>
          <w:p w14:paraId="162F0E09" w14:textId="7051C9DF" w:rsidR="009405C7" w:rsidRPr="00607CEC" w:rsidRDefault="00607CEC" w:rsidP="009405C7">
            <w:pPr>
              <w:pStyle w:val="MDPI31text"/>
              <w:ind w:left="0" w:firstLine="0"/>
              <w:rPr>
                <w:rFonts w:asciiTheme="majorBidi" w:hAnsiTheme="majorBidi" w:cstheme="majorBidi"/>
                <w:color w:val="auto"/>
                <w:sz w:val="24"/>
                <w:szCs w:val="24"/>
              </w:rPr>
            </w:pPr>
            <w:r w:rsidRPr="00607CEC">
              <w:rPr>
                <w:rFonts w:asciiTheme="majorBidi" w:hAnsiTheme="majorBidi" w:cstheme="majorBidi"/>
                <w:color w:val="auto"/>
                <w:sz w:val="24"/>
                <w:szCs w:val="24"/>
              </w:rPr>
              <w:t xml:space="preserve">Irving SA, Rowley EAK, Chickery S, Natarajan K, Klein NP, Grannis SJ, Ong TC, Ball SW, DeSilva MB, Dascomb K, Naleway AL, Stockwell MS, Stephens AB, Zerbo O, Hansen J, Block L, Jacobson KB, Dixon BE, Rogerson C, Duszynski T, Barron MA, Mayer D, Chavez C, Weber ZA, Reese SE, Essien I, Sheffield T, Bride D, Arndorfer J, Van Otterloo J, Koppolu P, Mak J, Kautz A, </w:t>
            </w:r>
            <w:proofErr w:type="spellStart"/>
            <w:r w:rsidRPr="00607CEC">
              <w:rPr>
                <w:rFonts w:asciiTheme="majorBidi" w:hAnsiTheme="majorBidi" w:cstheme="majorBidi"/>
                <w:color w:val="auto"/>
                <w:sz w:val="24"/>
                <w:szCs w:val="24"/>
              </w:rPr>
              <w:t>DeCuir</w:t>
            </w:r>
            <w:proofErr w:type="spellEnd"/>
            <w:r w:rsidRPr="00607CEC">
              <w:rPr>
                <w:rFonts w:asciiTheme="majorBidi" w:hAnsiTheme="majorBidi" w:cstheme="majorBidi"/>
                <w:color w:val="auto"/>
                <w:sz w:val="24"/>
                <w:szCs w:val="24"/>
              </w:rPr>
              <w:t xml:space="preserve"> J, Wiegand RE, Payne AB, Link-Gelles R. Effectiveness of 2024–2025 COVID-19 vaccines in children in the United States — VISION, August 29, 2024–September 2, 2025. MMWR </w:t>
            </w:r>
            <w:proofErr w:type="spellStart"/>
            <w:r w:rsidRPr="00607CEC">
              <w:rPr>
                <w:rFonts w:asciiTheme="majorBidi" w:hAnsiTheme="majorBidi" w:cstheme="majorBidi"/>
                <w:color w:val="auto"/>
                <w:sz w:val="24"/>
                <w:szCs w:val="24"/>
              </w:rPr>
              <w:t>Morb</w:t>
            </w:r>
            <w:proofErr w:type="spellEnd"/>
            <w:r w:rsidRPr="00607CEC">
              <w:rPr>
                <w:rFonts w:asciiTheme="majorBidi" w:hAnsiTheme="majorBidi" w:cstheme="majorBidi"/>
                <w:color w:val="auto"/>
                <w:sz w:val="24"/>
                <w:szCs w:val="24"/>
              </w:rPr>
              <w:t xml:space="preserve"> Mortal </w:t>
            </w:r>
            <w:proofErr w:type="spellStart"/>
            <w:r w:rsidRPr="00607CEC">
              <w:rPr>
                <w:rFonts w:asciiTheme="majorBidi" w:hAnsiTheme="majorBidi" w:cstheme="majorBidi"/>
                <w:color w:val="auto"/>
                <w:sz w:val="24"/>
                <w:szCs w:val="24"/>
              </w:rPr>
              <w:t>Wkly</w:t>
            </w:r>
            <w:proofErr w:type="spellEnd"/>
            <w:r w:rsidRPr="00607CEC">
              <w:rPr>
                <w:rFonts w:asciiTheme="majorBidi" w:hAnsiTheme="majorBidi" w:cstheme="majorBidi"/>
                <w:color w:val="auto"/>
                <w:sz w:val="24"/>
                <w:szCs w:val="24"/>
              </w:rPr>
              <w:t xml:space="preserve"> Rep. 2025;74:608–614.</w:t>
            </w:r>
          </w:p>
        </w:tc>
        <w:tc>
          <w:tcPr>
            <w:tcW w:w="5938" w:type="dxa"/>
          </w:tcPr>
          <w:p w14:paraId="263A1BC7" w14:textId="77777777" w:rsidR="009405C7" w:rsidRPr="00607CEC" w:rsidRDefault="009405C7" w:rsidP="009405C7">
            <w:pPr>
              <w:pStyle w:val="MDPI31text"/>
              <w:ind w:left="0" w:firstLine="0"/>
              <w:rPr>
                <w:rFonts w:asciiTheme="majorBidi" w:hAnsiTheme="majorBidi" w:cstheme="majorBidi"/>
                <w:color w:val="auto"/>
                <w:sz w:val="24"/>
                <w:szCs w:val="24"/>
              </w:rPr>
            </w:pPr>
            <w:r w:rsidRPr="00607CEC">
              <w:rPr>
                <w:rFonts w:asciiTheme="majorBidi" w:hAnsiTheme="majorBidi" w:cstheme="majorBidi"/>
                <w:color w:val="auto"/>
                <w:sz w:val="24"/>
                <w:szCs w:val="24"/>
              </w:rPr>
              <w:t>Outside the prespecified review scope. This study is restricted to paediatric populations (children and adolescents aged 9 months–17 years) and evaluates 2024–2025 seasonal COVID-19 vaccines targeting JN.1-derived lineages, with outcomes limited to medically attended emergency department or urgent care visits. The study does not include adult populations, does not assess severe outcomes such as hospitalization or death, and evaluates a subsequent vaccine formulation and season beyond the 2023–2024 updated-vaccine period considered in this review. Consequently, its population, outcomes, and vaccine formulation are not directly comparable with the adult severe-outcome vaccine-effectiveness framework synthesised here.</w:t>
            </w:r>
          </w:p>
        </w:tc>
      </w:tr>
      <w:tr w:rsidR="009405C7" w14:paraId="70B74850" w14:textId="77777777" w:rsidTr="00B20255">
        <w:tc>
          <w:tcPr>
            <w:tcW w:w="5403" w:type="dxa"/>
          </w:tcPr>
          <w:p w14:paraId="5D0D6001" w14:textId="7AF0FD3A" w:rsidR="009405C7" w:rsidRPr="00607CEC" w:rsidRDefault="00607CEC" w:rsidP="009405C7">
            <w:pPr>
              <w:pStyle w:val="MDPI31text"/>
              <w:ind w:left="0" w:firstLine="0"/>
              <w:rPr>
                <w:rFonts w:asciiTheme="majorBidi" w:hAnsiTheme="majorBidi" w:cstheme="majorBidi"/>
                <w:color w:val="auto"/>
                <w:sz w:val="24"/>
                <w:szCs w:val="24"/>
              </w:rPr>
            </w:pPr>
            <w:proofErr w:type="spellStart"/>
            <w:r w:rsidRPr="00607CEC">
              <w:rPr>
                <w:rFonts w:asciiTheme="majorBidi" w:hAnsiTheme="majorBidi" w:cstheme="majorBidi"/>
                <w:color w:val="auto"/>
                <w:sz w:val="24"/>
                <w:szCs w:val="24"/>
              </w:rPr>
              <w:t>Jamaati</w:t>
            </w:r>
            <w:proofErr w:type="spellEnd"/>
            <w:r w:rsidRPr="00607CEC">
              <w:rPr>
                <w:rFonts w:asciiTheme="majorBidi" w:hAnsiTheme="majorBidi" w:cstheme="majorBidi"/>
                <w:color w:val="auto"/>
                <w:sz w:val="24"/>
                <w:szCs w:val="24"/>
              </w:rPr>
              <w:t xml:space="preserve"> H, Karimi S, Ghorbani F, Panahi Y, Hosseini-</w:t>
            </w:r>
            <w:proofErr w:type="spellStart"/>
            <w:r w:rsidRPr="00607CEC">
              <w:rPr>
                <w:rFonts w:asciiTheme="majorBidi" w:hAnsiTheme="majorBidi" w:cstheme="majorBidi"/>
                <w:color w:val="auto"/>
                <w:sz w:val="24"/>
                <w:szCs w:val="24"/>
              </w:rPr>
              <w:t>Baharanchi</w:t>
            </w:r>
            <w:proofErr w:type="spellEnd"/>
            <w:r w:rsidRPr="00607CEC">
              <w:rPr>
                <w:rFonts w:asciiTheme="majorBidi" w:hAnsiTheme="majorBidi" w:cstheme="majorBidi"/>
                <w:color w:val="auto"/>
                <w:sz w:val="24"/>
                <w:szCs w:val="24"/>
              </w:rPr>
              <w:t xml:space="preserve"> FS, </w:t>
            </w:r>
            <w:proofErr w:type="spellStart"/>
            <w:r w:rsidRPr="00607CEC">
              <w:rPr>
                <w:rFonts w:asciiTheme="majorBidi" w:hAnsiTheme="majorBidi" w:cstheme="majorBidi"/>
                <w:color w:val="auto"/>
                <w:sz w:val="24"/>
                <w:szCs w:val="24"/>
              </w:rPr>
              <w:t>Hajimoradi</w:t>
            </w:r>
            <w:proofErr w:type="spellEnd"/>
            <w:r w:rsidRPr="00607CEC">
              <w:rPr>
                <w:rFonts w:asciiTheme="majorBidi" w:hAnsiTheme="majorBidi" w:cstheme="majorBidi"/>
                <w:color w:val="auto"/>
                <w:sz w:val="24"/>
                <w:szCs w:val="24"/>
              </w:rPr>
              <w:t xml:space="preserve"> M, Malek R, Noorali S, Mokhtari M, </w:t>
            </w:r>
            <w:proofErr w:type="spellStart"/>
            <w:r w:rsidRPr="00607CEC">
              <w:rPr>
                <w:rFonts w:asciiTheme="majorBidi" w:hAnsiTheme="majorBidi" w:cstheme="majorBidi"/>
                <w:color w:val="auto"/>
                <w:sz w:val="24"/>
                <w:szCs w:val="24"/>
              </w:rPr>
              <w:t>Khoundabi</w:t>
            </w:r>
            <w:proofErr w:type="spellEnd"/>
            <w:r w:rsidRPr="00607CEC">
              <w:rPr>
                <w:rFonts w:asciiTheme="majorBidi" w:hAnsiTheme="majorBidi" w:cstheme="majorBidi"/>
                <w:color w:val="auto"/>
                <w:sz w:val="24"/>
                <w:szCs w:val="24"/>
              </w:rPr>
              <w:t xml:space="preserve"> B, Sadr M, </w:t>
            </w:r>
            <w:proofErr w:type="spellStart"/>
            <w:r w:rsidRPr="00607CEC">
              <w:rPr>
                <w:rFonts w:asciiTheme="majorBidi" w:hAnsiTheme="majorBidi" w:cstheme="majorBidi"/>
                <w:color w:val="auto"/>
                <w:sz w:val="24"/>
                <w:szCs w:val="24"/>
              </w:rPr>
              <w:t>Mohamadnia</w:t>
            </w:r>
            <w:proofErr w:type="spellEnd"/>
            <w:r w:rsidRPr="00607CEC">
              <w:rPr>
                <w:rFonts w:asciiTheme="majorBidi" w:hAnsiTheme="majorBidi" w:cstheme="majorBidi"/>
                <w:color w:val="auto"/>
                <w:sz w:val="24"/>
                <w:szCs w:val="24"/>
              </w:rPr>
              <w:t xml:space="preserve"> A, </w:t>
            </w:r>
            <w:proofErr w:type="spellStart"/>
            <w:r w:rsidRPr="00607CEC">
              <w:rPr>
                <w:rFonts w:asciiTheme="majorBidi" w:hAnsiTheme="majorBidi" w:cstheme="majorBidi"/>
                <w:color w:val="auto"/>
                <w:sz w:val="24"/>
                <w:szCs w:val="24"/>
              </w:rPr>
              <w:t>Zahraei</w:t>
            </w:r>
            <w:proofErr w:type="spellEnd"/>
            <w:r w:rsidRPr="00607CEC">
              <w:rPr>
                <w:rFonts w:asciiTheme="majorBidi" w:hAnsiTheme="majorBidi" w:cstheme="majorBidi"/>
                <w:color w:val="auto"/>
                <w:sz w:val="24"/>
                <w:szCs w:val="24"/>
              </w:rPr>
              <w:t xml:space="preserve"> SM, Hashemian SMR, Dastan F, </w:t>
            </w:r>
            <w:proofErr w:type="spellStart"/>
            <w:r w:rsidRPr="00607CEC">
              <w:rPr>
                <w:rFonts w:asciiTheme="majorBidi" w:hAnsiTheme="majorBidi" w:cstheme="majorBidi"/>
                <w:color w:val="auto"/>
                <w:sz w:val="24"/>
                <w:szCs w:val="24"/>
              </w:rPr>
              <w:t>Mortaz</w:t>
            </w:r>
            <w:proofErr w:type="spellEnd"/>
            <w:r w:rsidRPr="00607CEC">
              <w:rPr>
                <w:rFonts w:asciiTheme="majorBidi" w:hAnsiTheme="majorBidi" w:cstheme="majorBidi"/>
                <w:color w:val="auto"/>
                <w:sz w:val="24"/>
                <w:szCs w:val="24"/>
              </w:rPr>
              <w:t xml:space="preserve"> E, </w:t>
            </w:r>
            <w:proofErr w:type="spellStart"/>
            <w:r w:rsidRPr="00607CEC">
              <w:rPr>
                <w:rFonts w:asciiTheme="majorBidi" w:hAnsiTheme="majorBidi" w:cstheme="majorBidi"/>
                <w:color w:val="auto"/>
                <w:sz w:val="24"/>
                <w:szCs w:val="24"/>
              </w:rPr>
              <w:lastRenderedPageBreak/>
              <w:t>Tayeri</w:t>
            </w:r>
            <w:proofErr w:type="spellEnd"/>
            <w:r w:rsidRPr="00607CEC">
              <w:rPr>
                <w:rFonts w:asciiTheme="majorBidi" w:hAnsiTheme="majorBidi" w:cstheme="majorBidi"/>
                <w:color w:val="auto"/>
                <w:sz w:val="24"/>
                <w:szCs w:val="24"/>
              </w:rPr>
              <w:t xml:space="preserve"> K, </w:t>
            </w:r>
            <w:proofErr w:type="spellStart"/>
            <w:r w:rsidRPr="00607CEC">
              <w:rPr>
                <w:rFonts w:asciiTheme="majorBidi" w:hAnsiTheme="majorBidi" w:cstheme="majorBidi"/>
                <w:color w:val="auto"/>
                <w:sz w:val="24"/>
                <w:szCs w:val="24"/>
              </w:rPr>
              <w:t>Behtaj</w:t>
            </w:r>
            <w:proofErr w:type="spellEnd"/>
            <w:r w:rsidRPr="00607CEC">
              <w:rPr>
                <w:rFonts w:asciiTheme="majorBidi" w:hAnsiTheme="majorBidi" w:cstheme="majorBidi"/>
                <w:color w:val="auto"/>
                <w:sz w:val="24"/>
                <w:szCs w:val="24"/>
              </w:rPr>
              <w:t xml:space="preserve"> F, </w:t>
            </w:r>
            <w:proofErr w:type="spellStart"/>
            <w:r w:rsidRPr="00607CEC">
              <w:rPr>
                <w:rFonts w:asciiTheme="majorBidi" w:hAnsiTheme="majorBidi" w:cstheme="majorBidi"/>
                <w:color w:val="auto"/>
                <w:sz w:val="24"/>
                <w:szCs w:val="24"/>
              </w:rPr>
              <w:t>Vaezi</w:t>
            </w:r>
            <w:proofErr w:type="spellEnd"/>
            <w:r w:rsidRPr="00607CEC">
              <w:rPr>
                <w:rFonts w:asciiTheme="majorBidi" w:hAnsiTheme="majorBidi" w:cstheme="majorBidi"/>
                <w:color w:val="auto"/>
                <w:sz w:val="24"/>
                <w:szCs w:val="24"/>
              </w:rPr>
              <w:t xml:space="preserve"> H, </w:t>
            </w:r>
            <w:proofErr w:type="spellStart"/>
            <w:r w:rsidRPr="00607CEC">
              <w:rPr>
                <w:rFonts w:asciiTheme="majorBidi" w:hAnsiTheme="majorBidi" w:cstheme="majorBidi"/>
                <w:color w:val="auto"/>
                <w:sz w:val="24"/>
                <w:szCs w:val="24"/>
              </w:rPr>
              <w:t>Forouzanfar</w:t>
            </w:r>
            <w:proofErr w:type="spellEnd"/>
            <w:r w:rsidRPr="00607CEC">
              <w:rPr>
                <w:rFonts w:asciiTheme="majorBidi" w:hAnsiTheme="majorBidi" w:cstheme="majorBidi"/>
                <w:color w:val="auto"/>
                <w:sz w:val="24"/>
                <w:szCs w:val="24"/>
              </w:rPr>
              <w:t xml:space="preserve"> MM, </w:t>
            </w:r>
            <w:proofErr w:type="spellStart"/>
            <w:r w:rsidRPr="00607CEC">
              <w:rPr>
                <w:rFonts w:asciiTheme="majorBidi" w:hAnsiTheme="majorBidi" w:cstheme="majorBidi"/>
                <w:color w:val="auto"/>
                <w:sz w:val="24"/>
                <w:szCs w:val="24"/>
              </w:rPr>
              <w:t>Shafaghi</w:t>
            </w:r>
            <w:proofErr w:type="spellEnd"/>
            <w:r w:rsidRPr="00607CEC">
              <w:rPr>
                <w:rFonts w:asciiTheme="majorBidi" w:hAnsiTheme="majorBidi" w:cstheme="majorBidi"/>
                <w:color w:val="auto"/>
                <w:sz w:val="24"/>
                <w:szCs w:val="24"/>
              </w:rPr>
              <w:t xml:space="preserve"> S. Effectiveness of different vaccine platforms in reducing mortality and length of ICU stay in severe and critical cases of COVID-19 in the Omicron variant era: a national cohort study in Iran. J Med </w:t>
            </w:r>
            <w:proofErr w:type="spellStart"/>
            <w:r w:rsidRPr="00607CEC">
              <w:rPr>
                <w:rFonts w:asciiTheme="majorBidi" w:hAnsiTheme="majorBidi" w:cstheme="majorBidi"/>
                <w:color w:val="auto"/>
                <w:sz w:val="24"/>
                <w:szCs w:val="24"/>
              </w:rPr>
              <w:t>Virol</w:t>
            </w:r>
            <w:proofErr w:type="spellEnd"/>
            <w:r w:rsidRPr="00607CEC">
              <w:rPr>
                <w:rFonts w:asciiTheme="majorBidi" w:hAnsiTheme="majorBidi" w:cstheme="majorBidi"/>
                <w:color w:val="auto"/>
                <w:sz w:val="24"/>
                <w:szCs w:val="24"/>
              </w:rPr>
              <w:t>. 2023;95:e28607. doi:10.1002/jmv.28607.</w:t>
            </w:r>
          </w:p>
        </w:tc>
        <w:tc>
          <w:tcPr>
            <w:tcW w:w="5938" w:type="dxa"/>
          </w:tcPr>
          <w:p w14:paraId="6528FE79" w14:textId="6B0CF254" w:rsidR="009405C7" w:rsidRPr="00607CEC" w:rsidRDefault="009405C7" w:rsidP="009405C7">
            <w:pPr>
              <w:pStyle w:val="MDPI31text"/>
              <w:ind w:left="0" w:firstLine="0"/>
              <w:rPr>
                <w:rFonts w:asciiTheme="majorBidi" w:hAnsiTheme="majorBidi" w:cstheme="majorBidi"/>
                <w:color w:val="auto"/>
                <w:sz w:val="24"/>
                <w:szCs w:val="24"/>
              </w:rPr>
            </w:pPr>
            <w:r w:rsidRPr="00607CEC">
              <w:rPr>
                <w:rFonts w:asciiTheme="majorBidi" w:hAnsiTheme="majorBidi" w:cstheme="majorBidi"/>
                <w:color w:val="auto"/>
                <w:sz w:val="24"/>
                <w:szCs w:val="24"/>
              </w:rPr>
              <w:lastRenderedPageBreak/>
              <w:t xml:space="preserve">Outside the prespecified review scope. This national cohort study evaluates mortality and length of intensive care unit stay only among patients already admitted to ICU, estimating vaccination effects conditional on ICU </w:t>
            </w:r>
            <w:r w:rsidRPr="00607CEC">
              <w:rPr>
                <w:rFonts w:asciiTheme="majorBidi" w:hAnsiTheme="majorBidi" w:cstheme="majorBidi"/>
                <w:color w:val="auto"/>
                <w:sz w:val="24"/>
                <w:szCs w:val="24"/>
              </w:rPr>
              <w:lastRenderedPageBreak/>
              <w:t>admission. It does not provide population-based vaccine effectiveness estimates against severe COVID-19 outcomes (e.g. hospitali</w:t>
            </w:r>
            <w:r w:rsidR="00F10ED1" w:rsidRPr="00607CEC">
              <w:rPr>
                <w:rFonts w:asciiTheme="majorBidi" w:hAnsiTheme="majorBidi" w:cstheme="majorBidi"/>
                <w:color w:val="auto"/>
                <w:sz w:val="24"/>
                <w:szCs w:val="24"/>
              </w:rPr>
              <w:t>z</w:t>
            </w:r>
            <w:r w:rsidRPr="00607CEC">
              <w:rPr>
                <w:rFonts w:asciiTheme="majorBidi" w:hAnsiTheme="majorBidi" w:cstheme="majorBidi"/>
                <w:color w:val="auto"/>
                <w:sz w:val="24"/>
                <w:szCs w:val="24"/>
              </w:rPr>
              <w:t>ation or death) using an at-risk denominator, and therefore is not directly comparable with the vaccine-effectiveness framework applied in this review.</w:t>
            </w:r>
          </w:p>
        </w:tc>
      </w:tr>
      <w:tr w:rsidR="009405C7" w14:paraId="1F3F0619" w14:textId="77777777" w:rsidTr="00B20255">
        <w:tc>
          <w:tcPr>
            <w:tcW w:w="5403" w:type="dxa"/>
          </w:tcPr>
          <w:p w14:paraId="425E1588" w14:textId="3EA44CB7" w:rsidR="009405C7" w:rsidRPr="00607CEC" w:rsidRDefault="00607CEC" w:rsidP="009405C7">
            <w:pPr>
              <w:pStyle w:val="MDPI31text"/>
              <w:ind w:left="0" w:firstLine="0"/>
              <w:rPr>
                <w:rFonts w:asciiTheme="majorBidi" w:hAnsiTheme="majorBidi" w:cstheme="majorBidi"/>
                <w:color w:val="auto"/>
                <w:sz w:val="24"/>
                <w:szCs w:val="24"/>
              </w:rPr>
            </w:pPr>
            <w:r w:rsidRPr="00607CEC">
              <w:rPr>
                <w:rFonts w:asciiTheme="majorBidi" w:hAnsiTheme="majorBidi" w:cstheme="majorBidi"/>
                <w:color w:val="auto"/>
                <w:sz w:val="24"/>
                <w:szCs w:val="24"/>
                <w:lang w:val="en-AU"/>
              </w:rPr>
              <w:lastRenderedPageBreak/>
              <w:t xml:space="preserve">Jang EJ, Choe YJ, Kim RK, Lee S, Park SK, Park YJ. Estimated effectiveness of prior SARS-CoV-2 BA.1 or BA.2 infection and booster vaccination against Omicron BA.5 subvariant infection. </w:t>
            </w:r>
            <w:r w:rsidRPr="00607CEC">
              <w:rPr>
                <w:rFonts w:asciiTheme="majorBidi" w:hAnsiTheme="majorBidi" w:cstheme="majorBidi"/>
                <w:color w:val="auto"/>
                <w:sz w:val="24"/>
                <w:szCs w:val="24"/>
                <w:lang w:val="nb-NO"/>
              </w:rPr>
              <w:t xml:space="preserve">JAMA </w:t>
            </w:r>
            <w:proofErr w:type="spellStart"/>
            <w:r w:rsidRPr="00607CEC">
              <w:rPr>
                <w:rFonts w:asciiTheme="majorBidi" w:hAnsiTheme="majorBidi" w:cstheme="majorBidi"/>
                <w:color w:val="auto"/>
                <w:sz w:val="24"/>
                <w:szCs w:val="24"/>
                <w:lang w:val="nb-NO"/>
              </w:rPr>
              <w:t>Netw</w:t>
            </w:r>
            <w:proofErr w:type="spellEnd"/>
            <w:r w:rsidRPr="00607CEC">
              <w:rPr>
                <w:rFonts w:asciiTheme="majorBidi" w:hAnsiTheme="majorBidi" w:cstheme="majorBidi"/>
                <w:color w:val="auto"/>
                <w:sz w:val="24"/>
                <w:szCs w:val="24"/>
                <w:lang w:val="nb-NO"/>
              </w:rPr>
              <w:t xml:space="preserve"> Open. 2023;6(3):e232578. doi:10.1001/jamanetworkopen.2023.2578.</w:t>
            </w:r>
          </w:p>
        </w:tc>
        <w:tc>
          <w:tcPr>
            <w:tcW w:w="5938" w:type="dxa"/>
          </w:tcPr>
          <w:p w14:paraId="2E6CCE9C" w14:textId="219882D0" w:rsidR="009405C7" w:rsidRPr="00607CEC" w:rsidRDefault="00635F44" w:rsidP="009405C7">
            <w:pPr>
              <w:pStyle w:val="MDPI31text"/>
              <w:ind w:left="0" w:firstLine="0"/>
              <w:rPr>
                <w:rFonts w:asciiTheme="majorBidi" w:hAnsiTheme="majorBidi" w:cstheme="majorBidi"/>
                <w:color w:val="auto"/>
                <w:sz w:val="24"/>
                <w:szCs w:val="24"/>
              </w:rPr>
            </w:pPr>
            <w:r w:rsidRPr="00607CEC">
              <w:rPr>
                <w:rFonts w:asciiTheme="majorBidi" w:hAnsiTheme="majorBidi" w:cstheme="majorBidi"/>
                <w:color w:val="auto"/>
                <w:sz w:val="24"/>
                <w:szCs w:val="24"/>
              </w:rPr>
              <w:t>Outside the prespecified review scope. This nationwide nested case–control study primarily evaluates hybrid immunity (prior BA.1/BA.2 infection plus ancestral mRNA booster vaccination) against BA.5 infection during early Omicron circulation (2022). The study does not assess late-Omicron sub-lineages or the effectiveness of updated or variant-adapted COVID-19 vaccines, and its infection-focused analytic framework is not directly comparable with the severe-outcome vaccine effectiveness estimates synthesised in this review.</w:t>
            </w:r>
          </w:p>
        </w:tc>
      </w:tr>
      <w:tr w:rsidR="009405C7" w14:paraId="2CD859FA" w14:textId="77777777" w:rsidTr="00B20255">
        <w:tc>
          <w:tcPr>
            <w:tcW w:w="5403" w:type="dxa"/>
          </w:tcPr>
          <w:p w14:paraId="4FD9B53D" w14:textId="120AACD5" w:rsidR="009405C7" w:rsidRPr="00607CEC" w:rsidRDefault="00607CEC" w:rsidP="009405C7">
            <w:pPr>
              <w:pStyle w:val="MDPI31text"/>
              <w:ind w:left="0" w:firstLine="0"/>
              <w:rPr>
                <w:rFonts w:asciiTheme="majorBidi" w:hAnsiTheme="majorBidi" w:cstheme="majorBidi"/>
                <w:color w:val="auto"/>
                <w:sz w:val="24"/>
                <w:szCs w:val="24"/>
              </w:rPr>
            </w:pPr>
            <w:r w:rsidRPr="00607CEC">
              <w:rPr>
                <w:rFonts w:asciiTheme="majorBidi" w:hAnsiTheme="majorBidi" w:cstheme="majorBidi"/>
                <w:color w:val="auto"/>
                <w:sz w:val="24"/>
                <w:szCs w:val="24"/>
                <w:lang w:val="en-AU"/>
              </w:rPr>
              <w:t xml:space="preserve">Jara A, </w:t>
            </w:r>
            <w:proofErr w:type="spellStart"/>
            <w:r w:rsidRPr="00607CEC">
              <w:rPr>
                <w:rFonts w:asciiTheme="majorBidi" w:hAnsiTheme="majorBidi" w:cstheme="majorBidi"/>
                <w:color w:val="auto"/>
                <w:sz w:val="24"/>
                <w:szCs w:val="24"/>
                <w:lang w:val="en-AU"/>
              </w:rPr>
              <w:t>Undurraga</w:t>
            </w:r>
            <w:proofErr w:type="spellEnd"/>
            <w:r w:rsidRPr="00607CEC">
              <w:rPr>
                <w:rFonts w:asciiTheme="majorBidi" w:hAnsiTheme="majorBidi" w:cstheme="majorBidi"/>
                <w:color w:val="auto"/>
                <w:sz w:val="24"/>
                <w:szCs w:val="24"/>
                <w:lang w:val="en-AU"/>
              </w:rPr>
              <w:t xml:space="preserve"> EA, Zubizarreta JR, González C, Acevedo J, Pizarro A, Vergara V, Soto-Marchant M, Gilabert R, Flores JC, Suárez P, Leighton P, </w:t>
            </w:r>
            <w:proofErr w:type="spellStart"/>
            <w:r w:rsidRPr="00607CEC">
              <w:rPr>
                <w:rFonts w:asciiTheme="majorBidi" w:hAnsiTheme="majorBidi" w:cstheme="majorBidi"/>
                <w:color w:val="auto"/>
                <w:sz w:val="24"/>
                <w:szCs w:val="24"/>
                <w:lang w:val="en-AU"/>
              </w:rPr>
              <w:t>Eguiguren</w:t>
            </w:r>
            <w:proofErr w:type="spellEnd"/>
            <w:r w:rsidRPr="00607CEC">
              <w:rPr>
                <w:rFonts w:asciiTheme="majorBidi" w:hAnsiTheme="majorBidi" w:cstheme="majorBidi"/>
                <w:color w:val="auto"/>
                <w:sz w:val="24"/>
                <w:szCs w:val="24"/>
                <w:lang w:val="en-AU"/>
              </w:rPr>
              <w:t xml:space="preserve"> P, Ríos JC, Fernandez J, García-Escorza H, Araos R. Effectiveness of CoronaVac in children 3–5 years of age during the SARS-CoV-2 Omicron outbreak in Chile. Nat Med. 2022;28:1377–1380. doi:10.1038/s41591-022-01874-4.</w:t>
            </w:r>
          </w:p>
        </w:tc>
        <w:tc>
          <w:tcPr>
            <w:tcW w:w="5938" w:type="dxa"/>
          </w:tcPr>
          <w:p w14:paraId="6E0ABBED" w14:textId="77777777" w:rsidR="009405C7" w:rsidRPr="00607CEC" w:rsidRDefault="009405C7" w:rsidP="009405C7">
            <w:pPr>
              <w:pStyle w:val="MDPI31text"/>
              <w:ind w:left="0" w:firstLine="0"/>
              <w:rPr>
                <w:rFonts w:asciiTheme="majorBidi" w:hAnsiTheme="majorBidi" w:cstheme="majorBidi"/>
                <w:color w:val="auto"/>
                <w:sz w:val="24"/>
                <w:szCs w:val="24"/>
              </w:rPr>
            </w:pPr>
            <w:r w:rsidRPr="00607CEC">
              <w:rPr>
                <w:rFonts w:asciiTheme="majorBidi" w:hAnsiTheme="majorBidi" w:cstheme="majorBidi"/>
                <w:color w:val="auto"/>
                <w:sz w:val="24"/>
                <w:szCs w:val="24"/>
              </w:rPr>
              <w:t>Outside the prespecified review scope. This population-based cohort study evaluates vaccine effectiveness in children aged 3–5 years during an early Omicron (BA.1-dominant) period, assessing a two-dose primary series of CoronaVac. The study is restricted to a pediatric population and does not evaluate adult booster vaccination or variant-adapted vaccines, which are the focus of this review.</w:t>
            </w:r>
          </w:p>
        </w:tc>
      </w:tr>
      <w:tr w:rsidR="009405C7" w14:paraId="08772977" w14:textId="77777777" w:rsidTr="00B20255">
        <w:tc>
          <w:tcPr>
            <w:tcW w:w="5403" w:type="dxa"/>
          </w:tcPr>
          <w:p w14:paraId="03008E70" w14:textId="4B1F08AC" w:rsidR="009405C7" w:rsidRPr="00AA00C7" w:rsidRDefault="00AA00C7" w:rsidP="009405C7">
            <w:pPr>
              <w:pStyle w:val="MDPI31text"/>
              <w:ind w:left="0" w:firstLine="0"/>
              <w:rPr>
                <w:rFonts w:asciiTheme="majorBidi" w:hAnsiTheme="majorBidi" w:cstheme="majorBidi"/>
                <w:color w:val="auto"/>
                <w:sz w:val="24"/>
                <w:szCs w:val="24"/>
              </w:rPr>
            </w:pPr>
            <w:r w:rsidRPr="00AA00C7">
              <w:rPr>
                <w:rFonts w:asciiTheme="majorBidi" w:hAnsiTheme="majorBidi" w:cstheme="majorBidi"/>
                <w:color w:val="auto"/>
                <w:sz w:val="24"/>
                <w:szCs w:val="24"/>
              </w:rPr>
              <w:t xml:space="preserve">Jara A, Cuadrado C, </w:t>
            </w:r>
            <w:proofErr w:type="spellStart"/>
            <w:r w:rsidRPr="00AA00C7">
              <w:rPr>
                <w:rFonts w:asciiTheme="majorBidi" w:hAnsiTheme="majorBidi" w:cstheme="majorBidi"/>
                <w:color w:val="auto"/>
                <w:sz w:val="24"/>
                <w:szCs w:val="24"/>
              </w:rPr>
              <w:t>Undurraga</w:t>
            </w:r>
            <w:proofErr w:type="spellEnd"/>
            <w:r w:rsidRPr="00AA00C7">
              <w:rPr>
                <w:rFonts w:asciiTheme="majorBidi" w:hAnsiTheme="majorBidi" w:cstheme="majorBidi"/>
                <w:color w:val="auto"/>
                <w:sz w:val="24"/>
                <w:szCs w:val="24"/>
              </w:rPr>
              <w:t xml:space="preserve"> EA, García C, Nájera M, </w:t>
            </w:r>
            <w:proofErr w:type="spellStart"/>
            <w:r w:rsidRPr="00AA00C7">
              <w:rPr>
                <w:rFonts w:asciiTheme="majorBidi" w:hAnsiTheme="majorBidi" w:cstheme="majorBidi"/>
                <w:color w:val="auto"/>
                <w:sz w:val="24"/>
                <w:szCs w:val="24"/>
              </w:rPr>
              <w:t>Bertoglia</w:t>
            </w:r>
            <w:proofErr w:type="spellEnd"/>
            <w:r w:rsidRPr="00AA00C7">
              <w:rPr>
                <w:rFonts w:asciiTheme="majorBidi" w:hAnsiTheme="majorBidi" w:cstheme="majorBidi"/>
                <w:color w:val="auto"/>
                <w:sz w:val="24"/>
                <w:szCs w:val="24"/>
              </w:rPr>
              <w:t xml:space="preserve"> MP, Vergara V, Fernández J, García-Escorza H, Araos R. Effectiveness of the second COVID-19 booster against Omicron: a large-scale cohort study in Chile. Nat Commun. 2023;14:6836. doi:10.1038/s41467-023-41942-y.</w:t>
            </w:r>
          </w:p>
        </w:tc>
        <w:tc>
          <w:tcPr>
            <w:tcW w:w="5938" w:type="dxa"/>
          </w:tcPr>
          <w:p w14:paraId="4764FE28" w14:textId="53BCFCB7" w:rsidR="009405C7" w:rsidRPr="00AA00C7" w:rsidRDefault="009405C7" w:rsidP="009405C7">
            <w:pPr>
              <w:pStyle w:val="MDPI31text"/>
              <w:ind w:left="0" w:firstLine="0"/>
              <w:rPr>
                <w:rFonts w:asciiTheme="majorBidi" w:hAnsiTheme="majorBidi" w:cstheme="majorBidi"/>
                <w:color w:val="auto"/>
                <w:sz w:val="24"/>
                <w:szCs w:val="24"/>
              </w:rPr>
            </w:pPr>
            <w:r w:rsidRPr="00AA00C7">
              <w:rPr>
                <w:rFonts w:asciiTheme="majorBidi" w:hAnsiTheme="majorBidi" w:cstheme="majorBidi"/>
                <w:color w:val="auto"/>
                <w:sz w:val="24"/>
                <w:szCs w:val="24"/>
              </w:rPr>
              <w:t>Outside the prespecified review scope. This national cohort study evaluates the effectiveness of second (fourth) booster doses based on ancestral mRNA and inactivated (CoronaVac) vaccine platforms during early Omicron circulation (BA.1–BA.5) in 2022. The study does not assess late-Omicron sub-lineages (e.g., XBB, JN.1, KP) or the effectiveness of updated, variant-adapted COVID-19 vaccines, which are the focus of this review.</w:t>
            </w:r>
          </w:p>
        </w:tc>
      </w:tr>
      <w:tr w:rsidR="009405C7" w14:paraId="331765E6" w14:textId="77777777" w:rsidTr="00B20255">
        <w:tc>
          <w:tcPr>
            <w:tcW w:w="5403" w:type="dxa"/>
          </w:tcPr>
          <w:p w14:paraId="5E7E780B" w14:textId="08C318C2" w:rsidR="009405C7" w:rsidRPr="00A62F08" w:rsidRDefault="00A62F08" w:rsidP="009405C7">
            <w:pPr>
              <w:pStyle w:val="MDPI31text"/>
              <w:ind w:left="0" w:firstLine="0"/>
              <w:rPr>
                <w:rFonts w:asciiTheme="majorBidi" w:hAnsiTheme="majorBidi" w:cstheme="majorBidi"/>
                <w:color w:val="auto"/>
                <w:sz w:val="24"/>
                <w:szCs w:val="24"/>
              </w:rPr>
            </w:pPr>
            <w:r w:rsidRPr="00A62F08">
              <w:rPr>
                <w:rFonts w:asciiTheme="majorBidi" w:hAnsiTheme="majorBidi" w:cstheme="majorBidi"/>
                <w:color w:val="auto"/>
                <w:sz w:val="24"/>
                <w:szCs w:val="24"/>
              </w:rPr>
              <w:t>Jia S, Yin Z, Pan H, Wang F, Liu X, Wang Q, Zhang L, Tang J, Yang H, Du J, Wang Z, Jin P, Peng Z, Tang R, Kang G, Wang X, Li S, Wang W, Li J, Shen H, Zhu F. Relative effectiveness of a heterologous booster dose with adenovirus type 5 vectored COVID-19 vaccine versus three doses of inactivated COVID-19 vaccine in adults during a nationwide outbreak of Omicron predominance in China: a retrospective, individually matched cohort-control study. Emerg Microbes Infect. 2024;13:2332660. doi:10.1080/22221751.2024.2332660.</w:t>
            </w:r>
          </w:p>
        </w:tc>
        <w:tc>
          <w:tcPr>
            <w:tcW w:w="5938" w:type="dxa"/>
          </w:tcPr>
          <w:p w14:paraId="34D03894" w14:textId="77777777" w:rsidR="009405C7" w:rsidRPr="00A62F08" w:rsidRDefault="009405C7" w:rsidP="009405C7">
            <w:pPr>
              <w:pStyle w:val="MDPI31text"/>
              <w:ind w:left="0" w:firstLine="0"/>
              <w:rPr>
                <w:rFonts w:asciiTheme="majorBidi" w:hAnsiTheme="majorBidi" w:cstheme="majorBidi"/>
                <w:color w:val="auto"/>
                <w:sz w:val="24"/>
                <w:szCs w:val="24"/>
              </w:rPr>
            </w:pPr>
            <w:r w:rsidRPr="00A62F08">
              <w:rPr>
                <w:rFonts w:asciiTheme="majorBidi" w:hAnsiTheme="majorBidi" w:cstheme="majorBidi"/>
                <w:color w:val="auto"/>
                <w:sz w:val="24"/>
                <w:szCs w:val="24"/>
              </w:rPr>
              <w:t>Outside the prespecified review scope. This retrospective, survey-based study primarily estimates relative effectiveness of a heterologous Ad5-vectored booster compared with a homologous inactivated-vaccine regimen, with breakthrough infection as the main outcome. Severe COVID-19 outcomes were uncommon, and outcome ascertainment relied largely on self-reported infection and symptoms. The comparator framework and outcome definitions are not directly comparable with the population-based vaccine-effectiveness analyses against severe outcomes synthesised in this review.</w:t>
            </w:r>
          </w:p>
        </w:tc>
      </w:tr>
      <w:tr w:rsidR="009405C7" w14:paraId="3E1E82A9" w14:textId="77777777" w:rsidTr="00B20255">
        <w:tc>
          <w:tcPr>
            <w:tcW w:w="5403" w:type="dxa"/>
          </w:tcPr>
          <w:p w14:paraId="23AD041E" w14:textId="4C15307F" w:rsidR="009405C7" w:rsidRPr="00A62F08" w:rsidRDefault="00A62F08" w:rsidP="00A62F08">
            <w:pPr>
              <w:pStyle w:val="MDPI31text"/>
              <w:ind w:left="0" w:firstLine="0"/>
              <w:rPr>
                <w:rFonts w:asciiTheme="majorBidi" w:hAnsiTheme="majorBidi" w:cstheme="majorBidi"/>
                <w:color w:val="auto"/>
                <w:sz w:val="24"/>
                <w:szCs w:val="24"/>
              </w:rPr>
            </w:pPr>
            <w:r w:rsidRPr="00A62F08">
              <w:rPr>
                <w:rFonts w:asciiTheme="majorBidi" w:hAnsiTheme="majorBidi" w:cstheme="majorBidi"/>
                <w:color w:val="auto"/>
                <w:sz w:val="24"/>
                <w:szCs w:val="24"/>
                <w:lang w:val="en-GB"/>
              </w:rPr>
              <w:t xml:space="preserve">Jiang J, Lam KF, Lau EHY, Yin G, Lin Y, Cowling BJ. Protection and waning of vaccine-induced, natural and hybrid immunity to SARS-CoV-2 in Hong Kong. </w:t>
            </w:r>
            <w:r w:rsidRPr="00A62F08">
              <w:rPr>
                <w:rFonts w:asciiTheme="majorBidi" w:hAnsiTheme="majorBidi" w:cstheme="majorBidi"/>
                <w:i/>
                <w:iCs/>
                <w:color w:val="auto"/>
                <w:sz w:val="24"/>
                <w:szCs w:val="24"/>
                <w:lang w:val="en-GB"/>
              </w:rPr>
              <w:t>Expert Rev Vaccines.</w:t>
            </w:r>
            <w:r w:rsidRPr="00A62F08">
              <w:rPr>
                <w:rFonts w:asciiTheme="majorBidi" w:hAnsiTheme="majorBidi" w:cstheme="majorBidi"/>
                <w:color w:val="auto"/>
                <w:sz w:val="24"/>
                <w:szCs w:val="24"/>
                <w:lang w:val="en-GB"/>
              </w:rPr>
              <w:t xml:space="preserve"> 2025;24:252–260. doi:10.1080/14760584.2025.2485252.</w:t>
            </w:r>
          </w:p>
        </w:tc>
        <w:tc>
          <w:tcPr>
            <w:tcW w:w="5938" w:type="dxa"/>
          </w:tcPr>
          <w:p w14:paraId="3F83CB64" w14:textId="637A1FCA" w:rsidR="009405C7" w:rsidRPr="00A62F08" w:rsidRDefault="009405C7" w:rsidP="009405C7">
            <w:pPr>
              <w:pStyle w:val="MDPI31text"/>
              <w:ind w:left="0" w:firstLine="0"/>
              <w:rPr>
                <w:rFonts w:asciiTheme="majorBidi" w:hAnsiTheme="majorBidi" w:cstheme="majorBidi"/>
                <w:color w:val="auto"/>
                <w:sz w:val="24"/>
                <w:szCs w:val="24"/>
              </w:rPr>
            </w:pPr>
            <w:r w:rsidRPr="00A62F08">
              <w:rPr>
                <w:rFonts w:asciiTheme="majorBidi" w:hAnsiTheme="majorBidi" w:cstheme="majorBidi"/>
                <w:color w:val="auto"/>
                <w:sz w:val="24"/>
                <w:szCs w:val="24"/>
              </w:rPr>
              <w:t xml:space="preserve">Outside the prespecified review scope. This population-based cohort study evaluates protection and waning of vaccine-induced, natural, and hybrid immunity against SARS-CoV-2 infection only during the early Omicron BA.1/BA.2–dominant period (January–May 2022) in Hong Kong. The study does not report vaccine effectiveness </w:t>
            </w:r>
            <w:r w:rsidRPr="00A62F08">
              <w:rPr>
                <w:rFonts w:asciiTheme="majorBidi" w:hAnsiTheme="majorBidi" w:cstheme="majorBidi"/>
                <w:color w:val="auto"/>
                <w:sz w:val="24"/>
                <w:szCs w:val="24"/>
              </w:rPr>
              <w:lastRenderedPageBreak/>
              <w:t>against severe clinical outcomes (hospitalization, ICU admission, or death), does not assess later Omicron subvariants of interest (BA.5, XBB, JN.1, KP.3), and focuses primarily on ancestral-strain and early vaccination regimens rather than updated or variant-adapted vaccines. In addition, effect estimates are modelled as time-varying protective effectiveness against infection, which is not directly comparable with the absolute or standardised relative vaccine-effectiveness frameworks synthesised in this review.</w:t>
            </w:r>
          </w:p>
        </w:tc>
      </w:tr>
      <w:tr w:rsidR="009405C7" w14:paraId="391F5B5C" w14:textId="77777777" w:rsidTr="00B20255">
        <w:tc>
          <w:tcPr>
            <w:tcW w:w="5403" w:type="dxa"/>
          </w:tcPr>
          <w:p w14:paraId="3387643D" w14:textId="781C6BA7" w:rsidR="009405C7" w:rsidRPr="00A62F08" w:rsidRDefault="00A62F08" w:rsidP="009405C7">
            <w:pPr>
              <w:pStyle w:val="MDPI31text"/>
              <w:ind w:left="0" w:firstLine="0"/>
              <w:rPr>
                <w:rFonts w:asciiTheme="majorBidi" w:hAnsiTheme="majorBidi" w:cstheme="majorBidi"/>
                <w:color w:val="auto"/>
                <w:sz w:val="24"/>
                <w:szCs w:val="24"/>
              </w:rPr>
            </w:pPr>
            <w:r w:rsidRPr="00A62F08">
              <w:rPr>
                <w:rFonts w:asciiTheme="majorBidi" w:hAnsiTheme="majorBidi" w:cstheme="majorBidi"/>
                <w:color w:val="auto"/>
                <w:sz w:val="24"/>
                <w:szCs w:val="24"/>
                <w:lang w:val="en-AU"/>
              </w:rPr>
              <w:lastRenderedPageBreak/>
              <w:t xml:space="preserve">Jiang J, Lam KF, Lau EHY, Yin G, Lin Y, Cowling BJ. Learning from the Omicron BA.4/5 dominance: strategies for future vaccination preparedness. </w:t>
            </w:r>
            <w:proofErr w:type="spellStart"/>
            <w:r w:rsidRPr="00A62F08">
              <w:rPr>
                <w:rFonts w:asciiTheme="majorBidi" w:hAnsiTheme="majorBidi" w:cstheme="majorBidi"/>
                <w:color w:val="auto"/>
                <w:sz w:val="24"/>
                <w:szCs w:val="24"/>
                <w:lang w:val="nb-NO"/>
              </w:rPr>
              <w:t>Vaccine</w:t>
            </w:r>
            <w:proofErr w:type="spellEnd"/>
            <w:r w:rsidRPr="00A62F08">
              <w:rPr>
                <w:rFonts w:asciiTheme="majorBidi" w:hAnsiTheme="majorBidi" w:cstheme="majorBidi"/>
                <w:color w:val="auto"/>
                <w:sz w:val="24"/>
                <w:szCs w:val="24"/>
                <w:lang w:val="nb-NO"/>
              </w:rPr>
              <w:t>. 2026;71:128058. doi:10.1016/j.vaccine.2025.128058.</w:t>
            </w:r>
          </w:p>
        </w:tc>
        <w:tc>
          <w:tcPr>
            <w:tcW w:w="5938" w:type="dxa"/>
          </w:tcPr>
          <w:p w14:paraId="6C1D3FA4" w14:textId="77777777" w:rsidR="009405C7" w:rsidRPr="00A62F08" w:rsidRDefault="009405C7" w:rsidP="009405C7">
            <w:pPr>
              <w:pStyle w:val="MDPI31text"/>
              <w:ind w:left="0" w:firstLine="0"/>
              <w:rPr>
                <w:rFonts w:asciiTheme="majorBidi" w:hAnsiTheme="majorBidi" w:cstheme="majorBidi"/>
                <w:color w:val="auto"/>
                <w:sz w:val="24"/>
                <w:szCs w:val="24"/>
              </w:rPr>
            </w:pPr>
            <w:r w:rsidRPr="00A62F08">
              <w:rPr>
                <w:rFonts w:asciiTheme="majorBidi" w:hAnsiTheme="majorBidi" w:cstheme="majorBidi"/>
                <w:color w:val="auto"/>
                <w:sz w:val="24"/>
                <w:szCs w:val="24"/>
              </w:rPr>
              <w:t xml:space="preserve">Outside the prespecified review scope. This territory-wide observational study evaluates booster strategies, heterologous vaccination, and vaccination–infection sequencing during the Omicron BA.4/BA.5 period, with SARS-CoV-2 infection as the sole outcome. The study does not report vaccine effectiveness against severe clinical outcomes (hospitalization, ICU admission, or death) and presents results primarily as hazard ratios comparing complex vaccination–infection sequences, rather than absolute or standardised relative vaccine effectiveness (VE or </w:t>
            </w:r>
            <w:proofErr w:type="spellStart"/>
            <w:r w:rsidRPr="00A62F08">
              <w:rPr>
                <w:rFonts w:asciiTheme="majorBidi" w:hAnsiTheme="majorBidi" w:cstheme="majorBidi"/>
                <w:color w:val="auto"/>
                <w:sz w:val="24"/>
                <w:szCs w:val="24"/>
              </w:rPr>
              <w:t>rVE</w:t>
            </w:r>
            <w:proofErr w:type="spellEnd"/>
            <w:r w:rsidRPr="00A62F08">
              <w:rPr>
                <w:rFonts w:asciiTheme="majorBidi" w:hAnsiTheme="majorBidi" w:cstheme="majorBidi"/>
                <w:color w:val="auto"/>
                <w:sz w:val="24"/>
                <w:szCs w:val="24"/>
              </w:rPr>
              <w:t>) estimates against clearly defined comparator groups. Consequently, the effect measures and outcomes are not directly comparable with the severe-outcome vaccine-effectiveness framework synthesised in this review.</w:t>
            </w:r>
          </w:p>
        </w:tc>
      </w:tr>
      <w:tr w:rsidR="009405C7" w14:paraId="069A8D31" w14:textId="77777777" w:rsidTr="00B20255">
        <w:tc>
          <w:tcPr>
            <w:tcW w:w="5403" w:type="dxa"/>
          </w:tcPr>
          <w:p w14:paraId="030097BE" w14:textId="53B57873" w:rsidR="009405C7" w:rsidRPr="00A62F08" w:rsidRDefault="00A62F08" w:rsidP="009405C7">
            <w:pPr>
              <w:pStyle w:val="MDPI31text"/>
              <w:ind w:left="0" w:firstLine="0"/>
              <w:rPr>
                <w:rFonts w:asciiTheme="majorBidi" w:hAnsiTheme="majorBidi" w:cstheme="majorBidi"/>
                <w:color w:val="auto"/>
                <w:sz w:val="24"/>
                <w:szCs w:val="24"/>
              </w:rPr>
            </w:pPr>
            <w:r w:rsidRPr="00A62F08">
              <w:rPr>
                <w:rFonts w:asciiTheme="majorBidi" w:hAnsiTheme="majorBidi" w:cstheme="majorBidi"/>
                <w:color w:val="auto"/>
                <w:sz w:val="24"/>
                <w:szCs w:val="24"/>
              </w:rPr>
              <w:t>Jiang J, Lau EHY, Zhou Z, Yin G, Lin Y, Cowling BJ, Lam KF. Assessing the impact of primary-series infection and booster vaccination on protection against Omicron in Hong Kong: a population-based observational study. Vaccines. 2024;12:1014. doi:10.3390/vaccines12091014.</w:t>
            </w:r>
          </w:p>
        </w:tc>
        <w:tc>
          <w:tcPr>
            <w:tcW w:w="5938" w:type="dxa"/>
          </w:tcPr>
          <w:p w14:paraId="48C9F3CB" w14:textId="767FDAE6" w:rsidR="009405C7" w:rsidRPr="00A62F08" w:rsidRDefault="009405C7" w:rsidP="009405C7">
            <w:pPr>
              <w:pStyle w:val="MDPI31text"/>
              <w:ind w:left="0" w:firstLine="0"/>
              <w:rPr>
                <w:rFonts w:asciiTheme="majorBidi" w:hAnsiTheme="majorBidi" w:cstheme="majorBidi"/>
                <w:color w:val="auto"/>
                <w:sz w:val="24"/>
                <w:szCs w:val="24"/>
              </w:rPr>
            </w:pPr>
            <w:r w:rsidRPr="00A62F08">
              <w:rPr>
                <w:rFonts w:asciiTheme="majorBidi" w:hAnsiTheme="majorBidi" w:cstheme="majorBidi"/>
                <w:color w:val="auto"/>
                <w:sz w:val="24"/>
                <w:szCs w:val="24"/>
              </w:rPr>
              <w:t>Outside the prespecified review scope. The study primarily evaluates protection against SARS-CoV-2 infection and reinfection (including hybrid immunity and immune imprinting) during Omicron waves using population-level infection risk models. It does not focus on severe clinical outcomes (hospitali</w:t>
            </w:r>
            <w:r w:rsidR="00F10ED1" w:rsidRPr="00A62F08">
              <w:rPr>
                <w:rFonts w:asciiTheme="majorBidi" w:hAnsiTheme="majorBidi" w:cstheme="majorBidi"/>
                <w:color w:val="auto"/>
                <w:sz w:val="24"/>
                <w:szCs w:val="24"/>
              </w:rPr>
              <w:t>z</w:t>
            </w:r>
            <w:r w:rsidRPr="00A62F08">
              <w:rPr>
                <w:rFonts w:asciiTheme="majorBidi" w:hAnsiTheme="majorBidi" w:cstheme="majorBidi"/>
                <w:color w:val="auto"/>
                <w:sz w:val="24"/>
                <w:szCs w:val="24"/>
              </w:rPr>
              <w:t xml:space="preserve">ation, ICU admission, or death) that are </w:t>
            </w:r>
            <w:r w:rsidR="00AA15B8" w:rsidRPr="00A62F08">
              <w:rPr>
                <w:rFonts w:asciiTheme="majorBidi" w:hAnsiTheme="majorBidi" w:cstheme="majorBidi"/>
                <w:color w:val="auto"/>
                <w:sz w:val="24"/>
                <w:szCs w:val="24"/>
              </w:rPr>
              <w:t>prioritized</w:t>
            </w:r>
            <w:r w:rsidRPr="00A62F08">
              <w:rPr>
                <w:rFonts w:asciiTheme="majorBidi" w:hAnsiTheme="majorBidi" w:cstheme="majorBidi"/>
                <w:color w:val="auto"/>
                <w:sz w:val="24"/>
                <w:szCs w:val="24"/>
              </w:rPr>
              <w:t xml:space="preserve"> in this review, and its analytic framework is not directly comparable with severe-outcome vaccine effectiveness studies.</w:t>
            </w:r>
          </w:p>
        </w:tc>
      </w:tr>
      <w:tr w:rsidR="009405C7" w14:paraId="757CA895" w14:textId="77777777" w:rsidTr="00B20255">
        <w:tc>
          <w:tcPr>
            <w:tcW w:w="5403" w:type="dxa"/>
          </w:tcPr>
          <w:p w14:paraId="72273E21" w14:textId="0B1CDB43" w:rsidR="009405C7" w:rsidRPr="003E6C27" w:rsidRDefault="003E6C27" w:rsidP="009405C7">
            <w:pPr>
              <w:pStyle w:val="MDPI31text"/>
              <w:ind w:left="0" w:firstLine="0"/>
              <w:rPr>
                <w:rFonts w:asciiTheme="majorBidi" w:hAnsiTheme="majorBidi" w:cstheme="majorBidi"/>
                <w:color w:val="auto"/>
                <w:sz w:val="24"/>
                <w:szCs w:val="24"/>
              </w:rPr>
            </w:pPr>
            <w:r w:rsidRPr="003E6C27">
              <w:rPr>
                <w:rFonts w:asciiTheme="majorBidi" w:hAnsiTheme="majorBidi" w:cstheme="majorBidi"/>
                <w:color w:val="auto"/>
                <w:sz w:val="24"/>
                <w:szCs w:val="24"/>
              </w:rPr>
              <w:t>Jo S, Lee S, Kim H, Won H, Rhie G-e, Jeong H-S, Lee J-W, Kim A-R, Chun BC, Peck KR, Kim D-H. Effectiveness of the 2023–2024 monovalent XBB.1.5 vaccine against SARS-CoV-2 infection in people aged over 65 years in South Korea: a population-based cohort study. Int J Infect Dis. 2026;163:108238. doi:10.1016/j.ijid.2025.108238.</w:t>
            </w:r>
          </w:p>
        </w:tc>
        <w:tc>
          <w:tcPr>
            <w:tcW w:w="5938" w:type="dxa"/>
          </w:tcPr>
          <w:p w14:paraId="66877411" w14:textId="71748451" w:rsidR="009405C7" w:rsidRPr="003E6C27" w:rsidRDefault="009405C7" w:rsidP="009405C7">
            <w:pPr>
              <w:pStyle w:val="MDPI31text"/>
              <w:ind w:left="0" w:firstLine="0"/>
              <w:rPr>
                <w:rFonts w:asciiTheme="majorBidi" w:hAnsiTheme="majorBidi" w:cstheme="majorBidi"/>
                <w:color w:val="auto"/>
                <w:sz w:val="24"/>
                <w:szCs w:val="24"/>
              </w:rPr>
            </w:pPr>
            <w:r w:rsidRPr="003E6C27">
              <w:rPr>
                <w:rFonts w:asciiTheme="majorBidi" w:hAnsiTheme="majorBidi" w:cstheme="majorBidi"/>
                <w:color w:val="auto"/>
                <w:sz w:val="24"/>
                <w:szCs w:val="24"/>
              </w:rPr>
              <w:t>Outside the prespecified review scope. This population-based cohort study evaluates vaccine effectiveness against SARS-CoV-2 infection only, using self-reported infection and anti-N antibody seroconversion as outcome definitions. It does not assess severe COVID-19 outcomes (e.g. hospitali</w:t>
            </w:r>
            <w:r w:rsidR="00F10ED1" w:rsidRPr="003E6C27">
              <w:rPr>
                <w:rFonts w:asciiTheme="majorBidi" w:hAnsiTheme="majorBidi" w:cstheme="majorBidi"/>
                <w:color w:val="auto"/>
                <w:sz w:val="24"/>
                <w:szCs w:val="24"/>
              </w:rPr>
              <w:t>z</w:t>
            </w:r>
            <w:r w:rsidRPr="003E6C27">
              <w:rPr>
                <w:rFonts w:asciiTheme="majorBidi" w:hAnsiTheme="majorBidi" w:cstheme="majorBidi"/>
                <w:color w:val="auto"/>
                <w:sz w:val="24"/>
                <w:szCs w:val="24"/>
              </w:rPr>
              <w:t>ation, ICU admission, or death), and therefore is not directly comparable with the severe-outcome–focused vaccine-effectiveness framework applied in this review.</w:t>
            </w:r>
          </w:p>
        </w:tc>
      </w:tr>
      <w:tr w:rsidR="009405C7" w14:paraId="2060A027" w14:textId="77777777" w:rsidTr="00B20255">
        <w:tc>
          <w:tcPr>
            <w:tcW w:w="5403" w:type="dxa"/>
          </w:tcPr>
          <w:p w14:paraId="4A5C585C" w14:textId="4C8D20F7" w:rsidR="009405C7" w:rsidRPr="003E6C27" w:rsidRDefault="003E6C27" w:rsidP="009405C7">
            <w:pPr>
              <w:pStyle w:val="MDPI31text"/>
              <w:ind w:left="0" w:firstLine="0"/>
              <w:rPr>
                <w:rFonts w:asciiTheme="majorBidi" w:hAnsiTheme="majorBidi" w:cstheme="majorBidi"/>
                <w:color w:val="auto"/>
                <w:sz w:val="24"/>
                <w:szCs w:val="24"/>
              </w:rPr>
            </w:pPr>
            <w:r w:rsidRPr="003E6C27">
              <w:rPr>
                <w:rFonts w:asciiTheme="majorBidi" w:hAnsiTheme="majorBidi" w:cstheme="majorBidi"/>
                <w:color w:val="auto"/>
                <w:sz w:val="24"/>
                <w:szCs w:val="24"/>
              </w:rPr>
              <w:t>Joshi K, Scholz S, Maschio M, Kohli M, Lee A, Fust K, Ultsch B, Van de Velde N, Beck E. Clinical impact and cost-effectiveness of the updated COVID-19 mRNA Autumn 2023 vaccines in Germany. J Med Econ. 2024;27:39–50. doi:10.1080/13696998.2023.2290388.</w:t>
            </w:r>
          </w:p>
        </w:tc>
        <w:tc>
          <w:tcPr>
            <w:tcW w:w="5938" w:type="dxa"/>
          </w:tcPr>
          <w:p w14:paraId="53B6A18E" w14:textId="77777777" w:rsidR="009405C7" w:rsidRPr="003E6C27" w:rsidRDefault="009405C7" w:rsidP="009405C7">
            <w:pPr>
              <w:pStyle w:val="MDPI31text"/>
              <w:ind w:left="0" w:firstLine="0"/>
              <w:rPr>
                <w:rFonts w:asciiTheme="majorBidi" w:hAnsiTheme="majorBidi" w:cstheme="majorBidi"/>
                <w:color w:val="auto"/>
                <w:sz w:val="24"/>
                <w:szCs w:val="24"/>
              </w:rPr>
            </w:pPr>
            <w:r w:rsidRPr="003E6C27">
              <w:rPr>
                <w:rFonts w:asciiTheme="majorBidi" w:hAnsiTheme="majorBidi" w:cstheme="majorBidi"/>
                <w:color w:val="auto"/>
                <w:sz w:val="24"/>
                <w:szCs w:val="24"/>
              </w:rPr>
              <w:t xml:space="preserve">Outside the prespecified review scope. This study is a health-economic and transmission modelling analysis using a SEIR model and decision-tree framework to project the clinical impact and cost-effectiveness of Autumn 2023 COVID-19 mRNA vaccines in Germany. Vaccine effectiveness parameters are assumed or derived from prior studies and used as model inputs, rather than being estimated directly from individual-level observational data. </w:t>
            </w:r>
            <w:r w:rsidRPr="003E6C27">
              <w:rPr>
                <w:rFonts w:asciiTheme="majorBidi" w:hAnsiTheme="majorBidi" w:cstheme="majorBidi"/>
                <w:color w:val="auto"/>
                <w:sz w:val="24"/>
                <w:szCs w:val="24"/>
              </w:rPr>
              <w:lastRenderedPageBreak/>
              <w:t xml:space="preserve">Consequently, the study does not provide primary, extractable vaccine effectiveness (VE or </w:t>
            </w:r>
            <w:proofErr w:type="spellStart"/>
            <w:r w:rsidRPr="003E6C27">
              <w:rPr>
                <w:rFonts w:asciiTheme="majorBidi" w:hAnsiTheme="majorBidi" w:cstheme="majorBidi"/>
                <w:color w:val="auto"/>
                <w:sz w:val="24"/>
                <w:szCs w:val="24"/>
              </w:rPr>
              <w:t>rVE</w:t>
            </w:r>
            <w:proofErr w:type="spellEnd"/>
            <w:r w:rsidRPr="003E6C27">
              <w:rPr>
                <w:rFonts w:asciiTheme="majorBidi" w:hAnsiTheme="majorBidi" w:cstheme="majorBidi"/>
                <w:color w:val="auto"/>
                <w:sz w:val="24"/>
                <w:szCs w:val="24"/>
              </w:rPr>
              <w:t>) estimates against severe COVID-19 outcomes suitable for synthesis in this review.</w:t>
            </w:r>
          </w:p>
        </w:tc>
      </w:tr>
      <w:tr w:rsidR="009405C7" w14:paraId="6F87B064" w14:textId="77777777" w:rsidTr="00B20255">
        <w:tc>
          <w:tcPr>
            <w:tcW w:w="5403" w:type="dxa"/>
          </w:tcPr>
          <w:p w14:paraId="35ECAA4C" w14:textId="74BFC118" w:rsidR="009405C7" w:rsidRPr="009C0934" w:rsidRDefault="009C0934"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lastRenderedPageBreak/>
              <w:t>Jung J, Lee D, Yang H-D, Kim A-Y, Lee H, Kang M, Beck E, Joshi K, Kang Y, Kang H-Y. Estimating the public health and economic impact of annual mRNA COVID-19 vaccination for adults aged 50 and older in South Korea’s endemic era. Vaccines. 2025;13:386. doi:10.3390/vaccines13040386.</w:t>
            </w:r>
          </w:p>
        </w:tc>
        <w:tc>
          <w:tcPr>
            <w:tcW w:w="5938" w:type="dxa"/>
          </w:tcPr>
          <w:p w14:paraId="534DECF1" w14:textId="77777777" w:rsidR="009405C7" w:rsidRPr="009C0934" w:rsidRDefault="009405C7"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t>Outside the prespecified review scope. The study is a modeling and health-economic impact analysis that projects hospitalizations prevented and cost savings using assumed incidence rates and vaccine effectiveness estimates derived from external sources, rather than reporting primary real-world vaccine effectiveness estimates from an observational cohort. As such, it does not meet the inclusion criteria for primary VE studies against severe COVID-19 outcomes.</w:t>
            </w:r>
          </w:p>
        </w:tc>
      </w:tr>
      <w:tr w:rsidR="009405C7" w14:paraId="0F7F1430" w14:textId="77777777" w:rsidTr="00B20255">
        <w:tc>
          <w:tcPr>
            <w:tcW w:w="5403" w:type="dxa"/>
          </w:tcPr>
          <w:p w14:paraId="4386DA2C" w14:textId="5196DD70" w:rsidR="009405C7" w:rsidRPr="009C0934" w:rsidRDefault="009C0934"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t xml:space="preserve">Jäger M, Diem G, </w:t>
            </w:r>
            <w:proofErr w:type="spellStart"/>
            <w:r w:rsidRPr="009C0934">
              <w:rPr>
                <w:rFonts w:asciiTheme="majorBidi" w:hAnsiTheme="majorBidi" w:cstheme="majorBidi"/>
                <w:color w:val="auto"/>
                <w:sz w:val="24"/>
                <w:szCs w:val="24"/>
              </w:rPr>
              <w:t>Sahanic</w:t>
            </w:r>
            <w:proofErr w:type="spellEnd"/>
            <w:r w:rsidRPr="009C0934">
              <w:rPr>
                <w:rFonts w:asciiTheme="majorBidi" w:hAnsiTheme="majorBidi" w:cstheme="majorBidi"/>
                <w:color w:val="auto"/>
                <w:sz w:val="24"/>
                <w:szCs w:val="24"/>
              </w:rPr>
              <w:t xml:space="preserve"> S, Fux V, </w:t>
            </w:r>
            <w:proofErr w:type="spellStart"/>
            <w:r w:rsidRPr="009C0934">
              <w:rPr>
                <w:rFonts w:asciiTheme="majorBidi" w:hAnsiTheme="majorBidi" w:cstheme="majorBidi"/>
                <w:color w:val="auto"/>
                <w:sz w:val="24"/>
                <w:szCs w:val="24"/>
              </w:rPr>
              <w:t>Griesmacher</w:t>
            </w:r>
            <w:proofErr w:type="spellEnd"/>
            <w:r w:rsidRPr="009C0934">
              <w:rPr>
                <w:rFonts w:asciiTheme="majorBidi" w:hAnsiTheme="majorBidi" w:cstheme="majorBidi"/>
                <w:color w:val="auto"/>
                <w:sz w:val="24"/>
                <w:szCs w:val="24"/>
              </w:rPr>
              <w:t xml:space="preserve"> A, Lass-</w:t>
            </w:r>
            <w:proofErr w:type="spellStart"/>
            <w:r w:rsidRPr="009C0934">
              <w:rPr>
                <w:rFonts w:asciiTheme="majorBidi" w:hAnsiTheme="majorBidi" w:cstheme="majorBidi"/>
                <w:color w:val="auto"/>
                <w:sz w:val="24"/>
                <w:szCs w:val="24"/>
              </w:rPr>
              <w:t>Flörl</w:t>
            </w:r>
            <w:proofErr w:type="spellEnd"/>
            <w:r w:rsidRPr="009C0934">
              <w:rPr>
                <w:rFonts w:asciiTheme="majorBidi" w:hAnsiTheme="majorBidi" w:cstheme="majorBidi"/>
                <w:color w:val="auto"/>
                <w:sz w:val="24"/>
                <w:szCs w:val="24"/>
              </w:rPr>
              <w:t xml:space="preserve"> C, </w:t>
            </w:r>
            <w:proofErr w:type="spellStart"/>
            <w:r w:rsidRPr="009C0934">
              <w:rPr>
                <w:rFonts w:asciiTheme="majorBidi" w:hAnsiTheme="majorBidi" w:cstheme="majorBidi"/>
                <w:color w:val="auto"/>
                <w:sz w:val="24"/>
                <w:szCs w:val="24"/>
              </w:rPr>
              <w:t>Wilflingseder</w:t>
            </w:r>
            <w:proofErr w:type="spellEnd"/>
            <w:r w:rsidRPr="009C0934">
              <w:rPr>
                <w:rFonts w:asciiTheme="majorBidi" w:hAnsiTheme="majorBidi" w:cstheme="majorBidi"/>
                <w:color w:val="auto"/>
                <w:sz w:val="24"/>
                <w:szCs w:val="24"/>
              </w:rPr>
              <w:t xml:space="preserve"> D, </w:t>
            </w:r>
            <w:proofErr w:type="spellStart"/>
            <w:r w:rsidRPr="009C0934">
              <w:rPr>
                <w:rFonts w:asciiTheme="majorBidi" w:hAnsiTheme="majorBidi" w:cstheme="majorBidi"/>
                <w:color w:val="auto"/>
                <w:sz w:val="24"/>
                <w:szCs w:val="24"/>
              </w:rPr>
              <w:t>Tancevski</w:t>
            </w:r>
            <w:proofErr w:type="spellEnd"/>
            <w:r w:rsidRPr="009C0934">
              <w:rPr>
                <w:rFonts w:asciiTheme="majorBidi" w:hAnsiTheme="majorBidi" w:cstheme="majorBidi"/>
                <w:color w:val="auto"/>
                <w:sz w:val="24"/>
                <w:szCs w:val="24"/>
              </w:rPr>
              <w:t xml:space="preserve"> I, Posch W. Immunity of </w:t>
            </w:r>
            <w:proofErr w:type="spellStart"/>
            <w:r w:rsidRPr="009C0934">
              <w:rPr>
                <w:rFonts w:asciiTheme="majorBidi" w:hAnsiTheme="majorBidi" w:cstheme="majorBidi"/>
                <w:color w:val="auto"/>
                <w:sz w:val="24"/>
                <w:szCs w:val="24"/>
              </w:rPr>
              <w:t>heterologously</w:t>
            </w:r>
            <w:proofErr w:type="spellEnd"/>
            <w:r w:rsidRPr="009C0934">
              <w:rPr>
                <w:rFonts w:asciiTheme="majorBidi" w:hAnsiTheme="majorBidi" w:cstheme="majorBidi"/>
                <w:color w:val="auto"/>
                <w:sz w:val="24"/>
                <w:szCs w:val="24"/>
              </w:rPr>
              <w:t xml:space="preserve"> and </w:t>
            </w:r>
            <w:proofErr w:type="spellStart"/>
            <w:r w:rsidRPr="009C0934">
              <w:rPr>
                <w:rFonts w:asciiTheme="majorBidi" w:hAnsiTheme="majorBidi" w:cstheme="majorBidi"/>
                <w:color w:val="auto"/>
                <w:sz w:val="24"/>
                <w:szCs w:val="24"/>
              </w:rPr>
              <w:t>homologously</w:t>
            </w:r>
            <w:proofErr w:type="spellEnd"/>
            <w:r w:rsidRPr="009C0934">
              <w:rPr>
                <w:rFonts w:asciiTheme="majorBidi" w:hAnsiTheme="majorBidi" w:cstheme="majorBidi"/>
                <w:color w:val="auto"/>
                <w:sz w:val="24"/>
                <w:szCs w:val="24"/>
              </w:rPr>
              <w:t xml:space="preserve"> boosted or convalescent individuals against Omicron BA.1, BA.2, and BA.4/5 variants. J Infect Dis. 2023;228:160–168. doi:10.1093/</w:t>
            </w:r>
            <w:proofErr w:type="spellStart"/>
            <w:r w:rsidRPr="009C0934">
              <w:rPr>
                <w:rFonts w:asciiTheme="majorBidi" w:hAnsiTheme="majorBidi" w:cstheme="majorBidi"/>
                <w:color w:val="auto"/>
                <w:sz w:val="24"/>
                <w:szCs w:val="24"/>
              </w:rPr>
              <w:t>infdis</w:t>
            </w:r>
            <w:proofErr w:type="spellEnd"/>
            <w:r w:rsidRPr="009C0934">
              <w:rPr>
                <w:rFonts w:asciiTheme="majorBidi" w:hAnsiTheme="majorBidi" w:cstheme="majorBidi"/>
                <w:color w:val="auto"/>
                <w:sz w:val="24"/>
                <w:szCs w:val="24"/>
              </w:rPr>
              <w:t>/jiad057.</w:t>
            </w:r>
          </w:p>
        </w:tc>
        <w:tc>
          <w:tcPr>
            <w:tcW w:w="5938" w:type="dxa"/>
          </w:tcPr>
          <w:p w14:paraId="276CAEEA" w14:textId="44822BFF" w:rsidR="009405C7" w:rsidRPr="009C0934" w:rsidRDefault="009405C7"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t xml:space="preserve">Outside the prespecified review scope. This laboratory-based immunogenicity study evaluates </w:t>
            </w:r>
            <w:proofErr w:type="spellStart"/>
            <w:r w:rsidRPr="009C0934">
              <w:rPr>
                <w:rFonts w:asciiTheme="majorBidi" w:hAnsiTheme="majorBidi" w:cstheme="majorBidi"/>
                <w:color w:val="auto"/>
                <w:sz w:val="24"/>
                <w:szCs w:val="24"/>
              </w:rPr>
              <w:t>neutralising</w:t>
            </w:r>
            <w:proofErr w:type="spellEnd"/>
            <w:r w:rsidRPr="009C0934">
              <w:rPr>
                <w:rFonts w:asciiTheme="majorBidi" w:hAnsiTheme="majorBidi" w:cstheme="majorBidi"/>
                <w:color w:val="auto"/>
                <w:sz w:val="24"/>
                <w:szCs w:val="24"/>
              </w:rPr>
              <w:t xml:space="preserve"> antibody and T-cell responses following different vaccination and infection regimens but does not estimate vaccine effectiveness against clinical outcomes (e.g. hospitali</w:t>
            </w:r>
            <w:r w:rsidR="00F10ED1" w:rsidRPr="009C0934">
              <w:rPr>
                <w:rFonts w:asciiTheme="majorBidi" w:hAnsiTheme="majorBidi" w:cstheme="majorBidi"/>
                <w:color w:val="auto"/>
                <w:sz w:val="24"/>
                <w:szCs w:val="24"/>
              </w:rPr>
              <w:t>z</w:t>
            </w:r>
            <w:r w:rsidRPr="009C0934">
              <w:rPr>
                <w:rFonts w:asciiTheme="majorBidi" w:hAnsiTheme="majorBidi" w:cstheme="majorBidi"/>
                <w:color w:val="auto"/>
                <w:sz w:val="24"/>
                <w:szCs w:val="24"/>
              </w:rPr>
              <w:t>ation or death) using population-based epidemiologic designs. Consequently, its findings are not directly comparable with the clinical vaccine-effectiveness framework applied in this review.</w:t>
            </w:r>
          </w:p>
        </w:tc>
      </w:tr>
      <w:tr w:rsidR="009405C7" w14:paraId="06CC7593" w14:textId="77777777" w:rsidTr="00B20255">
        <w:tc>
          <w:tcPr>
            <w:tcW w:w="5403" w:type="dxa"/>
          </w:tcPr>
          <w:p w14:paraId="19362C5D" w14:textId="75363071" w:rsidR="009405C7" w:rsidRPr="009C0934" w:rsidRDefault="009C0934" w:rsidP="009405C7">
            <w:pPr>
              <w:pStyle w:val="MDPI31text"/>
              <w:ind w:left="0" w:firstLine="0"/>
              <w:rPr>
                <w:rFonts w:asciiTheme="majorBidi" w:hAnsiTheme="majorBidi" w:cstheme="majorBidi"/>
                <w:color w:val="auto"/>
                <w:sz w:val="24"/>
                <w:szCs w:val="24"/>
              </w:rPr>
            </w:pPr>
            <w:proofErr w:type="spellStart"/>
            <w:r w:rsidRPr="009C0934">
              <w:rPr>
                <w:rFonts w:asciiTheme="majorBidi" w:hAnsiTheme="majorBidi" w:cstheme="majorBidi"/>
                <w:color w:val="auto"/>
                <w:sz w:val="24"/>
                <w:szCs w:val="24"/>
              </w:rPr>
              <w:t>Kassanjee</w:t>
            </w:r>
            <w:proofErr w:type="spellEnd"/>
            <w:r w:rsidRPr="009C0934">
              <w:rPr>
                <w:rFonts w:asciiTheme="majorBidi" w:hAnsiTheme="majorBidi" w:cstheme="majorBidi"/>
                <w:color w:val="auto"/>
                <w:sz w:val="24"/>
                <w:szCs w:val="24"/>
              </w:rPr>
              <w:t xml:space="preserve"> R, Davies M-A, Heekes A, Mahomed H, Hawkridge AJ, Morden E, Jacobs T, Cohen C, Moultrie H, </w:t>
            </w:r>
            <w:proofErr w:type="spellStart"/>
            <w:r w:rsidRPr="009C0934">
              <w:rPr>
                <w:rFonts w:asciiTheme="majorBidi" w:hAnsiTheme="majorBidi" w:cstheme="majorBidi"/>
                <w:color w:val="auto"/>
                <w:sz w:val="24"/>
                <w:szCs w:val="24"/>
              </w:rPr>
              <w:t>Lessells</w:t>
            </w:r>
            <w:proofErr w:type="spellEnd"/>
            <w:r w:rsidRPr="009C0934">
              <w:rPr>
                <w:rFonts w:asciiTheme="majorBidi" w:hAnsiTheme="majorBidi" w:cstheme="majorBidi"/>
                <w:color w:val="auto"/>
                <w:sz w:val="24"/>
                <w:szCs w:val="24"/>
              </w:rPr>
              <w:t xml:space="preserve"> RJ, Van Der Walt N, Arendse JO, Wolter N, Walaza S, Jassat W, von Gottberg A, Hannan PL, </w:t>
            </w:r>
            <w:proofErr w:type="spellStart"/>
            <w:r w:rsidRPr="009C0934">
              <w:rPr>
                <w:rFonts w:asciiTheme="majorBidi" w:hAnsiTheme="majorBidi" w:cstheme="majorBidi"/>
                <w:color w:val="auto"/>
                <w:sz w:val="24"/>
                <w:szCs w:val="24"/>
              </w:rPr>
              <w:t>Feikin</w:t>
            </w:r>
            <w:proofErr w:type="spellEnd"/>
            <w:r w:rsidRPr="009C0934">
              <w:rPr>
                <w:rFonts w:asciiTheme="majorBidi" w:hAnsiTheme="majorBidi" w:cstheme="majorBidi"/>
                <w:color w:val="auto"/>
                <w:sz w:val="24"/>
                <w:szCs w:val="24"/>
              </w:rPr>
              <w:t xml:space="preserve"> DR, Cloete K, Boulle A. COVID-19 vaccine uptake and effectiveness by time since vaccination in the Western Cape Province, South Africa: an observational cohort study during 2020–2022. Vaccines. 2024;12:628. doi:10.3390/vaccines12060628.</w:t>
            </w:r>
          </w:p>
        </w:tc>
        <w:tc>
          <w:tcPr>
            <w:tcW w:w="5938" w:type="dxa"/>
          </w:tcPr>
          <w:p w14:paraId="4E50A4BB" w14:textId="173EB914" w:rsidR="009405C7" w:rsidRPr="009C0934" w:rsidRDefault="009405C7"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t xml:space="preserve">Outside the prespecified review scope. This population-based cohort study evaluates vaccine effectiveness against severe COVID-19 outcomes during ancestral, Delta, and early Omicron (BA.1/BA.2 and BA.4/BA.5) periods using primary-series and early booster vaccines. It predates the introduction of updated or variant-adapted COVID-19 vaccines and does not provide effectiveness estimates relevant to contemporary Omicron subvariants </w:t>
            </w:r>
            <w:r w:rsidR="00AA15B8" w:rsidRPr="009C0934">
              <w:rPr>
                <w:rFonts w:asciiTheme="majorBidi" w:hAnsiTheme="majorBidi" w:cstheme="majorBidi"/>
                <w:color w:val="auto"/>
                <w:sz w:val="24"/>
                <w:szCs w:val="24"/>
              </w:rPr>
              <w:t>prioritized</w:t>
            </w:r>
            <w:r w:rsidRPr="009C0934">
              <w:rPr>
                <w:rFonts w:asciiTheme="majorBidi" w:hAnsiTheme="majorBidi" w:cstheme="majorBidi"/>
                <w:color w:val="auto"/>
                <w:sz w:val="24"/>
                <w:szCs w:val="24"/>
              </w:rPr>
              <w:t xml:space="preserve"> in this review.</w:t>
            </w:r>
          </w:p>
        </w:tc>
      </w:tr>
      <w:tr w:rsidR="009405C7" w14:paraId="35F7B369" w14:textId="77777777" w:rsidTr="00B20255">
        <w:tc>
          <w:tcPr>
            <w:tcW w:w="5403" w:type="dxa"/>
          </w:tcPr>
          <w:p w14:paraId="6CC7417F" w14:textId="0CC6200E" w:rsidR="009405C7" w:rsidRPr="009C0934" w:rsidRDefault="009C0934"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t xml:space="preserve">Katz MA, </w:t>
            </w:r>
            <w:proofErr w:type="spellStart"/>
            <w:r w:rsidRPr="009C0934">
              <w:rPr>
                <w:rFonts w:asciiTheme="majorBidi" w:hAnsiTheme="majorBidi" w:cstheme="majorBidi"/>
                <w:color w:val="auto"/>
                <w:sz w:val="24"/>
                <w:szCs w:val="24"/>
              </w:rPr>
              <w:t>Cohuet</w:t>
            </w:r>
            <w:proofErr w:type="spellEnd"/>
            <w:r w:rsidRPr="009C0934">
              <w:rPr>
                <w:rFonts w:asciiTheme="majorBidi" w:hAnsiTheme="majorBidi" w:cstheme="majorBidi"/>
                <w:color w:val="auto"/>
                <w:sz w:val="24"/>
                <w:szCs w:val="24"/>
              </w:rPr>
              <w:t xml:space="preserve"> S, Bino S, Tarkhan-</w:t>
            </w:r>
            <w:proofErr w:type="spellStart"/>
            <w:r w:rsidRPr="009C0934">
              <w:rPr>
                <w:rFonts w:asciiTheme="majorBidi" w:hAnsiTheme="majorBidi" w:cstheme="majorBidi"/>
                <w:color w:val="auto"/>
                <w:sz w:val="24"/>
                <w:szCs w:val="24"/>
              </w:rPr>
              <w:t>Mouravi</w:t>
            </w:r>
            <w:proofErr w:type="spellEnd"/>
            <w:r w:rsidRPr="009C0934">
              <w:rPr>
                <w:rFonts w:asciiTheme="majorBidi" w:hAnsiTheme="majorBidi" w:cstheme="majorBidi"/>
                <w:color w:val="auto"/>
                <w:sz w:val="24"/>
                <w:szCs w:val="24"/>
              </w:rPr>
              <w:t xml:space="preserve"> O, Kryeziu B, </w:t>
            </w:r>
            <w:proofErr w:type="spellStart"/>
            <w:r w:rsidRPr="009C0934">
              <w:rPr>
                <w:rFonts w:asciiTheme="majorBidi" w:hAnsiTheme="majorBidi" w:cstheme="majorBidi"/>
                <w:color w:val="auto"/>
                <w:sz w:val="24"/>
                <w:szCs w:val="24"/>
              </w:rPr>
              <w:t>Otorbaeva</w:t>
            </w:r>
            <w:proofErr w:type="spellEnd"/>
            <w:r w:rsidRPr="009C0934">
              <w:rPr>
                <w:rFonts w:asciiTheme="majorBidi" w:hAnsiTheme="majorBidi" w:cstheme="majorBidi"/>
                <w:color w:val="auto"/>
                <w:sz w:val="24"/>
                <w:szCs w:val="24"/>
              </w:rPr>
              <w:t xml:space="preserve"> D, Stavridis K, Stosic M, Sulo J, </w:t>
            </w:r>
            <w:proofErr w:type="spellStart"/>
            <w:r w:rsidRPr="009C0934">
              <w:rPr>
                <w:rFonts w:asciiTheme="majorBidi" w:hAnsiTheme="majorBidi" w:cstheme="majorBidi"/>
                <w:color w:val="auto"/>
                <w:sz w:val="24"/>
                <w:szCs w:val="24"/>
              </w:rPr>
              <w:t>Machablishvili</w:t>
            </w:r>
            <w:proofErr w:type="spellEnd"/>
            <w:r w:rsidRPr="009C0934">
              <w:rPr>
                <w:rFonts w:asciiTheme="majorBidi" w:hAnsiTheme="majorBidi" w:cstheme="majorBidi"/>
                <w:color w:val="auto"/>
                <w:sz w:val="24"/>
                <w:szCs w:val="24"/>
              </w:rPr>
              <w:t xml:space="preserve"> A, </w:t>
            </w:r>
            <w:proofErr w:type="spellStart"/>
            <w:r w:rsidRPr="009C0934">
              <w:rPr>
                <w:rFonts w:asciiTheme="majorBidi" w:hAnsiTheme="majorBidi" w:cstheme="majorBidi"/>
                <w:color w:val="auto"/>
                <w:sz w:val="24"/>
                <w:szCs w:val="24"/>
              </w:rPr>
              <w:t>Kalaveshi</w:t>
            </w:r>
            <w:proofErr w:type="spellEnd"/>
            <w:r w:rsidRPr="009C0934">
              <w:rPr>
                <w:rFonts w:asciiTheme="majorBidi" w:hAnsiTheme="majorBidi" w:cstheme="majorBidi"/>
                <w:color w:val="auto"/>
                <w:sz w:val="24"/>
                <w:szCs w:val="24"/>
              </w:rPr>
              <w:t xml:space="preserve"> A, </w:t>
            </w:r>
            <w:proofErr w:type="spellStart"/>
            <w:r w:rsidRPr="009C0934">
              <w:rPr>
                <w:rFonts w:asciiTheme="majorBidi" w:hAnsiTheme="majorBidi" w:cstheme="majorBidi"/>
                <w:color w:val="auto"/>
                <w:sz w:val="24"/>
                <w:szCs w:val="24"/>
              </w:rPr>
              <w:t>Zhusupovna</w:t>
            </w:r>
            <w:proofErr w:type="spellEnd"/>
            <w:r w:rsidRPr="009C0934">
              <w:rPr>
                <w:rFonts w:asciiTheme="majorBidi" w:hAnsiTheme="majorBidi" w:cstheme="majorBidi"/>
                <w:color w:val="auto"/>
                <w:sz w:val="24"/>
                <w:szCs w:val="24"/>
              </w:rPr>
              <w:t xml:space="preserve"> AS, </w:t>
            </w:r>
            <w:proofErr w:type="spellStart"/>
            <w:r w:rsidRPr="009C0934">
              <w:rPr>
                <w:rFonts w:asciiTheme="majorBidi" w:hAnsiTheme="majorBidi" w:cstheme="majorBidi"/>
                <w:color w:val="auto"/>
                <w:sz w:val="24"/>
                <w:szCs w:val="24"/>
              </w:rPr>
              <w:t>Kolevska</w:t>
            </w:r>
            <w:proofErr w:type="spellEnd"/>
            <w:r w:rsidRPr="009C0934">
              <w:rPr>
                <w:rFonts w:asciiTheme="majorBidi" w:hAnsiTheme="majorBidi" w:cstheme="majorBidi"/>
                <w:color w:val="auto"/>
                <w:sz w:val="24"/>
                <w:szCs w:val="24"/>
              </w:rPr>
              <w:t xml:space="preserve"> KK, </w:t>
            </w:r>
            <w:proofErr w:type="spellStart"/>
            <w:r w:rsidRPr="009C0934">
              <w:rPr>
                <w:rFonts w:asciiTheme="majorBidi" w:hAnsiTheme="majorBidi" w:cstheme="majorBidi"/>
                <w:color w:val="auto"/>
                <w:sz w:val="24"/>
                <w:szCs w:val="24"/>
              </w:rPr>
              <w:t>Plavsa</w:t>
            </w:r>
            <w:proofErr w:type="spellEnd"/>
            <w:r w:rsidRPr="009C0934">
              <w:rPr>
                <w:rFonts w:asciiTheme="majorBidi" w:hAnsiTheme="majorBidi" w:cstheme="majorBidi"/>
                <w:color w:val="auto"/>
                <w:sz w:val="24"/>
                <w:szCs w:val="24"/>
              </w:rPr>
              <w:t xml:space="preserve"> D, </w:t>
            </w:r>
            <w:proofErr w:type="spellStart"/>
            <w:r w:rsidRPr="009C0934">
              <w:rPr>
                <w:rFonts w:asciiTheme="majorBidi" w:hAnsiTheme="majorBidi" w:cstheme="majorBidi"/>
                <w:color w:val="auto"/>
                <w:sz w:val="24"/>
                <w:szCs w:val="24"/>
              </w:rPr>
              <w:t>Hasibra</w:t>
            </w:r>
            <w:proofErr w:type="spellEnd"/>
            <w:r w:rsidRPr="009C0934">
              <w:rPr>
                <w:rFonts w:asciiTheme="majorBidi" w:hAnsiTheme="majorBidi" w:cstheme="majorBidi"/>
                <w:color w:val="auto"/>
                <w:sz w:val="24"/>
                <w:szCs w:val="24"/>
              </w:rPr>
              <w:t xml:space="preserve"> I, </w:t>
            </w:r>
            <w:proofErr w:type="spellStart"/>
            <w:r w:rsidRPr="009C0934">
              <w:rPr>
                <w:rFonts w:asciiTheme="majorBidi" w:hAnsiTheme="majorBidi" w:cstheme="majorBidi"/>
                <w:color w:val="auto"/>
                <w:sz w:val="24"/>
                <w:szCs w:val="24"/>
              </w:rPr>
              <w:t>Zakhashvili</w:t>
            </w:r>
            <w:proofErr w:type="spellEnd"/>
            <w:r w:rsidRPr="009C0934">
              <w:rPr>
                <w:rFonts w:asciiTheme="majorBidi" w:hAnsiTheme="majorBidi" w:cstheme="majorBidi"/>
                <w:color w:val="auto"/>
                <w:sz w:val="24"/>
                <w:szCs w:val="24"/>
              </w:rPr>
              <w:t xml:space="preserve"> K, </w:t>
            </w:r>
            <w:proofErr w:type="spellStart"/>
            <w:r w:rsidRPr="009C0934">
              <w:rPr>
                <w:rFonts w:asciiTheme="majorBidi" w:hAnsiTheme="majorBidi" w:cstheme="majorBidi"/>
                <w:color w:val="auto"/>
                <w:sz w:val="24"/>
                <w:szCs w:val="24"/>
              </w:rPr>
              <w:t>Kaçaniku</w:t>
            </w:r>
            <w:proofErr w:type="spellEnd"/>
            <w:r w:rsidRPr="009C0934">
              <w:rPr>
                <w:rFonts w:asciiTheme="majorBidi" w:hAnsiTheme="majorBidi" w:cstheme="majorBidi"/>
                <w:color w:val="auto"/>
                <w:sz w:val="24"/>
                <w:szCs w:val="24"/>
              </w:rPr>
              <w:t xml:space="preserve">-Deva Z, </w:t>
            </w:r>
            <w:proofErr w:type="spellStart"/>
            <w:r w:rsidRPr="009C0934">
              <w:rPr>
                <w:rFonts w:asciiTheme="majorBidi" w:hAnsiTheme="majorBidi" w:cstheme="majorBidi"/>
                <w:color w:val="auto"/>
                <w:sz w:val="24"/>
                <w:szCs w:val="24"/>
              </w:rPr>
              <w:t>Jancheska</w:t>
            </w:r>
            <w:proofErr w:type="spellEnd"/>
            <w:r w:rsidRPr="009C0934">
              <w:rPr>
                <w:rFonts w:asciiTheme="majorBidi" w:hAnsiTheme="majorBidi" w:cstheme="majorBidi"/>
                <w:color w:val="auto"/>
                <w:sz w:val="24"/>
                <w:szCs w:val="24"/>
              </w:rPr>
              <w:t xml:space="preserve"> E, Jovanovic V, Humphreys J, Howard J, Stolyarov K, </w:t>
            </w:r>
            <w:proofErr w:type="spellStart"/>
            <w:r w:rsidRPr="009C0934">
              <w:rPr>
                <w:rFonts w:asciiTheme="majorBidi" w:hAnsiTheme="majorBidi" w:cstheme="majorBidi"/>
                <w:color w:val="auto"/>
                <w:sz w:val="24"/>
                <w:szCs w:val="24"/>
              </w:rPr>
              <w:t>Artemchuk</w:t>
            </w:r>
            <w:proofErr w:type="spellEnd"/>
            <w:r w:rsidRPr="009C0934">
              <w:rPr>
                <w:rFonts w:asciiTheme="majorBidi" w:hAnsiTheme="majorBidi" w:cstheme="majorBidi"/>
                <w:color w:val="auto"/>
                <w:sz w:val="24"/>
                <w:szCs w:val="24"/>
              </w:rPr>
              <w:t xml:space="preserve"> O, Widdowson M-A, </w:t>
            </w:r>
            <w:proofErr w:type="spellStart"/>
            <w:r w:rsidRPr="009C0934">
              <w:rPr>
                <w:rFonts w:asciiTheme="majorBidi" w:hAnsiTheme="majorBidi" w:cstheme="majorBidi"/>
                <w:color w:val="auto"/>
                <w:sz w:val="24"/>
                <w:szCs w:val="24"/>
              </w:rPr>
              <w:t>Finci</w:t>
            </w:r>
            <w:proofErr w:type="spellEnd"/>
            <w:r w:rsidRPr="009C0934">
              <w:rPr>
                <w:rFonts w:asciiTheme="majorBidi" w:hAnsiTheme="majorBidi" w:cstheme="majorBidi"/>
                <w:color w:val="auto"/>
                <w:sz w:val="24"/>
                <w:szCs w:val="24"/>
              </w:rPr>
              <w:t xml:space="preserve"> I, Rose AMC, Pebody R. COVID-19 vaccine effectiveness against SARS-CoV-2-confirmed hospitalisation in the eastern part of the WHO European Region (2022–2023): a test-negative case-control study from the </w:t>
            </w:r>
            <w:proofErr w:type="spellStart"/>
            <w:r w:rsidRPr="009C0934">
              <w:rPr>
                <w:rFonts w:asciiTheme="majorBidi" w:hAnsiTheme="majorBidi" w:cstheme="majorBidi"/>
                <w:color w:val="auto"/>
                <w:sz w:val="24"/>
                <w:szCs w:val="24"/>
              </w:rPr>
              <w:t>EuroSAVE</w:t>
            </w:r>
            <w:proofErr w:type="spellEnd"/>
            <w:r w:rsidRPr="009C0934">
              <w:rPr>
                <w:rFonts w:asciiTheme="majorBidi" w:hAnsiTheme="majorBidi" w:cstheme="majorBidi"/>
                <w:color w:val="auto"/>
                <w:sz w:val="24"/>
                <w:szCs w:val="24"/>
              </w:rPr>
              <w:t xml:space="preserve"> network. Lancet Reg Health Eur. 2024;47:101095. doi:10.1016/j.lanepe.2024.101095.</w:t>
            </w:r>
          </w:p>
        </w:tc>
        <w:tc>
          <w:tcPr>
            <w:tcW w:w="5938" w:type="dxa"/>
          </w:tcPr>
          <w:p w14:paraId="33288EB6" w14:textId="77777777" w:rsidR="009405C7" w:rsidRPr="009C0934" w:rsidRDefault="009405C7"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t>Outside the prespecified review scope. This multi-country test-negative SARI study evaluates effectiveness of ancestral mRNA and inactivated COVID-19 vaccines using an annual vaccine-effectiveness framework, with no participants receiving updated or variant-adapted vaccines. Subvariant-specific effectiveness estimates are not reported, limiting comparability with the contemporary Omicron-era vaccine-effectiveness analyses synthesised in this review.</w:t>
            </w:r>
          </w:p>
        </w:tc>
      </w:tr>
      <w:tr w:rsidR="009405C7" w14:paraId="6EF78A90" w14:textId="77777777" w:rsidTr="00B20255">
        <w:tc>
          <w:tcPr>
            <w:tcW w:w="5403" w:type="dxa"/>
          </w:tcPr>
          <w:p w14:paraId="7AAA8E12" w14:textId="28F31DCF" w:rsidR="009405C7" w:rsidRPr="009C0934" w:rsidRDefault="009C0934"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t xml:space="preserve">Keane A, Tippett A, Taylor EG, Reese O, Salazar L, De Castro K, Choi C, Ciric C, Taylor M, Mitchell A, Gibson T, </w:t>
            </w:r>
            <w:proofErr w:type="spellStart"/>
            <w:r w:rsidRPr="009C0934">
              <w:rPr>
                <w:rFonts w:asciiTheme="majorBidi" w:hAnsiTheme="majorBidi" w:cstheme="majorBidi"/>
                <w:color w:val="auto"/>
                <w:sz w:val="24"/>
                <w:szCs w:val="24"/>
              </w:rPr>
              <w:t>Puzniak</w:t>
            </w:r>
            <w:proofErr w:type="spellEnd"/>
            <w:r w:rsidRPr="009C0934">
              <w:rPr>
                <w:rFonts w:asciiTheme="majorBidi" w:hAnsiTheme="majorBidi" w:cstheme="majorBidi"/>
                <w:color w:val="auto"/>
                <w:sz w:val="24"/>
                <w:szCs w:val="24"/>
              </w:rPr>
              <w:t xml:space="preserve"> L, Hubler R, Valluri SR, Wiemken TL, </w:t>
            </w:r>
            <w:proofErr w:type="spellStart"/>
            <w:r w:rsidRPr="009C0934">
              <w:rPr>
                <w:rFonts w:asciiTheme="majorBidi" w:hAnsiTheme="majorBidi" w:cstheme="majorBidi"/>
                <w:color w:val="auto"/>
                <w:sz w:val="24"/>
                <w:szCs w:val="24"/>
              </w:rPr>
              <w:t>Lopman</w:t>
            </w:r>
            <w:proofErr w:type="spellEnd"/>
            <w:r w:rsidRPr="009C0934">
              <w:rPr>
                <w:rFonts w:asciiTheme="majorBidi" w:hAnsiTheme="majorBidi" w:cstheme="majorBidi"/>
                <w:color w:val="auto"/>
                <w:sz w:val="24"/>
                <w:szCs w:val="24"/>
              </w:rPr>
              <w:t xml:space="preserve"> BA, </w:t>
            </w:r>
            <w:proofErr w:type="spellStart"/>
            <w:r w:rsidRPr="009C0934">
              <w:rPr>
                <w:rFonts w:asciiTheme="majorBidi" w:hAnsiTheme="majorBidi" w:cstheme="majorBidi"/>
                <w:color w:val="auto"/>
                <w:sz w:val="24"/>
                <w:szCs w:val="24"/>
              </w:rPr>
              <w:t>Kamidani</w:t>
            </w:r>
            <w:proofErr w:type="spellEnd"/>
            <w:r w:rsidRPr="009C0934">
              <w:rPr>
                <w:rFonts w:asciiTheme="majorBidi" w:hAnsiTheme="majorBidi" w:cstheme="majorBidi"/>
                <w:color w:val="auto"/>
                <w:sz w:val="24"/>
                <w:szCs w:val="24"/>
              </w:rPr>
              <w:t xml:space="preserve"> S, Anderson LJ, McLaughlin JM, Rostad CA, Anderson EJ. </w:t>
            </w:r>
            <w:r w:rsidRPr="009C0934">
              <w:rPr>
                <w:rFonts w:asciiTheme="majorBidi" w:hAnsiTheme="majorBidi" w:cstheme="majorBidi"/>
                <w:color w:val="auto"/>
                <w:sz w:val="24"/>
                <w:szCs w:val="24"/>
              </w:rPr>
              <w:lastRenderedPageBreak/>
              <w:t>Effectiveness of BNT162b2 vaccine for preventing COVID-19-related hospitalizations: a test-negative case–control study. Vaccines. 2024;12:657. doi:10.3390/vaccines12060657.</w:t>
            </w:r>
          </w:p>
        </w:tc>
        <w:tc>
          <w:tcPr>
            <w:tcW w:w="5938" w:type="dxa"/>
          </w:tcPr>
          <w:p w14:paraId="7C193AF4" w14:textId="77777777" w:rsidR="009405C7" w:rsidRPr="009C0934" w:rsidRDefault="009405C7"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lastRenderedPageBreak/>
              <w:t>Outside the prespecified review scope. This test-negative case–control study evaluates BNT162b2 vaccine effectiveness only against COVID-19–associated hospitalization and uses a booster-focused comparator (primary series vs ≥1 booster) without Omicron subvariant-</w:t>
            </w:r>
            <w:r w:rsidRPr="009C0934">
              <w:rPr>
                <w:rFonts w:asciiTheme="majorBidi" w:hAnsiTheme="majorBidi" w:cstheme="majorBidi"/>
                <w:color w:val="auto"/>
                <w:sz w:val="24"/>
                <w:szCs w:val="24"/>
              </w:rPr>
              <w:lastRenderedPageBreak/>
              <w:t>specific attribution, which is not directly comparable with the vaccine-effectiveness outcomes and comparator frameworks synthesised in this review.</w:t>
            </w:r>
          </w:p>
        </w:tc>
      </w:tr>
      <w:tr w:rsidR="009405C7" w14:paraId="11F7F1E3" w14:textId="77777777" w:rsidTr="00B20255">
        <w:tc>
          <w:tcPr>
            <w:tcW w:w="5403" w:type="dxa"/>
          </w:tcPr>
          <w:p w14:paraId="298BB41E" w14:textId="0249F836" w:rsidR="009405C7" w:rsidRPr="009C0934" w:rsidRDefault="009C0934"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lastRenderedPageBreak/>
              <w:t xml:space="preserve">Kelly JD, Leonard S, Hoggatt KJ, Boscardin WJ, Lum EN, Moss-Vazquez TA, Andino R, Wong JK, Byers A, Bravata DM, Tien PC, </w:t>
            </w:r>
            <w:proofErr w:type="spellStart"/>
            <w:r w:rsidRPr="009C0934">
              <w:rPr>
                <w:rFonts w:asciiTheme="majorBidi" w:hAnsiTheme="majorBidi" w:cstheme="majorBidi"/>
                <w:color w:val="auto"/>
                <w:sz w:val="24"/>
                <w:szCs w:val="24"/>
              </w:rPr>
              <w:t>Keyhani</w:t>
            </w:r>
            <w:proofErr w:type="spellEnd"/>
            <w:r w:rsidRPr="009C0934">
              <w:rPr>
                <w:rFonts w:asciiTheme="majorBidi" w:hAnsiTheme="majorBidi" w:cstheme="majorBidi"/>
                <w:color w:val="auto"/>
                <w:sz w:val="24"/>
                <w:szCs w:val="24"/>
              </w:rPr>
              <w:t xml:space="preserve"> S. Incidence of severe COVID-19 illness following vaccination and booster with BNT162b2, mRNA-1273, and Ad26.COV2.S vaccines. JAMA. 2022;328(14):1427–1437. doi:10.1001/jama.2022.17985.</w:t>
            </w:r>
          </w:p>
        </w:tc>
        <w:tc>
          <w:tcPr>
            <w:tcW w:w="5938" w:type="dxa"/>
          </w:tcPr>
          <w:p w14:paraId="6F89BBD6" w14:textId="61969846" w:rsidR="009405C7" w:rsidRPr="009C0934" w:rsidRDefault="009405C7"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t xml:space="preserve">Outside the prespecified review scope. This retrospective cohort study reports incidence rates and cumulative incidence ratios of severe COVID-19 outcomes following booster vaccination during Delta and early Omicron (BA.1/BA.2) periods, without estimating vaccine effectiveness </w:t>
            </w:r>
            <w:r w:rsidR="007041BE" w:rsidRPr="009C0934">
              <w:rPr>
                <w:rFonts w:asciiTheme="majorBidi" w:hAnsiTheme="majorBidi" w:cstheme="majorBidi"/>
                <w:color w:val="auto"/>
                <w:sz w:val="24"/>
                <w:szCs w:val="24"/>
              </w:rPr>
              <w:t>(</w:t>
            </w:r>
            <w:r w:rsidRPr="009C0934">
              <w:rPr>
                <w:rFonts w:asciiTheme="majorBidi" w:hAnsiTheme="majorBidi" w:cstheme="majorBidi"/>
                <w:color w:val="auto"/>
                <w:sz w:val="24"/>
                <w:szCs w:val="24"/>
              </w:rPr>
              <w:t>VE</w:t>
            </w:r>
            <w:r w:rsidR="007041BE" w:rsidRPr="009C0934">
              <w:rPr>
                <w:rFonts w:asciiTheme="majorBidi" w:hAnsiTheme="majorBidi" w:cstheme="majorBidi"/>
                <w:color w:val="auto"/>
                <w:sz w:val="24"/>
                <w:szCs w:val="24"/>
              </w:rPr>
              <w:t>)</w:t>
            </w:r>
            <w:r w:rsidRPr="009C0934">
              <w:rPr>
                <w:rFonts w:asciiTheme="majorBidi" w:hAnsiTheme="majorBidi" w:cstheme="majorBidi"/>
                <w:color w:val="auto"/>
                <w:sz w:val="24"/>
                <w:szCs w:val="24"/>
              </w:rPr>
              <w:t xml:space="preserve"> or relative vaccine effectiveness (</w:t>
            </w:r>
            <w:proofErr w:type="spellStart"/>
            <w:r w:rsidRPr="009C0934">
              <w:rPr>
                <w:rFonts w:asciiTheme="majorBidi" w:hAnsiTheme="majorBidi" w:cstheme="majorBidi"/>
                <w:color w:val="auto"/>
                <w:sz w:val="24"/>
                <w:szCs w:val="24"/>
              </w:rPr>
              <w:t>rVE</w:t>
            </w:r>
            <w:proofErr w:type="spellEnd"/>
            <w:r w:rsidRPr="009C0934">
              <w:rPr>
                <w:rFonts w:asciiTheme="majorBidi" w:hAnsiTheme="majorBidi" w:cstheme="majorBidi"/>
                <w:color w:val="auto"/>
                <w:sz w:val="24"/>
                <w:szCs w:val="24"/>
              </w:rPr>
              <w:t>) against unvaccinated or standard comparator groups, and without Omicron subvariant-specific analyses (e.g., BA.5, XBB, JN.1) relevant to the evolutionary spectrum addressed in this review.</w:t>
            </w:r>
          </w:p>
        </w:tc>
      </w:tr>
      <w:tr w:rsidR="009405C7" w14:paraId="55DA2B80" w14:textId="77777777" w:rsidTr="00B20255">
        <w:tc>
          <w:tcPr>
            <w:tcW w:w="5403" w:type="dxa"/>
          </w:tcPr>
          <w:p w14:paraId="70074FBA" w14:textId="68147674" w:rsidR="009405C7" w:rsidRPr="009C0934" w:rsidRDefault="009C0934"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lang w:val="en-AU"/>
              </w:rPr>
              <w:t xml:space="preserve">Kelly JD, Hoggatt KJ, Lo NC, Leonard S, Boscardin WJ, Kim HS, Lum EN, Austin CC, Byers AL, Tien PC, Austin PC, Bravata DM, </w:t>
            </w:r>
            <w:proofErr w:type="spellStart"/>
            <w:r w:rsidRPr="009C0934">
              <w:rPr>
                <w:rFonts w:asciiTheme="majorBidi" w:hAnsiTheme="majorBidi" w:cstheme="majorBidi"/>
                <w:color w:val="auto"/>
                <w:sz w:val="24"/>
                <w:szCs w:val="24"/>
                <w:lang w:val="en-AU"/>
              </w:rPr>
              <w:t>Keyhani</w:t>
            </w:r>
            <w:proofErr w:type="spellEnd"/>
            <w:r w:rsidRPr="009C0934">
              <w:rPr>
                <w:rFonts w:asciiTheme="majorBidi" w:hAnsiTheme="majorBidi" w:cstheme="majorBidi"/>
                <w:color w:val="auto"/>
                <w:sz w:val="24"/>
                <w:szCs w:val="24"/>
                <w:lang w:val="en-AU"/>
              </w:rPr>
              <w:t xml:space="preserve"> S. Annual variant-targeted vaccination to prevent severe COVID-19 in cohorts with vaccine-derived and hybrid immunity. </w:t>
            </w:r>
            <w:proofErr w:type="spellStart"/>
            <w:r w:rsidRPr="009C0934">
              <w:rPr>
                <w:rFonts w:asciiTheme="majorBidi" w:hAnsiTheme="majorBidi" w:cstheme="majorBidi"/>
                <w:color w:val="auto"/>
                <w:sz w:val="24"/>
                <w:szCs w:val="24"/>
                <w:lang w:val="nb-NO"/>
              </w:rPr>
              <w:t>Clin</w:t>
            </w:r>
            <w:proofErr w:type="spellEnd"/>
            <w:r w:rsidRPr="009C0934">
              <w:rPr>
                <w:rFonts w:asciiTheme="majorBidi" w:hAnsiTheme="majorBidi" w:cstheme="majorBidi"/>
                <w:color w:val="auto"/>
                <w:sz w:val="24"/>
                <w:szCs w:val="24"/>
                <w:lang w:val="nb-NO"/>
              </w:rPr>
              <w:t xml:space="preserve"> </w:t>
            </w:r>
            <w:proofErr w:type="spellStart"/>
            <w:r w:rsidRPr="009C0934">
              <w:rPr>
                <w:rFonts w:asciiTheme="majorBidi" w:hAnsiTheme="majorBidi" w:cstheme="majorBidi"/>
                <w:color w:val="auto"/>
                <w:sz w:val="24"/>
                <w:szCs w:val="24"/>
                <w:lang w:val="nb-NO"/>
              </w:rPr>
              <w:t>Infect</w:t>
            </w:r>
            <w:proofErr w:type="spellEnd"/>
            <w:r w:rsidRPr="009C0934">
              <w:rPr>
                <w:rFonts w:asciiTheme="majorBidi" w:hAnsiTheme="majorBidi" w:cstheme="majorBidi"/>
                <w:color w:val="auto"/>
                <w:sz w:val="24"/>
                <w:szCs w:val="24"/>
                <w:lang w:val="nb-NO"/>
              </w:rPr>
              <w:t xml:space="preserve"> Dis. 2025;81:222–230. doi:10.1093/</w:t>
            </w:r>
            <w:proofErr w:type="spellStart"/>
            <w:r w:rsidRPr="009C0934">
              <w:rPr>
                <w:rFonts w:asciiTheme="majorBidi" w:hAnsiTheme="majorBidi" w:cstheme="majorBidi"/>
                <w:color w:val="auto"/>
                <w:sz w:val="24"/>
                <w:szCs w:val="24"/>
                <w:lang w:val="nb-NO"/>
              </w:rPr>
              <w:t>cid</w:t>
            </w:r>
            <w:proofErr w:type="spellEnd"/>
            <w:r w:rsidRPr="009C0934">
              <w:rPr>
                <w:rFonts w:asciiTheme="majorBidi" w:hAnsiTheme="majorBidi" w:cstheme="majorBidi"/>
                <w:color w:val="auto"/>
                <w:sz w:val="24"/>
                <w:szCs w:val="24"/>
                <w:lang w:val="nb-NO"/>
              </w:rPr>
              <w:t>/ciaf124.</w:t>
            </w:r>
          </w:p>
        </w:tc>
        <w:tc>
          <w:tcPr>
            <w:tcW w:w="5938" w:type="dxa"/>
          </w:tcPr>
          <w:p w14:paraId="638A9099" w14:textId="77777777" w:rsidR="009405C7" w:rsidRPr="009C0934" w:rsidRDefault="009405C7" w:rsidP="009405C7">
            <w:pPr>
              <w:pStyle w:val="MDPI31text"/>
              <w:ind w:left="0" w:firstLine="0"/>
              <w:rPr>
                <w:rFonts w:asciiTheme="majorBidi" w:hAnsiTheme="majorBidi" w:cstheme="majorBidi"/>
                <w:color w:val="auto"/>
                <w:sz w:val="24"/>
                <w:szCs w:val="24"/>
              </w:rPr>
            </w:pPr>
            <w:r w:rsidRPr="009C0934">
              <w:rPr>
                <w:rFonts w:asciiTheme="majorBidi" w:hAnsiTheme="majorBidi" w:cstheme="majorBidi"/>
                <w:color w:val="auto"/>
                <w:sz w:val="24"/>
                <w:szCs w:val="24"/>
              </w:rPr>
              <w:t>Outside the prespecified review scope. The study evaluates incremental effectiveness of variant-targeted booster doses using a target-trial emulation in a highly selected, booster-vaccinated cohort of U.S. Veterans, with outcomes limited to COVID-19 pneumonia and in-hospital severe illness. It does not provide population-level vaccine effectiveness estimates for routinely deployed monovalent XBB.1.5 or JN.1 vaccines and uses a comparator framework not aligned with the review’s public-health–focused effectiveness assessments.</w:t>
            </w:r>
          </w:p>
        </w:tc>
      </w:tr>
      <w:tr w:rsidR="009405C7" w14:paraId="37A4070D" w14:textId="77777777" w:rsidTr="00B20255">
        <w:tc>
          <w:tcPr>
            <w:tcW w:w="5403" w:type="dxa"/>
          </w:tcPr>
          <w:p w14:paraId="2DC3B940" w14:textId="7DF0E64C" w:rsidR="009405C7" w:rsidRPr="006C2136" w:rsidRDefault="006C2136" w:rsidP="009405C7">
            <w:pPr>
              <w:pStyle w:val="MDPI31text"/>
              <w:ind w:left="0" w:firstLine="0"/>
              <w:rPr>
                <w:rFonts w:asciiTheme="majorBidi" w:hAnsiTheme="majorBidi" w:cstheme="majorBidi"/>
                <w:color w:val="auto"/>
                <w:sz w:val="24"/>
                <w:szCs w:val="24"/>
              </w:rPr>
            </w:pPr>
            <w:r w:rsidRPr="006C2136">
              <w:rPr>
                <w:rFonts w:asciiTheme="majorBidi" w:hAnsiTheme="majorBidi" w:cstheme="majorBidi"/>
                <w:color w:val="auto"/>
                <w:sz w:val="24"/>
                <w:szCs w:val="24"/>
              </w:rPr>
              <w:t>Kerr S, Vasileiou E, Robertson C, Sheikh A. COVID-19 vaccine effectiveness against symptomatic SARS-CoV-2 infection and severe COVID-19 outcomes from Delta AY.4.2: cohort and test-negative study of 5.4 million individuals in Scotland. J Glob Health. 2022;12:05025. doi:10.7189/jogh.12.05025.</w:t>
            </w:r>
          </w:p>
        </w:tc>
        <w:tc>
          <w:tcPr>
            <w:tcW w:w="5938" w:type="dxa"/>
          </w:tcPr>
          <w:p w14:paraId="48A6875E" w14:textId="77777777" w:rsidR="009405C7" w:rsidRPr="006C2136" w:rsidRDefault="009405C7" w:rsidP="009405C7">
            <w:pPr>
              <w:pStyle w:val="MDPI31text"/>
              <w:ind w:left="0" w:firstLine="0"/>
              <w:rPr>
                <w:rFonts w:asciiTheme="majorBidi" w:hAnsiTheme="majorBidi" w:cstheme="majorBidi"/>
                <w:color w:val="auto"/>
                <w:sz w:val="24"/>
                <w:szCs w:val="24"/>
              </w:rPr>
            </w:pPr>
            <w:r w:rsidRPr="006C2136">
              <w:rPr>
                <w:rFonts w:asciiTheme="majorBidi" w:hAnsiTheme="majorBidi" w:cstheme="majorBidi"/>
                <w:color w:val="auto"/>
                <w:sz w:val="24"/>
                <w:szCs w:val="24"/>
              </w:rPr>
              <w:t>Outside the prespecified review scope. This national cohort and test-negative study evaluated vaccine effectiveness against symptomatic infection and severe COVID-19 outcomes associated with the Delta AY.4.2 sublineage during June–October 2021, prior to the emergence of Omicron. The study does not include Omicron-era data, and its vaccine effectiveness estimates are therefore not directly applicable to or comparable with Omicron and post-Omicron variant effectiveness, which is the focus of this review.</w:t>
            </w:r>
          </w:p>
        </w:tc>
      </w:tr>
      <w:tr w:rsidR="009405C7" w14:paraId="55FC3B30" w14:textId="77777777" w:rsidTr="00B20255">
        <w:tc>
          <w:tcPr>
            <w:tcW w:w="5403" w:type="dxa"/>
          </w:tcPr>
          <w:p w14:paraId="2AAF58C3" w14:textId="2DC2E075" w:rsidR="009405C7" w:rsidRPr="006C2136" w:rsidRDefault="006C2136" w:rsidP="009405C7">
            <w:pPr>
              <w:pStyle w:val="MDPI31text"/>
              <w:ind w:left="0" w:firstLine="0"/>
              <w:rPr>
                <w:rFonts w:asciiTheme="majorBidi" w:hAnsiTheme="majorBidi" w:cstheme="majorBidi"/>
                <w:color w:val="auto"/>
                <w:sz w:val="24"/>
                <w:szCs w:val="24"/>
              </w:rPr>
            </w:pPr>
            <w:proofErr w:type="spellStart"/>
            <w:r w:rsidRPr="006C2136">
              <w:rPr>
                <w:rFonts w:asciiTheme="majorBidi" w:hAnsiTheme="majorBidi" w:cstheme="majorBidi"/>
                <w:color w:val="auto"/>
                <w:sz w:val="24"/>
                <w:szCs w:val="24"/>
              </w:rPr>
              <w:t>Khodashahi</w:t>
            </w:r>
            <w:proofErr w:type="spellEnd"/>
            <w:r w:rsidRPr="006C2136">
              <w:rPr>
                <w:rFonts w:asciiTheme="majorBidi" w:hAnsiTheme="majorBidi" w:cstheme="majorBidi"/>
                <w:color w:val="auto"/>
                <w:sz w:val="24"/>
                <w:szCs w:val="24"/>
              </w:rPr>
              <w:t xml:space="preserve"> R, </w:t>
            </w:r>
            <w:proofErr w:type="spellStart"/>
            <w:r w:rsidRPr="006C2136">
              <w:rPr>
                <w:rFonts w:asciiTheme="majorBidi" w:hAnsiTheme="majorBidi" w:cstheme="majorBidi"/>
                <w:color w:val="auto"/>
                <w:sz w:val="24"/>
                <w:szCs w:val="24"/>
              </w:rPr>
              <w:t>Abdollahzade</w:t>
            </w:r>
            <w:proofErr w:type="spellEnd"/>
            <w:r w:rsidRPr="006C2136">
              <w:rPr>
                <w:rFonts w:asciiTheme="majorBidi" w:hAnsiTheme="majorBidi" w:cstheme="majorBidi"/>
                <w:color w:val="auto"/>
                <w:sz w:val="24"/>
                <w:szCs w:val="24"/>
              </w:rPr>
              <w:t xml:space="preserve"> A, </w:t>
            </w:r>
            <w:proofErr w:type="spellStart"/>
            <w:r w:rsidRPr="006C2136">
              <w:rPr>
                <w:rFonts w:asciiTheme="majorBidi" w:hAnsiTheme="majorBidi" w:cstheme="majorBidi"/>
                <w:color w:val="auto"/>
                <w:sz w:val="24"/>
                <w:szCs w:val="24"/>
              </w:rPr>
              <w:t>Vahdatinia</w:t>
            </w:r>
            <w:proofErr w:type="spellEnd"/>
            <w:r w:rsidRPr="006C2136">
              <w:rPr>
                <w:rFonts w:asciiTheme="majorBidi" w:hAnsiTheme="majorBidi" w:cstheme="majorBidi"/>
                <w:color w:val="auto"/>
                <w:sz w:val="24"/>
                <w:szCs w:val="24"/>
              </w:rPr>
              <w:t xml:space="preserve"> M, Salari M, Mohammadzadeh </w:t>
            </w:r>
            <w:proofErr w:type="spellStart"/>
            <w:r w:rsidRPr="006C2136">
              <w:rPr>
                <w:rFonts w:asciiTheme="majorBidi" w:hAnsiTheme="majorBidi" w:cstheme="majorBidi"/>
                <w:color w:val="auto"/>
                <w:sz w:val="24"/>
                <w:szCs w:val="24"/>
              </w:rPr>
              <w:t>Shabestari</w:t>
            </w:r>
            <w:proofErr w:type="spellEnd"/>
            <w:r w:rsidRPr="006C2136">
              <w:rPr>
                <w:rFonts w:asciiTheme="majorBidi" w:hAnsiTheme="majorBidi" w:cstheme="majorBidi"/>
                <w:color w:val="auto"/>
                <w:sz w:val="24"/>
                <w:szCs w:val="24"/>
              </w:rPr>
              <w:t xml:space="preserve"> M, </w:t>
            </w:r>
            <w:proofErr w:type="spellStart"/>
            <w:r w:rsidRPr="006C2136">
              <w:rPr>
                <w:rFonts w:asciiTheme="majorBidi" w:hAnsiTheme="majorBidi" w:cstheme="majorBidi"/>
                <w:color w:val="auto"/>
                <w:sz w:val="24"/>
                <w:szCs w:val="24"/>
              </w:rPr>
              <w:t>Aliakbarian</w:t>
            </w:r>
            <w:proofErr w:type="spellEnd"/>
            <w:r w:rsidRPr="006C2136">
              <w:rPr>
                <w:rFonts w:asciiTheme="majorBidi" w:hAnsiTheme="majorBidi" w:cstheme="majorBidi"/>
                <w:color w:val="auto"/>
                <w:sz w:val="24"/>
                <w:szCs w:val="24"/>
              </w:rPr>
              <w:t xml:space="preserve"> M, Sahab-Negah S, Jabbari Azad F, Najjar Khalil Abad S, Salimi Far M, Rahimi H. Impact of COVID-19 vaccination on the mortality rates of hospitalized patients with the Omicron strain. Arch Clin Infect Dis. 2025;20:e144677. doi:10.5812/archcid-144677.</w:t>
            </w:r>
          </w:p>
        </w:tc>
        <w:tc>
          <w:tcPr>
            <w:tcW w:w="5938" w:type="dxa"/>
          </w:tcPr>
          <w:p w14:paraId="23ECFEEB" w14:textId="77777777" w:rsidR="009405C7" w:rsidRPr="006C2136" w:rsidRDefault="009405C7" w:rsidP="009405C7">
            <w:pPr>
              <w:pStyle w:val="MDPI31text"/>
              <w:ind w:left="0" w:firstLine="0"/>
              <w:rPr>
                <w:rFonts w:asciiTheme="majorBidi" w:hAnsiTheme="majorBidi" w:cstheme="majorBidi"/>
                <w:color w:val="auto"/>
                <w:sz w:val="24"/>
                <w:szCs w:val="24"/>
              </w:rPr>
            </w:pPr>
            <w:r w:rsidRPr="006C2136">
              <w:rPr>
                <w:rFonts w:asciiTheme="majorBidi" w:hAnsiTheme="majorBidi" w:cstheme="majorBidi"/>
                <w:color w:val="auto"/>
                <w:sz w:val="24"/>
                <w:szCs w:val="24"/>
              </w:rPr>
              <w:t>Outside the prespecified review scope. This hospital-based, case-only study evaluates mortality among patients already hospitalized with COVID-19 and assesses vaccination effects conditional on hospitalization. It does not estimate population-based vaccine effectiveness against hospitalization or death using a cohort, case–control, or test-negative design with an appropriate at-risk denominator. Consequently, the effect measures are not directly comparable with the population-level vaccine effectiveness framework applied in this review.</w:t>
            </w:r>
          </w:p>
        </w:tc>
      </w:tr>
      <w:tr w:rsidR="009405C7" w14:paraId="4041F3D2" w14:textId="77777777" w:rsidTr="00B20255">
        <w:tc>
          <w:tcPr>
            <w:tcW w:w="5403" w:type="dxa"/>
          </w:tcPr>
          <w:p w14:paraId="487774A8" w14:textId="17294C66" w:rsidR="009405C7" w:rsidRPr="004A0C52" w:rsidRDefault="004A0C52" w:rsidP="009405C7">
            <w:pPr>
              <w:pStyle w:val="MDPI31text"/>
              <w:ind w:left="0" w:firstLine="0"/>
              <w:rPr>
                <w:rFonts w:asciiTheme="majorBidi" w:hAnsiTheme="majorBidi" w:cstheme="majorBidi"/>
                <w:color w:val="auto"/>
                <w:sz w:val="24"/>
                <w:szCs w:val="24"/>
              </w:rPr>
            </w:pPr>
            <w:r w:rsidRPr="004A0C52">
              <w:rPr>
                <w:rFonts w:asciiTheme="majorBidi" w:hAnsiTheme="majorBidi" w:cstheme="majorBidi"/>
                <w:color w:val="auto"/>
                <w:sz w:val="24"/>
                <w:szCs w:val="24"/>
                <w:lang w:val="en-AU"/>
              </w:rPr>
              <w:t xml:space="preserve">Khosravi Shadmani F, Moradi G, </w:t>
            </w:r>
            <w:proofErr w:type="spellStart"/>
            <w:r w:rsidRPr="004A0C52">
              <w:rPr>
                <w:rFonts w:asciiTheme="majorBidi" w:hAnsiTheme="majorBidi" w:cstheme="majorBidi"/>
                <w:color w:val="auto"/>
                <w:sz w:val="24"/>
                <w:szCs w:val="24"/>
                <w:lang w:val="en-AU"/>
              </w:rPr>
              <w:t>Naghipour</w:t>
            </w:r>
            <w:proofErr w:type="spellEnd"/>
            <w:r w:rsidRPr="004A0C52">
              <w:rPr>
                <w:rFonts w:asciiTheme="majorBidi" w:hAnsiTheme="majorBidi" w:cstheme="majorBidi"/>
                <w:color w:val="auto"/>
                <w:sz w:val="24"/>
                <w:szCs w:val="24"/>
                <w:lang w:val="en-AU"/>
              </w:rPr>
              <w:t xml:space="preserve"> M, </w:t>
            </w:r>
            <w:proofErr w:type="spellStart"/>
            <w:r w:rsidRPr="004A0C52">
              <w:rPr>
                <w:rFonts w:asciiTheme="majorBidi" w:hAnsiTheme="majorBidi" w:cstheme="majorBidi"/>
                <w:color w:val="auto"/>
                <w:sz w:val="24"/>
                <w:szCs w:val="24"/>
                <w:lang w:val="en-AU"/>
              </w:rPr>
              <w:t>Torkaman</w:t>
            </w:r>
            <w:proofErr w:type="spellEnd"/>
            <w:r w:rsidRPr="004A0C52">
              <w:rPr>
                <w:rFonts w:asciiTheme="majorBidi" w:hAnsiTheme="majorBidi" w:cstheme="majorBidi"/>
                <w:color w:val="auto"/>
                <w:sz w:val="24"/>
                <w:szCs w:val="24"/>
                <w:lang w:val="en-AU"/>
              </w:rPr>
              <w:t xml:space="preserve"> Asadi F, Ahmadi A, </w:t>
            </w:r>
            <w:proofErr w:type="spellStart"/>
            <w:r w:rsidRPr="004A0C52">
              <w:rPr>
                <w:rFonts w:asciiTheme="majorBidi" w:hAnsiTheme="majorBidi" w:cstheme="majorBidi"/>
                <w:color w:val="auto"/>
                <w:sz w:val="24"/>
                <w:szCs w:val="24"/>
                <w:lang w:val="en-AU"/>
              </w:rPr>
              <w:t>Mirahmadizadeh</w:t>
            </w:r>
            <w:proofErr w:type="spellEnd"/>
            <w:r w:rsidRPr="004A0C52">
              <w:rPr>
                <w:rFonts w:asciiTheme="majorBidi" w:hAnsiTheme="majorBidi" w:cstheme="majorBidi"/>
                <w:color w:val="auto"/>
                <w:sz w:val="24"/>
                <w:szCs w:val="24"/>
                <w:lang w:val="en-AU"/>
              </w:rPr>
              <w:t xml:space="preserve"> A, </w:t>
            </w:r>
            <w:proofErr w:type="spellStart"/>
            <w:r w:rsidRPr="004A0C52">
              <w:rPr>
                <w:rFonts w:asciiTheme="majorBidi" w:hAnsiTheme="majorBidi" w:cstheme="majorBidi"/>
                <w:color w:val="auto"/>
                <w:sz w:val="24"/>
                <w:szCs w:val="24"/>
                <w:lang w:val="en-AU"/>
              </w:rPr>
              <w:t>Haghdoost</w:t>
            </w:r>
            <w:proofErr w:type="spellEnd"/>
            <w:r w:rsidRPr="004A0C52">
              <w:rPr>
                <w:rFonts w:asciiTheme="majorBidi" w:hAnsiTheme="majorBidi" w:cstheme="majorBidi"/>
                <w:color w:val="auto"/>
                <w:sz w:val="24"/>
                <w:szCs w:val="24"/>
                <w:lang w:val="en-AU"/>
              </w:rPr>
              <w:t xml:space="preserve"> AA, </w:t>
            </w:r>
            <w:proofErr w:type="spellStart"/>
            <w:r w:rsidRPr="004A0C52">
              <w:rPr>
                <w:rFonts w:asciiTheme="majorBidi" w:hAnsiTheme="majorBidi" w:cstheme="majorBidi"/>
                <w:color w:val="auto"/>
                <w:sz w:val="24"/>
                <w:szCs w:val="24"/>
                <w:lang w:val="en-AU"/>
              </w:rPr>
              <w:t>Mesgarpour</w:t>
            </w:r>
            <w:proofErr w:type="spellEnd"/>
            <w:r w:rsidRPr="004A0C52">
              <w:rPr>
                <w:rFonts w:asciiTheme="majorBidi" w:hAnsiTheme="majorBidi" w:cstheme="majorBidi"/>
                <w:color w:val="auto"/>
                <w:sz w:val="24"/>
                <w:szCs w:val="24"/>
                <w:lang w:val="en-AU"/>
              </w:rPr>
              <w:t xml:space="preserve"> B, </w:t>
            </w:r>
            <w:proofErr w:type="spellStart"/>
            <w:r w:rsidRPr="004A0C52">
              <w:rPr>
                <w:rFonts w:asciiTheme="majorBidi" w:hAnsiTheme="majorBidi" w:cstheme="majorBidi"/>
                <w:color w:val="auto"/>
                <w:sz w:val="24"/>
                <w:szCs w:val="24"/>
                <w:lang w:val="en-AU"/>
              </w:rPr>
              <w:t>Zahraei</w:t>
            </w:r>
            <w:proofErr w:type="spellEnd"/>
            <w:r w:rsidRPr="004A0C52">
              <w:rPr>
                <w:rFonts w:asciiTheme="majorBidi" w:hAnsiTheme="majorBidi" w:cstheme="majorBidi"/>
                <w:color w:val="auto"/>
                <w:sz w:val="24"/>
                <w:szCs w:val="24"/>
                <w:lang w:val="en-AU"/>
              </w:rPr>
              <w:t xml:space="preserve"> SM, Goya MM, Mokhtari M, Safari-</w:t>
            </w:r>
            <w:proofErr w:type="spellStart"/>
            <w:r w:rsidRPr="004A0C52">
              <w:rPr>
                <w:rFonts w:asciiTheme="majorBidi" w:hAnsiTheme="majorBidi" w:cstheme="majorBidi"/>
                <w:color w:val="auto"/>
                <w:sz w:val="24"/>
                <w:szCs w:val="24"/>
                <w:lang w:val="en-AU"/>
              </w:rPr>
              <w:t>Faramani</w:t>
            </w:r>
            <w:proofErr w:type="spellEnd"/>
            <w:r w:rsidRPr="004A0C52">
              <w:rPr>
                <w:rFonts w:asciiTheme="majorBidi" w:hAnsiTheme="majorBidi" w:cstheme="majorBidi"/>
                <w:color w:val="auto"/>
                <w:sz w:val="24"/>
                <w:szCs w:val="24"/>
                <w:lang w:val="en-AU"/>
              </w:rPr>
              <w:t xml:space="preserve"> R, Zomorrodi Zare F, </w:t>
            </w:r>
            <w:proofErr w:type="spellStart"/>
            <w:r w:rsidRPr="004A0C52">
              <w:rPr>
                <w:rFonts w:asciiTheme="majorBidi" w:hAnsiTheme="majorBidi" w:cstheme="majorBidi"/>
                <w:color w:val="auto"/>
                <w:sz w:val="24"/>
                <w:szCs w:val="24"/>
                <w:lang w:val="en-AU"/>
              </w:rPr>
              <w:t>Chegeni</w:t>
            </w:r>
            <w:proofErr w:type="spellEnd"/>
            <w:r w:rsidRPr="004A0C52">
              <w:rPr>
                <w:rFonts w:asciiTheme="majorBidi" w:hAnsiTheme="majorBidi" w:cstheme="majorBidi"/>
                <w:color w:val="auto"/>
                <w:sz w:val="24"/>
                <w:szCs w:val="24"/>
                <w:lang w:val="en-AU"/>
              </w:rPr>
              <w:t xml:space="preserve"> M, Najafi F. Evaluation of the COVID-19 </w:t>
            </w:r>
            <w:r w:rsidRPr="004A0C52">
              <w:rPr>
                <w:rFonts w:asciiTheme="majorBidi" w:hAnsiTheme="majorBidi" w:cstheme="majorBidi"/>
                <w:color w:val="auto"/>
                <w:sz w:val="24"/>
                <w:szCs w:val="24"/>
                <w:lang w:val="en-AU"/>
              </w:rPr>
              <w:lastRenderedPageBreak/>
              <w:t xml:space="preserve">vaccine effectiveness on the outcomes of COVID-19 disease in Iran: a test-negative case-control study. </w:t>
            </w:r>
            <w:r w:rsidRPr="004A0C52">
              <w:rPr>
                <w:rFonts w:asciiTheme="majorBidi" w:hAnsiTheme="majorBidi" w:cstheme="majorBidi"/>
                <w:color w:val="auto"/>
                <w:sz w:val="24"/>
                <w:szCs w:val="24"/>
                <w:lang w:val="nb-NO"/>
              </w:rPr>
              <w:t xml:space="preserve">Front </w:t>
            </w:r>
            <w:proofErr w:type="spellStart"/>
            <w:r w:rsidRPr="004A0C52">
              <w:rPr>
                <w:rFonts w:asciiTheme="majorBidi" w:hAnsiTheme="majorBidi" w:cstheme="majorBidi"/>
                <w:color w:val="auto"/>
                <w:sz w:val="24"/>
                <w:szCs w:val="24"/>
                <w:lang w:val="nb-NO"/>
              </w:rPr>
              <w:t>Immunol</w:t>
            </w:r>
            <w:proofErr w:type="spellEnd"/>
            <w:r w:rsidRPr="004A0C52">
              <w:rPr>
                <w:rFonts w:asciiTheme="majorBidi" w:hAnsiTheme="majorBidi" w:cstheme="majorBidi"/>
                <w:color w:val="auto"/>
                <w:sz w:val="24"/>
                <w:szCs w:val="24"/>
                <w:lang w:val="nb-NO"/>
              </w:rPr>
              <w:t>. 2024;15:1420651. doi:10.3389/fimmu.2024.1420651.</w:t>
            </w:r>
          </w:p>
        </w:tc>
        <w:tc>
          <w:tcPr>
            <w:tcW w:w="5938" w:type="dxa"/>
          </w:tcPr>
          <w:p w14:paraId="29C3312A" w14:textId="77777777" w:rsidR="009405C7" w:rsidRPr="004A0C52" w:rsidRDefault="009405C7" w:rsidP="009405C7">
            <w:pPr>
              <w:pStyle w:val="MDPI31text"/>
              <w:ind w:left="0" w:firstLine="0"/>
              <w:rPr>
                <w:rFonts w:asciiTheme="majorBidi" w:hAnsiTheme="majorBidi" w:cstheme="majorBidi"/>
                <w:color w:val="auto"/>
                <w:sz w:val="24"/>
                <w:szCs w:val="24"/>
              </w:rPr>
            </w:pPr>
            <w:r w:rsidRPr="004A0C52">
              <w:rPr>
                <w:rFonts w:asciiTheme="majorBidi" w:hAnsiTheme="majorBidi" w:cstheme="majorBidi"/>
                <w:color w:val="auto"/>
                <w:sz w:val="24"/>
                <w:szCs w:val="24"/>
              </w:rPr>
              <w:lastRenderedPageBreak/>
              <w:t xml:space="preserve">Outside the prespecified review scope. This study reports pooled vaccine effectiveness estimates across Delta and Omicron periods over a prolonged study window, with Omicron comprising a small proportion of cases and without providing Omicron-specific or sublineage-specific VE </w:t>
            </w:r>
            <w:r w:rsidRPr="004A0C52">
              <w:rPr>
                <w:rFonts w:asciiTheme="majorBidi" w:hAnsiTheme="majorBidi" w:cstheme="majorBidi"/>
                <w:color w:val="auto"/>
                <w:sz w:val="24"/>
                <w:szCs w:val="24"/>
              </w:rPr>
              <w:lastRenderedPageBreak/>
              <w:t>estimates during periods of Omicron dominance. The aggregation across variants and limited Omicron-specific precision preclude inclusion in an Omicron-focused synthesis.</w:t>
            </w:r>
          </w:p>
        </w:tc>
      </w:tr>
      <w:tr w:rsidR="009405C7" w14:paraId="1F10B2C1" w14:textId="77777777" w:rsidTr="00B20255">
        <w:tc>
          <w:tcPr>
            <w:tcW w:w="5403" w:type="dxa"/>
          </w:tcPr>
          <w:p w14:paraId="3D3397C8" w14:textId="0EB090DC" w:rsidR="009405C7" w:rsidRPr="0031548B" w:rsidRDefault="0031548B" w:rsidP="009405C7">
            <w:pPr>
              <w:pStyle w:val="MDPI31text"/>
              <w:ind w:left="0" w:firstLine="0"/>
              <w:rPr>
                <w:rFonts w:asciiTheme="majorBidi" w:hAnsiTheme="majorBidi" w:cstheme="majorBidi"/>
                <w:color w:val="auto"/>
                <w:sz w:val="24"/>
                <w:szCs w:val="24"/>
              </w:rPr>
            </w:pPr>
            <w:r w:rsidRPr="0031548B">
              <w:rPr>
                <w:rFonts w:asciiTheme="majorBidi" w:hAnsiTheme="majorBidi" w:cstheme="majorBidi"/>
                <w:color w:val="auto"/>
                <w:sz w:val="24"/>
                <w:szCs w:val="24"/>
              </w:rPr>
              <w:lastRenderedPageBreak/>
              <w:t xml:space="preserve">Kim SS, Chung JR, Talbot HK, Grijalva CG, Wernli KJ, Kiniry E, Martin ET, Monto AS, Belongia EA, McLean HQ, Gaglani M, </w:t>
            </w:r>
            <w:proofErr w:type="spellStart"/>
            <w:r w:rsidRPr="0031548B">
              <w:rPr>
                <w:rFonts w:asciiTheme="majorBidi" w:hAnsiTheme="majorBidi" w:cstheme="majorBidi"/>
                <w:color w:val="auto"/>
                <w:sz w:val="24"/>
                <w:szCs w:val="24"/>
              </w:rPr>
              <w:t>Mamawala</w:t>
            </w:r>
            <w:proofErr w:type="spellEnd"/>
            <w:r w:rsidRPr="0031548B">
              <w:rPr>
                <w:rFonts w:asciiTheme="majorBidi" w:hAnsiTheme="majorBidi" w:cstheme="majorBidi"/>
                <w:color w:val="auto"/>
                <w:sz w:val="24"/>
                <w:szCs w:val="24"/>
              </w:rPr>
              <w:t xml:space="preserve"> M, Nowalk MP, Moehling Geffel K, </w:t>
            </w:r>
            <w:proofErr w:type="spellStart"/>
            <w:r w:rsidRPr="0031548B">
              <w:rPr>
                <w:rFonts w:asciiTheme="majorBidi" w:hAnsiTheme="majorBidi" w:cstheme="majorBidi"/>
                <w:color w:val="auto"/>
                <w:sz w:val="24"/>
                <w:szCs w:val="24"/>
              </w:rPr>
              <w:t>Tartof</w:t>
            </w:r>
            <w:proofErr w:type="spellEnd"/>
            <w:r w:rsidRPr="0031548B">
              <w:rPr>
                <w:rFonts w:asciiTheme="majorBidi" w:hAnsiTheme="majorBidi" w:cstheme="majorBidi"/>
                <w:color w:val="auto"/>
                <w:sz w:val="24"/>
                <w:szCs w:val="24"/>
              </w:rPr>
              <w:t xml:space="preserve"> SY, Florea A, Lee JS, </w:t>
            </w:r>
            <w:proofErr w:type="spellStart"/>
            <w:r w:rsidRPr="0031548B">
              <w:rPr>
                <w:rFonts w:asciiTheme="majorBidi" w:hAnsiTheme="majorBidi" w:cstheme="majorBidi"/>
                <w:color w:val="auto"/>
                <w:sz w:val="24"/>
                <w:szCs w:val="24"/>
              </w:rPr>
              <w:t>Tenforde</w:t>
            </w:r>
            <w:proofErr w:type="spellEnd"/>
            <w:r w:rsidRPr="0031548B">
              <w:rPr>
                <w:rFonts w:asciiTheme="majorBidi" w:hAnsiTheme="majorBidi" w:cstheme="majorBidi"/>
                <w:color w:val="auto"/>
                <w:sz w:val="24"/>
                <w:szCs w:val="24"/>
              </w:rPr>
              <w:t xml:space="preserve"> MW, Patel MM, Flannery B. Effectiveness of two and three mRNA COVID-19 vaccine doses against Omicron- and Delta-related outpatient illness among adults, October 2021–February 2022. Influenza Other Respir Viruses. 2022;16:975–985. doi:10.1111/irv.13029.</w:t>
            </w:r>
          </w:p>
        </w:tc>
        <w:tc>
          <w:tcPr>
            <w:tcW w:w="5938" w:type="dxa"/>
          </w:tcPr>
          <w:p w14:paraId="7F529AFC" w14:textId="59A19B41" w:rsidR="009405C7" w:rsidRPr="0031548B" w:rsidRDefault="009405C7" w:rsidP="009405C7">
            <w:pPr>
              <w:pStyle w:val="MDPI31text"/>
              <w:ind w:left="0" w:firstLine="0"/>
              <w:rPr>
                <w:rFonts w:asciiTheme="majorBidi" w:hAnsiTheme="majorBidi" w:cstheme="majorBidi"/>
                <w:color w:val="auto"/>
                <w:sz w:val="24"/>
                <w:szCs w:val="24"/>
              </w:rPr>
            </w:pPr>
            <w:r w:rsidRPr="0031548B">
              <w:rPr>
                <w:rFonts w:asciiTheme="majorBidi" w:hAnsiTheme="majorBidi" w:cstheme="majorBidi"/>
                <w:color w:val="auto"/>
                <w:sz w:val="24"/>
                <w:szCs w:val="24"/>
              </w:rPr>
              <w:t>Outside the prespecified review scope. This test-negative study evaluates vaccine effectiveness against symptomatic SARS-CoV-2 infection in outpatient settings, without assessing severe COVID-19 outcomes (e.g. hospitali</w:t>
            </w:r>
            <w:r w:rsidR="00F10ED1" w:rsidRPr="0031548B">
              <w:rPr>
                <w:rFonts w:asciiTheme="majorBidi" w:hAnsiTheme="majorBidi" w:cstheme="majorBidi"/>
                <w:color w:val="auto"/>
                <w:sz w:val="24"/>
                <w:szCs w:val="24"/>
              </w:rPr>
              <w:t>z</w:t>
            </w:r>
            <w:r w:rsidRPr="0031548B">
              <w:rPr>
                <w:rFonts w:asciiTheme="majorBidi" w:hAnsiTheme="majorBidi" w:cstheme="majorBidi"/>
                <w:color w:val="auto"/>
                <w:sz w:val="24"/>
                <w:szCs w:val="24"/>
              </w:rPr>
              <w:t xml:space="preserve">ation, ICU admission, or death). In addition, the study was conducted during Delta and early Omicron (BA.1) circulation using monovalent mRNA vaccines, predating later Omicron subvariants and updated vaccine formulations </w:t>
            </w:r>
            <w:r w:rsidR="00AA15B8" w:rsidRPr="0031548B">
              <w:rPr>
                <w:rFonts w:asciiTheme="majorBidi" w:hAnsiTheme="majorBidi" w:cstheme="majorBidi"/>
                <w:color w:val="auto"/>
                <w:sz w:val="24"/>
                <w:szCs w:val="24"/>
              </w:rPr>
              <w:t>prioritized</w:t>
            </w:r>
            <w:r w:rsidRPr="0031548B">
              <w:rPr>
                <w:rFonts w:asciiTheme="majorBidi" w:hAnsiTheme="majorBidi" w:cstheme="majorBidi"/>
                <w:color w:val="auto"/>
                <w:sz w:val="24"/>
                <w:szCs w:val="24"/>
              </w:rPr>
              <w:t xml:space="preserve"> in this review.</w:t>
            </w:r>
          </w:p>
        </w:tc>
      </w:tr>
      <w:tr w:rsidR="009405C7" w14:paraId="3718AA22" w14:textId="77777777" w:rsidTr="00B20255">
        <w:tc>
          <w:tcPr>
            <w:tcW w:w="5403" w:type="dxa"/>
          </w:tcPr>
          <w:p w14:paraId="5EA65DAB" w14:textId="442BB690" w:rsidR="009405C7" w:rsidRPr="0031548B" w:rsidRDefault="0031548B" w:rsidP="009405C7">
            <w:pPr>
              <w:pStyle w:val="MDPI31text"/>
              <w:ind w:left="0" w:firstLine="0"/>
              <w:rPr>
                <w:rFonts w:asciiTheme="majorBidi" w:hAnsiTheme="majorBidi" w:cstheme="majorBidi"/>
                <w:color w:val="auto"/>
                <w:sz w:val="24"/>
                <w:szCs w:val="24"/>
              </w:rPr>
            </w:pPr>
            <w:r w:rsidRPr="0031548B">
              <w:rPr>
                <w:rFonts w:asciiTheme="majorBidi" w:hAnsiTheme="majorBidi" w:cstheme="majorBidi"/>
                <w:color w:val="auto"/>
                <w:sz w:val="24"/>
                <w:szCs w:val="24"/>
                <w:lang w:val="en-AU"/>
              </w:rPr>
              <w:t xml:space="preserve">Kim Y-Y, Choe YJ, Kim J, Kim RK, Jang EJ, Lee H, Yi S, Lee S, Park Y-J. Vaccine effectiveness against severe disease and death for patients with COVID-19 during the Delta-dominant and Omicron-emerging periods: a K-COVE study. </w:t>
            </w:r>
            <w:r w:rsidRPr="00710474">
              <w:rPr>
                <w:rFonts w:asciiTheme="majorBidi" w:hAnsiTheme="majorBidi" w:cstheme="majorBidi"/>
                <w:color w:val="auto"/>
                <w:sz w:val="24"/>
                <w:szCs w:val="24"/>
                <w:lang w:val="en-AU"/>
              </w:rPr>
              <w:t>J Korean Med Sci. 2023;38:e87. doi:10.3346/jkms.2023.38.e87.</w:t>
            </w:r>
          </w:p>
        </w:tc>
        <w:tc>
          <w:tcPr>
            <w:tcW w:w="5938" w:type="dxa"/>
          </w:tcPr>
          <w:p w14:paraId="2F6454DF" w14:textId="248CB998" w:rsidR="009405C7" w:rsidRPr="0031548B" w:rsidRDefault="009405C7" w:rsidP="009405C7">
            <w:pPr>
              <w:pStyle w:val="MDPI31text"/>
              <w:ind w:left="0" w:firstLine="0"/>
              <w:rPr>
                <w:rFonts w:asciiTheme="majorBidi" w:hAnsiTheme="majorBidi" w:cstheme="majorBidi"/>
                <w:color w:val="auto"/>
                <w:sz w:val="24"/>
                <w:szCs w:val="24"/>
              </w:rPr>
            </w:pPr>
            <w:r w:rsidRPr="0031548B">
              <w:rPr>
                <w:rFonts w:asciiTheme="majorBidi" w:hAnsiTheme="majorBidi" w:cstheme="majorBidi"/>
                <w:color w:val="auto"/>
                <w:sz w:val="24"/>
                <w:szCs w:val="24"/>
              </w:rPr>
              <w:t xml:space="preserve">Outside the prespecified review scope. This national case-only analysis assesses the risk of severe disease and death conditional on PCR-confirmed infection during Delta and early Omicron periods using primary-series and early booster vaccines. It does not provide population-based vaccine-effectiveness estimates against severe COVID-19 outcomes using an at-risk denominator and predates later Omicron subvariants and updated vaccine formulations </w:t>
            </w:r>
            <w:r w:rsidR="00AA15B8" w:rsidRPr="0031548B">
              <w:rPr>
                <w:rFonts w:asciiTheme="majorBidi" w:hAnsiTheme="majorBidi" w:cstheme="majorBidi"/>
                <w:color w:val="auto"/>
                <w:sz w:val="24"/>
                <w:szCs w:val="24"/>
              </w:rPr>
              <w:t>prioritized</w:t>
            </w:r>
            <w:r w:rsidRPr="0031548B">
              <w:rPr>
                <w:rFonts w:asciiTheme="majorBidi" w:hAnsiTheme="majorBidi" w:cstheme="majorBidi"/>
                <w:color w:val="auto"/>
                <w:sz w:val="24"/>
                <w:szCs w:val="24"/>
              </w:rPr>
              <w:t xml:space="preserve"> in this review.</w:t>
            </w:r>
          </w:p>
        </w:tc>
      </w:tr>
      <w:tr w:rsidR="009405C7" w14:paraId="420904B9" w14:textId="77777777" w:rsidTr="00B20255">
        <w:tc>
          <w:tcPr>
            <w:tcW w:w="5403" w:type="dxa"/>
          </w:tcPr>
          <w:p w14:paraId="484399E4" w14:textId="350B106D" w:rsidR="009405C7" w:rsidRPr="0031548B" w:rsidRDefault="0031548B" w:rsidP="009405C7">
            <w:pPr>
              <w:pStyle w:val="MDPI31text"/>
              <w:ind w:left="0" w:firstLine="0"/>
              <w:rPr>
                <w:rFonts w:asciiTheme="majorBidi" w:hAnsiTheme="majorBidi" w:cstheme="majorBidi"/>
                <w:color w:val="auto"/>
                <w:sz w:val="24"/>
                <w:szCs w:val="24"/>
              </w:rPr>
            </w:pPr>
            <w:r w:rsidRPr="0031548B">
              <w:rPr>
                <w:rFonts w:asciiTheme="majorBidi" w:hAnsiTheme="majorBidi" w:cstheme="majorBidi"/>
                <w:color w:val="auto"/>
                <w:sz w:val="24"/>
                <w:szCs w:val="24"/>
                <w:lang w:val="en-AU"/>
              </w:rPr>
              <w:t xml:space="preserve">Kirsebom FCM, Andrews N, Stowe J, Ramsay M, Lopez Bernal J. Duration of protection of ancestral-strain monovalent vaccines and effectiveness of bivalent BA.1 boosters against COVID-19 hospitalisation in England: a test-negative case-control study. </w:t>
            </w:r>
            <w:proofErr w:type="spellStart"/>
            <w:r w:rsidRPr="0031548B">
              <w:rPr>
                <w:rFonts w:asciiTheme="majorBidi" w:hAnsiTheme="majorBidi" w:cstheme="majorBidi"/>
                <w:color w:val="auto"/>
                <w:sz w:val="24"/>
                <w:szCs w:val="24"/>
                <w:lang w:val="nb-NO"/>
              </w:rPr>
              <w:t>Lancet</w:t>
            </w:r>
            <w:proofErr w:type="spellEnd"/>
            <w:r w:rsidRPr="0031548B">
              <w:rPr>
                <w:rFonts w:asciiTheme="majorBidi" w:hAnsiTheme="majorBidi" w:cstheme="majorBidi"/>
                <w:color w:val="auto"/>
                <w:sz w:val="24"/>
                <w:szCs w:val="24"/>
                <w:lang w:val="nb-NO"/>
              </w:rPr>
              <w:t xml:space="preserve"> </w:t>
            </w:r>
            <w:proofErr w:type="spellStart"/>
            <w:r w:rsidRPr="0031548B">
              <w:rPr>
                <w:rFonts w:asciiTheme="majorBidi" w:hAnsiTheme="majorBidi" w:cstheme="majorBidi"/>
                <w:color w:val="auto"/>
                <w:sz w:val="24"/>
                <w:szCs w:val="24"/>
                <w:lang w:val="nb-NO"/>
              </w:rPr>
              <w:t>Infect</w:t>
            </w:r>
            <w:proofErr w:type="spellEnd"/>
            <w:r w:rsidRPr="0031548B">
              <w:rPr>
                <w:rFonts w:asciiTheme="majorBidi" w:hAnsiTheme="majorBidi" w:cstheme="majorBidi"/>
                <w:color w:val="auto"/>
                <w:sz w:val="24"/>
                <w:szCs w:val="24"/>
                <w:lang w:val="nb-NO"/>
              </w:rPr>
              <w:t xml:space="preserve"> Dis. 2023;23:1235–1243. doi:10.1016/S1473-3099(23)00365-1.</w:t>
            </w:r>
          </w:p>
        </w:tc>
        <w:tc>
          <w:tcPr>
            <w:tcW w:w="5938" w:type="dxa"/>
          </w:tcPr>
          <w:p w14:paraId="64739ADD" w14:textId="04830940" w:rsidR="009405C7" w:rsidRPr="0031548B" w:rsidRDefault="009405C7" w:rsidP="009405C7">
            <w:pPr>
              <w:pStyle w:val="MDPI31text"/>
              <w:ind w:left="0" w:firstLine="0"/>
              <w:rPr>
                <w:rFonts w:asciiTheme="majorBidi" w:hAnsiTheme="majorBidi" w:cstheme="majorBidi"/>
                <w:color w:val="auto"/>
                <w:sz w:val="24"/>
                <w:szCs w:val="24"/>
              </w:rPr>
            </w:pPr>
            <w:r w:rsidRPr="0031548B">
              <w:rPr>
                <w:rFonts w:asciiTheme="majorBidi" w:hAnsiTheme="majorBidi" w:cstheme="majorBidi"/>
                <w:color w:val="auto"/>
                <w:sz w:val="24"/>
                <w:szCs w:val="24"/>
              </w:rPr>
              <w:t>Outside the prespecified review scope. This test-negative case–control study evaluates ancestral monovalent vaccines and bivalent BA.1 booster vaccines during early Omicron circulation (2022–early 2023). The study does not assess late-Omicron sub-lineages (e.g., sustained XBB predominance, JN.1, KP lineages) or the effectiveness of updated, variant-adapted COVID-19 vaccines that are the focus of this review.</w:t>
            </w:r>
          </w:p>
        </w:tc>
      </w:tr>
      <w:tr w:rsidR="009405C7" w14:paraId="22760636" w14:textId="77777777" w:rsidTr="00B20255">
        <w:tc>
          <w:tcPr>
            <w:tcW w:w="5403" w:type="dxa"/>
          </w:tcPr>
          <w:p w14:paraId="6F071162" w14:textId="2385BC9E" w:rsidR="009405C7" w:rsidRPr="0031548B" w:rsidRDefault="0031548B" w:rsidP="009405C7">
            <w:pPr>
              <w:pStyle w:val="MDPI31text"/>
              <w:ind w:left="0" w:firstLine="0"/>
              <w:rPr>
                <w:rFonts w:asciiTheme="majorBidi" w:hAnsiTheme="majorBidi" w:cstheme="majorBidi"/>
                <w:color w:val="auto"/>
                <w:sz w:val="24"/>
                <w:szCs w:val="24"/>
              </w:rPr>
            </w:pPr>
            <w:r w:rsidRPr="0031548B">
              <w:rPr>
                <w:rFonts w:asciiTheme="majorBidi" w:hAnsiTheme="majorBidi" w:cstheme="majorBidi"/>
                <w:color w:val="auto"/>
                <w:sz w:val="24"/>
                <w:szCs w:val="24"/>
                <w:lang w:val="en-AU"/>
              </w:rPr>
              <w:t xml:space="preserve">Kirsebom FCM, Andrews N, Stowe J, </w:t>
            </w:r>
            <w:proofErr w:type="spellStart"/>
            <w:r w:rsidRPr="0031548B">
              <w:rPr>
                <w:rFonts w:asciiTheme="majorBidi" w:hAnsiTheme="majorBidi" w:cstheme="majorBidi"/>
                <w:color w:val="auto"/>
                <w:sz w:val="24"/>
                <w:szCs w:val="24"/>
                <w:lang w:val="en-AU"/>
              </w:rPr>
              <w:t>Toffa</w:t>
            </w:r>
            <w:proofErr w:type="spellEnd"/>
            <w:r w:rsidRPr="0031548B">
              <w:rPr>
                <w:rFonts w:asciiTheme="majorBidi" w:hAnsiTheme="majorBidi" w:cstheme="majorBidi"/>
                <w:color w:val="auto"/>
                <w:sz w:val="24"/>
                <w:szCs w:val="24"/>
                <w:lang w:val="en-AU"/>
              </w:rPr>
              <w:t xml:space="preserve"> S, Sachdeva R, Gallagher E, Groves N, O’Connell A-M, Chand M, Ramsay M, Lopez Bernal J. COVID-19 vaccine effectiveness against the Omicron (BA.2) variant in England. </w:t>
            </w:r>
            <w:proofErr w:type="spellStart"/>
            <w:r w:rsidRPr="0031548B">
              <w:rPr>
                <w:rFonts w:asciiTheme="majorBidi" w:hAnsiTheme="majorBidi" w:cstheme="majorBidi"/>
                <w:color w:val="auto"/>
                <w:sz w:val="24"/>
                <w:szCs w:val="24"/>
                <w:lang w:val="nb-NO"/>
              </w:rPr>
              <w:t>Lancet</w:t>
            </w:r>
            <w:proofErr w:type="spellEnd"/>
            <w:r w:rsidRPr="0031548B">
              <w:rPr>
                <w:rFonts w:asciiTheme="majorBidi" w:hAnsiTheme="majorBidi" w:cstheme="majorBidi"/>
                <w:color w:val="auto"/>
                <w:sz w:val="24"/>
                <w:szCs w:val="24"/>
                <w:lang w:val="nb-NO"/>
              </w:rPr>
              <w:t xml:space="preserve"> </w:t>
            </w:r>
            <w:proofErr w:type="spellStart"/>
            <w:r w:rsidRPr="0031548B">
              <w:rPr>
                <w:rFonts w:asciiTheme="majorBidi" w:hAnsiTheme="majorBidi" w:cstheme="majorBidi"/>
                <w:color w:val="auto"/>
                <w:sz w:val="24"/>
                <w:szCs w:val="24"/>
                <w:lang w:val="nb-NO"/>
              </w:rPr>
              <w:t>Infect</w:t>
            </w:r>
            <w:proofErr w:type="spellEnd"/>
            <w:r w:rsidRPr="0031548B">
              <w:rPr>
                <w:rFonts w:asciiTheme="majorBidi" w:hAnsiTheme="majorBidi" w:cstheme="majorBidi"/>
                <w:color w:val="auto"/>
                <w:sz w:val="24"/>
                <w:szCs w:val="24"/>
                <w:lang w:val="nb-NO"/>
              </w:rPr>
              <w:t xml:space="preserve"> Dis. 2022;22:931–933. doi:10.1016/S1473-3099(22)00309-7.</w:t>
            </w:r>
          </w:p>
        </w:tc>
        <w:tc>
          <w:tcPr>
            <w:tcW w:w="5938" w:type="dxa"/>
          </w:tcPr>
          <w:p w14:paraId="7D32D72E" w14:textId="77777777" w:rsidR="009405C7" w:rsidRPr="0031548B" w:rsidRDefault="009405C7" w:rsidP="009405C7">
            <w:pPr>
              <w:pStyle w:val="MDPI31text"/>
              <w:ind w:left="0" w:firstLine="0"/>
              <w:rPr>
                <w:rFonts w:asciiTheme="majorBidi" w:hAnsiTheme="majorBidi" w:cstheme="majorBidi"/>
                <w:color w:val="auto"/>
                <w:sz w:val="24"/>
                <w:szCs w:val="24"/>
              </w:rPr>
            </w:pPr>
            <w:r w:rsidRPr="0031548B">
              <w:rPr>
                <w:rFonts w:asciiTheme="majorBidi" w:hAnsiTheme="majorBidi" w:cstheme="majorBidi"/>
                <w:color w:val="auto"/>
                <w:sz w:val="24"/>
                <w:szCs w:val="24"/>
              </w:rPr>
              <w:t>Outside the prespecified review scope. This study was conducted during the early Omicron period (BA.1 and BA.2) between January and March 2022 and primarily evaluates vaccine effectiveness of first-generation monovalent vaccines and early booster regimens targeting the ancestral SARS-CoV-2 strain. The study predates the introduction of updated or variant-adapted vaccines and does not provide effectiveness estimates for later Omicron subvariants of interest (BA.5, XBB, JN.1, or KP.3). Accordingly, it does not meet the eligibility criteria for subvariant-specific effectiveness analyses of updated vaccines defined in this review.</w:t>
            </w:r>
          </w:p>
        </w:tc>
      </w:tr>
      <w:tr w:rsidR="009405C7" w14:paraId="1B98C619" w14:textId="77777777" w:rsidTr="00B20255">
        <w:tc>
          <w:tcPr>
            <w:tcW w:w="5403" w:type="dxa"/>
          </w:tcPr>
          <w:p w14:paraId="24D8FAE5" w14:textId="4C5195A1" w:rsidR="009405C7" w:rsidRPr="0031548B" w:rsidRDefault="0031548B" w:rsidP="009405C7">
            <w:pPr>
              <w:pStyle w:val="MDPI31text"/>
              <w:ind w:left="0" w:firstLine="0"/>
              <w:rPr>
                <w:rFonts w:asciiTheme="majorBidi" w:hAnsiTheme="majorBidi" w:cstheme="majorBidi"/>
                <w:color w:val="auto"/>
                <w:sz w:val="24"/>
                <w:szCs w:val="24"/>
              </w:rPr>
            </w:pPr>
            <w:r w:rsidRPr="0031548B">
              <w:rPr>
                <w:rFonts w:asciiTheme="majorBidi" w:hAnsiTheme="majorBidi" w:cstheme="majorBidi"/>
                <w:color w:val="auto"/>
                <w:sz w:val="24"/>
                <w:szCs w:val="24"/>
                <w:lang w:val="en-AU"/>
              </w:rPr>
              <w:t xml:space="preserve">Kirsebom FCM, Harman K, Lunt RJ, Andrews N, Groves N, Aziz NA, Hope R, Stowe J, Chand M, Ramsay M, </w:t>
            </w:r>
            <w:proofErr w:type="spellStart"/>
            <w:r w:rsidRPr="0031548B">
              <w:rPr>
                <w:rFonts w:asciiTheme="majorBidi" w:hAnsiTheme="majorBidi" w:cstheme="majorBidi"/>
                <w:color w:val="auto"/>
                <w:sz w:val="24"/>
                <w:szCs w:val="24"/>
                <w:lang w:val="en-AU"/>
              </w:rPr>
              <w:t>Dabrera</w:t>
            </w:r>
            <w:proofErr w:type="spellEnd"/>
            <w:r w:rsidRPr="0031548B">
              <w:rPr>
                <w:rFonts w:asciiTheme="majorBidi" w:hAnsiTheme="majorBidi" w:cstheme="majorBidi"/>
                <w:color w:val="auto"/>
                <w:sz w:val="24"/>
                <w:szCs w:val="24"/>
                <w:lang w:val="en-AU"/>
              </w:rPr>
              <w:t xml:space="preserve"> G, Kall M, Lopez Bernal J. Vaccine effectiveness against hospitalisation estimated using a test-negative case-control study design, and comparative odds of hospital admission </w:t>
            </w:r>
            <w:r w:rsidRPr="0031548B">
              <w:rPr>
                <w:rFonts w:asciiTheme="majorBidi" w:hAnsiTheme="majorBidi" w:cstheme="majorBidi"/>
                <w:color w:val="auto"/>
                <w:sz w:val="24"/>
                <w:szCs w:val="24"/>
                <w:lang w:val="en-AU"/>
              </w:rPr>
              <w:lastRenderedPageBreak/>
              <w:t xml:space="preserve">and severe outcomes with COVID-19 sub-lineages BQ.1, CH.1.1 and XBB.1.5 in England. </w:t>
            </w:r>
            <w:proofErr w:type="spellStart"/>
            <w:r w:rsidRPr="0031548B">
              <w:rPr>
                <w:rFonts w:asciiTheme="majorBidi" w:hAnsiTheme="majorBidi" w:cstheme="majorBidi"/>
                <w:color w:val="auto"/>
                <w:sz w:val="24"/>
                <w:szCs w:val="24"/>
                <w:lang w:val="nb-NO"/>
              </w:rPr>
              <w:t>Lancet</w:t>
            </w:r>
            <w:proofErr w:type="spellEnd"/>
            <w:r w:rsidRPr="0031548B">
              <w:rPr>
                <w:rFonts w:asciiTheme="majorBidi" w:hAnsiTheme="majorBidi" w:cstheme="majorBidi"/>
                <w:color w:val="auto"/>
                <w:sz w:val="24"/>
                <w:szCs w:val="24"/>
                <w:lang w:val="nb-NO"/>
              </w:rPr>
              <w:t xml:space="preserve"> Reg Health Eur. 2023;35:100755. doi:10.1016/j.lanepe.2023.100755.</w:t>
            </w:r>
          </w:p>
        </w:tc>
        <w:tc>
          <w:tcPr>
            <w:tcW w:w="5938" w:type="dxa"/>
          </w:tcPr>
          <w:p w14:paraId="331DDC4A" w14:textId="5FFFB9F0" w:rsidR="009405C7" w:rsidRPr="0031548B" w:rsidRDefault="009405C7" w:rsidP="009405C7">
            <w:pPr>
              <w:pStyle w:val="MDPI31text"/>
              <w:ind w:left="0" w:firstLine="0"/>
              <w:rPr>
                <w:rFonts w:asciiTheme="majorBidi" w:hAnsiTheme="majorBidi" w:cstheme="majorBidi"/>
                <w:color w:val="auto"/>
                <w:sz w:val="24"/>
                <w:szCs w:val="24"/>
              </w:rPr>
            </w:pPr>
            <w:r w:rsidRPr="0031548B">
              <w:rPr>
                <w:rFonts w:asciiTheme="majorBidi" w:hAnsiTheme="majorBidi" w:cstheme="majorBidi"/>
                <w:color w:val="auto"/>
                <w:sz w:val="24"/>
                <w:szCs w:val="24"/>
              </w:rPr>
              <w:lastRenderedPageBreak/>
              <w:t>Outside the prespecified review scope. This study estimates incremental (relative) vaccine effectiveness (</w:t>
            </w:r>
            <w:proofErr w:type="spellStart"/>
            <w:r w:rsidRPr="0031548B">
              <w:rPr>
                <w:rFonts w:asciiTheme="majorBidi" w:hAnsiTheme="majorBidi" w:cstheme="majorBidi"/>
                <w:color w:val="auto"/>
                <w:sz w:val="24"/>
                <w:szCs w:val="24"/>
              </w:rPr>
              <w:t>iVE</w:t>
            </w:r>
            <w:proofErr w:type="spellEnd"/>
            <w:r w:rsidRPr="0031548B">
              <w:rPr>
                <w:rFonts w:asciiTheme="majorBidi" w:hAnsiTheme="majorBidi" w:cstheme="majorBidi"/>
                <w:color w:val="auto"/>
                <w:sz w:val="24"/>
                <w:szCs w:val="24"/>
              </w:rPr>
              <w:t xml:space="preserve">) of the bivalent BA.1 booster compared with individuals with waned immunity, rather than absolute vaccine effectiveness compared with unvaccinated individuals or standardized relative VE comparators used in this review. In addition, the </w:t>
            </w:r>
            <w:r w:rsidRPr="0031548B">
              <w:rPr>
                <w:rFonts w:asciiTheme="majorBidi" w:hAnsiTheme="majorBidi" w:cstheme="majorBidi"/>
                <w:color w:val="auto"/>
                <w:sz w:val="24"/>
                <w:szCs w:val="24"/>
              </w:rPr>
              <w:lastRenderedPageBreak/>
              <w:t xml:space="preserve">analysis focuses on a specific national booster program context and reports multiple outcome frameworks (hospitalization, A&amp;E attendance, ICU admission, death, and length of stay), limiting comparability with the </w:t>
            </w:r>
            <w:r w:rsidR="000244C3" w:rsidRPr="0031548B">
              <w:rPr>
                <w:rFonts w:asciiTheme="majorBidi" w:hAnsiTheme="majorBidi" w:cstheme="majorBidi"/>
                <w:color w:val="auto"/>
                <w:sz w:val="24"/>
                <w:szCs w:val="24"/>
              </w:rPr>
              <w:t>harmonized</w:t>
            </w:r>
            <w:r w:rsidRPr="0031548B">
              <w:rPr>
                <w:rFonts w:asciiTheme="majorBidi" w:hAnsiTheme="majorBidi" w:cstheme="majorBidi"/>
                <w:color w:val="auto"/>
                <w:sz w:val="24"/>
                <w:szCs w:val="24"/>
              </w:rPr>
              <w:t xml:space="preserve"> vaccine effectiveness metrics and outcome definitions applied in the present synthesis.</w:t>
            </w:r>
          </w:p>
        </w:tc>
      </w:tr>
      <w:tr w:rsidR="009405C7" w14:paraId="010E75FB" w14:textId="77777777" w:rsidTr="00B20255">
        <w:tc>
          <w:tcPr>
            <w:tcW w:w="5403" w:type="dxa"/>
          </w:tcPr>
          <w:p w14:paraId="4EF45DEF" w14:textId="69BABA5C" w:rsidR="009405C7" w:rsidRPr="00A853D8" w:rsidRDefault="0031548B" w:rsidP="009405C7">
            <w:pPr>
              <w:pStyle w:val="MDPI31text"/>
              <w:ind w:left="0" w:firstLine="0"/>
              <w:rPr>
                <w:rFonts w:asciiTheme="majorBidi" w:hAnsiTheme="majorBidi" w:cstheme="majorBidi"/>
                <w:color w:val="auto"/>
                <w:sz w:val="24"/>
                <w:szCs w:val="24"/>
              </w:rPr>
            </w:pPr>
            <w:r w:rsidRPr="00A853D8">
              <w:rPr>
                <w:rFonts w:asciiTheme="majorBidi" w:hAnsiTheme="majorBidi" w:cstheme="majorBidi"/>
                <w:color w:val="auto"/>
                <w:sz w:val="24"/>
                <w:szCs w:val="24"/>
                <w:lang w:val="en-AU"/>
              </w:rPr>
              <w:lastRenderedPageBreak/>
              <w:t xml:space="preserve">Kirsebom FCM, Andrews N, Stowe J, Groves N, Chand M, Ramsay M, Lopez Bernal J. Effectiveness of the COVID-19 vaccines against hospitalisation with Omicron sub-lineages BA.4 and BA.5 in England. </w:t>
            </w:r>
            <w:proofErr w:type="spellStart"/>
            <w:r w:rsidRPr="00A853D8">
              <w:rPr>
                <w:rFonts w:asciiTheme="majorBidi" w:hAnsiTheme="majorBidi" w:cstheme="majorBidi"/>
                <w:color w:val="auto"/>
                <w:sz w:val="24"/>
                <w:szCs w:val="24"/>
                <w:lang w:val="nb-NO"/>
              </w:rPr>
              <w:t>Lancet</w:t>
            </w:r>
            <w:proofErr w:type="spellEnd"/>
            <w:r w:rsidRPr="00A853D8">
              <w:rPr>
                <w:rFonts w:asciiTheme="majorBidi" w:hAnsiTheme="majorBidi" w:cstheme="majorBidi"/>
                <w:color w:val="auto"/>
                <w:sz w:val="24"/>
                <w:szCs w:val="24"/>
                <w:lang w:val="nb-NO"/>
              </w:rPr>
              <w:t xml:space="preserve"> Reg Health Eur. 2022;23:100537. doi:10.1016/j.lanepe.2022.100537.</w:t>
            </w:r>
          </w:p>
        </w:tc>
        <w:tc>
          <w:tcPr>
            <w:tcW w:w="5938" w:type="dxa"/>
          </w:tcPr>
          <w:p w14:paraId="0FC48427" w14:textId="77777777" w:rsidR="009405C7" w:rsidRPr="00A853D8" w:rsidRDefault="009405C7" w:rsidP="009405C7">
            <w:pPr>
              <w:pStyle w:val="MDPI31text"/>
              <w:ind w:left="0" w:firstLine="0"/>
              <w:rPr>
                <w:rFonts w:asciiTheme="majorBidi" w:hAnsiTheme="majorBidi" w:cstheme="majorBidi"/>
                <w:color w:val="auto"/>
                <w:sz w:val="24"/>
                <w:szCs w:val="24"/>
              </w:rPr>
            </w:pPr>
            <w:r w:rsidRPr="00A853D8">
              <w:rPr>
                <w:rFonts w:asciiTheme="majorBidi" w:hAnsiTheme="majorBidi" w:cstheme="majorBidi"/>
                <w:color w:val="auto"/>
                <w:sz w:val="24"/>
                <w:szCs w:val="24"/>
              </w:rPr>
              <w:t>Outside the prespecified review scope. This study evaluates incremental (relative) vaccine effectiveness of third or fourth doses compared with individuals with waned immunity (≥25 weeks after the second dose), rather than absolute vaccine effectiveness compared with unvaccinated individuals or standardized relative VE comparators used in this review. In addition, the analysis was conducted during the early BA.4/BA.5 period using ancestral-strain vaccines and predates the introduction of variant-adapted (bivalent or updated) booster vaccines, limiting comparability with the vaccine effectiveness framework applied in the present synthesis.</w:t>
            </w:r>
          </w:p>
        </w:tc>
      </w:tr>
      <w:tr w:rsidR="009405C7" w14:paraId="76B9432A" w14:textId="77777777" w:rsidTr="00B20255">
        <w:tc>
          <w:tcPr>
            <w:tcW w:w="5403" w:type="dxa"/>
          </w:tcPr>
          <w:p w14:paraId="22D0DF4C" w14:textId="6CFCC0A8" w:rsidR="009405C7" w:rsidRPr="00A853D8" w:rsidRDefault="0031548B" w:rsidP="009405C7">
            <w:pPr>
              <w:pStyle w:val="MDPI31text"/>
              <w:ind w:left="0" w:firstLine="0"/>
              <w:rPr>
                <w:rFonts w:asciiTheme="majorBidi" w:hAnsiTheme="majorBidi" w:cstheme="majorBidi"/>
                <w:color w:val="auto"/>
                <w:sz w:val="24"/>
                <w:szCs w:val="24"/>
                <w:lang w:val="en-AU"/>
              </w:rPr>
            </w:pPr>
            <w:r w:rsidRPr="00A853D8">
              <w:rPr>
                <w:rFonts w:asciiTheme="majorBidi" w:hAnsiTheme="majorBidi" w:cstheme="majorBidi"/>
                <w:color w:val="auto"/>
                <w:sz w:val="24"/>
                <w:szCs w:val="24"/>
                <w:lang w:val="en-AU"/>
              </w:rPr>
              <w:t xml:space="preserve">Kirsebom FCM, Andrews N, Stowe J, </w:t>
            </w:r>
            <w:proofErr w:type="spellStart"/>
            <w:r w:rsidRPr="00A853D8">
              <w:rPr>
                <w:rFonts w:asciiTheme="majorBidi" w:hAnsiTheme="majorBidi" w:cstheme="majorBidi"/>
                <w:color w:val="auto"/>
                <w:sz w:val="24"/>
                <w:szCs w:val="24"/>
                <w:lang w:val="en-AU"/>
              </w:rPr>
              <w:t>Dabrera</w:t>
            </w:r>
            <w:proofErr w:type="spellEnd"/>
            <w:r w:rsidRPr="00A853D8">
              <w:rPr>
                <w:rFonts w:asciiTheme="majorBidi" w:hAnsiTheme="majorBidi" w:cstheme="majorBidi"/>
                <w:color w:val="auto"/>
                <w:sz w:val="24"/>
                <w:szCs w:val="24"/>
                <w:lang w:val="en-AU"/>
              </w:rPr>
              <w:t xml:space="preserve"> G, Ramsay M, Lopez Bernal J. Effectiveness of the Sanofi/GSK (</w:t>
            </w:r>
            <w:proofErr w:type="spellStart"/>
            <w:r w:rsidRPr="00A853D8">
              <w:rPr>
                <w:rFonts w:asciiTheme="majorBidi" w:hAnsiTheme="majorBidi" w:cstheme="majorBidi"/>
                <w:color w:val="auto"/>
                <w:sz w:val="24"/>
                <w:szCs w:val="24"/>
                <w:lang w:val="en-AU"/>
              </w:rPr>
              <w:t>VidPrevtyn</w:t>
            </w:r>
            <w:proofErr w:type="spellEnd"/>
            <w:r w:rsidRPr="00A853D8">
              <w:rPr>
                <w:rFonts w:asciiTheme="majorBidi" w:hAnsiTheme="majorBidi" w:cstheme="majorBidi"/>
                <w:color w:val="auto"/>
                <w:sz w:val="24"/>
                <w:szCs w:val="24"/>
                <w:lang w:val="en-AU"/>
              </w:rPr>
              <w:t xml:space="preserve"> Beta) and Pfizer-BioNTech (Comirnaty Original/Omicron BA.4–5) bivalent vaccines against hospitalisation in England. </w:t>
            </w:r>
            <w:proofErr w:type="spellStart"/>
            <w:r w:rsidRPr="00A853D8">
              <w:rPr>
                <w:rFonts w:asciiTheme="majorBidi" w:hAnsiTheme="majorBidi" w:cstheme="majorBidi"/>
                <w:color w:val="auto"/>
                <w:sz w:val="24"/>
                <w:szCs w:val="24"/>
                <w:lang w:val="en-AU"/>
              </w:rPr>
              <w:t>eClinicalMedicine</w:t>
            </w:r>
            <w:proofErr w:type="spellEnd"/>
            <w:r w:rsidRPr="00A853D8">
              <w:rPr>
                <w:rFonts w:asciiTheme="majorBidi" w:hAnsiTheme="majorBidi" w:cstheme="majorBidi"/>
                <w:color w:val="auto"/>
                <w:sz w:val="24"/>
                <w:szCs w:val="24"/>
                <w:lang w:val="en-AU"/>
              </w:rPr>
              <w:t>. 2024;71:102587. doi:10.1016/j.eclinm.2024.102587.</w:t>
            </w:r>
          </w:p>
        </w:tc>
        <w:tc>
          <w:tcPr>
            <w:tcW w:w="5938" w:type="dxa"/>
          </w:tcPr>
          <w:p w14:paraId="42133A88" w14:textId="3D66A7BB" w:rsidR="009405C7" w:rsidRPr="00A853D8" w:rsidRDefault="009405C7" w:rsidP="009405C7">
            <w:pPr>
              <w:pStyle w:val="MDPI31text"/>
              <w:ind w:left="0" w:firstLine="0"/>
              <w:rPr>
                <w:rFonts w:asciiTheme="majorBidi" w:hAnsiTheme="majorBidi" w:cstheme="majorBidi"/>
                <w:color w:val="auto"/>
                <w:sz w:val="24"/>
                <w:szCs w:val="24"/>
              </w:rPr>
            </w:pPr>
            <w:r w:rsidRPr="00A853D8">
              <w:rPr>
                <w:rFonts w:asciiTheme="majorBidi" w:hAnsiTheme="majorBidi" w:cstheme="majorBidi"/>
                <w:color w:val="auto"/>
                <w:sz w:val="24"/>
                <w:szCs w:val="24"/>
              </w:rPr>
              <w:t xml:space="preserve">Outside the prespecified review scope. The study evaluates incremental effectiveness of spring 2023 booster doses using earlier-generation vaccines (Sanofi/GSK AS03-adjuvanted Beta vaccine and bivalent </w:t>
            </w:r>
            <w:r w:rsidR="00B20588" w:rsidRPr="00A853D8">
              <w:rPr>
                <w:rFonts w:asciiTheme="majorBidi" w:hAnsiTheme="majorBidi" w:cstheme="majorBidi"/>
                <w:color w:val="auto"/>
                <w:sz w:val="24"/>
                <w:szCs w:val="24"/>
              </w:rPr>
              <w:t>BA.4/BA.5</w:t>
            </w:r>
            <w:r w:rsidR="001C4ED4" w:rsidRPr="00A853D8">
              <w:rPr>
                <w:rFonts w:asciiTheme="majorBidi" w:hAnsiTheme="majorBidi" w:cstheme="majorBidi"/>
                <w:color w:val="auto"/>
                <w:sz w:val="24"/>
                <w:szCs w:val="24"/>
              </w:rPr>
              <w:t xml:space="preserve"> </w:t>
            </w:r>
            <w:r w:rsidRPr="00A853D8">
              <w:rPr>
                <w:rFonts w:asciiTheme="majorBidi" w:hAnsiTheme="majorBidi" w:cstheme="majorBidi"/>
                <w:color w:val="auto"/>
                <w:sz w:val="24"/>
                <w:szCs w:val="24"/>
              </w:rPr>
              <w:t>mRNA vaccines) in a previously boosted population aged ≥75 years. It does not provide population-level effectiveness estimates for routinely deployed monovalent XBB.1.5 or JN.1 vaccines relevant to the review’s 2023–2025 seasonal vaccination focus.</w:t>
            </w:r>
          </w:p>
        </w:tc>
      </w:tr>
      <w:tr w:rsidR="009405C7" w14:paraId="46A2C73F" w14:textId="77777777" w:rsidTr="00B20255">
        <w:tc>
          <w:tcPr>
            <w:tcW w:w="5403" w:type="dxa"/>
          </w:tcPr>
          <w:p w14:paraId="3C529CFE" w14:textId="3DD06EC0" w:rsidR="009405C7" w:rsidRPr="000A1150" w:rsidRDefault="000A1150" w:rsidP="009405C7">
            <w:pPr>
              <w:pStyle w:val="MDPI31text"/>
              <w:ind w:left="0" w:firstLine="0"/>
              <w:rPr>
                <w:rFonts w:asciiTheme="majorBidi" w:hAnsiTheme="majorBidi" w:cstheme="majorBidi"/>
                <w:color w:val="auto"/>
                <w:sz w:val="24"/>
                <w:szCs w:val="24"/>
              </w:rPr>
            </w:pPr>
            <w:proofErr w:type="spellStart"/>
            <w:r w:rsidRPr="000A1150">
              <w:rPr>
                <w:rFonts w:asciiTheme="majorBidi" w:hAnsiTheme="majorBidi" w:cstheme="majorBidi"/>
                <w:color w:val="auto"/>
                <w:sz w:val="24"/>
                <w:szCs w:val="24"/>
              </w:rPr>
              <w:t>Kislaya</w:t>
            </w:r>
            <w:proofErr w:type="spellEnd"/>
            <w:r w:rsidRPr="000A1150">
              <w:rPr>
                <w:rFonts w:asciiTheme="majorBidi" w:hAnsiTheme="majorBidi" w:cstheme="majorBidi"/>
                <w:color w:val="auto"/>
                <w:sz w:val="24"/>
                <w:szCs w:val="24"/>
              </w:rPr>
              <w:t xml:space="preserve"> I, Casaca P, Borges V, Sousa C, Ferreira BI, Fonte A, Fernandes E, Matias Dias C, Duarte S, Almeida JP, </w:t>
            </w:r>
            <w:proofErr w:type="spellStart"/>
            <w:r w:rsidRPr="000A1150">
              <w:rPr>
                <w:rFonts w:asciiTheme="majorBidi" w:hAnsiTheme="majorBidi" w:cstheme="majorBidi"/>
                <w:color w:val="auto"/>
                <w:sz w:val="24"/>
                <w:szCs w:val="24"/>
              </w:rPr>
              <w:t>Grenho</w:t>
            </w:r>
            <w:proofErr w:type="spellEnd"/>
            <w:r w:rsidRPr="000A1150">
              <w:rPr>
                <w:rFonts w:asciiTheme="majorBidi" w:hAnsiTheme="majorBidi" w:cstheme="majorBidi"/>
                <w:color w:val="auto"/>
                <w:sz w:val="24"/>
                <w:szCs w:val="24"/>
              </w:rPr>
              <w:t xml:space="preserve"> I, Coelho L, Ferreira R, Pita Ferreira P, Medeiros Borges C, Isidro J, Pinto M, Menezes L, Sobral D, Nunes A, Santos D, Maia Gonçalves A, Vieira L, Gomes JP, Pinto Leite P, Nunes B, Machado A, Peralta-Santos A. Comparative effectiveness of COVID-19 vaccines in preventing infections and disease progression from SARS-CoV-2 Omicron BA.5 and BA.2, Portugal. Emerg Infect Dis. 2023;29:569–575. doi:10.3201/eid2903.221367.</w:t>
            </w:r>
          </w:p>
        </w:tc>
        <w:tc>
          <w:tcPr>
            <w:tcW w:w="5938" w:type="dxa"/>
          </w:tcPr>
          <w:p w14:paraId="485D8421" w14:textId="5C8ECAED" w:rsidR="009405C7" w:rsidRPr="000A1150" w:rsidRDefault="009405C7" w:rsidP="009405C7">
            <w:pPr>
              <w:pStyle w:val="MDPI31text"/>
              <w:ind w:left="0" w:firstLine="0"/>
              <w:rPr>
                <w:rFonts w:asciiTheme="majorBidi" w:hAnsiTheme="majorBidi" w:cstheme="majorBidi"/>
                <w:color w:val="auto"/>
                <w:sz w:val="24"/>
                <w:szCs w:val="24"/>
              </w:rPr>
            </w:pPr>
            <w:r w:rsidRPr="000A1150">
              <w:rPr>
                <w:rFonts w:asciiTheme="majorBidi" w:hAnsiTheme="majorBidi" w:cstheme="majorBidi"/>
                <w:color w:val="auto"/>
                <w:sz w:val="24"/>
                <w:szCs w:val="24"/>
              </w:rPr>
              <w:t>Outside the prespecified review scope. This study uses a case–case design and estimates vaccine effectiveness conditional on infection (i.e. effectiveness against progression to hospitali</w:t>
            </w:r>
            <w:r w:rsidR="00F10ED1" w:rsidRPr="000A1150">
              <w:rPr>
                <w:rFonts w:asciiTheme="majorBidi" w:hAnsiTheme="majorBidi" w:cstheme="majorBidi"/>
                <w:color w:val="auto"/>
                <w:sz w:val="24"/>
                <w:szCs w:val="24"/>
              </w:rPr>
              <w:t>z</w:t>
            </w:r>
            <w:r w:rsidRPr="000A1150">
              <w:rPr>
                <w:rFonts w:asciiTheme="majorBidi" w:hAnsiTheme="majorBidi" w:cstheme="majorBidi"/>
                <w:color w:val="auto"/>
                <w:sz w:val="24"/>
                <w:szCs w:val="24"/>
              </w:rPr>
              <w:t xml:space="preserve">ation among infected BA.2 or BA.5 cases). It does not provide population-based vaccine effectiveness estimates against severe COVID-19 outcomes using an at-risk denominator and was conducted during an early Omicron period, predating updated or variant-adapted vaccines </w:t>
            </w:r>
            <w:r w:rsidR="00AA15B8" w:rsidRPr="000A1150">
              <w:rPr>
                <w:rFonts w:asciiTheme="majorBidi" w:hAnsiTheme="majorBidi" w:cstheme="majorBidi"/>
                <w:color w:val="auto"/>
                <w:sz w:val="24"/>
                <w:szCs w:val="24"/>
              </w:rPr>
              <w:t>prioritized</w:t>
            </w:r>
            <w:r w:rsidRPr="000A1150">
              <w:rPr>
                <w:rFonts w:asciiTheme="majorBidi" w:hAnsiTheme="majorBidi" w:cstheme="majorBidi"/>
                <w:color w:val="auto"/>
                <w:sz w:val="24"/>
                <w:szCs w:val="24"/>
              </w:rPr>
              <w:t xml:space="preserve"> in this review.</w:t>
            </w:r>
          </w:p>
        </w:tc>
      </w:tr>
      <w:tr w:rsidR="009405C7" w14:paraId="2F779ED1" w14:textId="77777777" w:rsidTr="00B20255">
        <w:tc>
          <w:tcPr>
            <w:tcW w:w="5403" w:type="dxa"/>
          </w:tcPr>
          <w:p w14:paraId="6DC28CE2" w14:textId="349A487D" w:rsidR="009405C7" w:rsidRPr="000A1150" w:rsidRDefault="000A1150" w:rsidP="009405C7">
            <w:pPr>
              <w:pStyle w:val="MDPI31text"/>
              <w:ind w:left="0" w:firstLine="0"/>
              <w:rPr>
                <w:rFonts w:asciiTheme="majorBidi" w:hAnsiTheme="majorBidi" w:cstheme="majorBidi"/>
                <w:color w:val="auto"/>
                <w:sz w:val="24"/>
                <w:szCs w:val="24"/>
              </w:rPr>
            </w:pPr>
            <w:proofErr w:type="spellStart"/>
            <w:r w:rsidRPr="000A1150">
              <w:rPr>
                <w:rFonts w:asciiTheme="majorBidi" w:hAnsiTheme="majorBidi" w:cstheme="majorBidi"/>
                <w:color w:val="auto"/>
                <w:sz w:val="24"/>
                <w:szCs w:val="24"/>
              </w:rPr>
              <w:t>Kislaya</w:t>
            </w:r>
            <w:proofErr w:type="spellEnd"/>
            <w:r w:rsidRPr="000A1150">
              <w:rPr>
                <w:rFonts w:asciiTheme="majorBidi" w:hAnsiTheme="majorBidi" w:cstheme="majorBidi"/>
                <w:color w:val="auto"/>
                <w:sz w:val="24"/>
                <w:szCs w:val="24"/>
              </w:rPr>
              <w:t xml:space="preserve"> I, Machado A, Magalhães S, Rodrigues AP, Franco R, Pinto Leite P, Matias Dias C, Nunes B. COVID-19 mRNA vaccine effectiveness (second and first booster dose) against hospitalisation and death during Omicron BA.5 circulation: cohort study based on electronic health records, Portugal, May to July 2022. Euro </w:t>
            </w:r>
            <w:proofErr w:type="spellStart"/>
            <w:r w:rsidRPr="000A1150">
              <w:rPr>
                <w:rFonts w:asciiTheme="majorBidi" w:hAnsiTheme="majorBidi" w:cstheme="majorBidi"/>
                <w:color w:val="auto"/>
                <w:sz w:val="24"/>
                <w:szCs w:val="24"/>
              </w:rPr>
              <w:t>Surveill</w:t>
            </w:r>
            <w:proofErr w:type="spellEnd"/>
            <w:r w:rsidRPr="000A1150">
              <w:rPr>
                <w:rFonts w:asciiTheme="majorBidi" w:hAnsiTheme="majorBidi" w:cstheme="majorBidi"/>
                <w:color w:val="auto"/>
                <w:sz w:val="24"/>
                <w:szCs w:val="24"/>
              </w:rPr>
              <w:t>. 2022;27:2200697. doi:10.2807/1560-7917.ES.2022.27.37.2200697.</w:t>
            </w:r>
          </w:p>
        </w:tc>
        <w:tc>
          <w:tcPr>
            <w:tcW w:w="5938" w:type="dxa"/>
          </w:tcPr>
          <w:p w14:paraId="5BA3A180" w14:textId="774AC64C" w:rsidR="009405C7" w:rsidRPr="000A1150" w:rsidRDefault="009405C7" w:rsidP="009405C7">
            <w:pPr>
              <w:pStyle w:val="MDPI31text"/>
              <w:ind w:left="0" w:firstLine="0"/>
              <w:rPr>
                <w:rFonts w:asciiTheme="majorBidi" w:hAnsiTheme="majorBidi" w:cstheme="majorBidi"/>
                <w:color w:val="auto"/>
                <w:sz w:val="24"/>
                <w:szCs w:val="24"/>
              </w:rPr>
            </w:pPr>
            <w:r w:rsidRPr="000A1150">
              <w:rPr>
                <w:rFonts w:asciiTheme="majorBidi" w:hAnsiTheme="majorBidi" w:cstheme="majorBidi"/>
                <w:color w:val="auto"/>
                <w:sz w:val="24"/>
                <w:szCs w:val="24"/>
              </w:rPr>
              <w:t xml:space="preserve">Outside the prespecified review scope. This cohort study evaluates vaccine effectiveness during an early Omicron BA.5 period using primary-series and early booster regimens available in mid-2022. It predates the introduction of updated or variant-adapted COVID-19 vaccines and does not provide effectiveness estimates relevant to the contemporary Omicron subvariants </w:t>
            </w:r>
            <w:r w:rsidR="00AA15B8" w:rsidRPr="000A1150">
              <w:rPr>
                <w:rFonts w:asciiTheme="majorBidi" w:hAnsiTheme="majorBidi" w:cstheme="majorBidi"/>
                <w:color w:val="auto"/>
                <w:sz w:val="24"/>
                <w:szCs w:val="24"/>
              </w:rPr>
              <w:t>prioritized</w:t>
            </w:r>
            <w:r w:rsidRPr="000A1150">
              <w:rPr>
                <w:rFonts w:asciiTheme="majorBidi" w:hAnsiTheme="majorBidi" w:cstheme="majorBidi"/>
                <w:color w:val="auto"/>
                <w:sz w:val="24"/>
                <w:szCs w:val="24"/>
              </w:rPr>
              <w:t xml:space="preserve"> in this review.</w:t>
            </w:r>
          </w:p>
        </w:tc>
      </w:tr>
      <w:tr w:rsidR="009405C7" w14:paraId="7FBE533D" w14:textId="77777777" w:rsidTr="00B20255">
        <w:tc>
          <w:tcPr>
            <w:tcW w:w="5403" w:type="dxa"/>
          </w:tcPr>
          <w:p w14:paraId="1B14804F" w14:textId="6E1B4103" w:rsidR="009405C7" w:rsidRPr="000A1150" w:rsidRDefault="000A1150" w:rsidP="009405C7">
            <w:pPr>
              <w:pStyle w:val="MDPI31text"/>
              <w:ind w:left="0" w:firstLine="0"/>
              <w:rPr>
                <w:rFonts w:asciiTheme="majorBidi" w:hAnsiTheme="majorBidi" w:cstheme="majorBidi"/>
                <w:color w:val="auto"/>
                <w:sz w:val="24"/>
                <w:szCs w:val="24"/>
              </w:rPr>
            </w:pPr>
            <w:proofErr w:type="spellStart"/>
            <w:r w:rsidRPr="000A1150">
              <w:rPr>
                <w:rFonts w:asciiTheme="majorBidi" w:hAnsiTheme="majorBidi" w:cstheme="majorBidi"/>
                <w:color w:val="auto"/>
                <w:sz w:val="24"/>
                <w:szCs w:val="24"/>
              </w:rPr>
              <w:t>Kislaya</w:t>
            </w:r>
            <w:proofErr w:type="spellEnd"/>
            <w:r w:rsidRPr="000A1150">
              <w:rPr>
                <w:rFonts w:asciiTheme="majorBidi" w:hAnsiTheme="majorBidi" w:cstheme="majorBidi"/>
                <w:color w:val="auto"/>
                <w:sz w:val="24"/>
                <w:szCs w:val="24"/>
              </w:rPr>
              <w:t xml:space="preserve"> I, Peralta-Santos A, Borges V, Vieira L, Sousa C, Ferreira BI, </w:t>
            </w:r>
            <w:proofErr w:type="spellStart"/>
            <w:r w:rsidRPr="000A1150">
              <w:rPr>
                <w:rFonts w:asciiTheme="majorBidi" w:hAnsiTheme="majorBidi" w:cstheme="majorBidi"/>
                <w:color w:val="auto"/>
                <w:sz w:val="24"/>
                <w:szCs w:val="24"/>
              </w:rPr>
              <w:t>Pelerito</w:t>
            </w:r>
            <w:proofErr w:type="spellEnd"/>
            <w:r w:rsidRPr="000A1150">
              <w:rPr>
                <w:rFonts w:asciiTheme="majorBidi" w:hAnsiTheme="majorBidi" w:cstheme="majorBidi"/>
                <w:color w:val="auto"/>
                <w:sz w:val="24"/>
                <w:szCs w:val="24"/>
              </w:rPr>
              <w:t xml:space="preserve"> A, Gomes JP, Pinto Leite P, Nunes B. Comparative complete scheme and booster </w:t>
            </w:r>
            <w:r w:rsidRPr="000A1150">
              <w:rPr>
                <w:rFonts w:asciiTheme="majorBidi" w:hAnsiTheme="majorBidi" w:cstheme="majorBidi"/>
                <w:color w:val="auto"/>
                <w:sz w:val="24"/>
                <w:szCs w:val="24"/>
              </w:rPr>
              <w:lastRenderedPageBreak/>
              <w:t>effectiveness of COVID-19 vaccines in preventing SARS-CoV-2 infections with SARS-CoV-2 Omicron (BA.1) and Delta (B.1.617.2) variants: a case–case study based on electronic health records. Influenza Other Respir Viruses. 2023;17:e13121. doi:10.1111/irv.13121.</w:t>
            </w:r>
          </w:p>
        </w:tc>
        <w:tc>
          <w:tcPr>
            <w:tcW w:w="5938" w:type="dxa"/>
          </w:tcPr>
          <w:p w14:paraId="7C8B1C01" w14:textId="25FFD3F4" w:rsidR="009405C7" w:rsidRPr="000A1150" w:rsidRDefault="009405C7" w:rsidP="009405C7">
            <w:pPr>
              <w:pStyle w:val="MDPI31text"/>
              <w:ind w:left="0" w:firstLine="0"/>
              <w:rPr>
                <w:rFonts w:asciiTheme="majorBidi" w:hAnsiTheme="majorBidi" w:cstheme="majorBidi"/>
                <w:color w:val="auto"/>
                <w:sz w:val="24"/>
                <w:szCs w:val="24"/>
              </w:rPr>
            </w:pPr>
            <w:r w:rsidRPr="000A1150">
              <w:rPr>
                <w:rFonts w:asciiTheme="majorBidi" w:hAnsiTheme="majorBidi" w:cstheme="majorBidi"/>
                <w:color w:val="auto"/>
                <w:sz w:val="24"/>
                <w:szCs w:val="24"/>
              </w:rPr>
              <w:lastRenderedPageBreak/>
              <w:t xml:space="preserve">Outside the prespecified review scope. This case–case study assesses comparative vaccine effectiveness against SARS-CoV-2 infection only during an early Omicron BA.1 period </w:t>
            </w:r>
            <w:r w:rsidRPr="000A1150">
              <w:rPr>
                <w:rFonts w:asciiTheme="majorBidi" w:hAnsiTheme="majorBidi" w:cstheme="majorBidi"/>
                <w:color w:val="auto"/>
                <w:sz w:val="24"/>
                <w:szCs w:val="24"/>
              </w:rPr>
              <w:lastRenderedPageBreak/>
              <w:t>by comparing vaccination odds between Omicron and Delta cases. It does not provide population-based vaccine effectiveness estimates against severe COVID-19 outcomes (e.g. hospitali</w:t>
            </w:r>
            <w:r w:rsidR="00F10ED1" w:rsidRPr="000A1150">
              <w:rPr>
                <w:rFonts w:asciiTheme="majorBidi" w:hAnsiTheme="majorBidi" w:cstheme="majorBidi"/>
                <w:color w:val="auto"/>
                <w:sz w:val="24"/>
                <w:szCs w:val="24"/>
              </w:rPr>
              <w:t>z</w:t>
            </w:r>
            <w:r w:rsidRPr="000A1150">
              <w:rPr>
                <w:rFonts w:asciiTheme="majorBidi" w:hAnsiTheme="majorBidi" w:cstheme="majorBidi"/>
                <w:color w:val="auto"/>
                <w:sz w:val="24"/>
                <w:szCs w:val="24"/>
              </w:rPr>
              <w:t xml:space="preserve">ation or death) using an at-risk denominator and predates later Omicron subvariants and updated vaccine formulations </w:t>
            </w:r>
            <w:r w:rsidR="00AA15B8" w:rsidRPr="000A1150">
              <w:rPr>
                <w:rFonts w:asciiTheme="majorBidi" w:hAnsiTheme="majorBidi" w:cstheme="majorBidi"/>
                <w:color w:val="auto"/>
                <w:sz w:val="24"/>
                <w:szCs w:val="24"/>
              </w:rPr>
              <w:t>prioritized</w:t>
            </w:r>
            <w:r w:rsidRPr="000A1150">
              <w:rPr>
                <w:rFonts w:asciiTheme="majorBidi" w:hAnsiTheme="majorBidi" w:cstheme="majorBidi"/>
                <w:color w:val="auto"/>
                <w:sz w:val="24"/>
                <w:szCs w:val="24"/>
              </w:rPr>
              <w:t xml:space="preserve"> in this review.</w:t>
            </w:r>
          </w:p>
        </w:tc>
      </w:tr>
      <w:tr w:rsidR="009405C7" w14:paraId="7C9AD220" w14:textId="77777777" w:rsidTr="00B20255">
        <w:tc>
          <w:tcPr>
            <w:tcW w:w="5403" w:type="dxa"/>
          </w:tcPr>
          <w:p w14:paraId="438C352F" w14:textId="6E2A9121" w:rsidR="009405C7" w:rsidRPr="002F0921" w:rsidRDefault="002F0921" w:rsidP="009405C7">
            <w:pPr>
              <w:pStyle w:val="MDPI31text"/>
              <w:ind w:left="0" w:firstLine="0"/>
              <w:rPr>
                <w:rFonts w:asciiTheme="majorBidi" w:hAnsiTheme="majorBidi" w:cstheme="majorBidi"/>
                <w:color w:val="auto"/>
                <w:sz w:val="24"/>
                <w:szCs w:val="24"/>
              </w:rPr>
            </w:pPr>
            <w:r w:rsidRPr="002F0921">
              <w:rPr>
                <w:rFonts w:asciiTheme="majorBidi" w:hAnsiTheme="majorBidi" w:cstheme="majorBidi"/>
                <w:color w:val="auto"/>
                <w:sz w:val="24"/>
                <w:szCs w:val="24"/>
              </w:rPr>
              <w:lastRenderedPageBreak/>
              <w:t xml:space="preserve">Kiss Z, Wittmann I, Polivka L, </w:t>
            </w:r>
            <w:proofErr w:type="spellStart"/>
            <w:r w:rsidRPr="002F0921">
              <w:rPr>
                <w:rFonts w:asciiTheme="majorBidi" w:hAnsiTheme="majorBidi" w:cstheme="majorBidi"/>
                <w:color w:val="auto"/>
                <w:sz w:val="24"/>
                <w:szCs w:val="24"/>
              </w:rPr>
              <w:t>Surján</w:t>
            </w:r>
            <w:proofErr w:type="spellEnd"/>
            <w:r w:rsidRPr="002F0921">
              <w:rPr>
                <w:rFonts w:asciiTheme="majorBidi" w:hAnsiTheme="majorBidi" w:cstheme="majorBidi"/>
                <w:color w:val="auto"/>
                <w:sz w:val="24"/>
                <w:szCs w:val="24"/>
              </w:rPr>
              <w:t xml:space="preserve"> G, </w:t>
            </w:r>
            <w:proofErr w:type="spellStart"/>
            <w:r w:rsidRPr="002F0921">
              <w:rPr>
                <w:rFonts w:asciiTheme="majorBidi" w:hAnsiTheme="majorBidi" w:cstheme="majorBidi"/>
                <w:color w:val="auto"/>
                <w:sz w:val="24"/>
                <w:szCs w:val="24"/>
              </w:rPr>
              <w:t>Surján</w:t>
            </w:r>
            <w:proofErr w:type="spellEnd"/>
            <w:r w:rsidRPr="002F0921">
              <w:rPr>
                <w:rFonts w:asciiTheme="majorBidi" w:hAnsiTheme="majorBidi" w:cstheme="majorBidi"/>
                <w:color w:val="auto"/>
                <w:sz w:val="24"/>
                <w:szCs w:val="24"/>
              </w:rPr>
              <w:t xml:space="preserve"> O, Barcza Z, Molnár GA, Nagy D, Müller V, Bogos K, Nagy P, Kenessey I, Wéber A, </w:t>
            </w:r>
            <w:proofErr w:type="spellStart"/>
            <w:r w:rsidRPr="002F0921">
              <w:rPr>
                <w:rFonts w:asciiTheme="majorBidi" w:hAnsiTheme="majorBidi" w:cstheme="majorBidi"/>
                <w:color w:val="auto"/>
                <w:sz w:val="24"/>
                <w:szCs w:val="24"/>
              </w:rPr>
              <w:t>Pálosi</w:t>
            </w:r>
            <w:proofErr w:type="spellEnd"/>
            <w:r w:rsidRPr="002F0921">
              <w:rPr>
                <w:rFonts w:asciiTheme="majorBidi" w:hAnsiTheme="majorBidi" w:cstheme="majorBidi"/>
                <w:color w:val="auto"/>
                <w:sz w:val="24"/>
                <w:szCs w:val="24"/>
              </w:rPr>
              <w:t xml:space="preserve"> M, </w:t>
            </w:r>
            <w:proofErr w:type="spellStart"/>
            <w:r w:rsidRPr="002F0921">
              <w:rPr>
                <w:rFonts w:asciiTheme="majorBidi" w:hAnsiTheme="majorBidi" w:cstheme="majorBidi"/>
                <w:color w:val="auto"/>
                <w:sz w:val="24"/>
                <w:szCs w:val="24"/>
              </w:rPr>
              <w:t>Szlávik</w:t>
            </w:r>
            <w:proofErr w:type="spellEnd"/>
            <w:r w:rsidRPr="002F0921">
              <w:rPr>
                <w:rFonts w:asciiTheme="majorBidi" w:hAnsiTheme="majorBidi" w:cstheme="majorBidi"/>
                <w:color w:val="auto"/>
                <w:sz w:val="24"/>
                <w:szCs w:val="24"/>
              </w:rPr>
              <w:t xml:space="preserve"> J, Schaff Z, </w:t>
            </w:r>
            <w:proofErr w:type="spellStart"/>
            <w:r w:rsidRPr="002F0921">
              <w:rPr>
                <w:rFonts w:asciiTheme="majorBidi" w:hAnsiTheme="majorBidi" w:cstheme="majorBidi"/>
                <w:color w:val="auto"/>
                <w:sz w:val="24"/>
                <w:szCs w:val="24"/>
              </w:rPr>
              <w:t>Szekanecz</w:t>
            </w:r>
            <w:proofErr w:type="spellEnd"/>
            <w:r w:rsidRPr="002F0921">
              <w:rPr>
                <w:rFonts w:asciiTheme="majorBidi" w:hAnsiTheme="majorBidi" w:cstheme="majorBidi"/>
                <w:color w:val="auto"/>
                <w:sz w:val="24"/>
                <w:szCs w:val="24"/>
              </w:rPr>
              <w:t xml:space="preserve"> Z, Müller C, </w:t>
            </w:r>
            <w:proofErr w:type="spellStart"/>
            <w:r w:rsidRPr="002F0921">
              <w:rPr>
                <w:rFonts w:asciiTheme="majorBidi" w:hAnsiTheme="majorBidi" w:cstheme="majorBidi"/>
                <w:color w:val="auto"/>
                <w:sz w:val="24"/>
                <w:szCs w:val="24"/>
              </w:rPr>
              <w:t>Kásler</w:t>
            </w:r>
            <w:proofErr w:type="spellEnd"/>
            <w:r w:rsidRPr="002F0921">
              <w:rPr>
                <w:rFonts w:asciiTheme="majorBidi" w:hAnsiTheme="majorBidi" w:cstheme="majorBidi"/>
                <w:color w:val="auto"/>
                <w:sz w:val="24"/>
                <w:szCs w:val="24"/>
              </w:rPr>
              <w:t xml:space="preserve"> M, </w:t>
            </w:r>
            <w:proofErr w:type="spellStart"/>
            <w:r w:rsidRPr="002F0921">
              <w:rPr>
                <w:rFonts w:asciiTheme="majorBidi" w:hAnsiTheme="majorBidi" w:cstheme="majorBidi"/>
                <w:color w:val="auto"/>
                <w:sz w:val="24"/>
                <w:szCs w:val="24"/>
              </w:rPr>
              <w:t>Voko</w:t>
            </w:r>
            <w:proofErr w:type="spellEnd"/>
            <w:r w:rsidRPr="002F0921">
              <w:rPr>
                <w:rFonts w:asciiTheme="majorBidi" w:hAnsiTheme="majorBidi" w:cstheme="majorBidi"/>
                <w:color w:val="auto"/>
                <w:sz w:val="24"/>
                <w:szCs w:val="24"/>
              </w:rPr>
              <w:t>́ Z. Nationwide effectiveness of first and second SARS-CoV-2 booster vaccines during the Delta and Omicron pandemic waves in Hungary (HUN-VE 2 Study). Front Immunol. 2022;13:905585. doi:10.3389/fimmu.2022.905585.</w:t>
            </w:r>
          </w:p>
        </w:tc>
        <w:tc>
          <w:tcPr>
            <w:tcW w:w="5938" w:type="dxa"/>
          </w:tcPr>
          <w:p w14:paraId="74E126CF" w14:textId="7210DD43" w:rsidR="009405C7" w:rsidRPr="002F0921" w:rsidRDefault="009405C7" w:rsidP="009405C7">
            <w:pPr>
              <w:pStyle w:val="MDPI31text"/>
              <w:ind w:left="0" w:firstLine="0"/>
              <w:rPr>
                <w:rFonts w:asciiTheme="majorBidi" w:hAnsiTheme="majorBidi" w:cstheme="majorBidi"/>
                <w:color w:val="auto"/>
                <w:sz w:val="24"/>
                <w:szCs w:val="24"/>
              </w:rPr>
            </w:pPr>
            <w:r w:rsidRPr="002F0921">
              <w:rPr>
                <w:rFonts w:asciiTheme="majorBidi" w:hAnsiTheme="majorBidi" w:cstheme="majorBidi"/>
                <w:color w:val="auto"/>
                <w:sz w:val="24"/>
                <w:szCs w:val="24"/>
              </w:rPr>
              <w:t xml:space="preserve">Outside the prespecified review scope. This nationwide observational study evaluates vaccine effectiveness against COVID-19–related mortality during Delta and early Omicron (January–February 2022) waves using primary and early booster regimens. It predates the circulation of later Omicron subvariants and the introduction of updated or variant-adapted vaccines </w:t>
            </w:r>
            <w:r w:rsidR="00AA15B8" w:rsidRPr="002F0921">
              <w:rPr>
                <w:rFonts w:asciiTheme="majorBidi" w:hAnsiTheme="majorBidi" w:cstheme="majorBidi"/>
                <w:color w:val="auto"/>
                <w:sz w:val="24"/>
                <w:szCs w:val="24"/>
              </w:rPr>
              <w:t>prioritized</w:t>
            </w:r>
            <w:r w:rsidRPr="002F0921">
              <w:rPr>
                <w:rFonts w:asciiTheme="majorBidi" w:hAnsiTheme="majorBidi" w:cstheme="majorBidi"/>
                <w:color w:val="auto"/>
                <w:sz w:val="24"/>
                <w:szCs w:val="24"/>
              </w:rPr>
              <w:t xml:space="preserve"> in this review, and therefore does not provide effectiveness estimates relevant to the contemporary Omicron period synthesised here.</w:t>
            </w:r>
          </w:p>
        </w:tc>
      </w:tr>
      <w:tr w:rsidR="009405C7" w14:paraId="70BF34D0" w14:textId="77777777" w:rsidTr="00B20255">
        <w:tc>
          <w:tcPr>
            <w:tcW w:w="5403" w:type="dxa"/>
          </w:tcPr>
          <w:p w14:paraId="5A7C0A70" w14:textId="280561F4" w:rsidR="009405C7" w:rsidRPr="005C7706" w:rsidRDefault="005C7706" w:rsidP="009405C7">
            <w:pPr>
              <w:pStyle w:val="MDPI31text"/>
              <w:ind w:left="0" w:firstLine="0"/>
              <w:rPr>
                <w:rFonts w:asciiTheme="majorBidi" w:hAnsiTheme="majorBidi" w:cstheme="majorBidi"/>
                <w:color w:val="auto"/>
                <w:sz w:val="24"/>
                <w:szCs w:val="24"/>
              </w:rPr>
            </w:pPr>
            <w:r w:rsidRPr="005C7706">
              <w:rPr>
                <w:rFonts w:asciiTheme="majorBidi" w:hAnsiTheme="majorBidi" w:cstheme="majorBidi"/>
                <w:color w:val="auto"/>
                <w:sz w:val="24"/>
                <w:szCs w:val="24"/>
              </w:rPr>
              <w:t>Kodera S, Rashed EA, Hirata A. Estimation of real-world vaccination effectiveness of mRNA COVID-19 vaccines against Delta and Omicron variants in Japan. Vaccines. 2022;10:430. doi:10.3390/vaccines10030430.</w:t>
            </w:r>
          </w:p>
        </w:tc>
        <w:tc>
          <w:tcPr>
            <w:tcW w:w="5938" w:type="dxa"/>
          </w:tcPr>
          <w:p w14:paraId="63A94B6B" w14:textId="77777777" w:rsidR="009405C7" w:rsidRPr="005C7706" w:rsidRDefault="009405C7" w:rsidP="009405C7">
            <w:pPr>
              <w:pStyle w:val="MDPI31text"/>
              <w:ind w:left="0" w:firstLine="0"/>
              <w:rPr>
                <w:rFonts w:asciiTheme="majorBidi" w:hAnsiTheme="majorBidi" w:cstheme="majorBidi"/>
                <w:color w:val="auto"/>
                <w:sz w:val="24"/>
                <w:szCs w:val="24"/>
              </w:rPr>
            </w:pPr>
            <w:r w:rsidRPr="005C7706">
              <w:rPr>
                <w:rFonts w:asciiTheme="majorBidi" w:hAnsiTheme="majorBidi" w:cstheme="majorBidi"/>
                <w:color w:val="auto"/>
                <w:sz w:val="24"/>
                <w:szCs w:val="24"/>
              </w:rPr>
              <w:t>Outside the prespecified review scope. The study is a numerical modeling and computational estimation analysis that derives vaccine effectiveness indirectly from aggregated surveillance data and assumptions about waning immunity, rather than reporting primary real-world vaccine effectiveness estimates from individual-level observational designs. In addition, the analysis focuses on infection outcomes only and predates the later Omicron subvariants prioritized in this review.</w:t>
            </w:r>
          </w:p>
        </w:tc>
      </w:tr>
      <w:tr w:rsidR="009405C7" w14:paraId="7647D7CE" w14:textId="77777777" w:rsidTr="00B20255">
        <w:tc>
          <w:tcPr>
            <w:tcW w:w="5403" w:type="dxa"/>
          </w:tcPr>
          <w:p w14:paraId="725A13CF" w14:textId="596D8A99" w:rsidR="009405C7" w:rsidRPr="005C7706" w:rsidRDefault="005C7706" w:rsidP="009405C7">
            <w:pPr>
              <w:pStyle w:val="MDPI31text"/>
              <w:ind w:left="0" w:firstLine="0"/>
              <w:rPr>
                <w:rFonts w:asciiTheme="majorBidi" w:hAnsiTheme="majorBidi" w:cstheme="majorBidi"/>
                <w:color w:val="auto"/>
                <w:sz w:val="24"/>
                <w:szCs w:val="24"/>
              </w:rPr>
            </w:pPr>
            <w:r w:rsidRPr="005C7706">
              <w:rPr>
                <w:rFonts w:asciiTheme="majorBidi" w:hAnsiTheme="majorBidi" w:cstheme="majorBidi"/>
                <w:color w:val="auto"/>
                <w:sz w:val="24"/>
                <w:szCs w:val="24"/>
              </w:rPr>
              <w:t>Kohli M, Maschio M, Lee A, Igarashi A. Projections of the incidence of COVID-19 in Japan and the potential impact of a Fall 2023 COVID-19 vaccine. Vaccine. 2024;42:2282–2289. doi:10.1016/j.vaccine.2024.01.093.</w:t>
            </w:r>
          </w:p>
        </w:tc>
        <w:tc>
          <w:tcPr>
            <w:tcW w:w="5938" w:type="dxa"/>
          </w:tcPr>
          <w:p w14:paraId="04B6DCF8" w14:textId="77777777" w:rsidR="009405C7" w:rsidRPr="005C7706" w:rsidRDefault="009405C7" w:rsidP="009405C7">
            <w:pPr>
              <w:pStyle w:val="MDPI31text"/>
              <w:ind w:left="0" w:firstLine="0"/>
              <w:rPr>
                <w:rFonts w:asciiTheme="majorBidi" w:hAnsiTheme="majorBidi" w:cstheme="majorBidi"/>
                <w:color w:val="auto"/>
                <w:sz w:val="24"/>
                <w:szCs w:val="24"/>
              </w:rPr>
            </w:pPr>
            <w:r w:rsidRPr="005C7706">
              <w:rPr>
                <w:rFonts w:asciiTheme="majorBidi" w:hAnsiTheme="majorBidi" w:cstheme="majorBidi"/>
                <w:color w:val="auto"/>
                <w:sz w:val="24"/>
                <w:szCs w:val="24"/>
              </w:rPr>
              <w:t>Outside the prespecified review scope. This study uses a SEIR modelling and projection framework to estimate the potential impact of a Fall 2023 COVID-19 vaccine in Japan. Vaccine effectiveness values are assumed model inputs rather than empirically estimated from individual-level observational data, and outcomes represent simulated projections rather than real-world vaccine effectiveness estimates against severe COVID-19 outcomes.</w:t>
            </w:r>
          </w:p>
        </w:tc>
      </w:tr>
      <w:tr w:rsidR="009405C7" w14:paraId="2907C1FB" w14:textId="77777777" w:rsidTr="00B20255">
        <w:tc>
          <w:tcPr>
            <w:tcW w:w="5403" w:type="dxa"/>
          </w:tcPr>
          <w:p w14:paraId="3D2EDF24" w14:textId="3B40A8D0" w:rsidR="009405C7" w:rsidRPr="005C7706" w:rsidRDefault="005C7706" w:rsidP="009405C7">
            <w:pPr>
              <w:pStyle w:val="MDPI31text"/>
              <w:ind w:left="0" w:firstLine="0"/>
              <w:rPr>
                <w:rFonts w:asciiTheme="majorBidi" w:hAnsiTheme="majorBidi" w:cstheme="majorBidi"/>
                <w:color w:val="auto"/>
                <w:sz w:val="24"/>
                <w:szCs w:val="24"/>
              </w:rPr>
            </w:pPr>
            <w:proofErr w:type="spellStart"/>
            <w:r w:rsidRPr="005C7706">
              <w:rPr>
                <w:rFonts w:asciiTheme="majorBidi" w:hAnsiTheme="majorBidi" w:cstheme="majorBidi"/>
                <w:color w:val="auto"/>
                <w:sz w:val="24"/>
                <w:szCs w:val="24"/>
              </w:rPr>
              <w:t>Kompaniyets</w:t>
            </w:r>
            <w:proofErr w:type="spellEnd"/>
            <w:r w:rsidRPr="005C7706">
              <w:rPr>
                <w:rFonts w:asciiTheme="majorBidi" w:hAnsiTheme="majorBidi" w:cstheme="majorBidi"/>
                <w:color w:val="auto"/>
                <w:sz w:val="24"/>
                <w:szCs w:val="24"/>
              </w:rPr>
              <w:t xml:space="preserve"> L, Wiegand RE, </w:t>
            </w:r>
            <w:proofErr w:type="spellStart"/>
            <w:r w:rsidRPr="005C7706">
              <w:rPr>
                <w:rFonts w:asciiTheme="majorBidi" w:hAnsiTheme="majorBidi" w:cstheme="majorBidi"/>
                <w:color w:val="auto"/>
                <w:sz w:val="24"/>
                <w:szCs w:val="24"/>
              </w:rPr>
              <w:t>Oyalowo</w:t>
            </w:r>
            <w:proofErr w:type="spellEnd"/>
            <w:r w:rsidRPr="005C7706">
              <w:rPr>
                <w:rFonts w:asciiTheme="majorBidi" w:hAnsiTheme="majorBidi" w:cstheme="majorBidi"/>
                <w:color w:val="auto"/>
                <w:sz w:val="24"/>
                <w:szCs w:val="24"/>
              </w:rPr>
              <w:t xml:space="preserve"> AC, Bull-Otterson L, </w:t>
            </w:r>
            <w:proofErr w:type="spellStart"/>
            <w:r w:rsidRPr="005C7706">
              <w:rPr>
                <w:rFonts w:asciiTheme="majorBidi" w:hAnsiTheme="majorBidi" w:cstheme="majorBidi"/>
                <w:color w:val="auto"/>
                <w:sz w:val="24"/>
                <w:szCs w:val="24"/>
              </w:rPr>
              <w:t>Egwuogu</w:t>
            </w:r>
            <w:proofErr w:type="spellEnd"/>
            <w:r w:rsidRPr="005C7706">
              <w:rPr>
                <w:rFonts w:asciiTheme="majorBidi" w:hAnsiTheme="majorBidi" w:cstheme="majorBidi"/>
                <w:color w:val="auto"/>
                <w:sz w:val="24"/>
                <w:szCs w:val="24"/>
              </w:rPr>
              <w:t xml:space="preserve"> H, Thompson T, </w:t>
            </w:r>
            <w:proofErr w:type="spellStart"/>
            <w:r w:rsidRPr="005C7706">
              <w:rPr>
                <w:rFonts w:asciiTheme="majorBidi" w:hAnsiTheme="majorBidi" w:cstheme="majorBidi"/>
                <w:color w:val="auto"/>
                <w:sz w:val="24"/>
                <w:szCs w:val="24"/>
              </w:rPr>
              <w:t>Kahihikolo</w:t>
            </w:r>
            <w:proofErr w:type="spellEnd"/>
            <w:r w:rsidRPr="005C7706">
              <w:rPr>
                <w:rFonts w:asciiTheme="majorBidi" w:hAnsiTheme="majorBidi" w:cstheme="majorBidi"/>
                <w:color w:val="auto"/>
                <w:sz w:val="24"/>
                <w:szCs w:val="24"/>
              </w:rPr>
              <w:t xml:space="preserve"> K, Moore L, Jones-Jack N, El Kalach R, Srinivasan A, Messer A, </w:t>
            </w:r>
            <w:proofErr w:type="spellStart"/>
            <w:r w:rsidRPr="005C7706">
              <w:rPr>
                <w:rFonts w:asciiTheme="majorBidi" w:hAnsiTheme="majorBidi" w:cstheme="majorBidi"/>
                <w:color w:val="auto"/>
                <w:sz w:val="24"/>
                <w:szCs w:val="24"/>
              </w:rPr>
              <w:t>Pilishvili</w:t>
            </w:r>
            <w:proofErr w:type="spellEnd"/>
            <w:r w:rsidRPr="005C7706">
              <w:rPr>
                <w:rFonts w:asciiTheme="majorBidi" w:hAnsiTheme="majorBidi" w:cstheme="majorBidi"/>
                <w:color w:val="auto"/>
                <w:sz w:val="24"/>
                <w:szCs w:val="24"/>
              </w:rPr>
              <w:t xml:space="preserve"> T, Harris AM, Gundlapalli AV, Link-Gelles R, Boehmer TK. Relative effectiveness of COVID-19 vaccination and booster dose combinations among adults during the early Omicron period—United States, January–March 2022. Clin Infect Dis. 2023;76:1753–1760. doi:10.1093/</w:t>
            </w:r>
            <w:proofErr w:type="spellStart"/>
            <w:r w:rsidRPr="005C7706">
              <w:rPr>
                <w:rFonts w:asciiTheme="majorBidi" w:hAnsiTheme="majorBidi" w:cstheme="majorBidi"/>
                <w:color w:val="auto"/>
                <w:sz w:val="24"/>
                <w:szCs w:val="24"/>
              </w:rPr>
              <w:t>cid</w:t>
            </w:r>
            <w:proofErr w:type="spellEnd"/>
            <w:r w:rsidRPr="005C7706">
              <w:rPr>
                <w:rFonts w:asciiTheme="majorBidi" w:hAnsiTheme="majorBidi" w:cstheme="majorBidi"/>
                <w:color w:val="auto"/>
                <w:sz w:val="24"/>
                <w:szCs w:val="24"/>
              </w:rPr>
              <w:t>/ciad063.</w:t>
            </w:r>
          </w:p>
        </w:tc>
        <w:tc>
          <w:tcPr>
            <w:tcW w:w="5938" w:type="dxa"/>
          </w:tcPr>
          <w:p w14:paraId="4A3331BB" w14:textId="3ECB2236" w:rsidR="009405C7" w:rsidRPr="005C7706" w:rsidRDefault="009405C7" w:rsidP="009405C7">
            <w:pPr>
              <w:pStyle w:val="MDPI31text"/>
              <w:ind w:left="0" w:firstLine="0"/>
              <w:rPr>
                <w:rFonts w:asciiTheme="majorBidi" w:hAnsiTheme="majorBidi" w:cstheme="majorBidi"/>
                <w:color w:val="auto"/>
                <w:sz w:val="24"/>
                <w:szCs w:val="24"/>
              </w:rPr>
            </w:pPr>
            <w:r w:rsidRPr="005C7706">
              <w:rPr>
                <w:rFonts w:asciiTheme="majorBidi" w:hAnsiTheme="majorBidi" w:cstheme="majorBidi"/>
                <w:color w:val="auto"/>
                <w:sz w:val="24"/>
                <w:szCs w:val="24"/>
              </w:rPr>
              <w:t xml:space="preserve">Outside the prespecified review scope. This study reports relative vaccine effectiveness comparing different vaccinated schedules (e.g., Ad26.COV2.S plus mRNA vs homologous schedules) during an early Omicron (BA.1) period, rather than estimating population-based absolute vaccine effectiveness against severe COVID-19 outcomes using an unvaccinated at-risk comparator. It also predates later Omicron subvariants and updated or variant-adapted vaccines </w:t>
            </w:r>
            <w:r w:rsidR="00AA15B8" w:rsidRPr="005C7706">
              <w:rPr>
                <w:rFonts w:asciiTheme="majorBidi" w:hAnsiTheme="majorBidi" w:cstheme="majorBidi"/>
                <w:color w:val="auto"/>
                <w:sz w:val="24"/>
                <w:szCs w:val="24"/>
              </w:rPr>
              <w:t>prioritized</w:t>
            </w:r>
            <w:r w:rsidRPr="005C7706">
              <w:rPr>
                <w:rFonts w:asciiTheme="majorBidi" w:hAnsiTheme="majorBidi" w:cstheme="majorBidi"/>
                <w:color w:val="auto"/>
                <w:sz w:val="24"/>
                <w:szCs w:val="24"/>
              </w:rPr>
              <w:t xml:space="preserve"> in this review.</w:t>
            </w:r>
          </w:p>
        </w:tc>
      </w:tr>
      <w:tr w:rsidR="009405C7" w14:paraId="76DCF4D9" w14:textId="77777777" w:rsidTr="00B20255">
        <w:tc>
          <w:tcPr>
            <w:tcW w:w="5403" w:type="dxa"/>
          </w:tcPr>
          <w:p w14:paraId="29A97501" w14:textId="61086BD9" w:rsidR="009405C7" w:rsidRPr="005C7706" w:rsidRDefault="005C7706" w:rsidP="009405C7">
            <w:pPr>
              <w:pStyle w:val="MDPI31text"/>
              <w:ind w:left="0" w:firstLine="0"/>
              <w:rPr>
                <w:rFonts w:asciiTheme="majorBidi" w:hAnsiTheme="majorBidi" w:cstheme="majorBidi"/>
                <w:color w:val="auto"/>
                <w:sz w:val="24"/>
                <w:szCs w:val="24"/>
              </w:rPr>
            </w:pPr>
            <w:r w:rsidRPr="005C7706">
              <w:rPr>
                <w:rFonts w:asciiTheme="majorBidi" w:hAnsiTheme="majorBidi" w:cstheme="majorBidi"/>
                <w:color w:val="auto"/>
                <w:sz w:val="24"/>
                <w:szCs w:val="24"/>
                <w:lang w:val="en-GB"/>
              </w:rPr>
              <w:t>Kopel H, Nguyen VH, Bogdanov A, Winer I, Boileau C, Ducruet T, Zeng N, Winer-Jones JP, Esposito DB, Bausch-</w:t>
            </w:r>
            <w:proofErr w:type="spellStart"/>
            <w:r w:rsidRPr="005C7706">
              <w:rPr>
                <w:rFonts w:asciiTheme="majorBidi" w:hAnsiTheme="majorBidi" w:cstheme="majorBidi"/>
                <w:color w:val="auto"/>
                <w:sz w:val="24"/>
                <w:szCs w:val="24"/>
                <w:lang w:val="en-GB"/>
              </w:rPr>
              <w:t>Jurken</w:t>
            </w:r>
            <w:proofErr w:type="spellEnd"/>
            <w:r w:rsidRPr="005C7706">
              <w:rPr>
                <w:rFonts w:asciiTheme="majorBidi" w:hAnsiTheme="majorBidi" w:cstheme="majorBidi"/>
                <w:color w:val="auto"/>
                <w:sz w:val="24"/>
                <w:szCs w:val="24"/>
                <w:lang w:val="en-GB"/>
              </w:rPr>
              <w:t xml:space="preserve"> M, Beck E, Bonafede M, Mansi JA. </w:t>
            </w:r>
            <w:r w:rsidRPr="005C7706">
              <w:rPr>
                <w:rFonts w:asciiTheme="majorBidi" w:hAnsiTheme="majorBidi" w:cstheme="majorBidi"/>
                <w:color w:val="auto"/>
                <w:sz w:val="24"/>
                <w:szCs w:val="24"/>
                <w:lang w:val="en-AU"/>
              </w:rPr>
              <w:t xml:space="preserve">Comparative effectiveness of the bivalent (original/Omicron BA.4/BA.5) mRNA COVID-19 vaccines mRNA-1273.222 and BNT162b2 bivalent in adults with underlying medical conditions in the </w:t>
            </w:r>
            <w:r w:rsidRPr="005C7706">
              <w:rPr>
                <w:rFonts w:asciiTheme="majorBidi" w:hAnsiTheme="majorBidi" w:cstheme="majorBidi"/>
                <w:color w:val="auto"/>
                <w:sz w:val="24"/>
                <w:szCs w:val="24"/>
                <w:lang w:val="en-AU"/>
              </w:rPr>
              <w:lastRenderedPageBreak/>
              <w:t xml:space="preserve">United States. </w:t>
            </w:r>
            <w:proofErr w:type="spellStart"/>
            <w:r w:rsidRPr="005C7706">
              <w:rPr>
                <w:rFonts w:asciiTheme="majorBidi" w:hAnsiTheme="majorBidi" w:cstheme="majorBidi"/>
                <w:color w:val="auto"/>
                <w:sz w:val="24"/>
                <w:szCs w:val="24"/>
                <w:lang w:val="nb-NO"/>
              </w:rPr>
              <w:t>Vaccines</w:t>
            </w:r>
            <w:proofErr w:type="spellEnd"/>
            <w:r w:rsidRPr="005C7706">
              <w:rPr>
                <w:rFonts w:asciiTheme="majorBidi" w:hAnsiTheme="majorBidi" w:cstheme="majorBidi"/>
                <w:color w:val="auto"/>
                <w:sz w:val="24"/>
                <w:szCs w:val="24"/>
                <w:lang w:val="nb-NO"/>
              </w:rPr>
              <w:t>. 2024;12:1107. doi:10.3390/vaccines12101107.</w:t>
            </w:r>
          </w:p>
        </w:tc>
        <w:tc>
          <w:tcPr>
            <w:tcW w:w="5938" w:type="dxa"/>
          </w:tcPr>
          <w:p w14:paraId="64FA7164" w14:textId="77777777" w:rsidR="009405C7" w:rsidRPr="005C7706" w:rsidRDefault="009405C7" w:rsidP="009405C7">
            <w:pPr>
              <w:pStyle w:val="MDPI31text"/>
              <w:ind w:left="0" w:firstLine="0"/>
              <w:rPr>
                <w:rFonts w:asciiTheme="majorBidi" w:hAnsiTheme="majorBidi" w:cstheme="majorBidi"/>
                <w:color w:val="auto"/>
                <w:sz w:val="24"/>
                <w:szCs w:val="24"/>
              </w:rPr>
            </w:pPr>
            <w:r w:rsidRPr="005C7706">
              <w:rPr>
                <w:rFonts w:asciiTheme="majorBidi" w:hAnsiTheme="majorBidi" w:cstheme="majorBidi"/>
                <w:color w:val="auto"/>
                <w:sz w:val="24"/>
                <w:szCs w:val="24"/>
              </w:rPr>
              <w:lastRenderedPageBreak/>
              <w:t xml:space="preserve">Outside the prespecified review scope. This retrospective cohort study reports relative vaccine effectiveness comparing two bivalent BA.4/BA.5 mRNA vaccines rather than estimating population-based vaccine effectiveness against severe COVID-19 outcomes using an unvaccinated or baseline at-risk comparator. The head-to-head product </w:t>
            </w:r>
            <w:r w:rsidRPr="005C7706">
              <w:rPr>
                <w:rFonts w:asciiTheme="majorBidi" w:hAnsiTheme="majorBidi" w:cstheme="majorBidi"/>
                <w:color w:val="auto"/>
                <w:sz w:val="24"/>
                <w:szCs w:val="24"/>
              </w:rPr>
              <w:lastRenderedPageBreak/>
              <w:t>comparison framework is not directly comparable with the vaccine-effectiveness analyses synthesised in this review.</w:t>
            </w:r>
          </w:p>
        </w:tc>
      </w:tr>
      <w:tr w:rsidR="009405C7" w14:paraId="04C7F30A" w14:textId="77777777" w:rsidTr="00B20255">
        <w:tc>
          <w:tcPr>
            <w:tcW w:w="5403" w:type="dxa"/>
          </w:tcPr>
          <w:p w14:paraId="15AA1BC6" w14:textId="4D30E412" w:rsidR="009405C7" w:rsidRPr="005C7706" w:rsidRDefault="005C7706" w:rsidP="009405C7">
            <w:pPr>
              <w:pStyle w:val="MDPI31text"/>
              <w:ind w:left="0" w:firstLine="0"/>
              <w:rPr>
                <w:rFonts w:asciiTheme="majorBidi" w:hAnsiTheme="majorBidi" w:cstheme="majorBidi"/>
                <w:color w:val="auto"/>
                <w:sz w:val="24"/>
                <w:szCs w:val="24"/>
              </w:rPr>
            </w:pPr>
            <w:r w:rsidRPr="005C7706">
              <w:rPr>
                <w:rFonts w:asciiTheme="majorBidi" w:hAnsiTheme="majorBidi" w:cstheme="majorBidi"/>
                <w:color w:val="auto"/>
                <w:sz w:val="24"/>
                <w:szCs w:val="24"/>
              </w:rPr>
              <w:lastRenderedPageBreak/>
              <w:t>Kopel H, Nguyen VH, Boileau C, Bogdanov A, Winer I, Ducruet T, Zeng N, Bonafede M, Esposito DB, Martin D, Rosen A, Van de Velde N, Vermund SH, Gravenstein S, Mansi JA. Comparative effectiveness of bivalent (original/Omicron BA.4/BA.5) COVID-19 vaccines in adults. Vaccines. 2023;11:1711. doi:10.3390/vaccines11111711.</w:t>
            </w:r>
          </w:p>
        </w:tc>
        <w:tc>
          <w:tcPr>
            <w:tcW w:w="5938" w:type="dxa"/>
          </w:tcPr>
          <w:p w14:paraId="39F846FC" w14:textId="29AAD3D3" w:rsidR="009405C7" w:rsidRPr="005C7706" w:rsidRDefault="009405C7" w:rsidP="009405C7">
            <w:pPr>
              <w:pStyle w:val="MDPI31text"/>
              <w:ind w:left="0" w:firstLine="0"/>
              <w:rPr>
                <w:rFonts w:asciiTheme="majorBidi" w:hAnsiTheme="majorBidi" w:cstheme="majorBidi"/>
                <w:color w:val="auto"/>
                <w:sz w:val="24"/>
                <w:szCs w:val="24"/>
              </w:rPr>
            </w:pPr>
            <w:r w:rsidRPr="005C7706">
              <w:rPr>
                <w:rFonts w:asciiTheme="majorBidi" w:hAnsiTheme="majorBidi" w:cstheme="majorBidi"/>
                <w:color w:val="auto"/>
                <w:sz w:val="24"/>
                <w:szCs w:val="24"/>
              </w:rPr>
              <w:t>Outside the prespecified review scope. This retrospective cohort study compares the relative effectiveness of bivalent BA.4/BA.5 vaccines (mRNA-1273.222 vs BNT162b2) during early Omicron circulation (2022–early 2023) and does not assess late-Omicron sub-lineages (e.g., XBB, JN.1, KP) or the effectiveness of updated, variant-adapted COVID-19 vaccines that are the focus of this review.</w:t>
            </w:r>
          </w:p>
        </w:tc>
      </w:tr>
      <w:tr w:rsidR="009405C7" w14:paraId="0DB1FAA3" w14:textId="77777777" w:rsidTr="00B20255">
        <w:tc>
          <w:tcPr>
            <w:tcW w:w="5403" w:type="dxa"/>
          </w:tcPr>
          <w:p w14:paraId="05C370AC" w14:textId="6D10B040" w:rsidR="009405C7" w:rsidRPr="00C971B1" w:rsidRDefault="00C971B1" w:rsidP="009405C7">
            <w:pPr>
              <w:pStyle w:val="MDPI31text"/>
              <w:ind w:left="0" w:firstLine="0"/>
              <w:rPr>
                <w:rFonts w:asciiTheme="majorBidi" w:hAnsiTheme="majorBidi" w:cstheme="majorBidi"/>
                <w:color w:val="auto"/>
                <w:sz w:val="24"/>
                <w:szCs w:val="24"/>
              </w:rPr>
            </w:pPr>
            <w:r w:rsidRPr="00C971B1">
              <w:rPr>
                <w:rFonts w:asciiTheme="majorBidi" w:hAnsiTheme="majorBidi" w:cstheme="majorBidi"/>
                <w:color w:val="auto"/>
                <w:sz w:val="24"/>
                <w:szCs w:val="24"/>
              </w:rPr>
              <w:t xml:space="preserve">Laake I, </w:t>
            </w:r>
            <w:proofErr w:type="spellStart"/>
            <w:r w:rsidRPr="00C971B1">
              <w:rPr>
                <w:rFonts w:asciiTheme="majorBidi" w:hAnsiTheme="majorBidi" w:cstheme="majorBidi"/>
                <w:color w:val="auto"/>
                <w:sz w:val="24"/>
                <w:szCs w:val="24"/>
              </w:rPr>
              <w:t>Skodvin</w:t>
            </w:r>
            <w:proofErr w:type="spellEnd"/>
            <w:r w:rsidRPr="00C971B1">
              <w:rPr>
                <w:rFonts w:asciiTheme="majorBidi" w:hAnsiTheme="majorBidi" w:cstheme="majorBidi"/>
                <w:color w:val="auto"/>
                <w:sz w:val="24"/>
                <w:szCs w:val="24"/>
              </w:rPr>
              <w:t xml:space="preserve"> SN, Blix K, Caspersen IH, Gjessing HK, Juvet LK, Magnus P, </w:t>
            </w:r>
            <w:proofErr w:type="spellStart"/>
            <w:r w:rsidRPr="00C971B1">
              <w:rPr>
                <w:rFonts w:asciiTheme="majorBidi" w:hAnsiTheme="majorBidi" w:cstheme="majorBidi"/>
                <w:color w:val="auto"/>
                <w:sz w:val="24"/>
                <w:szCs w:val="24"/>
              </w:rPr>
              <w:t>Mjaaland</w:t>
            </w:r>
            <w:proofErr w:type="spellEnd"/>
            <w:r w:rsidRPr="00C971B1">
              <w:rPr>
                <w:rFonts w:asciiTheme="majorBidi" w:hAnsiTheme="majorBidi" w:cstheme="majorBidi"/>
                <w:color w:val="auto"/>
                <w:sz w:val="24"/>
                <w:szCs w:val="24"/>
              </w:rPr>
              <w:t xml:space="preserve"> S, Robertson AH, </w:t>
            </w:r>
            <w:proofErr w:type="spellStart"/>
            <w:r w:rsidRPr="00C971B1">
              <w:rPr>
                <w:rFonts w:asciiTheme="majorBidi" w:hAnsiTheme="majorBidi" w:cstheme="majorBidi"/>
                <w:color w:val="auto"/>
                <w:sz w:val="24"/>
                <w:szCs w:val="24"/>
              </w:rPr>
              <w:t>Starrfelt</w:t>
            </w:r>
            <w:proofErr w:type="spellEnd"/>
            <w:r w:rsidRPr="00C971B1">
              <w:rPr>
                <w:rFonts w:asciiTheme="majorBidi" w:hAnsiTheme="majorBidi" w:cstheme="majorBidi"/>
                <w:color w:val="auto"/>
                <w:sz w:val="24"/>
                <w:szCs w:val="24"/>
              </w:rPr>
              <w:t xml:space="preserve"> J, Trogstad L, Feiring B. Effectiveness of mRNA booster vaccination against mild, moderate, and severe COVID-19 caused by the Omicron variant in a large, population-based Norwegian cohort. J Infect Dis. 2022;226:1924–1933. doi:10.1093/</w:t>
            </w:r>
            <w:proofErr w:type="spellStart"/>
            <w:r w:rsidRPr="00C971B1">
              <w:rPr>
                <w:rFonts w:asciiTheme="majorBidi" w:hAnsiTheme="majorBidi" w:cstheme="majorBidi"/>
                <w:color w:val="auto"/>
                <w:sz w:val="24"/>
                <w:szCs w:val="24"/>
              </w:rPr>
              <w:t>infdis</w:t>
            </w:r>
            <w:proofErr w:type="spellEnd"/>
            <w:r w:rsidRPr="00C971B1">
              <w:rPr>
                <w:rFonts w:asciiTheme="majorBidi" w:hAnsiTheme="majorBidi" w:cstheme="majorBidi"/>
                <w:color w:val="auto"/>
                <w:sz w:val="24"/>
                <w:szCs w:val="24"/>
              </w:rPr>
              <w:t>/jiac419.</w:t>
            </w:r>
          </w:p>
        </w:tc>
        <w:tc>
          <w:tcPr>
            <w:tcW w:w="5938" w:type="dxa"/>
          </w:tcPr>
          <w:p w14:paraId="35C62624" w14:textId="32BE262A" w:rsidR="009405C7" w:rsidRPr="00C971B1" w:rsidRDefault="009405C7" w:rsidP="009405C7">
            <w:pPr>
              <w:pStyle w:val="MDPI31text"/>
              <w:ind w:left="0" w:firstLine="0"/>
              <w:rPr>
                <w:rFonts w:asciiTheme="majorBidi" w:hAnsiTheme="majorBidi" w:cstheme="majorBidi"/>
                <w:color w:val="auto"/>
                <w:sz w:val="24"/>
                <w:szCs w:val="24"/>
              </w:rPr>
            </w:pPr>
            <w:r w:rsidRPr="00C971B1">
              <w:rPr>
                <w:rFonts w:asciiTheme="majorBidi" w:hAnsiTheme="majorBidi" w:cstheme="majorBidi"/>
                <w:color w:val="auto"/>
                <w:sz w:val="24"/>
                <w:szCs w:val="24"/>
              </w:rPr>
              <w:t>Outside the prespecified review scope. This population-based cohort study evaluates relative vaccine effectiveness of an mRNA booster compared with two doses during an early Omicron (BA.1/BA.2) period, with outcomes largely based on self-reported infection severity. Hospitali</w:t>
            </w:r>
            <w:r w:rsidR="00F10ED1" w:rsidRPr="00C971B1">
              <w:rPr>
                <w:rFonts w:asciiTheme="majorBidi" w:hAnsiTheme="majorBidi" w:cstheme="majorBidi"/>
                <w:color w:val="auto"/>
                <w:sz w:val="24"/>
                <w:szCs w:val="24"/>
              </w:rPr>
              <w:t>z</w:t>
            </w:r>
            <w:r w:rsidRPr="00C971B1">
              <w:rPr>
                <w:rFonts w:asciiTheme="majorBidi" w:hAnsiTheme="majorBidi" w:cstheme="majorBidi"/>
                <w:color w:val="auto"/>
                <w:sz w:val="24"/>
                <w:szCs w:val="24"/>
              </w:rPr>
              <w:t xml:space="preserve">ation and death were rare, and the study predates later Omicron subvariants and updated or variant-adapted vaccines </w:t>
            </w:r>
            <w:r w:rsidR="00AA15B8" w:rsidRPr="00C971B1">
              <w:rPr>
                <w:rFonts w:asciiTheme="majorBidi" w:hAnsiTheme="majorBidi" w:cstheme="majorBidi"/>
                <w:color w:val="auto"/>
                <w:sz w:val="24"/>
                <w:szCs w:val="24"/>
              </w:rPr>
              <w:t>prioritized</w:t>
            </w:r>
            <w:r w:rsidRPr="00C971B1">
              <w:rPr>
                <w:rFonts w:asciiTheme="majorBidi" w:hAnsiTheme="majorBidi" w:cstheme="majorBidi"/>
                <w:color w:val="auto"/>
                <w:sz w:val="24"/>
                <w:szCs w:val="24"/>
              </w:rPr>
              <w:t xml:space="preserve"> in this review, limiting comparability with the contemporary severe-outcome vaccine-effectiveness framework applied here.</w:t>
            </w:r>
          </w:p>
        </w:tc>
      </w:tr>
      <w:tr w:rsidR="009405C7" w14:paraId="39B3A2CA" w14:textId="77777777" w:rsidTr="00B20255">
        <w:tc>
          <w:tcPr>
            <w:tcW w:w="5403" w:type="dxa"/>
          </w:tcPr>
          <w:p w14:paraId="7FE90498" w14:textId="197B8D94" w:rsidR="009405C7" w:rsidRPr="00C971B1" w:rsidRDefault="00C971B1" w:rsidP="009405C7">
            <w:pPr>
              <w:pStyle w:val="MDPI31text"/>
              <w:ind w:left="0" w:firstLine="0"/>
              <w:rPr>
                <w:rFonts w:asciiTheme="majorBidi" w:hAnsiTheme="majorBidi" w:cstheme="majorBidi"/>
                <w:color w:val="auto"/>
                <w:sz w:val="24"/>
                <w:szCs w:val="24"/>
              </w:rPr>
            </w:pPr>
            <w:r w:rsidRPr="00C971B1">
              <w:rPr>
                <w:rFonts w:asciiTheme="majorBidi" w:hAnsiTheme="majorBidi" w:cstheme="majorBidi"/>
                <w:color w:val="auto"/>
                <w:sz w:val="24"/>
                <w:szCs w:val="24"/>
              </w:rPr>
              <w:t xml:space="preserve">Lai FTT, Yan VKC, Wan EYF, Chan CIY, Wei C, Cheng FWT, Chui CSL, Li X, Wong CKH, Cheung CL, Wong ICK, Chan EWY. COVID-19 vaccine effectiveness against the Omicron variant of SARS-CoV-2 in multimorbidity: a territory-wide case-control study. </w:t>
            </w:r>
            <w:proofErr w:type="spellStart"/>
            <w:r w:rsidRPr="00C971B1">
              <w:rPr>
                <w:rFonts w:asciiTheme="majorBidi" w:hAnsiTheme="majorBidi" w:cstheme="majorBidi"/>
                <w:color w:val="auto"/>
                <w:sz w:val="24"/>
                <w:szCs w:val="24"/>
              </w:rPr>
              <w:t>iScience</w:t>
            </w:r>
            <w:proofErr w:type="spellEnd"/>
            <w:r w:rsidRPr="00C971B1">
              <w:rPr>
                <w:rFonts w:asciiTheme="majorBidi" w:hAnsiTheme="majorBidi" w:cstheme="majorBidi"/>
                <w:color w:val="auto"/>
                <w:sz w:val="24"/>
                <w:szCs w:val="24"/>
              </w:rPr>
              <w:t>. 2024;27:109428. doi:10.1016/j.isci.2024.109428.</w:t>
            </w:r>
          </w:p>
        </w:tc>
        <w:tc>
          <w:tcPr>
            <w:tcW w:w="5938" w:type="dxa"/>
          </w:tcPr>
          <w:p w14:paraId="29624311" w14:textId="5CFF2AB1" w:rsidR="009405C7" w:rsidRPr="00C971B1" w:rsidRDefault="009405C7" w:rsidP="009405C7">
            <w:pPr>
              <w:pStyle w:val="MDPI31text"/>
              <w:ind w:left="0" w:firstLine="0"/>
              <w:rPr>
                <w:rFonts w:asciiTheme="majorBidi" w:hAnsiTheme="majorBidi" w:cstheme="majorBidi"/>
                <w:color w:val="auto"/>
                <w:sz w:val="24"/>
                <w:szCs w:val="24"/>
              </w:rPr>
            </w:pPr>
            <w:r w:rsidRPr="00C971B1">
              <w:rPr>
                <w:rFonts w:asciiTheme="majorBidi" w:hAnsiTheme="majorBidi" w:cstheme="majorBidi"/>
                <w:color w:val="auto"/>
                <w:sz w:val="24"/>
                <w:szCs w:val="24"/>
              </w:rPr>
              <w:t xml:space="preserve">Outside the prespecified review scope. This territory-wide case–control study was conducted during an early Omicron (BA.2) period (January–March 2022) using primary-series and early booster vaccines (BNT162b2 and CoronaVac). It predates later Omicron subvariants and updated or variant-adapted vaccines </w:t>
            </w:r>
            <w:r w:rsidR="00AA15B8" w:rsidRPr="00C971B1">
              <w:rPr>
                <w:rFonts w:asciiTheme="majorBidi" w:hAnsiTheme="majorBidi" w:cstheme="majorBidi"/>
                <w:color w:val="auto"/>
                <w:sz w:val="24"/>
                <w:szCs w:val="24"/>
              </w:rPr>
              <w:t>prioritized</w:t>
            </w:r>
            <w:r w:rsidRPr="00C971B1">
              <w:rPr>
                <w:rFonts w:asciiTheme="majorBidi" w:hAnsiTheme="majorBidi" w:cstheme="majorBidi"/>
                <w:color w:val="auto"/>
                <w:sz w:val="24"/>
                <w:szCs w:val="24"/>
              </w:rPr>
              <w:t xml:space="preserve"> in this review, and therefore does not provide effectiveness estimates relevant to the contemporary Omicron era synthesised here.</w:t>
            </w:r>
          </w:p>
        </w:tc>
      </w:tr>
      <w:tr w:rsidR="009405C7" w14:paraId="5A5165B5" w14:textId="77777777" w:rsidTr="00B20255">
        <w:tc>
          <w:tcPr>
            <w:tcW w:w="5403" w:type="dxa"/>
          </w:tcPr>
          <w:p w14:paraId="3B790164" w14:textId="6FC12BA5" w:rsidR="009405C7" w:rsidRPr="00EC7909" w:rsidRDefault="0050039A" w:rsidP="009405C7">
            <w:pPr>
              <w:pStyle w:val="MDPI31text"/>
              <w:ind w:left="0" w:firstLine="0"/>
              <w:rPr>
                <w:rFonts w:asciiTheme="majorBidi" w:hAnsiTheme="majorBidi" w:cstheme="majorBidi"/>
                <w:color w:val="auto"/>
                <w:sz w:val="24"/>
                <w:szCs w:val="24"/>
              </w:rPr>
            </w:pPr>
            <w:r w:rsidRPr="00EC7909">
              <w:rPr>
                <w:rFonts w:asciiTheme="majorBidi" w:hAnsiTheme="majorBidi" w:cstheme="majorBidi"/>
                <w:color w:val="auto"/>
                <w:sz w:val="24"/>
                <w:szCs w:val="24"/>
                <w:lang w:val="en-AU"/>
              </w:rPr>
              <w:t xml:space="preserve">Lapa D, </w:t>
            </w:r>
            <w:proofErr w:type="spellStart"/>
            <w:r w:rsidRPr="00EC7909">
              <w:rPr>
                <w:rFonts w:asciiTheme="majorBidi" w:hAnsiTheme="majorBidi" w:cstheme="majorBidi"/>
                <w:color w:val="auto"/>
                <w:sz w:val="24"/>
                <w:szCs w:val="24"/>
                <w:lang w:val="en-AU"/>
              </w:rPr>
              <w:t>Grousova</w:t>
            </w:r>
            <w:proofErr w:type="spellEnd"/>
            <w:r w:rsidRPr="00EC7909">
              <w:rPr>
                <w:rFonts w:asciiTheme="majorBidi" w:hAnsiTheme="majorBidi" w:cstheme="majorBidi"/>
                <w:color w:val="auto"/>
                <w:sz w:val="24"/>
                <w:szCs w:val="24"/>
                <w:lang w:val="en-AU"/>
              </w:rPr>
              <w:t xml:space="preserve"> DM, </w:t>
            </w:r>
            <w:proofErr w:type="spellStart"/>
            <w:r w:rsidRPr="00EC7909">
              <w:rPr>
                <w:rFonts w:asciiTheme="majorBidi" w:hAnsiTheme="majorBidi" w:cstheme="majorBidi"/>
                <w:color w:val="auto"/>
                <w:sz w:val="24"/>
                <w:szCs w:val="24"/>
                <w:lang w:val="en-AU"/>
              </w:rPr>
              <w:t>Matusali</w:t>
            </w:r>
            <w:proofErr w:type="spellEnd"/>
            <w:r w:rsidRPr="00EC7909">
              <w:rPr>
                <w:rFonts w:asciiTheme="majorBidi" w:hAnsiTheme="majorBidi" w:cstheme="majorBidi"/>
                <w:color w:val="auto"/>
                <w:sz w:val="24"/>
                <w:szCs w:val="24"/>
                <w:lang w:val="en-AU"/>
              </w:rPr>
              <w:t xml:space="preserve"> G, Meschi S, Colavita F, Bettini A, Gramigna G, </w:t>
            </w:r>
            <w:proofErr w:type="spellStart"/>
            <w:r w:rsidRPr="00EC7909">
              <w:rPr>
                <w:rFonts w:asciiTheme="majorBidi" w:hAnsiTheme="majorBidi" w:cstheme="majorBidi"/>
                <w:color w:val="auto"/>
                <w:sz w:val="24"/>
                <w:szCs w:val="24"/>
                <w:lang w:val="en-AU"/>
              </w:rPr>
              <w:t>Francalancia</w:t>
            </w:r>
            <w:proofErr w:type="spellEnd"/>
            <w:r w:rsidRPr="00EC7909">
              <w:rPr>
                <w:rFonts w:asciiTheme="majorBidi" w:hAnsiTheme="majorBidi" w:cstheme="majorBidi"/>
                <w:color w:val="auto"/>
                <w:sz w:val="24"/>
                <w:szCs w:val="24"/>
                <w:lang w:val="en-AU"/>
              </w:rPr>
              <w:t xml:space="preserve"> M, </w:t>
            </w:r>
            <w:proofErr w:type="spellStart"/>
            <w:r w:rsidRPr="00EC7909">
              <w:rPr>
                <w:rFonts w:asciiTheme="majorBidi" w:hAnsiTheme="majorBidi" w:cstheme="majorBidi"/>
                <w:color w:val="auto"/>
                <w:sz w:val="24"/>
                <w:szCs w:val="24"/>
                <w:lang w:val="en-AU"/>
              </w:rPr>
              <w:t>Garbuglia</w:t>
            </w:r>
            <w:proofErr w:type="spellEnd"/>
            <w:r w:rsidRPr="00EC7909">
              <w:rPr>
                <w:rFonts w:asciiTheme="majorBidi" w:hAnsiTheme="majorBidi" w:cstheme="majorBidi"/>
                <w:color w:val="auto"/>
                <w:sz w:val="24"/>
                <w:szCs w:val="24"/>
                <w:lang w:val="en-AU"/>
              </w:rPr>
              <w:t xml:space="preserve"> AR, Girardi E, et al. Retention of neutralizing response against SARS-CoV-2 Omicron variant in Sputnik V-vaccinated individuals. </w:t>
            </w:r>
            <w:proofErr w:type="spellStart"/>
            <w:r w:rsidRPr="00EC7909">
              <w:rPr>
                <w:rFonts w:asciiTheme="majorBidi" w:hAnsiTheme="majorBidi" w:cstheme="majorBidi"/>
                <w:color w:val="auto"/>
                <w:sz w:val="24"/>
                <w:szCs w:val="24"/>
                <w:lang w:val="nb-NO"/>
              </w:rPr>
              <w:t>Vaccines</w:t>
            </w:r>
            <w:proofErr w:type="spellEnd"/>
            <w:r w:rsidRPr="00EC7909">
              <w:rPr>
                <w:rFonts w:asciiTheme="majorBidi" w:hAnsiTheme="majorBidi" w:cstheme="majorBidi"/>
                <w:color w:val="auto"/>
                <w:sz w:val="24"/>
                <w:szCs w:val="24"/>
                <w:lang w:val="nb-NO"/>
              </w:rPr>
              <w:t xml:space="preserve"> (Basel). 2022;10(5):817. doi:10.3390/vaccines10050817.</w:t>
            </w:r>
          </w:p>
        </w:tc>
        <w:tc>
          <w:tcPr>
            <w:tcW w:w="5938" w:type="dxa"/>
          </w:tcPr>
          <w:p w14:paraId="2C372349" w14:textId="77777777" w:rsidR="009405C7" w:rsidRPr="00EC7909" w:rsidRDefault="009405C7" w:rsidP="009405C7">
            <w:pPr>
              <w:pStyle w:val="MDPI31text"/>
              <w:ind w:left="0" w:firstLine="0"/>
              <w:rPr>
                <w:rFonts w:asciiTheme="majorBidi" w:hAnsiTheme="majorBidi" w:cstheme="majorBidi"/>
                <w:color w:val="auto"/>
                <w:sz w:val="24"/>
                <w:szCs w:val="24"/>
              </w:rPr>
            </w:pPr>
            <w:r w:rsidRPr="00EC7909">
              <w:rPr>
                <w:rFonts w:asciiTheme="majorBidi" w:hAnsiTheme="majorBidi" w:cstheme="majorBidi"/>
                <w:color w:val="auto"/>
                <w:sz w:val="24"/>
                <w:szCs w:val="24"/>
              </w:rPr>
              <w:t xml:space="preserve">Outside the prespecified review scope. This study is an immunogenicity (laboratory) analysis evaluating neutralizing antibody responses to the Omicron variant in vaccinated individuals. It does not report population-based clinical vaccine effectiveness (VE or </w:t>
            </w:r>
            <w:proofErr w:type="spellStart"/>
            <w:r w:rsidRPr="00EC7909">
              <w:rPr>
                <w:rFonts w:asciiTheme="majorBidi" w:hAnsiTheme="majorBidi" w:cstheme="majorBidi"/>
                <w:color w:val="auto"/>
                <w:sz w:val="24"/>
                <w:szCs w:val="24"/>
              </w:rPr>
              <w:t>rVE</w:t>
            </w:r>
            <w:proofErr w:type="spellEnd"/>
            <w:r w:rsidRPr="00EC7909">
              <w:rPr>
                <w:rFonts w:asciiTheme="majorBidi" w:hAnsiTheme="majorBidi" w:cstheme="majorBidi"/>
                <w:color w:val="auto"/>
                <w:sz w:val="24"/>
                <w:szCs w:val="24"/>
              </w:rPr>
              <w:t>) against infection or severe outcomes derived from cohort, case–control, or test-negative designs and therefore is not eligible for inclusion in the formal VE synthesis.</w:t>
            </w:r>
          </w:p>
        </w:tc>
      </w:tr>
      <w:tr w:rsidR="009405C7" w14:paraId="74A90793" w14:textId="77777777" w:rsidTr="00B20255">
        <w:tc>
          <w:tcPr>
            <w:tcW w:w="5403" w:type="dxa"/>
          </w:tcPr>
          <w:p w14:paraId="7FB7C7D0" w14:textId="020F9D79" w:rsidR="009405C7" w:rsidRPr="00EC7909" w:rsidRDefault="0050039A" w:rsidP="009405C7">
            <w:pPr>
              <w:pStyle w:val="MDPI31text"/>
              <w:ind w:left="0" w:firstLine="0"/>
              <w:rPr>
                <w:rFonts w:asciiTheme="majorBidi" w:hAnsiTheme="majorBidi" w:cstheme="majorBidi"/>
                <w:color w:val="auto"/>
                <w:sz w:val="24"/>
                <w:szCs w:val="24"/>
              </w:rPr>
            </w:pPr>
            <w:r w:rsidRPr="00EC7909">
              <w:rPr>
                <w:rFonts w:asciiTheme="majorBidi" w:hAnsiTheme="majorBidi" w:cstheme="majorBidi"/>
                <w:color w:val="auto"/>
                <w:sz w:val="24"/>
                <w:szCs w:val="24"/>
              </w:rPr>
              <w:t xml:space="preserve">Lau JJ, Cheng SMS, Leung K, Lee CK, Hachim A, Tsang LCH, Yam KWH, </w:t>
            </w:r>
            <w:proofErr w:type="spellStart"/>
            <w:r w:rsidRPr="00EC7909">
              <w:rPr>
                <w:rFonts w:asciiTheme="majorBidi" w:hAnsiTheme="majorBidi" w:cstheme="majorBidi"/>
                <w:color w:val="auto"/>
                <w:sz w:val="24"/>
                <w:szCs w:val="24"/>
              </w:rPr>
              <w:t>Chaothai</w:t>
            </w:r>
            <w:proofErr w:type="spellEnd"/>
            <w:r w:rsidRPr="00EC7909">
              <w:rPr>
                <w:rFonts w:asciiTheme="majorBidi" w:hAnsiTheme="majorBidi" w:cstheme="majorBidi"/>
                <w:color w:val="auto"/>
                <w:sz w:val="24"/>
                <w:szCs w:val="24"/>
              </w:rPr>
              <w:t xml:space="preserve"> S, Kwan KKH, Chai ZYH, et al. Real-world COVID-19 vaccine effectiveness against the Omicron BA.2 variant in a SARS-CoV-2 infection-naive population. Nature Medicine. 2023;29(2):348–357. doi:10.1038/s41591-023-02219-5.</w:t>
            </w:r>
          </w:p>
        </w:tc>
        <w:tc>
          <w:tcPr>
            <w:tcW w:w="5938" w:type="dxa"/>
          </w:tcPr>
          <w:p w14:paraId="48796874" w14:textId="3D3A3C7A" w:rsidR="009405C7" w:rsidRPr="00EC7909" w:rsidRDefault="009405C7" w:rsidP="009405C7">
            <w:pPr>
              <w:pStyle w:val="MDPI31text"/>
              <w:ind w:left="0" w:firstLine="0"/>
              <w:rPr>
                <w:rFonts w:asciiTheme="majorBidi" w:hAnsiTheme="majorBidi" w:cstheme="majorBidi"/>
                <w:color w:val="auto"/>
                <w:sz w:val="24"/>
                <w:szCs w:val="24"/>
              </w:rPr>
            </w:pPr>
            <w:r w:rsidRPr="00EC7909">
              <w:rPr>
                <w:rFonts w:asciiTheme="majorBidi" w:hAnsiTheme="majorBidi" w:cstheme="majorBidi"/>
                <w:color w:val="auto"/>
                <w:sz w:val="24"/>
                <w:szCs w:val="24"/>
              </w:rPr>
              <w:t>Outside the prespecified review scope. This study uses a community serosurvey combined with model-based inference to estimate vaccine effectiveness against SARS-CoV-2 infection (including asymptomatic infection) during an early Omicron BA.2 period. It does not evaluate severe COVID-19 outcomes (e.g. hospitali</w:t>
            </w:r>
            <w:r w:rsidR="00F10ED1" w:rsidRPr="00EC7909">
              <w:rPr>
                <w:rFonts w:asciiTheme="majorBidi" w:hAnsiTheme="majorBidi" w:cstheme="majorBidi"/>
                <w:color w:val="auto"/>
                <w:sz w:val="24"/>
                <w:szCs w:val="24"/>
              </w:rPr>
              <w:t>z</w:t>
            </w:r>
            <w:r w:rsidRPr="00EC7909">
              <w:rPr>
                <w:rFonts w:asciiTheme="majorBidi" w:hAnsiTheme="majorBidi" w:cstheme="majorBidi"/>
                <w:color w:val="auto"/>
                <w:sz w:val="24"/>
                <w:szCs w:val="24"/>
              </w:rPr>
              <w:t>ation, ICU admission, or death), and the modelling-based infection estimates are not directly comparable with the population-based clinical vaccine-effectiveness framework applied in this review.</w:t>
            </w:r>
          </w:p>
        </w:tc>
      </w:tr>
      <w:tr w:rsidR="009405C7" w14:paraId="52CC30FA" w14:textId="77777777" w:rsidTr="00B20255">
        <w:tc>
          <w:tcPr>
            <w:tcW w:w="5403" w:type="dxa"/>
          </w:tcPr>
          <w:p w14:paraId="13947FA7" w14:textId="644C3846" w:rsidR="009405C7" w:rsidRPr="00EC7909" w:rsidRDefault="0050039A" w:rsidP="009405C7">
            <w:pPr>
              <w:pStyle w:val="MDPI31text"/>
              <w:ind w:left="0" w:firstLine="0"/>
              <w:rPr>
                <w:rFonts w:asciiTheme="majorBidi" w:hAnsiTheme="majorBidi" w:cstheme="majorBidi"/>
                <w:color w:val="auto"/>
                <w:sz w:val="24"/>
                <w:szCs w:val="24"/>
              </w:rPr>
            </w:pPr>
            <w:r w:rsidRPr="00EC7909">
              <w:rPr>
                <w:rFonts w:asciiTheme="majorBidi" w:hAnsiTheme="majorBidi" w:cstheme="majorBidi"/>
                <w:color w:val="auto"/>
                <w:sz w:val="24"/>
                <w:szCs w:val="24"/>
              </w:rPr>
              <w:t xml:space="preserve">Lauring AS, </w:t>
            </w:r>
            <w:proofErr w:type="spellStart"/>
            <w:r w:rsidRPr="00EC7909">
              <w:rPr>
                <w:rFonts w:asciiTheme="majorBidi" w:hAnsiTheme="majorBidi" w:cstheme="majorBidi"/>
                <w:color w:val="auto"/>
                <w:sz w:val="24"/>
                <w:szCs w:val="24"/>
              </w:rPr>
              <w:t>Tenforde</w:t>
            </w:r>
            <w:proofErr w:type="spellEnd"/>
            <w:r w:rsidRPr="00EC7909">
              <w:rPr>
                <w:rFonts w:asciiTheme="majorBidi" w:hAnsiTheme="majorBidi" w:cstheme="majorBidi"/>
                <w:color w:val="auto"/>
                <w:sz w:val="24"/>
                <w:szCs w:val="24"/>
              </w:rPr>
              <w:t xml:space="preserve"> MW, Chappell JD, Gaglani M, Ginde AA, McNeal T, </w:t>
            </w:r>
            <w:proofErr w:type="spellStart"/>
            <w:r w:rsidRPr="00EC7909">
              <w:rPr>
                <w:rFonts w:asciiTheme="majorBidi" w:hAnsiTheme="majorBidi" w:cstheme="majorBidi"/>
                <w:color w:val="auto"/>
                <w:sz w:val="24"/>
                <w:szCs w:val="24"/>
              </w:rPr>
              <w:t>Ghamande</w:t>
            </w:r>
            <w:proofErr w:type="spellEnd"/>
            <w:r w:rsidRPr="00EC7909">
              <w:rPr>
                <w:rFonts w:asciiTheme="majorBidi" w:hAnsiTheme="majorBidi" w:cstheme="majorBidi"/>
                <w:color w:val="auto"/>
                <w:sz w:val="24"/>
                <w:szCs w:val="24"/>
              </w:rPr>
              <w:t xml:space="preserve"> S, Douin DJ, Talbot HK, Casey JD, et al. Clinical severity of, and effectiveness of mRNA vaccines against, COVID-19 from Omicron, Delta, and Alpha SARS-CoV-2 </w:t>
            </w:r>
            <w:r w:rsidRPr="00EC7909">
              <w:rPr>
                <w:rFonts w:asciiTheme="majorBidi" w:hAnsiTheme="majorBidi" w:cstheme="majorBidi"/>
                <w:color w:val="auto"/>
                <w:sz w:val="24"/>
                <w:szCs w:val="24"/>
              </w:rPr>
              <w:lastRenderedPageBreak/>
              <w:t>variants in the United States: a prospective observational study. BMJ. 2022;376:e069761. doi:10.1136/bmj-2021-069761.</w:t>
            </w:r>
          </w:p>
        </w:tc>
        <w:tc>
          <w:tcPr>
            <w:tcW w:w="5938" w:type="dxa"/>
          </w:tcPr>
          <w:p w14:paraId="42F1D6DA" w14:textId="6FB0EF3E" w:rsidR="009405C7" w:rsidRPr="00EC7909" w:rsidRDefault="009405C7" w:rsidP="009405C7">
            <w:pPr>
              <w:pStyle w:val="MDPI31text"/>
              <w:ind w:left="0" w:firstLine="0"/>
              <w:rPr>
                <w:rFonts w:asciiTheme="majorBidi" w:hAnsiTheme="majorBidi" w:cstheme="majorBidi"/>
                <w:color w:val="auto"/>
                <w:sz w:val="24"/>
                <w:szCs w:val="24"/>
              </w:rPr>
            </w:pPr>
            <w:r w:rsidRPr="00EC7909">
              <w:rPr>
                <w:rFonts w:asciiTheme="majorBidi" w:hAnsiTheme="majorBidi" w:cstheme="majorBidi"/>
                <w:color w:val="auto"/>
                <w:sz w:val="24"/>
                <w:szCs w:val="24"/>
              </w:rPr>
              <w:lastRenderedPageBreak/>
              <w:t xml:space="preserve">Outside the prespecified review scope. This </w:t>
            </w:r>
            <w:r w:rsidR="000244C3" w:rsidRPr="00EC7909">
              <w:rPr>
                <w:rFonts w:asciiTheme="majorBidi" w:hAnsiTheme="majorBidi" w:cstheme="majorBidi"/>
                <w:color w:val="auto"/>
                <w:sz w:val="24"/>
                <w:szCs w:val="24"/>
              </w:rPr>
              <w:t>multicenter</w:t>
            </w:r>
            <w:r w:rsidRPr="00EC7909">
              <w:rPr>
                <w:rFonts w:asciiTheme="majorBidi" w:hAnsiTheme="majorBidi" w:cstheme="majorBidi"/>
                <w:color w:val="auto"/>
                <w:sz w:val="24"/>
                <w:szCs w:val="24"/>
              </w:rPr>
              <w:t xml:space="preserve"> prospective study from the IVY Network evaluates mRNA vaccine effectiveness against hospitali</w:t>
            </w:r>
            <w:r w:rsidR="00F10ED1" w:rsidRPr="00EC7909">
              <w:rPr>
                <w:rFonts w:asciiTheme="majorBidi" w:hAnsiTheme="majorBidi" w:cstheme="majorBidi"/>
                <w:color w:val="auto"/>
                <w:sz w:val="24"/>
                <w:szCs w:val="24"/>
              </w:rPr>
              <w:t>z</w:t>
            </w:r>
            <w:r w:rsidRPr="00EC7909">
              <w:rPr>
                <w:rFonts w:asciiTheme="majorBidi" w:hAnsiTheme="majorBidi" w:cstheme="majorBidi"/>
                <w:color w:val="auto"/>
                <w:sz w:val="24"/>
                <w:szCs w:val="24"/>
              </w:rPr>
              <w:t xml:space="preserve">ation and disease severity during early Omicron (BA.1-dominant) circulation in late 2021–early 2022, using ancestral vaccine </w:t>
            </w:r>
            <w:r w:rsidRPr="00EC7909">
              <w:rPr>
                <w:rFonts w:asciiTheme="majorBidi" w:hAnsiTheme="majorBidi" w:cstheme="majorBidi"/>
                <w:color w:val="auto"/>
                <w:sz w:val="24"/>
                <w:szCs w:val="24"/>
              </w:rPr>
              <w:lastRenderedPageBreak/>
              <w:t>formulations. The study does not address later Omicron subvariants (e.g., BA.5, XBB, JN.1) or variant-adapted vaccines that are the focus of this review.</w:t>
            </w:r>
          </w:p>
        </w:tc>
      </w:tr>
      <w:tr w:rsidR="009405C7" w14:paraId="5960FEE6" w14:textId="77777777" w:rsidTr="00B20255">
        <w:tc>
          <w:tcPr>
            <w:tcW w:w="5403" w:type="dxa"/>
          </w:tcPr>
          <w:p w14:paraId="6844E81E" w14:textId="1BE87539" w:rsidR="009405C7" w:rsidRPr="00EC7909" w:rsidRDefault="00E604DE" w:rsidP="009405C7">
            <w:pPr>
              <w:pStyle w:val="MDPI31text"/>
              <w:ind w:left="0" w:firstLine="0"/>
              <w:rPr>
                <w:rFonts w:asciiTheme="majorBidi" w:hAnsiTheme="majorBidi" w:cstheme="majorBidi"/>
                <w:color w:val="auto"/>
                <w:sz w:val="24"/>
                <w:szCs w:val="24"/>
              </w:rPr>
            </w:pPr>
            <w:r w:rsidRPr="00EC7909">
              <w:rPr>
                <w:rFonts w:asciiTheme="majorBidi" w:hAnsiTheme="majorBidi" w:cstheme="majorBidi"/>
                <w:color w:val="auto"/>
                <w:sz w:val="24"/>
                <w:szCs w:val="24"/>
              </w:rPr>
              <w:lastRenderedPageBreak/>
              <w:t>Leung MHJ, Kung KH, Yau IS-K, Fung YY, Mohammad KN, Lau CCA, Au KWA, Chuang SK. COVID-19 outbreaks in residential care homes in Hong Kong and effectiveness of vaccine against severe outcomes. Infectious Medicine. 2023;2:1–10. doi:10.1016/j.imj.2023.01.002.</w:t>
            </w:r>
          </w:p>
        </w:tc>
        <w:tc>
          <w:tcPr>
            <w:tcW w:w="5938" w:type="dxa"/>
          </w:tcPr>
          <w:p w14:paraId="3689A3E3" w14:textId="0DC62792" w:rsidR="009405C7" w:rsidRPr="00EC7909" w:rsidRDefault="009405C7" w:rsidP="009405C7">
            <w:pPr>
              <w:pStyle w:val="MDPI31text"/>
              <w:ind w:left="0" w:firstLine="0"/>
              <w:rPr>
                <w:rFonts w:asciiTheme="majorBidi" w:hAnsiTheme="majorBidi" w:cstheme="majorBidi"/>
                <w:color w:val="auto"/>
                <w:sz w:val="24"/>
                <w:szCs w:val="24"/>
              </w:rPr>
            </w:pPr>
            <w:r w:rsidRPr="00EC7909">
              <w:rPr>
                <w:rFonts w:asciiTheme="majorBidi" w:hAnsiTheme="majorBidi" w:cstheme="majorBidi"/>
                <w:color w:val="auto"/>
                <w:sz w:val="24"/>
                <w:szCs w:val="24"/>
              </w:rPr>
              <w:t xml:space="preserve">Outside the prespecified review scope. This study estimates vaccine effectiveness conditional on SARS-CoV-2 infection among residents of long-term care facilities, assessing reduction in severe outcomes and death only among infected individuals. It does not provide population-based vaccine effectiveness estimates against severe COVID-19 outcomes using an at-risk denominator. In addition, the study was conducted during an early Omicron (BA.1/BA.2) period using ancestral two-dose vaccine regimens, predating later Omicron subvariants and updated or variant-adapted vaccines </w:t>
            </w:r>
            <w:r w:rsidR="00AA15B8" w:rsidRPr="00EC7909">
              <w:rPr>
                <w:rFonts w:asciiTheme="majorBidi" w:hAnsiTheme="majorBidi" w:cstheme="majorBidi"/>
                <w:color w:val="auto"/>
                <w:sz w:val="24"/>
                <w:szCs w:val="24"/>
              </w:rPr>
              <w:t>prioritized</w:t>
            </w:r>
            <w:r w:rsidRPr="00EC7909">
              <w:rPr>
                <w:rFonts w:asciiTheme="majorBidi" w:hAnsiTheme="majorBidi" w:cstheme="majorBidi"/>
                <w:color w:val="auto"/>
                <w:sz w:val="24"/>
                <w:szCs w:val="24"/>
              </w:rPr>
              <w:t xml:space="preserve"> in this review.</w:t>
            </w:r>
          </w:p>
        </w:tc>
      </w:tr>
      <w:tr w:rsidR="009405C7" w14:paraId="4ADFE9A5" w14:textId="77777777" w:rsidTr="00B20255">
        <w:tc>
          <w:tcPr>
            <w:tcW w:w="5403" w:type="dxa"/>
          </w:tcPr>
          <w:p w14:paraId="791FA9AC" w14:textId="7FD60000" w:rsidR="009405C7" w:rsidRPr="00522447" w:rsidRDefault="00522447" w:rsidP="009405C7">
            <w:pPr>
              <w:pStyle w:val="MDPI31text"/>
              <w:ind w:left="0" w:firstLine="0"/>
              <w:rPr>
                <w:rFonts w:asciiTheme="majorBidi" w:hAnsiTheme="majorBidi" w:cstheme="majorBidi"/>
                <w:color w:val="auto"/>
                <w:sz w:val="24"/>
                <w:szCs w:val="24"/>
              </w:rPr>
            </w:pPr>
            <w:r w:rsidRPr="00522447">
              <w:rPr>
                <w:rFonts w:asciiTheme="majorBidi" w:hAnsiTheme="majorBidi" w:cstheme="majorBidi"/>
                <w:color w:val="auto"/>
                <w:sz w:val="24"/>
                <w:szCs w:val="24"/>
              </w:rPr>
              <w:t xml:space="preserve">Levy ME, </w:t>
            </w:r>
            <w:proofErr w:type="spellStart"/>
            <w:r w:rsidRPr="00522447">
              <w:rPr>
                <w:rFonts w:asciiTheme="majorBidi" w:hAnsiTheme="majorBidi" w:cstheme="majorBidi"/>
                <w:color w:val="auto"/>
                <w:sz w:val="24"/>
                <w:szCs w:val="24"/>
              </w:rPr>
              <w:t>Chilunda</w:t>
            </w:r>
            <w:proofErr w:type="spellEnd"/>
            <w:r w:rsidRPr="00522447">
              <w:rPr>
                <w:rFonts w:asciiTheme="majorBidi" w:hAnsiTheme="majorBidi" w:cstheme="majorBidi"/>
                <w:color w:val="auto"/>
                <w:sz w:val="24"/>
                <w:szCs w:val="24"/>
              </w:rPr>
              <w:t xml:space="preserve"> V, Heaton PR, McKeen D, Goldman JD, Davis RE, </w:t>
            </w:r>
            <w:proofErr w:type="spellStart"/>
            <w:r w:rsidRPr="00522447">
              <w:rPr>
                <w:rFonts w:asciiTheme="majorBidi" w:hAnsiTheme="majorBidi" w:cstheme="majorBidi"/>
                <w:color w:val="auto"/>
                <w:sz w:val="24"/>
                <w:szCs w:val="24"/>
              </w:rPr>
              <w:t>Schandl</w:t>
            </w:r>
            <w:proofErr w:type="spellEnd"/>
            <w:r w:rsidRPr="00522447">
              <w:rPr>
                <w:rFonts w:asciiTheme="majorBidi" w:hAnsiTheme="majorBidi" w:cstheme="majorBidi"/>
                <w:color w:val="auto"/>
                <w:sz w:val="24"/>
                <w:szCs w:val="24"/>
              </w:rPr>
              <w:t xml:space="preserve"> CA, Glen WB, McEwen LM, Cirulli ET, Wyman D, Dei Rossi A, Dai H, Isaksson M, Washington NL, Basler T, Tsan K, Nguyen J, Ramirez J, Sandoval E, Lee W, Lu J, Luo S. XBB.1.5 mRNA COVID-19 vaccine protection against inpatient or emergency department visits among adults infected with SARS-CoV-2 JN.1 and XBB-lineage variants. Frontiers in Immunology. 2025;16:1470609. doi:10.3389/fimmu.2025.1470609.</w:t>
            </w:r>
          </w:p>
        </w:tc>
        <w:tc>
          <w:tcPr>
            <w:tcW w:w="5938" w:type="dxa"/>
          </w:tcPr>
          <w:p w14:paraId="4EBD2FCF" w14:textId="77777777" w:rsidR="009405C7" w:rsidRPr="00522447" w:rsidRDefault="009405C7" w:rsidP="009405C7">
            <w:pPr>
              <w:pStyle w:val="MDPI31text"/>
              <w:ind w:left="0" w:firstLine="0"/>
              <w:rPr>
                <w:rFonts w:asciiTheme="majorBidi" w:hAnsiTheme="majorBidi" w:cstheme="majorBidi"/>
                <w:color w:val="auto"/>
                <w:sz w:val="24"/>
                <w:szCs w:val="24"/>
              </w:rPr>
            </w:pPr>
            <w:r w:rsidRPr="00522447">
              <w:rPr>
                <w:rFonts w:asciiTheme="majorBidi" w:hAnsiTheme="majorBidi" w:cstheme="majorBidi"/>
                <w:color w:val="auto"/>
                <w:sz w:val="24"/>
                <w:szCs w:val="24"/>
              </w:rPr>
              <w:t xml:space="preserve">Outside the prespecified review scope. This study uses a case-only design restricted to SARS-CoV-2–positive individuals and evaluates the association between prior vaccination and severity of illness (inpatient or emergency department vs outpatient visits) using adjusted odds ratios. It does not estimate absolute or relative vaccine effectiveness (VE or </w:t>
            </w:r>
            <w:proofErr w:type="spellStart"/>
            <w:r w:rsidRPr="00522447">
              <w:rPr>
                <w:rFonts w:asciiTheme="majorBidi" w:hAnsiTheme="majorBidi" w:cstheme="majorBidi"/>
                <w:color w:val="auto"/>
                <w:sz w:val="24"/>
                <w:szCs w:val="24"/>
              </w:rPr>
              <w:t>rVE</w:t>
            </w:r>
            <w:proofErr w:type="spellEnd"/>
            <w:r w:rsidRPr="00522447">
              <w:rPr>
                <w:rFonts w:asciiTheme="majorBidi" w:hAnsiTheme="majorBidi" w:cstheme="majorBidi"/>
                <w:color w:val="auto"/>
                <w:sz w:val="24"/>
                <w:szCs w:val="24"/>
              </w:rPr>
              <w:t>) against infection or severe outcomes in the general population and lacks an uninfected comparison group. As such, the effect measures are not directly comparable with the vaccine effectiveness metrics synthesized in this review.</w:t>
            </w:r>
          </w:p>
        </w:tc>
      </w:tr>
      <w:tr w:rsidR="009405C7" w14:paraId="467FAF16" w14:textId="77777777" w:rsidTr="00B20255">
        <w:tc>
          <w:tcPr>
            <w:tcW w:w="5403" w:type="dxa"/>
          </w:tcPr>
          <w:p w14:paraId="0B1349CB" w14:textId="69E2B121" w:rsidR="009405C7" w:rsidRPr="0009123E" w:rsidRDefault="0009123E" w:rsidP="009405C7">
            <w:pPr>
              <w:pStyle w:val="MDPI31text"/>
              <w:ind w:left="0" w:firstLine="0"/>
              <w:rPr>
                <w:rFonts w:asciiTheme="majorBidi" w:hAnsiTheme="majorBidi" w:cstheme="majorBidi"/>
                <w:color w:val="auto"/>
                <w:sz w:val="24"/>
                <w:szCs w:val="24"/>
              </w:rPr>
            </w:pPr>
            <w:r w:rsidRPr="0009123E">
              <w:rPr>
                <w:rFonts w:asciiTheme="majorBidi" w:hAnsiTheme="majorBidi" w:cstheme="majorBidi"/>
                <w:color w:val="auto"/>
                <w:sz w:val="24"/>
                <w:szCs w:val="24"/>
              </w:rPr>
              <w:t>Lin D-Y, Xu Y, Gu Y, Zeng D, Wheeler B, Young H, Sunny SK, Moore Z. Effectiveness of bivalent boosters against severe omicron infection. New England Journal of Medicine. 2023;388(8):764–766. doi:10.1056/NEJMc2215471.</w:t>
            </w:r>
          </w:p>
        </w:tc>
        <w:tc>
          <w:tcPr>
            <w:tcW w:w="5938" w:type="dxa"/>
          </w:tcPr>
          <w:p w14:paraId="7E02A4F8" w14:textId="77777777" w:rsidR="009405C7" w:rsidRPr="0009123E" w:rsidRDefault="009405C7" w:rsidP="009405C7">
            <w:pPr>
              <w:pStyle w:val="MDPI31text"/>
              <w:ind w:left="0" w:firstLine="0"/>
              <w:rPr>
                <w:rFonts w:asciiTheme="majorBidi" w:hAnsiTheme="majorBidi" w:cstheme="majorBidi"/>
                <w:color w:val="auto"/>
                <w:sz w:val="24"/>
                <w:szCs w:val="24"/>
              </w:rPr>
            </w:pPr>
            <w:r w:rsidRPr="0009123E">
              <w:rPr>
                <w:rFonts w:asciiTheme="majorBidi" w:hAnsiTheme="majorBidi" w:cstheme="majorBidi"/>
                <w:color w:val="auto"/>
                <w:sz w:val="24"/>
                <w:szCs w:val="24"/>
              </w:rPr>
              <w:t>Duplicate/overlapping population. This correspondence reports early effectiveness estimates from the same North Carolina surveillance cohort and analytic framework as a later publication by the same group that provides extended follow-up and broader subvariant-specific durability analyses, which was included to avoid double counting.</w:t>
            </w:r>
          </w:p>
        </w:tc>
      </w:tr>
      <w:tr w:rsidR="009405C7" w14:paraId="4E77B9EC" w14:textId="77777777" w:rsidTr="00B20255">
        <w:tc>
          <w:tcPr>
            <w:tcW w:w="5403" w:type="dxa"/>
          </w:tcPr>
          <w:p w14:paraId="2B6CB589" w14:textId="13926AC2" w:rsidR="009405C7" w:rsidRPr="0009123E" w:rsidRDefault="0009123E" w:rsidP="009405C7">
            <w:pPr>
              <w:pStyle w:val="MDPI31text"/>
              <w:ind w:left="0" w:firstLine="0"/>
              <w:rPr>
                <w:rFonts w:asciiTheme="majorBidi" w:hAnsiTheme="majorBidi" w:cstheme="majorBidi"/>
                <w:color w:val="auto"/>
                <w:sz w:val="24"/>
                <w:szCs w:val="24"/>
              </w:rPr>
            </w:pPr>
            <w:r w:rsidRPr="0009123E">
              <w:rPr>
                <w:rFonts w:asciiTheme="majorBidi" w:hAnsiTheme="majorBidi" w:cstheme="majorBidi"/>
                <w:color w:val="auto"/>
                <w:sz w:val="24"/>
                <w:szCs w:val="24"/>
              </w:rPr>
              <w:t>Lin D-Y, Huang S, Milinovich A, Duggal A, Wang X. Effectiveness of XBB.1.5 vaccines and antiviral drugs against severe outcomes of Omicron infection in the USA. The Lancet Infectious Diseases. 2024;24:e278–e280. doi:10.1016/S1473-3099(24)00150-6.</w:t>
            </w:r>
          </w:p>
        </w:tc>
        <w:tc>
          <w:tcPr>
            <w:tcW w:w="5938" w:type="dxa"/>
          </w:tcPr>
          <w:p w14:paraId="047D1ABF" w14:textId="015DAABC" w:rsidR="009405C7" w:rsidRPr="0009123E" w:rsidRDefault="009405C7" w:rsidP="009405C7">
            <w:pPr>
              <w:pStyle w:val="MDPI31text"/>
              <w:ind w:left="0" w:firstLine="0"/>
              <w:rPr>
                <w:rFonts w:asciiTheme="majorBidi" w:hAnsiTheme="majorBidi" w:cstheme="majorBidi"/>
                <w:color w:val="auto"/>
                <w:sz w:val="24"/>
                <w:szCs w:val="24"/>
              </w:rPr>
            </w:pPr>
            <w:r w:rsidRPr="0009123E">
              <w:rPr>
                <w:rFonts w:asciiTheme="majorBidi" w:hAnsiTheme="majorBidi" w:cstheme="majorBidi"/>
                <w:color w:val="auto"/>
                <w:sz w:val="24"/>
                <w:szCs w:val="24"/>
              </w:rPr>
              <w:t>Outside the prespecified review scope. This correspondence reports a progression-conditional analysis restricted to individuals with confirmed SARS-CoV-2 infection, estimating the effect of XBB.1.5 vaccination on progression to hospitali</w:t>
            </w:r>
            <w:r w:rsidR="00F10ED1" w:rsidRPr="0009123E">
              <w:rPr>
                <w:rFonts w:asciiTheme="majorBidi" w:hAnsiTheme="majorBidi" w:cstheme="majorBidi"/>
                <w:color w:val="auto"/>
                <w:sz w:val="24"/>
                <w:szCs w:val="24"/>
              </w:rPr>
              <w:t>z</w:t>
            </w:r>
            <w:r w:rsidRPr="0009123E">
              <w:rPr>
                <w:rFonts w:asciiTheme="majorBidi" w:hAnsiTheme="majorBidi" w:cstheme="majorBidi"/>
                <w:color w:val="auto"/>
                <w:sz w:val="24"/>
                <w:szCs w:val="24"/>
              </w:rPr>
              <w:t>ation or death after infection (often in combination with antiviral treatment). It does not provide population-based vaccine effectiveness estimates against severe COVID-19 outcomes using an at-risk denominator and therefore is not directly comparable with the vaccine-effectiveness framework applied in this review.</w:t>
            </w:r>
          </w:p>
        </w:tc>
      </w:tr>
      <w:tr w:rsidR="009405C7" w14:paraId="2CF1FE50" w14:textId="77777777" w:rsidTr="00B20255">
        <w:tc>
          <w:tcPr>
            <w:tcW w:w="5403" w:type="dxa"/>
          </w:tcPr>
          <w:p w14:paraId="622476D6" w14:textId="169E74B7" w:rsidR="009405C7" w:rsidRPr="0009123E" w:rsidRDefault="0009123E" w:rsidP="009405C7">
            <w:pPr>
              <w:pStyle w:val="MDPI31text"/>
              <w:ind w:left="0" w:firstLine="0"/>
              <w:rPr>
                <w:rFonts w:asciiTheme="majorBidi" w:hAnsiTheme="majorBidi" w:cstheme="majorBidi"/>
                <w:color w:val="auto"/>
                <w:sz w:val="24"/>
                <w:szCs w:val="24"/>
              </w:rPr>
            </w:pPr>
            <w:r w:rsidRPr="0009123E">
              <w:rPr>
                <w:rFonts w:asciiTheme="majorBidi" w:hAnsiTheme="majorBidi" w:cstheme="majorBidi"/>
                <w:color w:val="auto"/>
                <w:sz w:val="24"/>
                <w:szCs w:val="24"/>
              </w:rPr>
              <w:t>Lin D-Y, Xu Y, Gu Y, Zeng D, Sunny SK, Moore Z. Durability of bivalent boosters against Omicron subvariants. New England Journal of Medicine. 2023;388(19). doi:10.1056/NEJMc2302462.</w:t>
            </w:r>
          </w:p>
        </w:tc>
        <w:tc>
          <w:tcPr>
            <w:tcW w:w="5938" w:type="dxa"/>
          </w:tcPr>
          <w:p w14:paraId="2BEFE35C" w14:textId="27BB6B03" w:rsidR="009405C7" w:rsidRPr="0009123E" w:rsidRDefault="009405C7" w:rsidP="009405C7">
            <w:pPr>
              <w:pStyle w:val="MDPI31text"/>
              <w:ind w:left="0" w:firstLine="0"/>
              <w:rPr>
                <w:rFonts w:asciiTheme="majorBidi" w:hAnsiTheme="majorBidi" w:cstheme="majorBidi"/>
                <w:color w:val="auto"/>
                <w:sz w:val="24"/>
                <w:szCs w:val="24"/>
              </w:rPr>
            </w:pPr>
            <w:r w:rsidRPr="0009123E">
              <w:rPr>
                <w:rFonts w:asciiTheme="majorBidi" w:hAnsiTheme="majorBidi" w:cstheme="majorBidi"/>
                <w:color w:val="auto"/>
                <w:sz w:val="24"/>
                <w:szCs w:val="24"/>
              </w:rPr>
              <w:t>Outside the prespecified review scope. This correspondence evaluates the durability of bivalent BA.4/BA.5 booster vaccines during early Omicron circulation (September 2022–February 2023) and does not assess late-Omicron sub-lineages (e.g., sustained XBB predominance, JN.1, KP lineages) or the effectiveness of updated, variant-adapted COVID-19 vaccines that are the focus of this review.</w:t>
            </w:r>
          </w:p>
        </w:tc>
      </w:tr>
      <w:tr w:rsidR="009405C7" w14:paraId="56743B47" w14:textId="77777777" w:rsidTr="00B20255">
        <w:tc>
          <w:tcPr>
            <w:tcW w:w="5403" w:type="dxa"/>
          </w:tcPr>
          <w:p w14:paraId="5AB61E40" w14:textId="008F8C48" w:rsidR="009405C7" w:rsidRPr="0009123E" w:rsidRDefault="0009123E" w:rsidP="009405C7">
            <w:pPr>
              <w:pStyle w:val="MDPI31text"/>
              <w:ind w:left="0" w:firstLine="0"/>
              <w:rPr>
                <w:rFonts w:asciiTheme="majorBidi" w:hAnsiTheme="majorBidi" w:cstheme="majorBidi"/>
                <w:color w:val="auto"/>
                <w:sz w:val="24"/>
                <w:szCs w:val="24"/>
              </w:rPr>
            </w:pPr>
            <w:r w:rsidRPr="0009123E">
              <w:rPr>
                <w:rFonts w:asciiTheme="majorBidi" w:hAnsiTheme="majorBidi" w:cstheme="majorBidi"/>
                <w:color w:val="auto"/>
                <w:sz w:val="24"/>
                <w:szCs w:val="24"/>
              </w:rPr>
              <w:lastRenderedPageBreak/>
              <w:t xml:space="preserve">Lin D-Y, Du Y, Xu Y, </w:t>
            </w:r>
            <w:proofErr w:type="spellStart"/>
            <w:r w:rsidRPr="0009123E">
              <w:rPr>
                <w:rFonts w:asciiTheme="majorBidi" w:hAnsiTheme="majorBidi" w:cstheme="majorBidi"/>
                <w:color w:val="auto"/>
                <w:sz w:val="24"/>
                <w:szCs w:val="24"/>
              </w:rPr>
              <w:t>Paritala</w:t>
            </w:r>
            <w:proofErr w:type="spellEnd"/>
            <w:r w:rsidRPr="0009123E">
              <w:rPr>
                <w:rFonts w:asciiTheme="majorBidi" w:hAnsiTheme="majorBidi" w:cstheme="majorBidi"/>
                <w:color w:val="auto"/>
                <w:sz w:val="24"/>
                <w:szCs w:val="24"/>
              </w:rPr>
              <w:t xml:space="preserve"> S, Donahue M, Maloney P. Effectiveness of XBB.1.5 vaccines against Omicron subvariants. Medical Research Archives. 2024;12(8). doi:10.18103/mra.v12i8.XXXX.</w:t>
            </w:r>
          </w:p>
        </w:tc>
        <w:tc>
          <w:tcPr>
            <w:tcW w:w="5938" w:type="dxa"/>
          </w:tcPr>
          <w:p w14:paraId="17B35944" w14:textId="55604501" w:rsidR="009405C7" w:rsidRPr="0009123E" w:rsidRDefault="009405C7" w:rsidP="009405C7">
            <w:pPr>
              <w:pStyle w:val="MDPI31text"/>
              <w:ind w:left="0" w:firstLine="0"/>
              <w:rPr>
                <w:rFonts w:asciiTheme="majorBidi" w:hAnsiTheme="majorBidi" w:cstheme="majorBidi"/>
                <w:color w:val="auto"/>
                <w:sz w:val="24"/>
                <w:szCs w:val="24"/>
              </w:rPr>
            </w:pPr>
            <w:r w:rsidRPr="0009123E">
              <w:rPr>
                <w:rFonts w:asciiTheme="majorBidi" w:hAnsiTheme="majorBidi" w:cstheme="majorBidi"/>
                <w:color w:val="auto"/>
                <w:sz w:val="24"/>
                <w:szCs w:val="24"/>
              </w:rPr>
              <w:t>Outside the prespecified review scope. This population-based cohort study primarily evaluates the effectiveness of XBB.1.5-adapted COVID-19 vaccines against SARS-CoV-2 infection. Estimates for severe outcomes (hospitali</w:t>
            </w:r>
            <w:r w:rsidR="00F10ED1" w:rsidRPr="0009123E">
              <w:rPr>
                <w:rFonts w:asciiTheme="majorBidi" w:hAnsiTheme="majorBidi" w:cstheme="majorBidi"/>
                <w:color w:val="auto"/>
                <w:sz w:val="24"/>
                <w:szCs w:val="24"/>
              </w:rPr>
              <w:t>z</w:t>
            </w:r>
            <w:r w:rsidRPr="0009123E">
              <w:rPr>
                <w:rFonts w:asciiTheme="majorBidi" w:hAnsiTheme="majorBidi" w:cstheme="majorBidi"/>
                <w:color w:val="auto"/>
                <w:sz w:val="24"/>
                <w:szCs w:val="24"/>
              </w:rPr>
              <w:t>ation and death) are secondary, based on very small numbers of events with incomplete ascertainment, and are not directly comparable with the hospitali</w:t>
            </w:r>
            <w:r w:rsidR="00F10ED1" w:rsidRPr="0009123E">
              <w:rPr>
                <w:rFonts w:asciiTheme="majorBidi" w:hAnsiTheme="majorBidi" w:cstheme="majorBidi"/>
                <w:color w:val="auto"/>
                <w:sz w:val="24"/>
                <w:szCs w:val="24"/>
              </w:rPr>
              <w:t>z</w:t>
            </w:r>
            <w:r w:rsidRPr="0009123E">
              <w:rPr>
                <w:rFonts w:asciiTheme="majorBidi" w:hAnsiTheme="majorBidi" w:cstheme="majorBidi"/>
                <w:color w:val="auto"/>
                <w:sz w:val="24"/>
                <w:szCs w:val="24"/>
              </w:rPr>
              <w:t>ation- and death-focused effectiveness estimates synthesised in this review.</w:t>
            </w:r>
          </w:p>
        </w:tc>
      </w:tr>
      <w:tr w:rsidR="009405C7" w14:paraId="78610F2C" w14:textId="77777777" w:rsidTr="00B20255">
        <w:tc>
          <w:tcPr>
            <w:tcW w:w="5403" w:type="dxa"/>
          </w:tcPr>
          <w:p w14:paraId="4412E7C3" w14:textId="75251255" w:rsidR="009405C7" w:rsidRPr="00D8241F" w:rsidRDefault="00094D59" w:rsidP="009405C7">
            <w:pPr>
              <w:pStyle w:val="MDPI31text"/>
              <w:ind w:left="0" w:firstLine="0"/>
              <w:rPr>
                <w:rFonts w:asciiTheme="majorBidi" w:hAnsiTheme="majorBidi" w:cstheme="majorBidi"/>
                <w:color w:val="auto"/>
                <w:sz w:val="24"/>
                <w:szCs w:val="24"/>
              </w:rPr>
            </w:pPr>
            <w:r w:rsidRPr="00D8241F">
              <w:rPr>
                <w:rFonts w:asciiTheme="majorBidi" w:hAnsiTheme="majorBidi" w:cstheme="majorBidi"/>
                <w:color w:val="auto"/>
                <w:sz w:val="24"/>
                <w:szCs w:val="24"/>
              </w:rPr>
              <w:t xml:space="preserve">Link-Gelles R, Ciesla AA, Rowley EAK, Klein NP, Naleway AL, Payne AB, Kharbanda A, Natarajan K, DeSilva MB, Dascomb K, Irving SA, Zerbo O, Reese SE, Wiegand RE, Najdowski M, Ong TC, Rao S, Stockwell MS, Stephens A, Goddard K, Martinez YC, Weber ZA, Fireman B, Hansen J, Timbol J, Grannis SJ, Barron MA, </w:t>
            </w:r>
            <w:proofErr w:type="spellStart"/>
            <w:r w:rsidRPr="00D8241F">
              <w:rPr>
                <w:rFonts w:asciiTheme="majorBidi" w:hAnsiTheme="majorBidi" w:cstheme="majorBidi"/>
                <w:color w:val="auto"/>
                <w:sz w:val="24"/>
                <w:szCs w:val="24"/>
              </w:rPr>
              <w:t>Embi</w:t>
            </w:r>
            <w:proofErr w:type="spellEnd"/>
            <w:r w:rsidRPr="00D8241F">
              <w:rPr>
                <w:rFonts w:asciiTheme="majorBidi" w:hAnsiTheme="majorBidi" w:cstheme="majorBidi"/>
                <w:color w:val="auto"/>
                <w:sz w:val="24"/>
                <w:szCs w:val="24"/>
              </w:rPr>
              <w:t xml:space="preserve"> PJ, Ball SW, Gaglani M, Grisel N, Arndorfer J, </w:t>
            </w:r>
            <w:proofErr w:type="spellStart"/>
            <w:r w:rsidRPr="00D8241F">
              <w:rPr>
                <w:rFonts w:asciiTheme="majorBidi" w:hAnsiTheme="majorBidi" w:cstheme="majorBidi"/>
                <w:color w:val="auto"/>
                <w:sz w:val="24"/>
                <w:szCs w:val="24"/>
              </w:rPr>
              <w:t>Tenforde</w:t>
            </w:r>
            <w:proofErr w:type="spellEnd"/>
            <w:r w:rsidRPr="00D8241F">
              <w:rPr>
                <w:rFonts w:asciiTheme="majorBidi" w:hAnsiTheme="majorBidi" w:cstheme="majorBidi"/>
                <w:color w:val="auto"/>
                <w:sz w:val="24"/>
                <w:szCs w:val="24"/>
              </w:rPr>
              <w:t xml:space="preserve"> MW, Fleming-Dutra KE. Effectiveness of monovalent and bivalent mRNA vaccines in preventing COVID-19–associated emergency department and urgent care encounters among children aged 6 months–5 years — VISION Network, United States, July 2022–June 2023. MMWR Morbidity and Mortality Weekly Report. 2023;72(33):886–892.</w:t>
            </w:r>
          </w:p>
        </w:tc>
        <w:tc>
          <w:tcPr>
            <w:tcW w:w="5938" w:type="dxa"/>
          </w:tcPr>
          <w:p w14:paraId="2451FCEE" w14:textId="77777777" w:rsidR="009405C7" w:rsidRPr="00D8241F" w:rsidRDefault="009405C7" w:rsidP="009405C7">
            <w:pPr>
              <w:pStyle w:val="MDPI31text"/>
              <w:ind w:left="0" w:firstLine="0"/>
              <w:rPr>
                <w:rFonts w:asciiTheme="majorBidi" w:hAnsiTheme="majorBidi" w:cstheme="majorBidi"/>
                <w:color w:val="auto"/>
                <w:sz w:val="24"/>
                <w:szCs w:val="24"/>
              </w:rPr>
            </w:pPr>
            <w:r w:rsidRPr="00D8241F">
              <w:rPr>
                <w:rFonts w:asciiTheme="majorBidi" w:hAnsiTheme="majorBidi" w:cstheme="majorBidi"/>
                <w:color w:val="auto"/>
                <w:sz w:val="24"/>
                <w:szCs w:val="24"/>
              </w:rPr>
              <w:t>Outside the prespecified review scope. This study is restricted to paediatric populations (children aged 6 months–5 years) and evaluates medically attended emergency department or urgent care encounters only, without assessing severe outcomes such as hospitalization or death. In addition, the analysis was conducted during July 2022–June 2023, prior to the 2023–2024 monovalent XBB.1.5–adapted vaccine era and focuses on ancestral monovalent and early bivalent formulations. Consequently, the population, outcomes, and vaccine formulations are not directly comparable with the adult severe-outcome vaccine-effectiveness framework synthesised in this review.</w:t>
            </w:r>
          </w:p>
        </w:tc>
      </w:tr>
      <w:tr w:rsidR="009405C7" w14:paraId="5ECFE1EF" w14:textId="77777777" w:rsidTr="00B20255">
        <w:tc>
          <w:tcPr>
            <w:tcW w:w="5403" w:type="dxa"/>
          </w:tcPr>
          <w:p w14:paraId="3E900D96" w14:textId="7E62C9A5" w:rsidR="009405C7" w:rsidRPr="00D8241F" w:rsidRDefault="00D8241F" w:rsidP="009405C7">
            <w:pPr>
              <w:pStyle w:val="MDPI31text"/>
              <w:ind w:left="0" w:firstLine="0"/>
              <w:rPr>
                <w:rFonts w:asciiTheme="majorBidi" w:hAnsiTheme="majorBidi" w:cstheme="majorBidi"/>
                <w:color w:val="auto"/>
                <w:sz w:val="24"/>
                <w:szCs w:val="24"/>
              </w:rPr>
            </w:pPr>
            <w:r w:rsidRPr="00D8241F">
              <w:rPr>
                <w:rFonts w:asciiTheme="majorBidi" w:hAnsiTheme="majorBidi" w:cstheme="majorBidi"/>
                <w:color w:val="auto"/>
                <w:sz w:val="24"/>
                <w:szCs w:val="24"/>
              </w:rPr>
              <w:t xml:space="preserve">Link-Gelles R, Chickery S, Webber A, Ong TC, Rowley EAK, DeSilva MB, Dascomb K, Irving SA, Klein NP, Grannis SJ, Barron MA, Reese SE, McEvoy C, Sheffield T, Naleway AL, Zerbo O, Rogerson C, Self WH, Zhu Y, Lauring AS, Martin ET, </w:t>
            </w:r>
            <w:proofErr w:type="spellStart"/>
            <w:r w:rsidRPr="00D8241F">
              <w:rPr>
                <w:rFonts w:asciiTheme="majorBidi" w:hAnsiTheme="majorBidi" w:cstheme="majorBidi"/>
                <w:color w:val="auto"/>
                <w:sz w:val="24"/>
                <w:szCs w:val="24"/>
              </w:rPr>
              <w:t>Peltan</w:t>
            </w:r>
            <w:proofErr w:type="spellEnd"/>
            <w:r w:rsidRPr="00D8241F">
              <w:rPr>
                <w:rFonts w:asciiTheme="majorBidi" w:hAnsiTheme="majorBidi" w:cstheme="majorBidi"/>
                <w:color w:val="auto"/>
                <w:sz w:val="24"/>
                <w:szCs w:val="24"/>
              </w:rPr>
              <w:t xml:space="preserve"> ID, Ginde AA, Mohr NM, Gibbs KW, Hager DN, Prekker ME, Mohamed A, Johnson N, </w:t>
            </w:r>
            <w:proofErr w:type="spellStart"/>
            <w:r w:rsidRPr="00D8241F">
              <w:rPr>
                <w:rFonts w:asciiTheme="majorBidi" w:hAnsiTheme="majorBidi" w:cstheme="majorBidi"/>
                <w:color w:val="auto"/>
                <w:sz w:val="24"/>
                <w:szCs w:val="24"/>
              </w:rPr>
              <w:t>Steingrub</w:t>
            </w:r>
            <w:proofErr w:type="spellEnd"/>
            <w:r w:rsidRPr="00D8241F">
              <w:rPr>
                <w:rFonts w:asciiTheme="majorBidi" w:hAnsiTheme="majorBidi" w:cstheme="majorBidi"/>
                <w:color w:val="auto"/>
                <w:sz w:val="24"/>
                <w:szCs w:val="24"/>
              </w:rPr>
              <w:t xml:space="preserve"> JS, Khan A, Felzer JR, Duggal A, Wilson JG, Qadir N, Mallow C, Kwon JH, Columbus C, Vaughn IA, Safdar B, Mosier JM, Harris ES, Chappell JD, Halasa N, Johnson C, Natarajan K, Lewis NM, Ellington S, Reeves EL, </w:t>
            </w:r>
            <w:proofErr w:type="spellStart"/>
            <w:r w:rsidRPr="00D8241F">
              <w:rPr>
                <w:rFonts w:asciiTheme="majorBidi" w:hAnsiTheme="majorBidi" w:cstheme="majorBidi"/>
                <w:color w:val="auto"/>
                <w:sz w:val="24"/>
                <w:szCs w:val="24"/>
              </w:rPr>
              <w:t>DeCuir</w:t>
            </w:r>
            <w:proofErr w:type="spellEnd"/>
            <w:r w:rsidRPr="00D8241F">
              <w:rPr>
                <w:rFonts w:asciiTheme="majorBidi" w:hAnsiTheme="majorBidi" w:cstheme="majorBidi"/>
                <w:color w:val="auto"/>
                <w:sz w:val="24"/>
                <w:szCs w:val="24"/>
              </w:rPr>
              <w:t xml:space="preserve"> J, McMorrow M, Paden CR, Payne AB, Dawood FS, Surie D; CDC COVID-19 Vaccine Effectiveness Collaborators. Interim estimates of 2024–2025 COVID-19 vaccine effectiveness among adults aged ≥18 years — VISION and IVY Networks, September 2024–January 2025. MMWR Morbidity and Mortality Weekly Report. 2025;74(6).</w:t>
            </w:r>
          </w:p>
        </w:tc>
        <w:tc>
          <w:tcPr>
            <w:tcW w:w="5938" w:type="dxa"/>
          </w:tcPr>
          <w:p w14:paraId="3765FE0C" w14:textId="77777777" w:rsidR="009405C7" w:rsidRPr="00D8241F" w:rsidRDefault="009405C7" w:rsidP="009405C7">
            <w:pPr>
              <w:pStyle w:val="MDPI31text"/>
              <w:ind w:left="0" w:firstLine="0"/>
              <w:rPr>
                <w:rFonts w:asciiTheme="majorBidi" w:hAnsiTheme="majorBidi" w:cstheme="majorBidi"/>
                <w:color w:val="auto"/>
                <w:sz w:val="24"/>
                <w:szCs w:val="24"/>
              </w:rPr>
            </w:pPr>
            <w:r w:rsidRPr="00D8241F">
              <w:rPr>
                <w:rFonts w:asciiTheme="majorBidi" w:hAnsiTheme="majorBidi" w:cstheme="majorBidi"/>
                <w:color w:val="auto"/>
                <w:sz w:val="24"/>
                <w:szCs w:val="24"/>
              </w:rPr>
              <w:t>Outside the prespecified review scope. This study evaluates 2024–2025 seasonal COVID-19 vaccines targeting JN.1-derived lineages and reports interim effectiveness estimates during September 2024–January 2025, representing a subsequent vaccine formulation and season beyond the 2023–2024 updated (XBB.1.5-based) vaccines that are the focus of this review. Inclusion would extend the temporal scope and risk over-representation of surveillance updates from the same VISION/IVY networks already considered. Consequently, the study was excluded to maintain consistency with the predefined analytic window and vaccine formulations synthesised here.</w:t>
            </w:r>
          </w:p>
        </w:tc>
      </w:tr>
      <w:tr w:rsidR="009405C7" w14:paraId="6EF6C4D1" w14:textId="77777777" w:rsidTr="00B20255">
        <w:tc>
          <w:tcPr>
            <w:tcW w:w="5403" w:type="dxa"/>
          </w:tcPr>
          <w:p w14:paraId="681B63EA" w14:textId="51189231" w:rsidR="009405C7" w:rsidRPr="00D8241F" w:rsidRDefault="00D8241F" w:rsidP="009405C7">
            <w:pPr>
              <w:pStyle w:val="MDPI31text"/>
              <w:ind w:left="0" w:firstLine="0"/>
              <w:rPr>
                <w:rFonts w:asciiTheme="majorBidi" w:hAnsiTheme="majorBidi" w:cstheme="majorBidi"/>
                <w:color w:val="auto"/>
                <w:sz w:val="24"/>
                <w:szCs w:val="24"/>
              </w:rPr>
            </w:pPr>
            <w:r w:rsidRPr="00D8241F">
              <w:rPr>
                <w:rFonts w:asciiTheme="majorBidi" w:hAnsiTheme="majorBidi" w:cstheme="majorBidi"/>
                <w:color w:val="auto"/>
                <w:sz w:val="24"/>
                <w:szCs w:val="24"/>
              </w:rPr>
              <w:t xml:space="preserve">Link-Gelles R, Ciesla AA, Mak J, Miller JD, Silk BJ, Lambrou AS, Paden CR, Shirk P, Britton A, Smith ZR, Fleming-Dutra KE. Early estimates of updated 2023–2024 (monovalent XBB.1.5) COVID-19 vaccine effectiveness against symptomatic SARS-CoV-2 infection attributable to co-circulating Omicron variants among immunocompetent adults — Increasing Community Access to Testing Program, </w:t>
            </w:r>
            <w:r w:rsidRPr="00D8241F">
              <w:rPr>
                <w:rFonts w:asciiTheme="majorBidi" w:hAnsiTheme="majorBidi" w:cstheme="majorBidi"/>
                <w:color w:val="auto"/>
                <w:sz w:val="24"/>
                <w:szCs w:val="24"/>
              </w:rPr>
              <w:lastRenderedPageBreak/>
              <w:t>United States, September 2023–January 2024. MMWR Morbidity and Mortality Weekly Report. 2024;73(4):77–83.</w:t>
            </w:r>
          </w:p>
        </w:tc>
        <w:tc>
          <w:tcPr>
            <w:tcW w:w="5938" w:type="dxa"/>
          </w:tcPr>
          <w:p w14:paraId="7DD4FCE4" w14:textId="6434BEF9" w:rsidR="009405C7" w:rsidRPr="00D8241F" w:rsidRDefault="009405C7" w:rsidP="009405C7">
            <w:pPr>
              <w:pStyle w:val="MDPI31text"/>
              <w:ind w:left="0" w:firstLine="0"/>
              <w:rPr>
                <w:rFonts w:asciiTheme="majorBidi" w:hAnsiTheme="majorBidi" w:cstheme="majorBidi"/>
                <w:color w:val="auto"/>
                <w:sz w:val="24"/>
                <w:szCs w:val="24"/>
              </w:rPr>
            </w:pPr>
            <w:r w:rsidRPr="00D8241F">
              <w:rPr>
                <w:rFonts w:asciiTheme="majorBidi" w:hAnsiTheme="majorBidi" w:cstheme="majorBidi"/>
                <w:color w:val="auto"/>
                <w:sz w:val="24"/>
                <w:szCs w:val="24"/>
              </w:rPr>
              <w:lastRenderedPageBreak/>
              <w:t xml:space="preserve">Outside the prespecified review scope. This interim surveillance analysis reports early, proxy-based estimates of incremental vaccine effectiveness of a 2023–2024 monovalent XBB.1.5 dose against symptomatic SARS-CoV-2 infection only, using a mixed comparator (“no updated dose”) that includes previously vaccinated individuals. The outcome focus, comparator framework, and interim surveillance design are not directly comparable </w:t>
            </w:r>
            <w:r w:rsidRPr="00D8241F">
              <w:rPr>
                <w:rFonts w:asciiTheme="majorBidi" w:hAnsiTheme="majorBidi" w:cstheme="majorBidi"/>
                <w:color w:val="auto"/>
                <w:sz w:val="24"/>
                <w:szCs w:val="24"/>
              </w:rPr>
              <w:lastRenderedPageBreak/>
              <w:t xml:space="preserve">with the </w:t>
            </w:r>
            <w:r w:rsidR="000244C3" w:rsidRPr="00D8241F">
              <w:rPr>
                <w:rFonts w:asciiTheme="majorBidi" w:hAnsiTheme="majorBidi" w:cstheme="majorBidi"/>
                <w:color w:val="auto"/>
                <w:sz w:val="24"/>
                <w:szCs w:val="24"/>
              </w:rPr>
              <w:t>harmonized</w:t>
            </w:r>
            <w:r w:rsidRPr="00D8241F">
              <w:rPr>
                <w:rFonts w:asciiTheme="majorBidi" w:hAnsiTheme="majorBidi" w:cstheme="majorBidi"/>
                <w:color w:val="auto"/>
                <w:sz w:val="24"/>
                <w:szCs w:val="24"/>
              </w:rPr>
              <w:t xml:space="preserve"> absolute or standardised relative vaccine-effectiveness analyses synthesised in this review.</w:t>
            </w:r>
          </w:p>
        </w:tc>
      </w:tr>
      <w:tr w:rsidR="009405C7" w14:paraId="48B7FDD4" w14:textId="77777777" w:rsidTr="00B20255">
        <w:tc>
          <w:tcPr>
            <w:tcW w:w="5403" w:type="dxa"/>
          </w:tcPr>
          <w:p w14:paraId="0BE967DC" w14:textId="15DD8AFD" w:rsidR="009405C7" w:rsidRPr="003A3F2D" w:rsidRDefault="003A3F2D" w:rsidP="009405C7">
            <w:pPr>
              <w:pStyle w:val="MDPI31text"/>
              <w:ind w:left="0" w:firstLine="0"/>
              <w:rPr>
                <w:rFonts w:asciiTheme="majorBidi" w:hAnsiTheme="majorBidi" w:cstheme="majorBidi"/>
                <w:color w:val="auto"/>
                <w:sz w:val="24"/>
                <w:szCs w:val="24"/>
              </w:rPr>
            </w:pPr>
            <w:r w:rsidRPr="003A3F2D">
              <w:rPr>
                <w:rFonts w:asciiTheme="majorBidi" w:hAnsiTheme="majorBidi" w:cstheme="majorBidi"/>
                <w:color w:val="auto"/>
                <w:sz w:val="24"/>
                <w:szCs w:val="24"/>
                <w:lang w:val="en-GB"/>
              </w:rPr>
              <w:lastRenderedPageBreak/>
              <w:t xml:space="preserve">Link-Gelles R, Levy ME, Natarajan K, Reese SE, Naleway AL, Grannis SJ, Klein NP, DeSilva MB, Ong TC, Gaglani M, Hartmann E, Dickerson M, Stenehjem E, Kharbanda AB, Han J, Spark TL, Irving SA, Dixon BE, Zerbo O, McEvoy CE, Rao S, </w:t>
            </w:r>
            <w:proofErr w:type="spellStart"/>
            <w:r w:rsidRPr="003A3F2D">
              <w:rPr>
                <w:rFonts w:asciiTheme="majorBidi" w:hAnsiTheme="majorBidi" w:cstheme="majorBidi"/>
                <w:color w:val="auto"/>
                <w:sz w:val="24"/>
                <w:szCs w:val="24"/>
                <w:lang w:val="en-GB"/>
              </w:rPr>
              <w:t>Raiyani</w:t>
            </w:r>
            <w:proofErr w:type="spellEnd"/>
            <w:r w:rsidRPr="003A3F2D">
              <w:rPr>
                <w:rFonts w:asciiTheme="majorBidi" w:hAnsiTheme="majorBidi" w:cstheme="majorBidi"/>
                <w:color w:val="auto"/>
                <w:sz w:val="24"/>
                <w:szCs w:val="24"/>
                <w:lang w:val="en-GB"/>
              </w:rPr>
              <w:t xml:space="preserve"> C, Sloan-Aagard C, Patel P, Dascomb K, Uhlemann A-C, Dunne MM, Fadel WF, Lewis N, Barron MA, Murthy K, Nanez J, Griggs EP, Grisel N, </w:t>
            </w:r>
            <w:proofErr w:type="spellStart"/>
            <w:r w:rsidRPr="003A3F2D">
              <w:rPr>
                <w:rFonts w:asciiTheme="majorBidi" w:hAnsiTheme="majorBidi" w:cstheme="majorBidi"/>
                <w:color w:val="auto"/>
                <w:sz w:val="24"/>
                <w:szCs w:val="24"/>
                <w:lang w:val="en-GB"/>
              </w:rPr>
              <w:t>Annavajhala</w:t>
            </w:r>
            <w:proofErr w:type="spellEnd"/>
            <w:r w:rsidRPr="003A3F2D">
              <w:rPr>
                <w:rFonts w:asciiTheme="majorBidi" w:hAnsiTheme="majorBidi" w:cstheme="majorBidi"/>
                <w:color w:val="auto"/>
                <w:sz w:val="24"/>
                <w:szCs w:val="24"/>
                <w:lang w:val="en-GB"/>
              </w:rPr>
              <w:t xml:space="preserve"> MK, </w:t>
            </w:r>
            <w:proofErr w:type="spellStart"/>
            <w:r w:rsidRPr="003A3F2D">
              <w:rPr>
                <w:rFonts w:asciiTheme="majorBidi" w:hAnsiTheme="majorBidi" w:cstheme="majorBidi"/>
                <w:color w:val="auto"/>
                <w:sz w:val="24"/>
                <w:szCs w:val="24"/>
                <w:lang w:val="en-GB"/>
              </w:rPr>
              <w:t>Akinseye</w:t>
            </w:r>
            <w:proofErr w:type="spellEnd"/>
            <w:r w:rsidRPr="003A3F2D">
              <w:rPr>
                <w:rFonts w:asciiTheme="majorBidi" w:hAnsiTheme="majorBidi" w:cstheme="majorBidi"/>
                <w:color w:val="auto"/>
                <w:sz w:val="24"/>
                <w:szCs w:val="24"/>
                <w:lang w:val="en-GB"/>
              </w:rPr>
              <w:t xml:space="preserve"> A, Valvi NR, Goddard K, </w:t>
            </w:r>
            <w:proofErr w:type="spellStart"/>
            <w:r w:rsidRPr="003A3F2D">
              <w:rPr>
                <w:rFonts w:asciiTheme="majorBidi" w:hAnsiTheme="majorBidi" w:cstheme="majorBidi"/>
                <w:color w:val="auto"/>
                <w:sz w:val="24"/>
                <w:szCs w:val="24"/>
                <w:lang w:val="en-GB"/>
              </w:rPr>
              <w:t>Mamawala</w:t>
            </w:r>
            <w:proofErr w:type="spellEnd"/>
            <w:r w:rsidRPr="003A3F2D">
              <w:rPr>
                <w:rFonts w:asciiTheme="majorBidi" w:hAnsiTheme="majorBidi" w:cstheme="majorBidi"/>
                <w:color w:val="auto"/>
                <w:sz w:val="24"/>
                <w:szCs w:val="24"/>
                <w:lang w:val="en-GB"/>
              </w:rPr>
              <w:t xml:space="preserve"> M, Arndorfer J, Yang D-H, </w:t>
            </w:r>
            <w:proofErr w:type="spellStart"/>
            <w:r w:rsidRPr="003A3F2D">
              <w:rPr>
                <w:rFonts w:asciiTheme="majorBidi" w:hAnsiTheme="majorBidi" w:cstheme="majorBidi"/>
                <w:color w:val="auto"/>
                <w:sz w:val="24"/>
                <w:szCs w:val="24"/>
                <w:lang w:val="en-GB"/>
              </w:rPr>
              <w:t>Embí</w:t>
            </w:r>
            <w:proofErr w:type="spellEnd"/>
            <w:r w:rsidRPr="003A3F2D">
              <w:rPr>
                <w:rFonts w:asciiTheme="majorBidi" w:hAnsiTheme="majorBidi" w:cstheme="majorBidi"/>
                <w:color w:val="auto"/>
                <w:sz w:val="24"/>
                <w:szCs w:val="24"/>
                <w:lang w:val="en-GB"/>
              </w:rPr>
              <w:t xml:space="preserve"> PJ, Fireman B, Ball SW, </w:t>
            </w:r>
            <w:proofErr w:type="spellStart"/>
            <w:r w:rsidRPr="003A3F2D">
              <w:rPr>
                <w:rFonts w:asciiTheme="majorBidi" w:hAnsiTheme="majorBidi" w:cstheme="majorBidi"/>
                <w:color w:val="auto"/>
                <w:sz w:val="24"/>
                <w:szCs w:val="24"/>
                <w:lang w:val="en-GB"/>
              </w:rPr>
              <w:t>Tenforde</w:t>
            </w:r>
            <w:proofErr w:type="spellEnd"/>
            <w:r w:rsidRPr="003A3F2D">
              <w:rPr>
                <w:rFonts w:asciiTheme="majorBidi" w:hAnsiTheme="majorBidi" w:cstheme="majorBidi"/>
                <w:color w:val="auto"/>
                <w:sz w:val="24"/>
                <w:szCs w:val="24"/>
                <w:lang w:val="en-GB"/>
              </w:rPr>
              <w:t xml:space="preserve"> MW. </w:t>
            </w:r>
            <w:r w:rsidRPr="003A3F2D">
              <w:rPr>
                <w:rFonts w:asciiTheme="majorBidi" w:hAnsiTheme="majorBidi" w:cstheme="majorBidi"/>
                <w:color w:val="auto"/>
                <w:sz w:val="24"/>
                <w:szCs w:val="24"/>
                <w:lang w:val="en-AU"/>
              </w:rPr>
              <w:t xml:space="preserve">Estimation of COVID-19 mRNA vaccine effectiveness and COVID-19 illness and severity by vaccination status during Omicron BA.4 and BA.5 sublineage periods. </w:t>
            </w:r>
            <w:r w:rsidRPr="003A3F2D">
              <w:rPr>
                <w:rFonts w:asciiTheme="majorBidi" w:hAnsiTheme="majorBidi" w:cstheme="majorBidi"/>
                <w:color w:val="auto"/>
                <w:sz w:val="24"/>
                <w:szCs w:val="24"/>
                <w:lang w:val="nb-NO"/>
              </w:rPr>
              <w:t>JAMA Network Open. 2023;6(3):e232598. doi:10.1001/jamanetworkopen.2023.2598.</w:t>
            </w:r>
          </w:p>
        </w:tc>
        <w:tc>
          <w:tcPr>
            <w:tcW w:w="5938" w:type="dxa"/>
          </w:tcPr>
          <w:p w14:paraId="144225FC" w14:textId="46B64364" w:rsidR="009405C7" w:rsidRPr="003A3F2D" w:rsidRDefault="009405C7" w:rsidP="009405C7">
            <w:pPr>
              <w:pStyle w:val="MDPI31text"/>
              <w:ind w:left="0" w:firstLine="0"/>
              <w:rPr>
                <w:rFonts w:asciiTheme="majorBidi" w:hAnsiTheme="majorBidi" w:cstheme="majorBidi"/>
                <w:color w:val="auto"/>
                <w:sz w:val="24"/>
                <w:szCs w:val="24"/>
              </w:rPr>
            </w:pPr>
            <w:r w:rsidRPr="003A3F2D">
              <w:rPr>
                <w:rFonts w:asciiTheme="majorBidi" w:hAnsiTheme="majorBidi" w:cstheme="majorBidi"/>
                <w:color w:val="auto"/>
                <w:sz w:val="24"/>
                <w:szCs w:val="24"/>
              </w:rPr>
              <w:t>Outside the prespecified review scope. This VISION Network test-negative case–control study evaluates the effectiveness of ancestral mRNA vaccines and early booster doses during early Omicron BA.4/BA.5 predominance (2022) and does not assess late-Omicron sub-lineages (e.g., XBB, JN.1, KP) or the effectiveness of updated, variant-adapted COVID-19 vaccines that are the focus of this review.</w:t>
            </w:r>
          </w:p>
        </w:tc>
      </w:tr>
      <w:tr w:rsidR="009405C7" w14:paraId="33BA9EB9" w14:textId="77777777" w:rsidTr="00B20255">
        <w:tc>
          <w:tcPr>
            <w:tcW w:w="5403" w:type="dxa"/>
          </w:tcPr>
          <w:p w14:paraId="55917A37" w14:textId="63FC018D" w:rsidR="009405C7" w:rsidRPr="00396643" w:rsidRDefault="00396643" w:rsidP="009405C7">
            <w:pPr>
              <w:pStyle w:val="MDPI31text"/>
              <w:ind w:left="0" w:firstLine="0"/>
              <w:rPr>
                <w:rFonts w:asciiTheme="majorBidi" w:hAnsiTheme="majorBidi" w:cstheme="majorBidi"/>
                <w:color w:val="auto"/>
                <w:sz w:val="24"/>
                <w:szCs w:val="24"/>
              </w:rPr>
            </w:pPr>
            <w:r w:rsidRPr="00396643">
              <w:rPr>
                <w:rFonts w:asciiTheme="majorBidi" w:hAnsiTheme="majorBidi" w:cstheme="majorBidi"/>
                <w:color w:val="auto"/>
                <w:sz w:val="24"/>
                <w:szCs w:val="24"/>
                <w:lang w:val="en-AU"/>
              </w:rPr>
              <w:t xml:space="preserve">Liu B, Gidding H, Stepien S, </w:t>
            </w:r>
            <w:proofErr w:type="spellStart"/>
            <w:r w:rsidRPr="00396643">
              <w:rPr>
                <w:rFonts w:asciiTheme="majorBidi" w:hAnsiTheme="majorBidi" w:cstheme="majorBidi"/>
                <w:color w:val="auto"/>
                <w:sz w:val="24"/>
                <w:szCs w:val="24"/>
                <w:lang w:val="en-AU"/>
              </w:rPr>
              <w:t>Cretikos</w:t>
            </w:r>
            <w:proofErr w:type="spellEnd"/>
            <w:r w:rsidRPr="00396643">
              <w:rPr>
                <w:rFonts w:asciiTheme="majorBidi" w:hAnsiTheme="majorBidi" w:cstheme="majorBidi"/>
                <w:color w:val="auto"/>
                <w:sz w:val="24"/>
                <w:szCs w:val="24"/>
                <w:lang w:val="en-AU"/>
              </w:rPr>
              <w:t xml:space="preserve"> M, Macartney K. Relative effectiveness of COVID-19 vaccination with 3 compared to 2 doses against SARS-CoV-2 Omicron among an Australian population with low prior rates of infection. </w:t>
            </w:r>
            <w:proofErr w:type="spellStart"/>
            <w:r w:rsidRPr="00396643">
              <w:rPr>
                <w:rFonts w:asciiTheme="majorBidi" w:hAnsiTheme="majorBidi" w:cstheme="majorBidi"/>
                <w:color w:val="auto"/>
                <w:sz w:val="24"/>
                <w:szCs w:val="24"/>
                <w:lang w:val="nb-NO"/>
              </w:rPr>
              <w:t>Vaccine</w:t>
            </w:r>
            <w:proofErr w:type="spellEnd"/>
            <w:r w:rsidRPr="00396643">
              <w:rPr>
                <w:rFonts w:asciiTheme="majorBidi" w:hAnsiTheme="majorBidi" w:cstheme="majorBidi"/>
                <w:color w:val="auto"/>
                <w:sz w:val="24"/>
                <w:szCs w:val="24"/>
                <w:lang w:val="nb-NO"/>
              </w:rPr>
              <w:t>. 2022;40(45):6288–6294. doi:10.1016/j.vaccine.2022.09.029.</w:t>
            </w:r>
          </w:p>
        </w:tc>
        <w:tc>
          <w:tcPr>
            <w:tcW w:w="5938" w:type="dxa"/>
          </w:tcPr>
          <w:p w14:paraId="490A85C4" w14:textId="4F1BC4B3" w:rsidR="009405C7" w:rsidRPr="00396643" w:rsidRDefault="009405C7" w:rsidP="009405C7">
            <w:pPr>
              <w:pStyle w:val="MDPI31text"/>
              <w:ind w:left="0" w:firstLine="0"/>
              <w:rPr>
                <w:rFonts w:asciiTheme="majorBidi" w:hAnsiTheme="majorBidi" w:cstheme="majorBidi"/>
                <w:color w:val="auto"/>
                <w:sz w:val="24"/>
                <w:szCs w:val="24"/>
              </w:rPr>
            </w:pPr>
            <w:r w:rsidRPr="00396643">
              <w:rPr>
                <w:rFonts w:asciiTheme="majorBidi" w:hAnsiTheme="majorBidi" w:cstheme="majorBidi"/>
                <w:color w:val="auto"/>
                <w:sz w:val="24"/>
                <w:szCs w:val="24"/>
              </w:rPr>
              <w:t xml:space="preserve">Outside the prespecified review scope. This cohort study was conducted during an early Omicron (BA.1) period and evaluates relative vaccine effectiveness of three versus two doses using ancestral vaccine formulations. It predates later Omicron subvariants and updated or variant-adapted vaccines </w:t>
            </w:r>
            <w:r w:rsidR="00AA15B8" w:rsidRPr="00396643">
              <w:rPr>
                <w:rFonts w:asciiTheme="majorBidi" w:hAnsiTheme="majorBidi" w:cstheme="majorBidi"/>
                <w:color w:val="auto"/>
                <w:sz w:val="24"/>
                <w:szCs w:val="24"/>
              </w:rPr>
              <w:t>prioritized</w:t>
            </w:r>
            <w:r w:rsidRPr="00396643">
              <w:rPr>
                <w:rFonts w:asciiTheme="majorBidi" w:hAnsiTheme="majorBidi" w:cstheme="majorBidi"/>
                <w:color w:val="auto"/>
                <w:sz w:val="24"/>
                <w:szCs w:val="24"/>
              </w:rPr>
              <w:t xml:space="preserve"> in this review, and the relative-effectiveness framework is not directly comparable with the population-based vaccine-effectiveness estimates against severe COVID-19 outcomes synthesised here.</w:t>
            </w:r>
          </w:p>
        </w:tc>
      </w:tr>
      <w:tr w:rsidR="00B20255" w14:paraId="2448E893" w14:textId="77777777" w:rsidTr="00B20255">
        <w:tc>
          <w:tcPr>
            <w:tcW w:w="5403" w:type="dxa"/>
          </w:tcPr>
          <w:p w14:paraId="357DC8A6" w14:textId="4E8104F2" w:rsidR="00B20255" w:rsidRPr="00950AFE" w:rsidRDefault="00B20255" w:rsidP="00B20255">
            <w:pPr>
              <w:pStyle w:val="MDPI31text"/>
              <w:ind w:left="0" w:firstLine="0"/>
              <w:rPr>
                <w:rFonts w:asciiTheme="majorBidi" w:hAnsiTheme="majorBidi" w:cstheme="majorBidi"/>
                <w:color w:val="EE0000"/>
                <w:sz w:val="24"/>
                <w:szCs w:val="24"/>
                <w:lang w:val="nb-NO"/>
              </w:rPr>
            </w:pPr>
            <w:r w:rsidRPr="00B20255">
              <w:rPr>
                <w:rFonts w:asciiTheme="majorBidi" w:hAnsiTheme="majorBidi" w:cstheme="majorBidi"/>
                <w:color w:val="auto"/>
                <w:sz w:val="24"/>
                <w:szCs w:val="24"/>
              </w:rPr>
              <w:t>Liu B, Scaria A, Stepien S, Macartney K. Effectiveness of COVID-19 vaccine boosters for reducing COVID-19 mortality among people aged ≥65 years, Australia, August 2023–February 2024: a retrospective observational cohort study. Med J Aust. 2025;223(8):418–422. https://doi.org/10.5694/mja2.70015</w:t>
            </w:r>
          </w:p>
        </w:tc>
        <w:tc>
          <w:tcPr>
            <w:tcW w:w="5938" w:type="dxa"/>
          </w:tcPr>
          <w:p w14:paraId="35875808" w14:textId="46A789F6" w:rsidR="00B20255" w:rsidRPr="00950AFE" w:rsidRDefault="00B20255" w:rsidP="00B20255">
            <w:pPr>
              <w:pStyle w:val="MDPI31text"/>
              <w:ind w:left="0" w:firstLine="0"/>
              <w:rPr>
                <w:rFonts w:asciiTheme="majorBidi" w:hAnsiTheme="majorBidi" w:cstheme="majorBidi"/>
                <w:color w:val="EE0000"/>
                <w:sz w:val="24"/>
                <w:szCs w:val="24"/>
              </w:rPr>
            </w:pPr>
            <w:r w:rsidRPr="00B20255">
              <w:rPr>
                <w:rFonts w:asciiTheme="majorBidi" w:hAnsiTheme="majorBidi" w:cstheme="majorBidi"/>
                <w:color w:val="auto"/>
                <w:sz w:val="24"/>
                <w:szCs w:val="24"/>
              </w:rPr>
              <w:t>Outside the prespecified review scope. This retrospective national cohort study evaluates the relative effectiveness of COVID-19 booster vaccination against COVID-19–specific mortality only among adults aged ≥65 years. The study does not report vaccine effectiveness against SARS-CoV-2 infection or hospitalization and uses a booster-recency comparator (recent booster vs &gt;365 days since any booster) rather than absolute vaccine effectiveness versus unvaccinated individuals or standardised relative vaccine effectiveness frameworks applied in this review. Consequently, its outcome scope and comparator structure are not directly comparable with the Omicron subvariant-specific vaccine effectiveness analyses synthesised here.</w:t>
            </w:r>
          </w:p>
        </w:tc>
      </w:tr>
      <w:tr w:rsidR="009405C7" w14:paraId="6E01FDC7" w14:textId="77777777" w:rsidTr="00B20255">
        <w:tc>
          <w:tcPr>
            <w:tcW w:w="5403" w:type="dxa"/>
          </w:tcPr>
          <w:p w14:paraId="1967F5FA" w14:textId="75E2D0FA" w:rsidR="009405C7" w:rsidRPr="00101745" w:rsidRDefault="00101745" w:rsidP="009405C7">
            <w:pPr>
              <w:pStyle w:val="MDPI31text"/>
              <w:ind w:left="0" w:firstLine="0"/>
              <w:rPr>
                <w:rFonts w:asciiTheme="majorBidi" w:hAnsiTheme="majorBidi" w:cstheme="majorBidi"/>
                <w:color w:val="auto"/>
                <w:sz w:val="24"/>
                <w:szCs w:val="24"/>
              </w:rPr>
            </w:pPr>
            <w:r w:rsidRPr="00101745">
              <w:rPr>
                <w:rFonts w:asciiTheme="majorBidi" w:hAnsiTheme="majorBidi" w:cstheme="majorBidi"/>
                <w:color w:val="auto"/>
                <w:sz w:val="24"/>
                <w:szCs w:val="24"/>
                <w:lang w:val="en-AU"/>
              </w:rPr>
              <w:t xml:space="preserve">Liu B, Stepien S, Dobbins T, Gidding H, Henry D, Korda R, Mills L, Pearson S-A, Pratt N, </w:t>
            </w:r>
            <w:proofErr w:type="spellStart"/>
            <w:r w:rsidRPr="00101745">
              <w:rPr>
                <w:rFonts w:asciiTheme="majorBidi" w:hAnsiTheme="majorBidi" w:cstheme="majorBidi"/>
                <w:color w:val="auto"/>
                <w:sz w:val="24"/>
                <w:szCs w:val="24"/>
                <w:lang w:val="en-AU"/>
              </w:rPr>
              <w:t>Vajdic</w:t>
            </w:r>
            <w:proofErr w:type="spellEnd"/>
            <w:r w:rsidRPr="00101745">
              <w:rPr>
                <w:rFonts w:asciiTheme="majorBidi" w:hAnsiTheme="majorBidi" w:cstheme="majorBidi"/>
                <w:color w:val="auto"/>
                <w:sz w:val="24"/>
                <w:szCs w:val="24"/>
                <w:lang w:val="en-AU"/>
              </w:rPr>
              <w:t xml:space="preserve"> CM, Welsh J, Macartney K. Effectiveness of COVID-19 vaccination against COVID-19-specific and all-cause mortality in older Australians: a population-based study. </w:t>
            </w:r>
            <w:r w:rsidRPr="00101745">
              <w:rPr>
                <w:rFonts w:asciiTheme="majorBidi" w:hAnsiTheme="majorBidi" w:cstheme="majorBidi"/>
                <w:color w:val="auto"/>
                <w:sz w:val="24"/>
                <w:szCs w:val="24"/>
                <w:lang w:val="nb-NO"/>
              </w:rPr>
              <w:t xml:space="preserve">The </w:t>
            </w:r>
            <w:proofErr w:type="spellStart"/>
            <w:r w:rsidRPr="00101745">
              <w:rPr>
                <w:rFonts w:asciiTheme="majorBidi" w:hAnsiTheme="majorBidi" w:cstheme="majorBidi"/>
                <w:color w:val="auto"/>
                <w:sz w:val="24"/>
                <w:szCs w:val="24"/>
                <w:lang w:val="nb-NO"/>
              </w:rPr>
              <w:t>Lancet</w:t>
            </w:r>
            <w:proofErr w:type="spellEnd"/>
            <w:r w:rsidRPr="00101745">
              <w:rPr>
                <w:rFonts w:asciiTheme="majorBidi" w:hAnsiTheme="majorBidi" w:cstheme="majorBidi"/>
                <w:color w:val="auto"/>
                <w:sz w:val="24"/>
                <w:szCs w:val="24"/>
                <w:lang w:val="nb-NO"/>
              </w:rPr>
              <w:t xml:space="preserve"> Regional Health – Western Pacific. 2023;40:100928. doi:10.1016/j.lanwpc.2023.100928.</w:t>
            </w:r>
          </w:p>
        </w:tc>
        <w:tc>
          <w:tcPr>
            <w:tcW w:w="5938" w:type="dxa"/>
          </w:tcPr>
          <w:p w14:paraId="44543855" w14:textId="354A0EB1" w:rsidR="009405C7" w:rsidRPr="00101745" w:rsidRDefault="009405C7" w:rsidP="009405C7">
            <w:pPr>
              <w:pStyle w:val="MDPI31text"/>
              <w:ind w:left="0" w:firstLine="0"/>
              <w:rPr>
                <w:rFonts w:asciiTheme="majorBidi" w:hAnsiTheme="majorBidi" w:cstheme="majorBidi"/>
                <w:color w:val="auto"/>
                <w:sz w:val="24"/>
                <w:szCs w:val="24"/>
              </w:rPr>
            </w:pPr>
            <w:r w:rsidRPr="00101745">
              <w:rPr>
                <w:rFonts w:asciiTheme="majorBidi" w:hAnsiTheme="majorBidi" w:cstheme="majorBidi"/>
                <w:color w:val="auto"/>
                <w:sz w:val="24"/>
                <w:szCs w:val="24"/>
              </w:rPr>
              <w:t xml:space="preserve">Outside the prespecified review scope. This population-based cohort study evaluates vaccine effectiveness against COVID-19-specific and all-cause mortality during 2022, encompassing early Omicron (BA.1/BA.2 and BA.4/BA.5) circulation and pre-updated vaccine formulations. It predates the emergence of later Omicron subvariants and the introduction of updated or variant-adapted vaccines </w:t>
            </w:r>
            <w:r w:rsidR="00AA15B8" w:rsidRPr="00101745">
              <w:rPr>
                <w:rFonts w:asciiTheme="majorBidi" w:hAnsiTheme="majorBidi" w:cstheme="majorBidi"/>
                <w:color w:val="auto"/>
                <w:sz w:val="24"/>
                <w:szCs w:val="24"/>
              </w:rPr>
              <w:t>prioritized</w:t>
            </w:r>
            <w:r w:rsidRPr="00101745">
              <w:rPr>
                <w:rFonts w:asciiTheme="majorBidi" w:hAnsiTheme="majorBidi" w:cstheme="majorBidi"/>
                <w:color w:val="auto"/>
                <w:sz w:val="24"/>
                <w:szCs w:val="24"/>
              </w:rPr>
              <w:t xml:space="preserve"> in this review, and therefore does not provide </w:t>
            </w:r>
            <w:r w:rsidRPr="00101745">
              <w:rPr>
                <w:rFonts w:asciiTheme="majorBidi" w:hAnsiTheme="majorBidi" w:cstheme="majorBidi"/>
                <w:color w:val="auto"/>
                <w:sz w:val="24"/>
                <w:szCs w:val="24"/>
              </w:rPr>
              <w:lastRenderedPageBreak/>
              <w:t>effectiveness estimates relevant to the contemporary Omicron period synthesised here.</w:t>
            </w:r>
          </w:p>
        </w:tc>
      </w:tr>
      <w:tr w:rsidR="009405C7" w14:paraId="774C7DD1" w14:textId="77777777" w:rsidTr="00B20255">
        <w:tc>
          <w:tcPr>
            <w:tcW w:w="5403" w:type="dxa"/>
          </w:tcPr>
          <w:p w14:paraId="5D71A085" w14:textId="5148ED70" w:rsidR="009405C7" w:rsidRPr="00101745" w:rsidRDefault="00101745" w:rsidP="009405C7">
            <w:pPr>
              <w:pStyle w:val="MDPI31text"/>
              <w:ind w:left="0" w:firstLine="0"/>
              <w:rPr>
                <w:rFonts w:asciiTheme="majorBidi" w:hAnsiTheme="majorBidi" w:cstheme="majorBidi"/>
                <w:color w:val="auto"/>
                <w:sz w:val="24"/>
                <w:szCs w:val="24"/>
              </w:rPr>
            </w:pPr>
            <w:r w:rsidRPr="00101745">
              <w:rPr>
                <w:rFonts w:asciiTheme="majorBidi" w:hAnsiTheme="majorBidi" w:cstheme="majorBidi"/>
                <w:color w:val="auto"/>
                <w:sz w:val="24"/>
                <w:szCs w:val="24"/>
              </w:rPr>
              <w:lastRenderedPageBreak/>
              <w:t>Liu B, Stepien S, Qian J, Gidding H, Nicolopoulos K, Amin J, Cheng A, Macartney K. Comparative effectiveness of four COVID-19 vaccines against SARS-CoV-2 B.1.1.529 (Omicron) infection. Vaccine. 2023;41(35):5587–5591. doi:10.1016/j.vaccine.2023.07.050.</w:t>
            </w:r>
          </w:p>
        </w:tc>
        <w:tc>
          <w:tcPr>
            <w:tcW w:w="5938" w:type="dxa"/>
          </w:tcPr>
          <w:p w14:paraId="6B27F770" w14:textId="74AF29F0" w:rsidR="009405C7" w:rsidRPr="00101745" w:rsidRDefault="009405C7" w:rsidP="009405C7">
            <w:pPr>
              <w:pStyle w:val="MDPI31text"/>
              <w:ind w:left="0" w:firstLine="0"/>
              <w:rPr>
                <w:rFonts w:asciiTheme="majorBidi" w:hAnsiTheme="majorBidi" w:cstheme="majorBidi"/>
                <w:color w:val="auto"/>
                <w:sz w:val="24"/>
                <w:szCs w:val="24"/>
              </w:rPr>
            </w:pPr>
            <w:r w:rsidRPr="00101745">
              <w:rPr>
                <w:rFonts w:asciiTheme="majorBidi" w:hAnsiTheme="majorBidi" w:cstheme="majorBidi"/>
                <w:color w:val="auto"/>
                <w:sz w:val="24"/>
                <w:szCs w:val="24"/>
              </w:rPr>
              <w:t>Outside the prespecified review scope. This study assesses comparative effectiveness of different COVID-19 vaccine platforms against SARS-CoV-2 Omicron infection only during an early Omicron (BA.1/BA.2) period. It does not evaluate severe COVID-19 outcomes (e.g. hospitali</w:t>
            </w:r>
            <w:r w:rsidR="00F10ED1" w:rsidRPr="00101745">
              <w:rPr>
                <w:rFonts w:asciiTheme="majorBidi" w:hAnsiTheme="majorBidi" w:cstheme="majorBidi"/>
                <w:color w:val="auto"/>
                <w:sz w:val="24"/>
                <w:szCs w:val="24"/>
              </w:rPr>
              <w:t>z</w:t>
            </w:r>
            <w:r w:rsidRPr="00101745">
              <w:rPr>
                <w:rFonts w:asciiTheme="majorBidi" w:hAnsiTheme="majorBidi" w:cstheme="majorBidi"/>
                <w:color w:val="auto"/>
                <w:sz w:val="24"/>
                <w:szCs w:val="24"/>
              </w:rPr>
              <w:t>ation, ICU admission, or death), and the head-to-head vaccine-type comparison framework is not directly comparable with the severe-outcome vaccine-effectiveness analyses synthesised in this review.</w:t>
            </w:r>
          </w:p>
        </w:tc>
      </w:tr>
      <w:tr w:rsidR="009405C7" w14:paraId="280C4248" w14:textId="77777777" w:rsidTr="00B20255">
        <w:tc>
          <w:tcPr>
            <w:tcW w:w="5403" w:type="dxa"/>
          </w:tcPr>
          <w:p w14:paraId="4C83BE20" w14:textId="64A7C63E" w:rsidR="009405C7" w:rsidRPr="008D6025" w:rsidRDefault="008D6025" w:rsidP="009405C7">
            <w:pPr>
              <w:pStyle w:val="MDPI31text"/>
              <w:ind w:left="0" w:firstLine="0"/>
              <w:rPr>
                <w:rFonts w:asciiTheme="majorBidi" w:hAnsiTheme="majorBidi" w:cstheme="majorBidi"/>
                <w:color w:val="auto"/>
                <w:sz w:val="24"/>
                <w:szCs w:val="24"/>
              </w:rPr>
            </w:pPr>
            <w:r w:rsidRPr="008D6025">
              <w:rPr>
                <w:rFonts w:asciiTheme="majorBidi" w:hAnsiTheme="majorBidi" w:cstheme="majorBidi"/>
                <w:color w:val="auto"/>
                <w:sz w:val="24"/>
                <w:szCs w:val="24"/>
                <w:lang w:val="en-GB"/>
              </w:rPr>
              <w:t xml:space="preserve">Liu D, Feng S, Sha F, Liao Y, Xie X, Huang F, Kong D, Zhang Z, Chen Z, Chen N, Gao W, Feng T, Zhao Z, Li B, Li Y, Zhu F, Yang Z, </w:t>
            </w:r>
            <w:proofErr w:type="spellStart"/>
            <w:r w:rsidRPr="008D6025">
              <w:rPr>
                <w:rFonts w:asciiTheme="majorBidi" w:hAnsiTheme="majorBidi" w:cstheme="majorBidi"/>
                <w:color w:val="auto"/>
                <w:sz w:val="24"/>
                <w:szCs w:val="24"/>
                <w:lang w:val="en-GB"/>
              </w:rPr>
              <w:t>Lv</w:t>
            </w:r>
            <w:proofErr w:type="spellEnd"/>
            <w:r w:rsidRPr="008D6025">
              <w:rPr>
                <w:rFonts w:asciiTheme="majorBidi" w:hAnsiTheme="majorBidi" w:cstheme="majorBidi"/>
                <w:color w:val="auto"/>
                <w:sz w:val="24"/>
                <w:szCs w:val="24"/>
                <w:lang w:val="en-GB"/>
              </w:rPr>
              <w:t xml:space="preserve"> Q, Feng Z, Tang J. Inactivated SARS-CoV-2 vaccine booster against Omicron infection among quarantined close contacts. </w:t>
            </w:r>
            <w:r w:rsidRPr="008D6025">
              <w:rPr>
                <w:rFonts w:asciiTheme="majorBidi" w:hAnsiTheme="majorBidi" w:cstheme="majorBidi"/>
                <w:color w:val="auto"/>
                <w:sz w:val="24"/>
                <w:szCs w:val="24"/>
                <w:lang w:val="nb-NO"/>
              </w:rPr>
              <w:t>JAMA Network Open. 2023;6(10):e2339507. doi:10.1001/jamanetworkopen.2023.39507.</w:t>
            </w:r>
          </w:p>
        </w:tc>
        <w:tc>
          <w:tcPr>
            <w:tcW w:w="5938" w:type="dxa"/>
          </w:tcPr>
          <w:p w14:paraId="7521AD8F" w14:textId="4616BD2E" w:rsidR="009405C7" w:rsidRPr="008D6025" w:rsidRDefault="009405C7" w:rsidP="009405C7">
            <w:pPr>
              <w:pStyle w:val="MDPI31text"/>
              <w:ind w:left="0" w:firstLine="0"/>
              <w:rPr>
                <w:rFonts w:asciiTheme="majorBidi" w:hAnsiTheme="majorBidi" w:cstheme="majorBidi"/>
                <w:color w:val="auto"/>
                <w:sz w:val="24"/>
                <w:szCs w:val="24"/>
              </w:rPr>
            </w:pPr>
            <w:r w:rsidRPr="008D6025">
              <w:rPr>
                <w:rFonts w:asciiTheme="majorBidi" w:hAnsiTheme="majorBidi" w:cstheme="majorBidi"/>
                <w:color w:val="auto"/>
                <w:sz w:val="24"/>
                <w:szCs w:val="24"/>
              </w:rPr>
              <w:t>Outside the prespecified review scope. This cohort study evaluates relative vaccine effectiveness of an inactivated booster against SARS-CoV-2 Omicron infection (overall, symptomatic, and asymptomatic) among quarantined close contacts under a strict surveillance policy. No severe COVID-19 outcomes (hospitali</w:t>
            </w:r>
            <w:r w:rsidR="00F10ED1" w:rsidRPr="008D6025">
              <w:rPr>
                <w:rFonts w:asciiTheme="majorBidi" w:hAnsiTheme="majorBidi" w:cstheme="majorBidi"/>
                <w:color w:val="auto"/>
                <w:sz w:val="24"/>
                <w:szCs w:val="24"/>
              </w:rPr>
              <w:t>z</w:t>
            </w:r>
            <w:r w:rsidRPr="008D6025">
              <w:rPr>
                <w:rFonts w:asciiTheme="majorBidi" w:hAnsiTheme="majorBidi" w:cstheme="majorBidi"/>
                <w:color w:val="auto"/>
                <w:sz w:val="24"/>
                <w:szCs w:val="24"/>
              </w:rPr>
              <w:t>ation, ICU admission, or death) were observed or analysed, and the infection-focused design is not directly comparable with the severe-outcome vaccine-effectiveness framework applied in this review.</w:t>
            </w:r>
          </w:p>
        </w:tc>
      </w:tr>
      <w:tr w:rsidR="009405C7" w14:paraId="35528E1D" w14:textId="77777777" w:rsidTr="00B20255">
        <w:tc>
          <w:tcPr>
            <w:tcW w:w="5403" w:type="dxa"/>
          </w:tcPr>
          <w:p w14:paraId="79579D65" w14:textId="090F802A" w:rsidR="009405C7" w:rsidRPr="0015484A" w:rsidRDefault="0015484A" w:rsidP="009405C7">
            <w:pPr>
              <w:pStyle w:val="MDPI31text"/>
              <w:ind w:left="0" w:firstLine="0"/>
              <w:rPr>
                <w:rFonts w:asciiTheme="majorBidi" w:hAnsiTheme="majorBidi" w:cstheme="majorBidi"/>
                <w:color w:val="auto"/>
                <w:sz w:val="24"/>
                <w:szCs w:val="24"/>
              </w:rPr>
            </w:pPr>
            <w:r w:rsidRPr="0015484A">
              <w:rPr>
                <w:rFonts w:asciiTheme="majorBidi" w:hAnsiTheme="majorBidi" w:cstheme="majorBidi"/>
                <w:color w:val="auto"/>
                <w:sz w:val="24"/>
                <w:szCs w:val="24"/>
              </w:rPr>
              <w:t>Lo ESK, Wong LT, So SCY, Mohammad KN, Law KY, Chan KS, Chan CL, Lo D, Kung KH, Chuang SK. Using surveillance data to evaluate the effectiveness of inactivated/mRNA COVID-19 vaccine boosters in preventing fatal outcomes among severe COVID-19 cases during the current ambit of SARS-CoV-2 XBB and JN.1 variant circulation. Frontiers in Public Health. 2025;13:1497399. doi:10.3389/fpubh.2025.1497399.</w:t>
            </w:r>
          </w:p>
        </w:tc>
        <w:tc>
          <w:tcPr>
            <w:tcW w:w="5938" w:type="dxa"/>
          </w:tcPr>
          <w:p w14:paraId="313E1258" w14:textId="77777777" w:rsidR="009405C7" w:rsidRPr="0015484A" w:rsidRDefault="009405C7" w:rsidP="009405C7">
            <w:pPr>
              <w:pStyle w:val="MDPI31text"/>
              <w:ind w:left="0" w:firstLine="0"/>
              <w:rPr>
                <w:rFonts w:asciiTheme="majorBidi" w:hAnsiTheme="majorBidi" w:cstheme="majorBidi"/>
                <w:color w:val="auto"/>
                <w:sz w:val="24"/>
                <w:szCs w:val="24"/>
              </w:rPr>
            </w:pPr>
            <w:r w:rsidRPr="0015484A">
              <w:rPr>
                <w:rFonts w:asciiTheme="majorBidi" w:hAnsiTheme="majorBidi" w:cstheme="majorBidi"/>
                <w:color w:val="auto"/>
                <w:sz w:val="24"/>
                <w:szCs w:val="24"/>
              </w:rPr>
              <w:t xml:space="preserve">Outside the prespecified review scope. This study employs a case-only design restricted to severe or critical hospitalized COVID-19 cases and evaluates the association between vaccination status and in-hospital mortality using odds ratios. It does not estimate absolute or relative vaccine effectiveness (VE or </w:t>
            </w:r>
            <w:proofErr w:type="spellStart"/>
            <w:r w:rsidRPr="0015484A">
              <w:rPr>
                <w:rFonts w:asciiTheme="majorBidi" w:hAnsiTheme="majorBidi" w:cstheme="majorBidi"/>
                <w:color w:val="auto"/>
                <w:sz w:val="24"/>
                <w:szCs w:val="24"/>
              </w:rPr>
              <w:t>rVE</w:t>
            </w:r>
            <w:proofErr w:type="spellEnd"/>
            <w:r w:rsidRPr="0015484A">
              <w:rPr>
                <w:rFonts w:asciiTheme="majorBidi" w:hAnsiTheme="majorBidi" w:cstheme="majorBidi"/>
                <w:color w:val="auto"/>
                <w:sz w:val="24"/>
                <w:szCs w:val="24"/>
              </w:rPr>
              <w:t>) against SARS-CoV-2 infection or severe outcomes in the general population and lacks an uninfected comparison group. Consequently, the effect measures are not directly comparable with the population-based VE metrics synthesized in this review.</w:t>
            </w:r>
          </w:p>
        </w:tc>
      </w:tr>
      <w:tr w:rsidR="009405C7" w14:paraId="7139073B" w14:textId="77777777" w:rsidTr="00B20255">
        <w:tc>
          <w:tcPr>
            <w:tcW w:w="5403" w:type="dxa"/>
          </w:tcPr>
          <w:p w14:paraId="3B22C7B3" w14:textId="7ACE4B9A" w:rsidR="009405C7" w:rsidRPr="0015484A" w:rsidRDefault="0015484A" w:rsidP="009405C7">
            <w:pPr>
              <w:pStyle w:val="MDPI31text"/>
              <w:ind w:left="0" w:firstLine="0"/>
              <w:rPr>
                <w:rFonts w:asciiTheme="majorBidi" w:hAnsiTheme="majorBidi" w:cstheme="majorBidi"/>
                <w:color w:val="auto"/>
                <w:sz w:val="24"/>
                <w:szCs w:val="24"/>
              </w:rPr>
            </w:pPr>
            <w:r w:rsidRPr="0015484A">
              <w:rPr>
                <w:rFonts w:asciiTheme="majorBidi" w:hAnsiTheme="majorBidi" w:cstheme="majorBidi"/>
                <w:color w:val="auto"/>
                <w:sz w:val="24"/>
                <w:szCs w:val="24"/>
                <w:lang w:val="en-GB"/>
              </w:rPr>
              <w:t xml:space="preserve">Lu Y, Matuska K, McEvoy R, Izurieta HS, Hervol JR, Menis M, Lindaas A, Steele WR, </w:t>
            </w:r>
            <w:proofErr w:type="spellStart"/>
            <w:r w:rsidRPr="0015484A">
              <w:rPr>
                <w:rFonts w:asciiTheme="majorBidi" w:hAnsiTheme="majorBidi" w:cstheme="majorBidi"/>
                <w:color w:val="auto"/>
                <w:sz w:val="24"/>
                <w:szCs w:val="24"/>
                <w:lang w:val="en-GB"/>
              </w:rPr>
              <w:t>Chillarige</w:t>
            </w:r>
            <w:proofErr w:type="spellEnd"/>
            <w:r w:rsidRPr="0015484A">
              <w:rPr>
                <w:rFonts w:asciiTheme="majorBidi" w:hAnsiTheme="majorBidi" w:cstheme="majorBidi"/>
                <w:color w:val="auto"/>
                <w:sz w:val="24"/>
                <w:szCs w:val="24"/>
                <w:lang w:val="en-GB"/>
              </w:rPr>
              <w:t xml:space="preserve"> Y, Wernecke M, Kelman JA, Forshee RA. </w:t>
            </w:r>
            <w:r w:rsidRPr="0015484A">
              <w:rPr>
                <w:rFonts w:asciiTheme="majorBidi" w:hAnsiTheme="majorBidi" w:cstheme="majorBidi"/>
                <w:color w:val="auto"/>
                <w:sz w:val="24"/>
                <w:szCs w:val="24"/>
                <w:lang w:val="en-AU"/>
              </w:rPr>
              <w:t xml:space="preserve">Relative effectiveness of a third dose of mRNA COVID-19 vaccine against severe outcomes during Omicron BA.1/BA.2 predominance among U.S. Medicare beneficiaries. </w:t>
            </w:r>
            <w:r w:rsidRPr="0015484A">
              <w:rPr>
                <w:rFonts w:asciiTheme="majorBidi" w:hAnsiTheme="majorBidi" w:cstheme="majorBidi"/>
                <w:color w:val="auto"/>
                <w:sz w:val="24"/>
                <w:szCs w:val="24"/>
                <w:lang w:val="nb-NO"/>
              </w:rPr>
              <w:t xml:space="preserve">The Journal </w:t>
            </w:r>
            <w:proofErr w:type="spellStart"/>
            <w:r w:rsidRPr="0015484A">
              <w:rPr>
                <w:rFonts w:asciiTheme="majorBidi" w:hAnsiTheme="majorBidi" w:cstheme="majorBidi"/>
                <w:color w:val="auto"/>
                <w:sz w:val="24"/>
                <w:szCs w:val="24"/>
                <w:lang w:val="nb-NO"/>
              </w:rPr>
              <w:t>of</w:t>
            </w:r>
            <w:proofErr w:type="spellEnd"/>
            <w:r w:rsidRPr="0015484A">
              <w:rPr>
                <w:rFonts w:asciiTheme="majorBidi" w:hAnsiTheme="majorBidi" w:cstheme="majorBidi"/>
                <w:color w:val="auto"/>
                <w:sz w:val="24"/>
                <w:szCs w:val="24"/>
                <w:lang w:val="nb-NO"/>
              </w:rPr>
              <w:t xml:space="preserve"> </w:t>
            </w:r>
            <w:proofErr w:type="spellStart"/>
            <w:r w:rsidRPr="0015484A">
              <w:rPr>
                <w:rFonts w:asciiTheme="majorBidi" w:hAnsiTheme="majorBidi" w:cstheme="majorBidi"/>
                <w:color w:val="auto"/>
                <w:sz w:val="24"/>
                <w:szCs w:val="24"/>
                <w:lang w:val="nb-NO"/>
              </w:rPr>
              <w:t>Infectious</w:t>
            </w:r>
            <w:proofErr w:type="spellEnd"/>
            <w:r w:rsidRPr="0015484A">
              <w:rPr>
                <w:rFonts w:asciiTheme="majorBidi" w:hAnsiTheme="majorBidi" w:cstheme="majorBidi"/>
                <w:color w:val="auto"/>
                <w:sz w:val="24"/>
                <w:szCs w:val="24"/>
                <w:lang w:val="nb-NO"/>
              </w:rPr>
              <w:t xml:space="preserve"> </w:t>
            </w:r>
            <w:proofErr w:type="spellStart"/>
            <w:r w:rsidRPr="0015484A">
              <w:rPr>
                <w:rFonts w:asciiTheme="majorBidi" w:hAnsiTheme="majorBidi" w:cstheme="majorBidi"/>
                <w:color w:val="auto"/>
                <w:sz w:val="24"/>
                <w:szCs w:val="24"/>
                <w:lang w:val="nb-NO"/>
              </w:rPr>
              <w:t>Diseases</w:t>
            </w:r>
            <w:proofErr w:type="spellEnd"/>
            <w:r w:rsidRPr="0015484A">
              <w:rPr>
                <w:rFonts w:asciiTheme="majorBidi" w:hAnsiTheme="majorBidi" w:cstheme="majorBidi"/>
                <w:color w:val="auto"/>
                <w:sz w:val="24"/>
                <w:szCs w:val="24"/>
                <w:lang w:val="nb-NO"/>
              </w:rPr>
              <w:t>. 2025;231(5):1186–1197. doi:10.1093/</w:t>
            </w:r>
            <w:proofErr w:type="spellStart"/>
            <w:r w:rsidRPr="0015484A">
              <w:rPr>
                <w:rFonts w:asciiTheme="majorBidi" w:hAnsiTheme="majorBidi" w:cstheme="majorBidi"/>
                <w:color w:val="auto"/>
                <w:sz w:val="24"/>
                <w:szCs w:val="24"/>
                <w:lang w:val="nb-NO"/>
              </w:rPr>
              <w:t>infdis</w:t>
            </w:r>
            <w:proofErr w:type="spellEnd"/>
            <w:r w:rsidRPr="0015484A">
              <w:rPr>
                <w:rFonts w:asciiTheme="majorBidi" w:hAnsiTheme="majorBidi" w:cstheme="majorBidi"/>
                <w:color w:val="auto"/>
                <w:sz w:val="24"/>
                <w:szCs w:val="24"/>
                <w:lang w:val="nb-NO"/>
              </w:rPr>
              <w:t>/jiae503.</w:t>
            </w:r>
          </w:p>
        </w:tc>
        <w:tc>
          <w:tcPr>
            <w:tcW w:w="5938" w:type="dxa"/>
          </w:tcPr>
          <w:p w14:paraId="4053FDB6" w14:textId="441B6BC5" w:rsidR="009405C7" w:rsidRPr="0015484A" w:rsidRDefault="009405C7" w:rsidP="009405C7">
            <w:pPr>
              <w:pStyle w:val="MDPI31text"/>
              <w:ind w:left="0" w:firstLine="0"/>
              <w:rPr>
                <w:rFonts w:asciiTheme="majorBidi" w:hAnsiTheme="majorBidi" w:cstheme="majorBidi"/>
                <w:color w:val="auto"/>
                <w:sz w:val="24"/>
                <w:szCs w:val="24"/>
              </w:rPr>
            </w:pPr>
            <w:r w:rsidRPr="0015484A">
              <w:rPr>
                <w:rFonts w:asciiTheme="majorBidi" w:hAnsiTheme="majorBidi" w:cstheme="majorBidi"/>
                <w:color w:val="auto"/>
                <w:sz w:val="24"/>
                <w:szCs w:val="24"/>
              </w:rPr>
              <w:t xml:space="preserve">Outside the prespecified review scope. This population-based Medicare cohort study evaluates relative vaccine effectiveness of a third dose versus two doses using ancestral (monovalent) mRNA vaccines during an early Omicron BA.1/BA.2 period (2021–2022). It predates the emergence of later Omicron subvariants and the introduction of updated or variant-adapted vaccines </w:t>
            </w:r>
            <w:r w:rsidR="00AA15B8" w:rsidRPr="0015484A">
              <w:rPr>
                <w:rFonts w:asciiTheme="majorBidi" w:hAnsiTheme="majorBidi" w:cstheme="majorBidi"/>
                <w:color w:val="auto"/>
                <w:sz w:val="24"/>
                <w:szCs w:val="24"/>
              </w:rPr>
              <w:t>prioritized</w:t>
            </w:r>
            <w:r w:rsidRPr="0015484A">
              <w:rPr>
                <w:rFonts w:asciiTheme="majorBidi" w:hAnsiTheme="majorBidi" w:cstheme="majorBidi"/>
                <w:color w:val="auto"/>
                <w:sz w:val="24"/>
                <w:szCs w:val="24"/>
              </w:rPr>
              <w:t xml:space="preserve"> in this review, and therefore does not provide effectiveness estimates relevant to the contemporary Omicron era synthesised here.</w:t>
            </w:r>
          </w:p>
        </w:tc>
      </w:tr>
      <w:tr w:rsidR="009405C7" w14:paraId="2D607B98" w14:textId="77777777" w:rsidTr="00B20255">
        <w:tc>
          <w:tcPr>
            <w:tcW w:w="5403" w:type="dxa"/>
          </w:tcPr>
          <w:p w14:paraId="33D753A7" w14:textId="60AAA6AD" w:rsidR="009405C7" w:rsidRPr="001F0D82" w:rsidRDefault="001F0D82" w:rsidP="009405C7">
            <w:pPr>
              <w:pStyle w:val="MDPI31text"/>
              <w:ind w:left="0" w:firstLine="0"/>
              <w:rPr>
                <w:rFonts w:asciiTheme="majorBidi" w:hAnsiTheme="majorBidi" w:cstheme="majorBidi"/>
                <w:color w:val="auto"/>
                <w:sz w:val="24"/>
                <w:szCs w:val="24"/>
              </w:rPr>
            </w:pPr>
            <w:r w:rsidRPr="001F0D82">
              <w:rPr>
                <w:rFonts w:asciiTheme="majorBidi" w:hAnsiTheme="majorBidi" w:cstheme="majorBidi"/>
                <w:color w:val="auto"/>
                <w:sz w:val="24"/>
                <w:szCs w:val="24"/>
                <w:lang w:val="en-AU"/>
              </w:rPr>
              <w:t xml:space="preserve">López de Rioja V, Basile L, </w:t>
            </w:r>
            <w:proofErr w:type="spellStart"/>
            <w:r w:rsidRPr="001F0D82">
              <w:rPr>
                <w:rFonts w:asciiTheme="majorBidi" w:hAnsiTheme="majorBidi" w:cstheme="majorBidi"/>
                <w:color w:val="auto"/>
                <w:sz w:val="24"/>
                <w:szCs w:val="24"/>
                <w:lang w:val="en-AU"/>
              </w:rPr>
              <w:t>Perramon-Malavez</w:t>
            </w:r>
            <w:proofErr w:type="spellEnd"/>
            <w:r w:rsidRPr="001F0D82">
              <w:rPr>
                <w:rFonts w:asciiTheme="majorBidi" w:hAnsiTheme="majorBidi" w:cstheme="majorBidi"/>
                <w:color w:val="auto"/>
                <w:sz w:val="24"/>
                <w:szCs w:val="24"/>
                <w:lang w:val="en-AU"/>
              </w:rPr>
              <w:t xml:space="preserve"> A, Martínez-Solanas É, López D, Medina Maestro S, Coma E, Fina F, Prats C, </w:t>
            </w:r>
            <w:proofErr w:type="spellStart"/>
            <w:r w:rsidRPr="001F0D82">
              <w:rPr>
                <w:rFonts w:asciiTheme="majorBidi" w:hAnsiTheme="majorBidi" w:cstheme="majorBidi"/>
                <w:color w:val="auto"/>
                <w:sz w:val="24"/>
                <w:szCs w:val="24"/>
                <w:lang w:val="en-AU"/>
              </w:rPr>
              <w:t>Mendioroz</w:t>
            </w:r>
            <w:proofErr w:type="spellEnd"/>
            <w:r w:rsidRPr="001F0D82">
              <w:rPr>
                <w:rFonts w:asciiTheme="majorBidi" w:hAnsiTheme="majorBidi" w:cstheme="majorBidi"/>
                <w:color w:val="auto"/>
                <w:sz w:val="24"/>
                <w:szCs w:val="24"/>
                <w:lang w:val="en-AU"/>
              </w:rPr>
              <w:t xml:space="preserve"> Peña J, Alvarez-Lacalle E. Severity of Omicron subvariants and vaccine impact in Catalonia, Spain. </w:t>
            </w:r>
            <w:proofErr w:type="spellStart"/>
            <w:r w:rsidRPr="001F0D82">
              <w:rPr>
                <w:rFonts w:asciiTheme="majorBidi" w:hAnsiTheme="majorBidi" w:cstheme="majorBidi"/>
                <w:color w:val="auto"/>
                <w:sz w:val="24"/>
                <w:szCs w:val="24"/>
                <w:lang w:val="nb-NO"/>
              </w:rPr>
              <w:t>Vaccines</w:t>
            </w:r>
            <w:proofErr w:type="spellEnd"/>
            <w:r w:rsidRPr="001F0D82">
              <w:rPr>
                <w:rFonts w:asciiTheme="majorBidi" w:hAnsiTheme="majorBidi" w:cstheme="majorBidi"/>
                <w:color w:val="auto"/>
                <w:sz w:val="24"/>
                <w:szCs w:val="24"/>
                <w:lang w:val="nb-NO"/>
              </w:rPr>
              <w:t xml:space="preserve"> (Basel). 2024;12(5):466. doi:10.3390/vaccines12050466.</w:t>
            </w:r>
          </w:p>
        </w:tc>
        <w:tc>
          <w:tcPr>
            <w:tcW w:w="5938" w:type="dxa"/>
          </w:tcPr>
          <w:p w14:paraId="66B0F2D3" w14:textId="4D1E0F24" w:rsidR="009405C7" w:rsidRPr="001F0D82" w:rsidRDefault="009405C7" w:rsidP="009405C7">
            <w:pPr>
              <w:pStyle w:val="MDPI31text"/>
              <w:ind w:left="0" w:firstLine="0"/>
              <w:rPr>
                <w:rFonts w:asciiTheme="majorBidi" w:hAnsiTheme="majorBidi" w:cstheme="majorBidi"/>
                <w:color w:val="auto"/>
                <w:sz w:val="24"/>
                <w:szCs w:val="24"/>
              </w:rPr>
            </w:pPr>
            <w:r w:rsidRPr="001F0D82">
              <w:rPr>
                <w:rFonts w:asciiTheme="majorBidi" w:hAnsiTheme="majorBidi" w:cstheme="majorBidi"/>
                <w:color w:val="auto"/>
                <w:sz w:val="24"/>
                <w:szCs w:val="24"/>
              </w:rPr>
              <w:t>Outside the prespecified review scope. This retrospective analysis assessed disease severity among confirmed COVID-19 cases during circulation of Omicron subvariants (BA.1, BA.2, BA.5, BQ.1), estimating reductions in severity (1 − rate ratio) for hospitali</w:t>
            </w:r>
            <w:r w:rsidR="00F10ED1" w:rsidRPr="001F0D82">
              <w:rPr>
                <w:rFonts w:asciiTheme="majorBidi" w:hAnsiTheme="majorBidi" w:cstheme="majorBidi"/>
                <w:color w:val="auto"/>
                <w:sz w:val="24"/>
                <w:szCs w:val="24"/>
              </w:rPr>
              <w:t>z</w:t>
            </w:r>
            <w:r w:rsidRPr="001F0D82">
              <w:rPr>
                <w:rFonts w:asciiTheme="majorBidi" w:hAnsiTheme="majorBidi" w:cstheme="majorBidi"/>
                <w:color w:val="auto"/>
                <w:sz w:val="24"/>
                <w:szCs w:val="24"/>
              </w:rPr>
              <w:t xml:space="preserve">ation and mortality conditional on infection. The study did not estimate population-based vaccine effectiveness (VE or </w:t>
            </w:r>
            <w:proofErr w:type="spellStart"/>
            <w:r w:rsidRPr="001F0D82">
              <w:rPr>
                <w:rFonts w:asciiTheme="majorBidi" w:hAnsiTheme="majorBidi" w:cstheme="majorBidi"/>
                <w:color w:val="auto"/>
                <w:sz w:val="24"/>
                <w:szCs w:val="24"/>
              </w:rPr>
              <w:t>rVE</w:t>
            </w:r>
            <w:proofErr w:type="spellEnd"/>
            <w:r w:rsidRPr="001F0D82">
              <w:rPr>
                <w:rFonts w:asciiTheme="majorBidi" w:hAnsiTheme="majorBidi" w:cstheme="majorBidi"/>
                <w:color w:val="auto"/>
                <w:sz w:val="24"/>
                <w:szCs w:val="24"/>
              </w:rPr>
              <w:t>) against hospitali</w:t>
            </w:r>
            <w:r w:rsidR="00F10ED1" w:rsidRPr="001F0D82">
              <w:rPr>
                <w:rFonts w:asciiTheme="majorBidi" w:hAnsiTheme="majorBidi" w:cstheme="majorBidi"/>
                <w:color w:val="auto"/>
                <w:sz w:val="24"/>
                <w:szCs w:val="24"/>
              </w:rPr>
              <w:t>z</w:t>
            </w:r>
            <w:r w:rsidRPr="001F0D82">
              <w:rPr>
                <w:rFonts w:asciiTheme="majorBidi" w:hAnsiTheme="majorBidi" w:cstheme="majorBidi"/>
                <w:color w:val="auto"/>
                <w:sz w:val="24"/>
                <w:szCs w:val="24"/>
              </w:rPr>
              <w:t xml:space="preserve">ation or death using a cohort or test-negative design with appropriate denominators, and therefore its effect measures are not </w:t>
            </w:r>
            <w:r w:rsidRPr="001F0D82">
              <w:rPr>
                <w:rFonts w:asciiTheme="majorBidi" w:hAnsiTheme="majorBidi" w:cstheme="majorBidi"/>
                <w:color w:val="auto"/>
                <w:sz w:val="24"/>
                <w:szCs w:val="24"/>
              </w:rPr>
              <w:lastRenderedPageBreak/>
              <w:t>directly comparable with the vaccine effectiveness framework synthesised in this review.</w:t>
            </w:r>
          </w:p>
        </w:tc>
      </w:tr>
      <w:tr w:rsidR="009405C7" w14:paraId="6CB88BFC" w14:textId="77777777" w:rsidTr="00B20255">
        <w:tc>
          <w:tcPr>
            <w:tcW w:w="5403" w:type="dxa"/>
          </w:tcPr>
          <w:p w14:paraId="6972421E" w14:textId="77DD8E84" w:rsidR="009405C7" w:rsidRPr="001F0D82" w:rsidRDefault="001F0D82" w:rsidP="009405C7">
            <w:pPr>
              <w:pStyle w:val="MDPI31text"/>
              <w:ind w:left="0" w:firstLine="0"/>
              <w:rPr>
                <w:rFonts w:asciiTheme="majorBidi" w:hAnsiTheme="majorBidi" w:cstheme="majorBidi"/>
                <w:color w:val="auto"/>
                <w:sz w:val="24"/>
                <w:szCs w:val="24"/>
              </w:rPr>
            </w:pPr>
            <w:r w:rsidRPr="001F0D82">
              <w:rPr>
                <w:rFonts w:asciiTheme="majorBidi" w:hAnsiTheme="majorBidi" w:cstheme="majorBidi"/>
                <w:color w:val="auto"/>
                <w:sz w:val="24"/>
                <w:szCs w:val="24"/>
              </w:rPr>
              <w:lastRenderedPageBreak/>
              <w:t xml:space="preserve">Machado RRG, Candido ÉD, Aguiar AS, </w:t>
            </w:r>
            <w:proofErr w:type="spellStart"/>
            <w:r w:rsidRPr="001F0D82">
              <w:rPr>
                <w:rFonts w:asciiTheme="majorBidi" w:hAnsiTheme="majorBidi" w:cstheme="majorBidi"/>
                <w:color w:val="auto"/>
                <w:sz w:val="24"/>
                <w:szCs w:val="24"/>
              </w:rPr>
              <w:t>Chalup</w:t>
            </w:r>
            <w:proofErr w:type="spellEnd"/>
            <w:r w:rsidRPr="001F0D82">
              <w:rPr>
                <w:rFonts w:asciiTheme="majorBidi" w:hAnsiTheme="majorBidi" w:cstheme="majorBidi"/>
                <w:color w:val="auto"/>
                <w:sz w:val="24"/>
                <w:szCs w:val="24"/>
              </w:rPr>
              <w:t xml:space="preserve"> VN, Sanches PR, </w:t>
            </w:r>
            <w:proofErr w:type="spellStart"/>
            <w:r w:rsidRPr="001F0D82">
              <w:rPr>
                <w:rFonts w:asciiTheme="majorBidi" w:hAnsiTheme="majorBidi" w:cstheme="majorBidi"/>
                <w:color w:val="auto"/>
                <w:sz w:val="24"/>
                <w:szCs w:val="24"/>
              </w:rPr>
              <w:t>Dorlass</w:t>
            </w:r>
            <w:proofErr w:type="spellEnd"/>
            <w:r w:rsidRPr="001F0D82">
              <w:rPr>
                <w:rFonts w:asciiTheme="majorBidi" w:hAnsiTheme="majorBidi" w:cstheme="majorBidi"/>
                <w:color w:val="auto"/>
                <w:sz w:val="24"/>
                <w:szCs w:val="24"/>
              </w:rPr>
              <w:t xml:space="preserve"> EG, </w:t>
            </w:r>
            <w:proofErr w:type="spellStart"/>
            <w:r w:rsidRPr="001F0D82">
              <w:rPr>
                <w:rFonts w:asciiTheme="majorBidi" w:hAnsiTheme="majorBidi" w:cstheme="majorBidi"/>
                <w:color w:val="auto"/>
                <w:sz w:val="24"/>
                <w:szCs w:val="24"/>
              </w:rPr>
              <w:t>Amgarten</w:t>
            </w:r>
            <w:proofErr w:type="spellEnd"/>
            <w:r w:rsidRPr="001F0D82">
              <w:rPr>
                <w:rFonts w:asciiTheme="majorBidi" w:hAnsiTheme="majorBidi" w:cstheme="majorBidi"/>
                <w:color w:val="auto"/>
                <w:sz w:val="24"/>
                <w:szCs w:val="24"/>
              </w:rPr>
              <w:t xml:space="preserve"> DE, Pinho JRR, </w:t>
            </w:r>
            <w:proofErr w:type="spellStart"/>
            <w:r w:rsidRPr="001F0D82">
              <w:rPr>
                <w:rFonts w:asciiTheme="majorBidi" w:hAnsiTheme="majorBidi" w:cstheme="majorBidi"/>
                <w:color w:val="auto"/>
                <w:sz w:val="24"/>
                <w:szCs w:val="24"/>
              </w:rPr>
              <w:t>Durigon</w:t>
            </w:r>
            <w:proofErr w:type="spellEnd"/>
            <w:r w:rsidRPr="001F0D82">
              <w:rPr>
                <w:rFonts w:asciiTheme="majorBidi" w:hAnsiTheme="majorBidi" w:cstheme="majorBidi"/>
                <w:color w:val="auto"/>
                <w:sz w:val="24"/>
                <w:szCs w:val="24"/>
              </w:rPr>
              <w:t xml:space="preserve"> EL, Oliveira DBL. Immune evasion of SARS-CoV-2 Omicron subvariants XBB.1.5, XBB.1.16 and EG.5.1 in a cohort of older adults after ChAdOx1-S vaccination and BA.4/BA.5 bivalent booster. Vaccines (Basel). 2024;12(2):144. doi:10.3390/vaccines12020144.</w:t>
            </w:r>
          </w:p>
        </w:tc>
        <w:tc>
          <w:tcPr>
            <w:tcW w:w="5938" w:type="dxa"/>
          </w:tcPr>
          <w:p w14:paraId="5F5F792D" w14:textId="15A88AEC" w:rsidR="009405C7" w:rsidRPr="001F0D82" w:rsidRDefault="009405C7" w:rsidP="009405C7">
            <w:pPr>
              <w:pStyle w:val="MDPI31text"/>
              <w:ind w:left="0" w:firstLine="0"/>
              <w:rPr>
                <w:rFonts w:asciiTheme="majorBidi" w:hAnsiTheme="majorBidi" w:cstheme="majorBidi"/>
                <w:color w:val="auto"/>
                <w:sz w:val="24"/>
                <w:szCs w:val="24"/>
              </w:rPr>
            </w:pPr>
            <w:r w:rsidRPr="001F0D82">
              <w:rPr>
                <w:rFonts w:asciiTheme="majorBidi" w:hAnsiTheme="majorBidi" w:cstheme="majorBidi"/>
                <w:color w:val="auto"/>
                <w:sz w:val="24"/>
                <w:szCs w:val="24"/>
              </w:rPr>
              <w:t>Outside the prespecified review scope. This study is a laboratory-based immunogenicity analysis assessing neutralizing antibody titers (NT50) against Omicron subvariants. It does not report clinical vaccine effectiveness outcomes (e.g., hospitali</w:t>
            </w:r>
            <w:r w:rsidR="00F10ED1" w:rsidRPr="001F0D82">
              <w:rPr>
                <w:rFonts w:asciiTheme="majorBidi" w:hAnsiTheme="majorBidi" w:cstheme="majorBidi"/>
                <w:color w:val="auto"/>
                <w:sz w:val="24"/>
                <w:szCs w:val="24"/>
              </w:rPr>
              <w:t>z</w:t>
            </w:r>
            <w:r w:rsidRPr="001F0D82">
              <w:rPr>
                <w:rFonts w:asciiTheme="majorBidi" w:hAnsiTheme="majorBidi" w:cstheme="majorBidi"/>
                <w:color w:val="auto"/>
                <w:sz w:val="24"/>
                <w:szCs w:val="24"/>
              </w:rPr>
              <w:t>ation, ICU admission, death, or medically attended COVID-19) and therefore is not eligible for inclusion in a review focused on real-world clinical vaccine effectiveness.</w:t>
            </w:r>
          </w:p>
        </w:tc>
      </w:tr>
      <w:tr w:rsidR="009405C7" w14:paraId="0DE63A1D" w14:textId="77777777" w:rsidTr="00B20255">
        <w:tc>
          <w:tcPr>
            <w:tcW w:w="5403" w:type="dxa"/>
          </w:tcPr>
          <w:p w14:paraId="7EDF3E2D" w14:textId="07E3ED07" w:rsidR="009405C7" w:rsidRPr="00651453" w:rsidRDefault="001F0D82" w:rsidP="009405C7">
            <w:pPr>
              <w:pStyle w:val="MDPI31text"/>
              <w:ind w:left="0" w:firstLine="0"/>
              <w:rPr>
                <w:rFonts w:asciiTheme="majorBidi" w:hAnsiTheme="majorBidi" w:cstheme="majorBidi"/>
                <w:color w:val="auto"/>
                <w:sz w:val="24"/>
                <w:szCs w:val="24"/>
              </w:rPr>
            </w:pPr>
            <w:r w:rsidRPr="00651453">
              <w:rPr>
                <w:rFonts w:asciiTheme="majorBidi" w:hAnsiTheme="majorBidi" w:cstheme="majorBidi"/>
                <w:color w:val="auto"/>
                <w:sz w:val="24"/>
                <w:szCs w:val="24"/>
              </w:rPr>
              <w:t xml:space="preserve">Maeda H, Saito N, Igarashi A, Ishida M, Terada M, Ito T, Ikeda H, Kamura H, Motohashi I, Kimura Y, </w:t>
            </w:r>
            <w:proofErr w:type="spellStart"/>
            <w:r w:rsidRPr="00651453">
              <w:rPr>
                <w:rFonts w:asciiTheme="majorBidi" w:hAnsiTheme="majorBidi" w:cstheme="majorBidi"/>
                <w:color w:val="auto"/>
                <w:sz w:val="24"/>
                <w:szCs w:val="24"/>
              </w:rPr>
              <w:t>Komino</w:t>
            </w:r>
            <w:proofErr w:type="spellEnd"/>
            <w:r w:rsidRPr="00651453">
              <w:rPr>
                <w:rFonts w:asciiTheme="majorBidi" w:hAnsiTheme="majorBidi" w:cstheme="majorBidi"/>
                <w:color w:val="auto"/>
                <w:sz w:val="24"/>
                <w:szCs w:val="24"/>
              </w:rPr>
              <w:t xml:space="preserve"> M, Arai H, </w:t>
            </w:r>
            <w:proofErr w:type="spellStart"/>
            <w:r w:rsidRPr="00651453">
              <w:rPr>
                <w:rFonts w:asciiTheme="majorBidi" w:hAnsiTheme="majorBidi" w:cstheme="majorBidi"/>
                <w:color w:val="auto"/>
                <w:sz w:val="24"/>
                <w:szCs w:val="24"/>
              </w:rPr>
              <w:t>Kuwamitsu</w:t>
            </w:r>
            <w:proofErr w:type="spellEnd"/>
            <w:r w:rsidRPr="00651453">
              <w:rPr>
                <w:rFonts w:asciiTheme="majorBidi" w:hAnsiTheme="majorBidi" w:cstheme="majorBidi"/>
                <w:color w:val="auto"/>
                <w:sz w:val="24"/>
                <w:szCs w:val="24"/>
              </w:rPr>
              <w:t xml:space="preserve"> O, </w:t>
            </w:r>
            <w:proofErr w:type="spellStart"/>
            <w:r w:rsidRPr="00651453">
              <w:rPr>
                <w:rFonts w:asciiTheme="majorBidi" w:hAnsiTheme="majorBidi" w:cstheme="majorBidi"/>
                <w:color w:val="auto"/>
                <w:sz w:val="24"/>
                <w:szCs w:val="24"/>
              </w:rPr>
              <w:t>Akuzawa</w:t>
            </w:r>
            <w:proofErr w:type="spellEnd"/>
            <w:r w:rsidRPr="00651453">
              <w:rPr>
                <w:rFonts w:asciiTheme="majorBidi" w:hAnsiTheme="majorBidi" w:cstheme="majorBidi"/>
                <w:color w:val="auto"/>
                <w:sz w:val="24"/>
                <w:szCs w:val="24"/>
              </w:rPr>
              <w:t xml:space="preserve"> N, Sando E, Morikawa T, Imura H, Inoue H, Hayakawa T, Teshigahara O, Ohara Y, Suzuki M, Morimoto K. Effectiveness of mRNA COVID-19 vaccines against symptomatic SARS-CoV-2 infections during the Omicron BA.1 and BA.2 epidemic in Japan: vaccine effectiveness real-time surveillance for SARS-CoV-2 (VERSUS). Expert Review of Vaccines. 2023;22(1):288–298. doi:10.1080/14760584.2023.2188950.</w:t>
            </w:r>
          </w:p>
        </w:tc>
        <w:tc>
          <w:tcPr>
            <w:tcW w:w="5938" w:type="dxa"/>
          </w:tcPr>
          <w:p w14:paraId="55613976" w14:textId="4E7622B2" w:rsidR="009405C7" w:rsidRPr="00651453" w:rsidRDefault="009405C7" w:rsidP="009405C7">
            <w:pPr>
              <w:pStyle w:val="MDPI31text"/>
              <w:ind w:left="0" w:firstLine="0"/>
              <w:rPr>
                <w:rFonts w:asciiTheme="majorBidi" w:hAnsiTheme="majorBidi" w:cstheme="majorBidi"/>
                <w:color w:val="auto"/>
                <w:sz w:val="24"/>
                <w:szCs w:val="24"/>
              </w:rPr>
            </w:pPr>
            <w:r w:rsidRPr="00651453">
              <w:rPr>
                <w:rFonts w:asciiTheme="majorBidi" w:hAnsiTheme="majorBidi" w:cstheme="majorBidi"/>
                <w:color w:val="auto"/>
                <w:sz w:val="24"/>
                <w:szCs w:val="24"/>
              </w:rPr>
              <w:t xml:space="preserve">Outside the prespecified review scope. This </w:t>
            </w:r>
            <w:r w:rsidR="000244C3" w:rsidRPr="00651453">
              <w:rPr>
                <w:rFonts w:asciiTheme="majorBidi" w:hAnsiTheme="majorBidi" w:cstheme="majorBidi"/>
                <w:color w:val="auto"/>
                <w:sz w:val="24"/>
                <w:szCs w:val="24"/>
              </w:rPr>
              <w:t>multicenter</w:t>
            </w:r>
            <w:r w:rsidRPr="00651453">
              <w:rPr>
                <w:rFonts w:asciiTheme="majorBidi" w:hAnsiTheme="majorBidi" w:cstheme="majorBidi"/>
                <w:color w:val="auto"/>
                <w:sz w:val="24"/>
                <w:szCs w:val="24"/>
              </w:rPr>
              <w:t xml:space="preserve"> test-negative study evaluates vaccine effectiveness against symptomatic SARS-CoV-2 infection only during an early Omicron (BA.1/BA.2) period using monovalent ancestral mRNA vaccines. It does not assess severe COVID-19 outcomes (e.g. hospitali</w:t>
            </w:r>
            <w:r w:rsidR="00F10ED1" w:rsidRPr="00651453">
              <w:rPr>
                <w:rFonts w:asciiTheme="majorBidi" w:hAnsiTheme="majorBidi" w:cstheme="majorBidi"/>
                <w:color w:val="auto"/>
                <w:sz w:val="24"/>
                <w:szCs w:val="24"/>
              </w:rPr>
              <w:t>z</w:t>
            </w:r>
            <w:r w:rsidRPr="00651453">
              <w:rPr>
                <w:rFonts w:asciiTheme="majorBidi" w:hAnsiTheme="majorBidi" w:cstheme="majorBidi"/>
                <w:color w:val="auto"/>
                <w:sz w:val="24"/>
                <w:szCs w:val="24"/>
              </w:rPr>
              <w:t xml:space="preserve">ation, ICU admission, or death) and predates later Omicron subvariants and updated or variant-adapted vaccines </w:t>
            </w:r>
            <w:r w:rsidR="00AA15B8" w:rsidRPr="00651453">
              <w:rPr>
                <w:rFonts w:asciiTheme="majorBidi" w:hAnsiTheme="majorBidi" w:cstheme="majorBidi"/>
                <w:color w:val="auto"/>
                <w:sz w:val="24"/>
                <w:szCs w:val="24"/>
              </w:rPr>
              <w:t>prioritized</w:t>
            </w:r>
            <w:r w:rsidRPr="00651453">
              <w:rPr>
                <w:rFonts w:asciiTheme="majorBidi" w:hAnsiTheme="majorBidi" w:cstheme="majorBidi"/>
                <w:color w:val="auto"/>
                <w:sz w:val="24"/>
                <w:szCs w:val="24"/>
              </w:rPr>
              <w:t xml:space="preserve"> in this review.</w:t>
            </w:r>
          </w:p>
        </w:tc>
      </w:tr>
      <w:tr w:rsidR="009405C7" w14:paraId="35C1CE67" w14:textId="77777777" w:rsidTr="00B20255">
        <w:tc>
          <w:tcPr>
            <w:tcW w:w="5403" w:type="dxa"/>
          </w:tcPr>
          <w:p w14:paraId="545020A2" w14:textId="65B01FF5" w:rsidR="009405C7" w:rsidRPr="00651453" w:rsidRDefault="00651453" w:rsidP="009405C7">
            <w:pPr>
              <w:pStyle w:val="MDPI31text"/>
              <w:ind w:left="0" w:firstLine="0"/>
              <w:rPr>
                <w:rFonts w:asciiTheme="majorBidi" w:hAnsiTheme="majorBidi" w:cstheme="majorBidi"/>
                <w:color w:val="auto"/>
                <w:sz w:val="24"/>
                <w:szCs w:val="24"/>
              </w:rPr>
            </w:pPr>
            <w:r w:rsidRPr="00651453">
              <w:rPr>
                <w:rFonts w:asciiTheme="majorBidi" w:hAnsiTheme="majorBidi" w:cstheme="majorBidi"/>
                <w:color w:val="auto"/>
                <w:sz w:val="24"/>
                <w:szCs w:val="24"/>
              </w:rPr>
              <w:t xml:space="preserve">Maeda H, Saito N, Igarashi A, Ishida M, Terada M, Masuda S, Osawa R, Hosokawa N, Nakashima K, Kamura H, Imura H, Inoue H, Matsuzaka S, Sugimoto Y, </w:t>
            </w:r>
            <w:proofErr w:type="spellStart"/>
            <w:r w:rsidRPr="00651453">
              <w:rPr>
                <w:rFonts w:asciiTheme="majorBidi" w:hAnsiTheme="majorBidi" w:cstheme="majorBidi"/>
                <w:color w:val="auto"/>
                <w:sz w:val="24"/>
                <w:szCs w:val="24"/>
              </w:rPr>
              <w:t>Kuwamitsu</w:t>
            </w:r>
            <w:proofErr w:type="spellEnd"/>
            <w:r w:rsidRPr="00651453">
              <w:rPr>
                <w:rFonts w:asciiTheme="majorBidi" w:hAnsiTheme="majorBidi" w:cstheme="majorBidi"/>
                <w:color w:val="auto"/>
                <w:sz w:val="24"/>
                <w:szCs w:val="24"/>
              </w:rPr>
              <w:t xml:space="preserve"> O, Motohashi I, Morikawa T, Oda R, Hoshina Y, </w:t>
            </w:r>
            <w:proofErr w:type="spellStart"/>
            <w:r w:rsidRPr="00651453">
              <w:rPr>
                <w:rFonts w:asciiTheme="majorBidi" w:hAnsiTheme="majorBidi" w:cstheme="majorBidi"/>
                <w:color w:val="auto"/>
                <w:sz w:val="24"/>
                <w:szCs w:val="24"/>
              </w:rPr>
              <w:t>Matono</w:t>
            </w:r>
            <w:proofErr w:type="spellEnd"/>
            <w:r w:rsidRPr="00651453">
              <w:rPr>
                <w:rFonts w:asciiTheme="majorBidi" w:hAnsiTheme="majorBidi" w:cstheme="majorBidi"/>
                <w:color w:val="auto"/>
                <w:sz w:val="24"/>
                <w:szCs w:val="24"/>
              </w:rPr>
              <w:t xml:space="preserve"> T, Teshigahara O, Sando E, Asami S, Kudo S, Akizuki N, Muto Y, Hayakawa T, Kishaba T, Ohara Y, Kubo Y, Suzuki M, Morimoto K. Effectiveness of primary series, first, and second booster vaccination of monovalent mRNA COVID-19 vaccines against symptomatic SARS-CoV-2 infections and severe diseases during the SARS-CoV-2 Omicron BA.5 epidemic in Japan: vaccine effectiveness real-time surveillance for SARS-CoV-2 (VERSUS). Expert Review of Vaccines. 2024;23(1):213–225. doi:10.1080/14760584.2024.2310807.</w:t>
            </w:r>
          </w:p>
        </w:tc>
        <w:tc>
          <w:tcPr>
            <w:tcW w:w="5938" w:type="dxa"/>
          </w:tcPr>
          <w:p w14:paraId="2100C63D" w14:textId="3668FEBB" w:rsidR="009405C7" w:rsidRPr="00651453" w:rsidRDefault="009405C7" w:rsidP="009405C7">
            <w:pPr>
              <w:pStyle w:val="MDPI31text"/>
              <w:ind w:left="0" w:firstLine="0"/>
              <w:rPr>
                <w:rFonts w:asciiTheme="majorBidi" w:hAnsiTheme="majorBidi" w:cstheme="majorBidi"/>
                <w:color w:val="auto"/>
                <w:sz w:val="24"/>
                <w:szCs w:val="24"/>
              </w:rPr>
            </w:pPr>
            <w:r w:rsidRPr="00651453">
              <w:rPr>
                <w:rFonts w:asciiTheme="majorBidi" w:hAnsiTheme="majorBidi" w:cstheme="majorBidi"/>
                <w:color w:val="auto"/>
                <w:sz w:val="24"/>
                <w:szCs w:val="24"/>
              </w:rPr>
              <w:t xml:space="preserve">Outside the prespecified review scope. This study evaluates ancestral (monovalent) mRNA vaccines during an early Omicron BA.5 period (July–November 2022). It predates the introduction of updated or variant-adapted vaccines and does not provide effectiveness estimates relevant to later Omicron subvariants </w:t>
            </w:r>
            <w:r w:rsidR="00AA15B8" w:rsidRPr="00651453">
              <w:rPr>
                <w:rFonts w:asciiTheme="majorBidi" w:hAnsiTheme="majorBidi" w:cstheme="majorBidi"/>
                <w:color w:val="auto"/>
                <w:sz w:val="24"/>
                <w:szCs w:val="24"/>
              </w:rPr>
              <w:t>prioritized</w:t>
            </w:r>
            <w:r w:rsidRPr="00651453">
              <w:rPr>
                <w:rFonts w:asciiTheme="majorBidi" w:hAnsiTheme="majorBidi" w:cstheme="majorBidi"/>
                <w:color w:val="auto"/>
                <w:sz w:val="24"/>
                <w:szCs w:val="24"/>
              </w:rPr>
              <w:t xml:space="preserve"> in this review; therefore, the findings are not directly comparable with the contemporary Omicron-era vaccine-effectiveness evidence synthesised here.</w:t>
            </w:r>
          </w:p>
        </w:tc>
      </w:tr>
      <w:tr w:rsidR="009405C7" w14:paraId="50971782" w14:textId="77777777" w:rsidTr="00B20255">
        <w:tc>
          <w:tcPr>
            <w:tcW w:w="5403" w:type="dxa"/>
          </w:tcPr>
          <w:p w14:paraId="671820C1" w14:textId="32DBF3A7" w:rsidR="009405C7" w:rsidRPr="00BC0F4C" w:rsidRDefault="00BC0F4C" w:rsidP="009405C7">
            <w:pPr>
              <w:pStyle w:val="MDPI31text"/>
              <w:ind w:left="0" w:firstLine="0"/>
              <w:rPr>
                <w:rFonts w:asciiTheme="majorBidi" w:hAnsiTheme="majorBidi" w:cstheme="majorBidi"/>
                <w:color w:val="auto"/>
                <w:sz w:val="24"/>
                <w:szCs w:val="24"/>
              </w:rPr>
            </w:pPr>
            <w:proofErr w:type="spellStart"/>
            <w:r w:rsidRPr="00BC0F4C">
              <w:rPr>
                <w:rFonts w:asciiTheme="majorBidi" w:hAnsiTheme="majorBidi" w:cstheme="majorBidi"/>
                <w:color w:val="auto"/>
                <w:sz w:val="24"/>
                <w:szCs w:val="24"/>
              </w:rPr>
              <w:t>Makadzange</w:t>
            </w:r>
            <w:proofErr w:type="spellEnd"/>
            <w:r w:rsidRPr="00BC0F4C">
              <w:rPr>
                <w:rFonts w:asciiTheme="majorBidi" w:hAnsiTheme="majorBidi" w:cstheme="majorBidi"/>
                <w:color w:val="auto"/>
                <w:sz w:val="24"/>
                <w:szCs w:val="24"/>
              </w:rPr>
              <w:t xml:space="preserve"> AT, </w:t>
            </w:r>
            <w:proofErr w:type="spellStart"/>
            <w:r w:rsidRPr="00BC0F4C">
              <w:rPr>
                <w:rFonts w:asciiTheme="majorBidi" w:hAnsiTheme="majorBidi" w:cstheme="majorBidi"/>
                <w:color w:val="auto"/>
                <w:sz w:val="24"/>
                <w:szCs w:val="24"/>
              </w:rPr>
              <w:t>Gundidza</w:t>
            </w:r>
            <w:proofErr w:type="spellEnd"/>
            <w:r w:rsidRPr="00BC0F4C">
              <w:rPr>
                <w:rFonts w:asciiTheme="majorBidi" w:hAnsiTheme="majorBidi" w:cstheme="majorBidi"/>
                <w:color w:val="auto"/>
                <w:sz w:val="24"/>
                <w:szCs w:val="24"/>
              </w:rPr>
              <w:t xml:space="preserve"> P, </w:t>
            </w:r>
            <w:proofErr w:type="spellStart"/>
            <w:r w:rsidRPr="00BC0F4C">
              <w:rPr>
                <w:rFonts w:asciiTheme="majorBidi" w:hAnsiTheme="majorBidi" w:cstheme="majorBidi"/>
                <w:color w:val="auto"/>
                <w:sz w:val="24"/>
                <w:szCs w:val="24"/>
              </w:rPr>
              <w:t>Konono</w:t>
            </w:r>
            <w:proofErr w:type="spellEnd"/>
            <w:r w:rsidRPr="00BC0F4C">
              <w:rPr>
                <w:rFonts w:asciiTheme="majorBidi" w:hAnsiTheme="majorBidi" w:cstheme="majorBidi"/>
                <w:color w:val="auto"/>
                <w:sz w:val="24"/>
                <w:szCs w:val="24"/>
              </w:rPr>
              <w:t xml:space="preserve"> KCC, </w:t>
            </w:r>
            <w:proofErr w:type="spellStart"/>
            <w:r w:rsidRPr="00BC0F4C">
              <w:rPr>
                <w:rFonts w:asciiTheme="majorBidi" w:hAnsiTheme="majorBidi" w:cstheme="majorBidi"/>
                <w:color w:val="auto"/>
                <w:sz w:val="24"/>
                <w:szCs w:val="24"/>
              </w:rPr>
              <w:t>Gurumani</w:t>
            </w:r>
            <w:proofErr w:type="spellEnd"/>
            <w:r w:rsidRPr="00BC0F4C">
              <w:rPr>
                <w:rFonts w:asciiTheme="majorBidi" w:hAnsiTheme="majorBidi" w:cstheme="majorBidi"/>
                <w:color w:val="auto"/>
                <w:sz w:val="24"/>
                <w:szCs w:val="24"/>
              </w:rPr>
              <w:t xml:space="preserve"> M, Ndhlovu C. The real-world effectiveness of inactivated COVID-19 vaccines in Zimbabwe during the Omicron variant dominance: a test-negative case–control study. Vaccines (Basel). 2024;12(12):1303. doi:10.3390/vaccines12121303.</w:t>
            </w:r>
          </w:p>
        </w:tc>
        <w:tc>
          <w:tcPr>
            <w:tcW w:w="5938" w:type="dxa"/>
          </w:tcPr>
          <w:p w14:paraId="23AD7610" w14:textId="53AE7942" w:rsidR="009405C7" w:rsidRPr="00BC0F4C" w:rsidRDefault="009405C7" w:rsidP="009405C7">
            <w:pPr>
              <w:pStyle w:val="MDPI31text"/>
              <w:ind w:left="0" w:firstLine="0"/>
              <w:rPr>
                <w:rFonts w:asciiTheme="majorBidi" w:hAnsiTheme="majorBidi" w:cstheme="majorBidi"/>
                <w:color w:val="auto"/>
                <w:sz w:val="24"/>
                <w:szCs w:val="24"/>
              </w:rPr>
            </w:pPr>
            <w:r w:rsidRPr="00BC0F4C">
              <w:rPr>
                <w:rFonts w:asciiTheme="majorBidi" w:hAnsiTheme="majorBidi" w:cstheme="majorBidi"/>
                <w:color w:val="auto"/>
                <w:sz w:val="24"/>
                <w:szCs w:val="24"/>
              </w:rPr>
              <w:t>Outside the prespecified review scope. The study evaluates vaccine effectiveness of inactivated COVID-19 vaccines (BBIBP-CorV, CoronaVac) against symptomatic SARS-CoV-2 infection using a test-negative design. It does not assess severe clinical outcomes (hospitali</w:t>
            </w:r>
            <w:r w:rsidR="00F10ED1" w:rsidRPr="00BC0F4C">
              <w:rPr>
                <w:rFonts w:asciiTheme="majorBidi" w:hAnsiTheme="majorBidi" w:cstheme="majorBidi"/>
                <w:color w:val="auto"/>
                <w:sz w:val="24"/>
                <w:szCs w:val="24"/>
              </w:rPr>
              <w:t>z</w:t>
            </w:r>
            <w:r w:rsidRPr="00BC0F4C">
              <w:rPr>
                <w:rFonts w:asciiTheme="majorBidi" w:hAnsiTheme="majorBidi" w:cstheme="majorBidi"/>
                <w:color w:val="auto"/>
                <w:sz w:val="24"/>
                <w:szCs w:val="24"/>
              </w:rPr>
              <w:t>ation, ICU admission, or death) as primary endpoints and therefore is not eligible for inclusion in a review focused on severe COVID-19 outcomes and variant-adapted vaccine effectiveness.</w:t>
            </w:r>
          </w:p>
        </w:tc>
      </w:tr>
      <w:tr w:rsidR="009405C7" w14:paraId="2E7E973D" w14:textId="77777777" w:rsidTr="00B20255">
        <w:tc>
          <w:tcPr>
            <w:tcW w:w="5403" w:type="dxa"/>
          </w:tcPr>
          <w:p w14:paraId="4F6DABF2" w14:textId="42597C8A" w:rsidR="009405C7" w:rsidRPr="00BC0F4C" w:rsidRDefault="00BC0F4C" w:rsidP="009405C7">
            <w:pPr>
              <w:pStyle w:val="MDPI31text"/>
              <w:ind w:left="0" w:firstLine="0"/>
              <w:rPr>
                <w:rFonts w:asciiTheme="majorBidi" w:hAnsiTheme="majorBidi" w:cstheme="majorBidi"/>
                <w:color w:val="auto"/>
                <w:sz w:val="24"/>
                <w:szCs w:val="24"/>
              </w:rPr>
            </w:pPr>
            <w:r w:rsidRPr="00BC0F4C">
              <w:rPr>
                <w:rFonts w:asciiTheme="majorBidi" w:hAnsiTheme="majorBidi" w:cstheme="majorBidi"/>
                <w:color w:val="auto"/>
                <w:sz w:val="24"/>
                <w:szCs w:val="24"/>
                <w:lang w:val="en-AU"/>
              </w:rPr>
              <w:t xml:space="preserve">Malhotra S, Mani K, Lodha R, Bakhshi S, Mathur VP, Gupta P, Kedia S, Sankar MJ, Kumar P, Kumar A, H </w:t>
            </w:r>
            <w:r w:rsidRPr="00BC0F4C">
              <w:rPr>
                <w:rFonts w:asciiTheme="majorBidi" w:hAnsiTheme="majorBidi" w:cstheme="majorBidi"/>
                <w:color w:val="auto"/>
                <w:sz w:val="24"/>
                <w:szCs w:val="24"/>
                <w:lang w:val="en-AU"/>
              </w:rPr>
              <w:lastRenderedPageBreak/>
              <w:t xml:space="preserve">V, Ahuja V, Sinha S, </w:t>
            </w:r>
            <w:proofErr w:type="spellStart"/>
            <w:r w:rsidRPr="00BC0F4C">
              <w:rPr>
                <w:rFonts w:asciiTheme="majorBidi" w:hAnsiTheme="majorBidi" w:cstheme="majorBidi"/>
                <w:color w:val="auto"/>
                <w:sz w:val="24"/>
                <w:szCs w:val="24"/>
                <w:lang w:val="en-AU"/>
              </w:rPr>
              <w:t>Guleria</w:t>
            </w:r>
            <w:proofErr w:type="spellEnd"/>
            <w:r w:rsidRPr="00BC0F4C">
              <w:rPr>
                <w:rFonts w:asciiTheme="majorBidi" w:hAnsiTheme="majorBidi" w:cstheme="majorBidi"/>
                <w:color w:val="auto"/>
                <w:sz w:val="24"/>
                <w:szCs w:val="24"/>
                <w:lang w:val="en-AU"/>
              </w:rPr>
              <w:t xml:space="preserve"> R, Dua A, Ahmad S, Upadhyay AD, Sati HC, Mani K, </w:t>
            </w:r>
            <w:proofErr w:type="spellStart"/>
            <w:r w:rsidRPr="00BC0F4C">
              <w:rPr>
                <w:rFonts w:asciiTheme="majorBidi" w:hAnsiTheme="majorBidi" w:cstheme="majorBidi"/>
                <w:color w:val="auto"/>
                <w:sz w:val="24"/>
                <w:szCs w:val="24"/>
                <w:lang w:val="en-AU"/>
              </w:rPr>
              <w:t>Lokade</w:t>
            </w:r>
            <w:proofErr w:type="spellEnd"/>
            <w:r w:rsidRPr="00BC0F4C">
              <w:rPr>
                <w:rFonts w:asciiTheme="majorBidi" w:hAnsiTheme="majorBidi" w:cstheme="majorBidi"/>
                <w:color w:val="auto"/>
                <w:sz w:val="24"/>
                <w:szCs w:val="24"/>
                <w:lang w:val="en-AU"/>
              </w:rPr>
              <w:t xml:space="preserve"> AK, Devi KP, Johnson RM, </w:t>
            </w:r>
            <w:proofErr w:type="spellStart"/>
            <w:r w:rsidRPr="00BC0F4C">
              <w:rPr>
                <w:rFonts w:asciiTheme="majorBidi" w:hAnsiTheme="majorBidi" w:cstheme="majorBidi"/>
                <w:color w:val="auto"/>
                <w:sz w:val="24"/>
                <w:szCs w:val="24"/>
                <w:lang w:val="en-AU"/>
              </w:rPr>
              <w:t>Gowthaman</w:t>
            </w:r>
            <w:proofErr w:type="spellEnd"/>
            <w:r w:rsidRPr="00BC0F4C">
              <w:rPr>
                <w:rFonts w:asciiTheme="majorBidi" w:hAnsiTheme="majorBidi" w:cstheme="majorBidi"/>
                <w:color w:val="auto"/>
                <w:sz w:val="24"/>
                <w:szCs w:val="24"/>
                <w:lang w:val="en-AU"/>
              </w:rPr>
              <w:t xml:space="preserve"> K, Kumari M, Singh R, Kalra D, Sharma S, Singh A, Sharma V, </w:t>
            </w:r>
            <w:proofErr w:type="spellStart"/>
            <w:r w:rsidRPr="00BC0F4C">
              <w:rPr>
                <w:rFonts w:asciiTheme="majorBidi" w:hAnsiTheme="majorBidi" w:cstheme="majorBidi"/>
                <w:color w:val="auto"/>
                <w:sz w:val="24"/>
                <w:szCs w:val="24"/>
                <w:lang w:val="en-AU"/>
              </w:rPr>
              <w:t>Kanswal</w:t>
            </w:r>
            <w:proofErr w:type="spellEnd"/>
            <w:r w:rsidRPr="00BC0F4C">
              <w:rPr>
                <w:rFonts w:asciiTheme="majorBidi" w:hAnsiTheme="majorBidi" w:cstheme="majorBidi"/>
                <w:color w:val="auto"/>
                <w:sz w:val="24"/>
                <w:szCs w:val="24"/>
                <w:lang w:val="en-AU"/>
              </w:rPr>
              <w:t xml:space="preserve"> S, Sharma R, Giri T, Rajput S, Mehra G, Sharma A, Madan D, Singh M, Gupta A, Sharma S, Sachdeva S, Kumar M, Sachin, Singh AK, Gohar N, Kumar R, Kanojia N, Singhania J, Dubey R, Shukla S, G J, Sarkar S, Gupta I, Rai S, Tummala S, Reddy T, </w:t>
            </w:r>
            <w:proofErr w:type="spellStart"/>
            <w:r w:rsidRPr="00BC0F4C">
              <w:rPr>
                <w:rFonts w:asciiTheme="majorBidi" w:hAnsiTheme="majorBidi" w:cstheme="majorBidi"/>
                <w:color w:val="auto"/>
                <w:sz w:val="24"/>
                <w:szCs w:val="24"/>
                <w:lang w:val="en-AU"/>
              </w:rPr>
              <w:t>Vadodaria</w:t>
            </w:r>
            <w:proofErr w:type="spellEnd"/>
            <w:r w:rsidRPr="00BC0F4C">
              <w:rPr>
                <w:rFonts w:asciiTheme="majorBidi" w:hAnsiTheme="majorBidi" w:cstheme="majorBidi"/>
                <w:color w:val="auto"/>
                <w:sz w:val="24"/>
                <w:szCs w:val="24"/>
                <w:lang w:val="en-AU"/>
              </w:rPr>
              <w:t xml:space="preserve"> V, Sharma A, Gupta A, Vats M, </w:t>
            </w:r>
            <w:proofErr w:type="spellStart"/>
            <w:r w:rsidRPr="00BC0F4C">
              <w:rPr>
                <w:rFonts w:asciiTheme="majorBidi" w:hAnsiTheme="majorBidi" w:cstheme="majorBidi"/>
                <w:color w:val="auto"/>
                <w:sz w:val="24"/>
                <w:szCs w:val="24"/>
                <w:lang w:val="en-AU"/>
              </w:rPr>
              <w:t>Deori</w:t>
            </w:r>
            <w:proofErr w:type="spellEnd"/>
            <w:r w:rsidRPr="00BC0F4C">
              <w:rPr>
                <w:rFonts w:asciiTheme="majorBidi" w:hAnsiTheme="majorBidi" w:cstheme="majorBidi"/>
                <w:color w:val="auto"/>
                <w:sz w:val="24"/>
                <w:szCs w:val="24"/>
                <w:lang w:val="en-AU"/>
              </w:rPr>
              <w:t xml:space="preserve"> TJ, Jaiswal A, Pandit S. COVID-19 infection, reinfection, and vaccine effectiveness against symptomatic infection among health care workers during Omicron transmission in New Delhi, India. </w:t>
            </w:r>
            <w:r w:rsidRPr="00BC0F4C">
              <w:rPr>
                <w:rFonts w:asciiTheme="majorBidi" w:hAnsiTheme="majorBidi" w:cstheme="majorBidi"/>
                <w:color w:val="auto"/>
                <w:sz w:val="24"/>
                <w:szCs w:val="24"/>
                <w:lang w:val="nb-NO"/>
              </w:rPr>
              <w:t xml:space="preserve">The </w:t>
            </w:r>
            <w:proofErr w:type="spellStart"/>
            <w:r w:rsidRPr="00BC0F4C">
              <w:rPr>
                <w:rFonts w:asciiTheme="majorBidi" w:hAnsiTheme="majorBidi" w:cstheme="majorBidi"/>
                <w:color w:val="auto"/>
                <w:sz w:val="24"/>
                <w:szCs w:val="24"/>
                <w:lang w:val="nb-NO"/>
              </w:rPr>
              <w:t>Lancet</w:t>
            </w:r>
            <w:proofErr w:type="spellEnd"/>
            <w:r w:rsidRPr="00BC0F4C">
              <w:rPr>
                <w:rFonts w:asciiTheme="majorBidi" w:hAnsiTheme="majorBidi" w:cstheme="majorBidi"/>
                <w:color w:val="auto"/>
                <w:sz w:val="24"/>
                <w:szCs w:val="24"/>
                <w:lang w:val="nb-NO"/>
              </w:rPr>
              <w:t xml:space="preserve"> Regional Health – </w:t>
            </w:r>
            <w:proofErr w:type="spellStart"/>
            <w:r w:rsidRPr="00BC0F4C">
              <w:rPr>
                <w:rFonts w:asciiTheme="majorBidi" w:hAnsiTheme="majorBidi" w:cstheme="majorBidi"/>
                <w:color w:val="auto"/>
                <w:sz w:val="24"/>
                <w:szCs w:val="24"/>
                <w:lang w:val="nb-NO"/>
              </w:rPr>
              <w:t>Southeast</w:t>
            </w:r>
            <w:proofErr w:type="spellEnd"/>
            <w:r w:rsidRPr="00BC0F4C">
              <w:rPr>
                <w:rFonts w:asciiTheme="majorBidi" w:hAnsiTheme="majorBidi" w:cstheme="majorBidi"/>
                <w:color w:val="auto"/>
                <w:sz w:val="24"/>
                <w:szCs w:val="24"/>
                <w:lang w:val="nb-NO"/>
              </w:rPr>
              <w:t xml:space="preserve"> Asia. 2022;3:100023. doi:10.1016/j.lansea.2022.100023.</w:t>
            </w:r>
          </w:p>
        </w:tc>
        <w:tc>
          <w:tcPr>
            <w:tcW w:w="5938" w:type="dxa"/>
          </w:tcPr>
          <w:p w14:paraId="3D6A34F6" w14:textId="1DC6027A" w:rsidR="009405C7" w:rsidRPr="00BC0F4C" w:rsidRDefault="009405C7" w:rsidP="009405C7">
            <w:pPr>
              <w:pStyle w:val="MDPI31text"/>
              <w:ind w:left="0" w:firstLine="0"/>
              <w:rPr>
                <w:rFonts w:asciiTheme="majorBidi" w:hAnsiTheme="majorBidi" w:cstheme="majorBidi"/>
                <w:color w:val="auto"/>
                <w:sz w:val="24"/>
                <w:szCs w:val="24"/>
              </w:rPr>
            </w:pPr>
            <w:r w:rsidRPr="00BC0F4C">
              <w:rPr>
                <w:rFonts w:asciiTheme="majorBidi" w:hAnsiTheme="majorBidi" w:cstheme="majorBidi"/>
                <w:color w:val="auto"/>
                <w:sz w:val="24"/>
                <w:szCs w:val="24"/>
              </w:rPr>
              <w:lastRenderedPageBreak/>
              <w:t xml:space="preserve">Outside the prespecified review scope. This observational study estimates vaccine effectiveness against symptomatic </w:t>
            </w:r>
            <w:r w:rsidRPr="00BC0F4C">
              <w:rPr>
                <w:rFonts w:asciiTheme="majorBidi" w:hAnsiTheme="majorBidi" w:cstheme="majorBidi"/>
                <w:color w:val="auto"/>
                <w:sz w:val="24"/>
                <w:szCs w:val="24"/>
              </w:rPr>
              <w:lastRenderedPageBreak/>
              <w:t>SARS-CoV-2 infection among health care workers during an early Omicron (December 2021–February 2022) period using ancestral vaccines (primarily BBV152 [Covaxin] and AZD-1222 [Covishield]). The study reports insufficient severe clinical events and does not provide vaccine effectiveness estimates for hospitali</w:t>
            </w:r>
            <w:r w:rsidR="00F10ED1" w:rsidRPr="00BC0F4C">
              <w:rPr>
                <w:rFonts w:asciiTheme="majorBidi" w:hAnsiTheme="majorBidi" w:cstheme="majorBidi"/>
                <w:color w:val="auto"/>
                <w:sz w:val="24"/>
                <w:szCs w:val="24"/>
              </w:rPr>
              <w:t>z</w:t>
            </w:r>
            <w:r w:rsidRPr="00BC0F4C">
              <w:rPr>
                <w:rFonts w:asciiTheme="majorBidi" w:hAnsiTheme="majorBidi" w:cstheme="majorBidi"/>
                <w:color w:val="auto"/>
                <w:sz w:val="24"/>
                <w:szCs w:val="24"/>
              </w:rPr>
              <w:t>ation, ICU admission, or death, which were the primary outcomes of interest in this review.</w:t>
            </w:r>
          </w:p>
        </w:tc>
      </w:tr>
      <w:tr w:rsidR="009405C7" w14:paraId="61CA10E3" w14:textId="77777777" w:rsidTr="00B20255">
        <w:tc>
          <w:tcPr>
            <w:tcW w:w="5403" w:type="dxa"/>
          </w:tcPr>
          <w:p w14:paraId="497CB8C8" w14:textId="7D56FB75" w:rsidR="009405C7" w:rsidRPr="00BC0F4C" w:rsidRDefault="00BC0F4C" w:rsidP="009405C7">
            <w:pPr>
              <w:pStyle w:val="MDPI31text"/>
              <w:ind w:left="0" w:firstLine="0"/>
              <w:rPr>
                <w:rFonts w:asciiTheme="majorBidi" w:hAnsiTheme="majorBidi" w:cstheme="majorBidi"/>
                <w:color w:val="auto"/>
                <w:sz w:val="24"/>
                <w:szCs w:val="24"/>
              </w:rPr>
            </w:pPr>
            <w:proofErr w:type="spellStart"/>
            <w:r w:rsidRPr="00BC0F4C">
              <w:rPr>
                <w:rFonts w:asciiTheme="majorBidi" w:hAnsiTheme="majorBidi" w:cstheme="majorBidi"/>
                <w:color w:val="auto"/>
                <w:sz w:val="24"/>
                <w:szCs w:val="24"/>
              </w:rPr>
              <w:lastRenderedPageBreak/>
              <w:t>Maltezou</w:t>
            </w:r>
            <w:proofErr w:type="spellEnd"/>
            <w:r w:rsidRPr="00BC0F4C">
              <w:rPr>
                <w:rFonts w:asciiTheme="majorBidi" w:hAnsiTheme="majorBidi" w:cstheme="majorBidi"/>
                <w:color w:val="auto"/>
                <w:sz w:val="24"/>
                <w:szCs w:val="24"/>
              </w:rPr>
              <w:t xml:space="preserve"> HC, </w:t>
            </w:r>
            <w:proofErr w:type="spellStart"/>
            <w:r w:rsidRPr="00BC0F4C">
              <w:rPr>
                <w:rFonts w:asciiTheme="majorBidi" w:hAnsiTheme="majorBidi" w:cstheme="majorBidi"/>
                <w:color w:val="auto"/>
                <w:sz w:val="24"/>
                <w:szCs w:val="24"/>
              </w:rPr>
              <w:t>Basoulis</w:t>
            </w:r>
            <w:proofErr w:type="spellEnd"/>
            <w:r w:rsidRPr="00BC0F4C">
              <w:rPr>
                <w:rFonts w:asciiTheme="majorBidi" w:hAnsiTheme="majorBidi" w:cstheme="majorBidi"/>
                <w:color w:val="auto"/>
                <w:sz w:val="24"/>
                <w:szCs w:val="24"/>
              </w:rPr>
              <w:t xml:space="preserve"> D, </w:t>
            </w:r>
            <w:proofErr w:type="spellStart"/>
            <w:r w:rsidRPr="00BC0F4C">
              <w:rPr>
                <w:rFonts w:asciiTheme="majorBidi" w:hAnsiTheme="majorBidi" w:cstheme="majorBidi"/>
                <w:color w:val="auto"/>
                <w:sz w:val="24"/>
                <w:szCs w:val="24"/>
              </w:rPr>
              <w:t>Bonelis</w:t>
            </w:r>
            <w:proofErr w:type="spellEnd"/>
            <w:r w:rsidRPr="00BC0F4C">
              <w:rPr>
                <w:rFonts w:asciiTheme="majorBidi" w:hAnsiTheme="majorBidi" w:cstheme="majorBidi"/>
                <w:color w:val="auto"/>
                <w:sz w:val="24"/>
                <w:szCs w:val="24"/>
              </w:rPr>
              <w:t xml:space="preserve"> K, </w:t>
            </w:r>
            <w:proofErr w:type="spellStart"/>
            <w:r w:rsidRPr="00BC0F4C">
              <w:rPr>
                <w:rFonts w:asciiTheme="majorBidi" w:hAnsiTheme="majorBidi" w:cstheme="majorBidi"/>
                <w:color w:val="auto"/>
                <w:sz w:val="24"/>
                <w:szCs w:val="24"/>
              </w:rPr>
              <w:t>Gamaletsou</w:t>
            </w:r>
            <w:proofErr w:type="spellEnd"/>
            <w:r w:rsidRPr="00BC0F4C">
              <w:rPr>
                <w:rFonts w:asciiTheme="majorBidi" w:hAnsiTheme="majorBidi" w:cstheme="majorBidi"/>
                <w:color w:val="auto"/>
                <w:sz w:val="24"/>
                <w:szCs w:val="24"/>
              </w:rPr>
              <w:t xml:space="preserve"> MN, </w:t>
            </w:r>
            <w:proofErr w:type="spellStart"/>
            <w:r w:rsidRPr="00BC0F4C">
              <w:rPr>
                <w:rFonts w:asciiTheme="majorBidi" w:hAnsiTheme="majorBidi" w:cstheme="majorBidi"/>
                <w:color w:val="auto"/>
                <w:sz w:val="24"/>
                <w:szCs w:val="24"/>
              </w:rPr>
              <w:t>Giannouchos</w:t>
            </w:r>
            <w:proofErr w:type="spellEnd"/>
            <w:r w:rsidRPr="00BC0F4C">
              <w:rPr>
                <w:rFonts w:asciiTheme="majorBidi" w:hAnsiTheme="majorBidi" w:cstheme="majorBidi"/>
                <w:color w:val="auto"/>
                <w:sz w:val="24"/>
                <w:szCs w:val="24"/>
              </w:rPr>
              <w:t xml:space="preserve"> TV, </w:t>
            </w:r>
            <w:proofErr w:type="spellStart"/>
            <w:r w:rsidRPr="00BC0F4C">
              <w:rPr>
                <w:rFonts w:asciiTheme="majorBidi" w:hAnsiTheme="majorBidi" w:cstheme="majorBidi"/>
                <w:color w:val="auto"/>
                <w:sz w:val="24"/>
                <w:szCs w:val="24"/>
              </w:rPr>
              <w:t>Karantoni</w:t>
            </w:r>
            <w:proofErr w:type="spellEnd"/>
            <w:r w:rsidRPr="00BC0F4C">
              <w:rPr>
                <w:rFonts w:asciiTheme="majorBidi" w:hAnsiTheme="majorBidi" w:cstheme="majorBidi"/>
                <w:color w:val="auto"/>
                <w:sz w:val="24"/>
                <w:szCs w:val="24"/>
              </w:rPr>
              <w:t xml:space="preserve"> E, </w:t>
            </w:r>
            <w:proofErr w:type="spellStart"/>
            <w:r w:rsidRPr="00BC0F4C">
              <w:rPr>
                <w:rFonts w:asciiTheme="majorBidi" w:hAnsiTheme="majorBidi" w:cstheme="majorBidi"/>
                <w:color w:val="auto"/>
                <w:sz w:val="24"/>
                <w:szCs w:val="24"/>
              </w:rPr>
              <w:t>Karapanou</w:t>
            </w:r>
            <w:proofErr w:type="spellEnd"/>
            <w:r w:rsidRPr="00BC0F4C">
              <w:rPr>
                <w:rFonts w:asciiTheme="majorBidi" w:hAnsiTheme="majorBidi" w:cstheme="majorBidi"/>
                <w:color w:val="auto"/>
                <w:sz w:val="24"/>
                <w:szCs w:val="24"/>
              </w:rPr>
              <w:t xml:space="preserve"> A, </w:t>
            </w:r>
            <w:proofErr w:type="spellStart"/>
            <w:r w:rsidRPr="00BC0F4C">
              <w:rPr>
                <w:rFonts w:asciiTheme="majorBidi" w:hAnsiTheme="majorBidi" w:cstheme="majorBidi"/>
                <w:color w:val="auto"/>
                <w:sz w:val="24"/>
                <w:szCs w:val="24"/>
              </w:rPr>
              <w:t>Kounouklas</w:t>
            </w:r>
            <w:proofErr w:type="spellEnd"/>
            <w:r w:rsidRPr="00BC0F4C">
              <w:rPr>
                <w:rFonts w:asciiTheme="majorBidi" w:hAnsiTheme="majorBidi" w:cstheme="majorBidi"/>
                <w:color w:val="auto"/>
                <w:sz w:val="24"/>
                <w:szCs w:val="24"/>
              </w:rPr>
              <w:t xml:space="preserve"> K, </w:t>
            </w:r>
            <w:proofErr w:type="spellStart"/>
            <w:r w:rsidRPr="00BC0F4C">
              <w:rPr>
                <w:rFonts w:asciiTheme="majorBidi" w:hAnsiTheme="majorBidi" w:cstheme="majorBidi"/>
                <w:color w:val="auto"/>
                <w:sz w:val="24"/>
                <w:szCs w:val="24"/>
              </w:rPr>
              <w:t>Livanou</w:t>
            </w:r>
            <w:proofErr w:type="spellEnd"/>
            <w:r w:rsidRPr="00BC0F4C">
              <w:rPr>
                <w:rFonts w:asciiTheme="majorBidi" w:hAnsiTheme="majorBidi" w:cstheme="majorBidi"/>
                <w:color w:val="auto"/>
                <w:sz w:val="24"/>
                <w:szCs w:val="24"/>
              </w:rPr>
              <w:t xml:space="preserve"> ME, </w:t>
            </w:r>
            <w:proofErr w:type="spellStart"/>
            <w:r w:rsidRPr="00BC0F4C">
              <w:rPr>
                <w:rFonts w:asciiTheme="majorBidi" w:hAnsiTheme="majorBidi" w:cstheme="majorBidi"/>
                <w:color w:val="auto"/>
                <w:sz w:val="24"/>
                <w:szCs w:val="24"/>
              </w:rPr>
              <w:t>Zotou</w:t>
            </w:r>
            <w:proofErr w:type="spellEnd"/>
            <w:r w:rsidRPr="00BC0F4C">
              <w:rPr>
                <w:rFonts w:asciiTheme="majorBidi" w:hAnsiTheme="majorBidi" w:cstheme="majorBidi"/>
                <w:color w:val="auto"/>
                <w:sz w:val="24"/>
                <w:szCs w:val="24"/>
              </w:rPr>
              <w:t xml:space="preserve"> M, Rapti V, Stamou P, </w:t>
            </w:r>
            <w:proofErr w:type="spellStart"/>
            <w:r w:rsidRPr="00BC0F4C">
              <w:rPr>
                <w:rFonts w:asciiTheme="majorBidi" w:hAnsiTheme="majorBidi" w:cstheme="majorBidi"/>
                <w:color w:val="auto"/>
                <w:sz w:val="24"/>
                <w:szCs w:val="24"/>
              </w:rPr>
              <w:t>Loulakis</w:t>
            </w:r>
            <w:proofErr w:type="spellEnd"/>
            <w:r w:rsidRPr="00BC0F4C">
              <w:rPr>
                <w:rFonts w:asciiTheme="majorBidi" w:hAnsiTheme="majorBidi" w:cstheme="majorBidi"/>
                <w:color w:val="auto"/>
                <w:sz w:val="24"/>
                <w:szCs w:val="24"/>
              </w:rPr>
              <w:t xml:space="preserve"> D, Souliotis K, Chini M, Panagopoulos P, </w:t>
            </w:r>
            <w:proofErr w:type="spellStart"/>
            <w:r w:rsidRPr="00BC0F4C">
              <w:rPr>
                <w:rFonts w:asciiTheme="majorBidi" w:hAnsiTheme="majorBidi" w:cstheme="majorBidi"/>
                <w:color w:val="auto"/>
                <w:sz w:val="24"/>
                <w:szCs w:val="24"/>
              </w:rPr>
              <w:t>Poulakou</w:t>
            </w:r>
            <w:proofErr w:type="spellEnd"/>
            <w:r w:rsidRPr="00BC0F4C">
              <w:rPr>
                <w:rFonts w:asciiTheme="majorBidi" w:hAnsiTheme="majorBidi" w:cstheme="majorBidi"/>
                <w:color w:val="auto"/>
                <w:sz w:val="24"/>
                <w:szCs w:val="24"/>
              </w:rPr>
              <w:t xml:space="preserve"> G, Syrigos KN, Hatzigeorgiou D, </w:t>
            </w:r>
            <w:proofErr w:type="spellStart"/>
            <w:r w:rsidRPr="00BC0F4C">
              <w:rPr>
                <w:rFonts w:asciiTheme="majorBidi" w:hAnsiTheme="majorBidi" w:cstheme="majorBidi"/>
                <w:color w:val="auto"/>
                <w:sz w:val="24"/>
                <w:szCs w:val="24"/>
              </w:rPr>
              <w:t>Sipsas</w:t>
            </w:r>
            <w:proofErr w:type="spellEnd"/>
            <w:r w:rsidRPr="00BC0F4C">
              <w:rPr>
                <w:rFonts w:asciiTheme="majorBidi" w:hAnsiTheme="majorBidi" w:cstheme="majorBidi"/>
                <w:color w:val="auto"/>
                <w:sz w:val="24"/>
                <w:szCs w:val="24"/>
              </w:rPr>
              <w:t xml:space="preserve"> NV. Effectiveness of full (booster) COVID-19 vaccination against severe outcomes and work absenteeism in hospitalized patients with COVID-19 during the Delta and Omicron waves in Greece. Vaccine. 2023;41(15):2343–2348. doi:10.1016/j.vaccine.2023.01.067.</w:t>
            </w:r>
          </w:p>
        </w:tc>
        <w:tc>
          <w:tcPr>
            <w:tcW w:w="5938" w:type="dxa"/>
          </w:tcPr>
          <w:p w14:paraId="50C99E48" w14:textId="43EB5E74" w:rsidR="009405C7" w:rsidRPr="00BC0F4C" w:rsidRDefault="009405C7" w:rsidP="009405C7">
            <w:pPr>
              <w:pStyle w:val="MDPI31text"/>
              <w:ind w:left="0" w:firstLine="0"/>
              <w:rPr>
                <w:rFonts w:asciiTheme="majorBidi" w:hAnsiTheme="majorBidi" w:cstheme="majorBidi"/>
                <w:color w:val="auto"/>
                <w:sz w:val="24"/>
                <w:szCs w:val="24"/>
              </w:rPr>
            </w:pPr>
            <w:r w:rsidRPr="00BC0F4C">
              <w:rPr>
                <w:rFonts w:asciiTheme="majorBidi" w:hAnsiTheme="majorBidi" w:cstheme="majorBidi"/>
                <w:color w:val="auto"/>
                <w:sz w:val="24"/>
                <w:szCs w:val="24"/>
              </w:rPr>
              <w:t xml:space="preserve">Outside the prespecified review scope. This prospective observational study is restricted to patients already </w:t>
            </w:r>
            <w:r w:rsidR="000C0C3F" w:rsidRPr="00BC0F4C">
              <w:rPr>
                <w:rFonts w:asciiTheme="majorBidi" w:hAnsiTheme="majorBidi" w:cstheme="majorBidi"/>
                <w:color w:val="auto"/>
                <w:sz w:val="24"/>
                <w:szCs w:val="24"/>
              </w:rPr>
              <w:t>hospitalized</w:t>
            </w:r>
            <w:r w:rsidRPr="00BC0F4C">
              <w:rPr>
                <w:rFonts w:asciiTheme="majorBidi" w:hAnsiTheme="majorBidi" w:cstheme="majorBidi"/>
                <w:color w:val="auto"/>
                <w:sz w:val="24"/>
                <w:szCs w:val="24"/>
              </w:rPr>
              <w:t xml:space="preserve"> with COVID-19 and evaluates vaccination effects on ICU admission, mechanical ventilation, and death conditional on hospitali</w:t>
            </w:r>
            <w:r w:rsidR="00F10ED1" w:rsidRPr="00BC0F4C">
              <w:rPr>
                <w:rFonts w:asciiTheme="majorBidi" w:hAnsiTheme="majorBidi" w:cstheme="majorBidi"/>
                <w:color w:val="auto"/>
                <w:sz w:val="24"/>
                <w:szCs w:val="24"/>
              </w:rPr>
              <w:t>z</w:t>
            </w:r>
            <w:r w:rsidRPr="00BC0F4C">
              <w:rPr>
                <w:rFonts w:asciiTheme="majorBidi" w:hAnsiTheme="majorBidi" w:cstheme="majorBidi"/>
                <w:color w:val="auto"/>
                <w:sz w:val="24"/>
                <w:szCs w:val="24"/>
              </w:rPr>
              <w:t xml:space="preserve">ation. It does not provide population-based vaccine effectiveness estimates against severe COVID-19 outcomes using an at-risk denominator and is therefore not directly comparable with the vaccine-effectiveness framework applied in this review. In addition, the study was conducted during Delta and early Omicron (2021–2022) circulation using ancestral vaccine formulations, predating updated or variant-adapted vaccines </w:t>
            </w:r>
            <w:r w:rsidR="00AA15B8" w:rsidRPr="00BC0F4C">
              <w:rPr>
                <w:rFonts w:asciiTheme="majorBidi" w:hAnsiTheme="majorBidi" w:cstheme="majorBidi"/>
                <w:color w:val="auto"/>
                <w:sz w:val="24"/>
                <w:szCs w:val="24"/>
              </w:rPr>
              <w:t>prioritized</w:t>
            </w:r>
            <w:r w:rsidRPr="00BC0F4C">
              <w:rPr>
                <w:rFonts w:asciiTheme="majorBidi" w:hAnsiTheme="majorBidi" w:cstheme="majorBidi"/>
                <w:color w:val="auto"/>
                <w:sz w:val="24"/>
                <w:szCs w:val="24"/>
              </w:rPr>
              <w:t xml:space="preserve"> in this review.</w:t>
            </w:r>
          </w:p>
        </w:tc>
      </w:tr>
      <w:tr w:rsidR="009405C7" w14:paraId="7788783B" w14:textId="77777777" w:rsidTr="00B20255">
        <w:tc>
          <w:tcPr>
            <w:tcW w:w="5403" w:type="dxa"/>
          </w:tcPr>
          <w:p w14:paraId="1FF6C16A" w14:textId="2E226A3A" w:rsidR="009405C7" w:rsidRPr="00F629AE" w:rsidRDefault="00F629AE" w:rsidP="009405C7">
            <w:pPr>
              <w:pStyle w:val="MDPI31text"/>
              <w:ind w:left="0" w:firstLine="0"/>
              <w:rPr>
                <w:rFonts w:asciiTheme="majorBidi" w:hAnsiTheme="majorBidi" w:cstheme="majorBidi"/>
                <w:color w:val="auto"/>
                <w:sz w:val="24"/>
                <w:szCs w:val="24"/>
              </w:rPr>
            </w:pPr>
            <w:r w:rsidRPr="00F629AE">
              <w:rPr>
                <w:rFonts w:asciiTheme="majorBidi" w:hAnsiTheme="majorBidi" w:cstheme="majorBidi"/>
                <w:color w:val="auto"/>
                <w:sz w:val="24"/>
                <w:szCs w:val="24"/>
              </w:rPr>
              <w:t xml:space="preserve">Marron L, Mateo-Urdiales A, O’Donnell J, Robinson E, </w:t>
            </w:r>
            <w:proofErr w:type="spellStart"/>
            <w:r w:rsidRPr="00F629AE">
              <w:rPr>
                <w:rFonts w:asciiTheme="majorBidi" w:hAnsiTheme="majorBidi" w:cstheme="majorBidi"/>
                <w:color w:val="auto"/>
                <w:sz w:val="24"/>
                <w:szCs w:val="24"/>
              </w:rPr>
              <w:t>Domegan</w:t>
            </w:r>
            <w:proofErr w:type="spellEnd"/>
            <w:r w:rsidRPr="00F629AE">
              <w:rPr>
                <w:rFonts w:asciiTheme="majorBidi" w:hAnsiTheme="majorBidi" w:cstheme="majorBidi"/>
                <w:color w:val="auto"/>
                <w:sz w:val="24"/>
                <w:szCs w:val="24"/>
              </w:rPr>
              <w:t xml:space="preserve"> L. The impact of the COVID-19 vaccination </w:t>
            </w:r>
            <w:proofErr w:type="spellStart"/>
            <w:r w:rsidRPr="00F629AE">
              <w:rPr>
                <w:rFonts w:asciiTheme="majorBidi" w:hAnsiTheme="majorBidi" w:cstheme="majorBidi"/>
                <w:color w:val="auto"/>
                <w:sz w:val="24"/>
                <w:szCs w:val="24"/>
              </w:rPr>
              <w:t>programme</w:t>
            </w:r>
            <w:proofErr w:type="spellEnd"/>
            <w:r w:rsidRPr="00F629AE">
              <w:rPr>
                <w:rFonts w:asciiTheme="majorBidi" w:hAnsiTheme="majorBidi" w:cstheme="majorBidi"/>
                <w:color w:val="auto"/>
                <w:sz w:val="24"/>
                <w:szCs w:val="24"/>
              </w:rPr>
              <w:t xml:space="preserve"> on symptomatic and severe SARS-CoV-2 infection during a period of Omicron variant dominance in Ireland, December 2021 to March 2023. Eurosurveillance. 2024;29(28):2300697. doi:10.2807/1560-7917.ES.2024.29.28.2300697.</w:t>
            </w:r>
          </w:p>
        </w:tc>
        <w:tc>
          <w:tcPr>
            <w:tcW w:w="5938" w:type="dxa"/>
          </w:tcPr>
          <w:p w14:paraId="5866B707" w14:textId="77777777" w:rsidR="009405C7" w:rsidRPr="00F629AE" w:rsidRDefault="009405C7" w:rsidP="009405C7">
            <w:pPr>
              <w:pStyle w:val="MDPI31text"/>
              <w:ind w:left="0" w:firstLine="0"/>
              <w:rPr>
                <w:rFonts w:asciiTheme="majorBidi" w:hAnsiTheme="majorBidi" w:cstheme="majorBidi"/>
                <w:color w:val="auto"/>
                <w:sz w:val="24"/>
                <w:szCs w:val="24"/>
              </w:rPr>
            </w:pPr>
            <w:r w:rsidRPr="00F629AE">
              <w:rPr>
                <w:rFonts w:asciiTheme="majorBidi" w:hAnsiTheme="majorBidi" w:cstheme="majorBidi"/>
                <w:color w:val="auto"/>
                <w:sz w:val="24"/>
                <w:szCs w:val="24"/>
              </w:rPr>
              <w:t>Outside the prespecified review scope. This population-level vaccine impact study estimates averted outcomes and prevented fractions using surveillance data and externally sourced vaccine effectiveness estimates, rather than reporting primary, individual-level vaccine effectiveness estimates against severe outcomes.</w:t>
            </w:r>
          </w:p>
        </w:tc>
      </w:tr>
      <w:tr w:rsidR="009405C7" w14:paraId="01A0203C" w14:textId="77777777" w:rsidTr="00B20255">
        <w:tc>
          <w:tcPr>
            <w:tcW w:w="5403" w:type="dxa"/>
          </w:tcPr>
          <w:p w14:paraId="497976D4" w14:textId="0DFD5AE3" w:rsidR="009405C7" w:rsidRPr="00F629AE" w:rsidRDefault="00F629AE" w:rsidP="009405C7">
            <w:pPr>
              <w:pStyle w:val="MDPI31text"/>
              <w:ind w:left="0" w:firstLine="0"/>
              <w:rPr>
                <w:rFonts w:asciiTheme="majorBidi" w:hAnsiTheme="majorBidi" w:cstheme="majorBidi"/>
                <w:color w:val="auto"/>
                <w:sz w:val="24"/>
                <w:szCs w:val="24"/>
              </w:rPr>
            </w:pPr>
            <w:r w:rsidRPr="00F629AE">
              <w:rPr>
                <w:rFonts w:asciiTheme="majorBidi" w:hAnsiTheme="majorBidi" w:cstheme="majorBidi"/>
                <w:color w:val="auto"/>
                <w:sz w:val="24"/>
                <w:szCs w:val="24"/>
              </w:rPr>
              <w:t xml:space="preserve">Martínez-Baz I, </w:t>
            </w:r>
            <w:proofErr w:type="spellStart"/>
            <w:r w:rsidRPr="00F629AE">
              <w:rPr>
                <w:rFonts w:asciiTheme="majorBidi" w:hAnsiTheme="majorBidi" w:cstheme="majorBidi"/>
                <w:color w:val="auto"/>
                <w:sz w:val="24"/>
                <w:szCs w:val="24"/>
              </w:rPr>
              <w:t>Trobajo-Sanmartín</w:t>
            </w:r>
            <w:proofErr w:type="spellEnd"/>
            <w:r w:rsidRPr="00F629AE">
              <w:rPr>
                <w:rFonts w:asciiTheme="majorBidi" w:hAnsiTheme="majorBidi" w:cstheme="majorBidi"/>
                <w:color w:val="auto"/>
                <w:sz w:val="24"/>
                <w:szCs w:val="24"/>
              </w:rPr>
              <w:t xml:space="preserve"> C, </w:t>
            </w:r>
            <w:proofErr w:type="spellStart"/>
            <w:r w:rsidRPr="00F629AE">
              <w:rPr>
                <w:rFonts w:asciiTheme="majorBidi" w:hAnsiTheme="majorBidi" w:cstheme="majorBidi"/>
                <w:color w:val="auto"/>
                <w:sz w:val="24"/>
                <w:szCs w:val="24"/>
              </w:rPr>
              <w:t>Miqueleiz</w:t>
            </w:r>
            <w:proofErr w:type="spellEnd"/>
            <w:r w:rsidRPr="00F629AE">
              <w:rPr>
                <w:rFonts w:asciiTheme="majorBidi" w:hAnsiTheme="majorBidi" w:cstheme="majorBidi"/>
                <w:color w:val="auto"/>
                <w:sz w:val="24"/>
                <w:szCs w:val="24"/>
              </w:rPr>
              <w:t xml:space="preserve"> A, Casado I, </w:t>
            </w:r>
            <w:proofErr w:type="spellStart"/>
            <w:r w:rsidRPr="00F629AE">
              <w:rPr>
                <w:rFonts w:asciiTheme="majorBidi" w:hAnsiTheme="majorBidi" w:cstheme="majorBidi"/>
                <w:color w:val="auto"/>
                <w:sz w:val="24"/>
                <w:szCs w:val="24"/>
              </w:rPr>
              <w:t>Navascués</w:t>
            </w:r>
            <w:proofErr w:type="spellEnd"/>
            <w:r w:rsidRPr="00F629AE">
              <w:rPr>
                <w:rFonts w:asciiTheme="majorBidi" w:hAnsiTheme="majorBidi" w:cstheme="majorBidi"/>
                <w:color w:val="auto"/>
                <w:sz w:val="24"/>
                <w:szCs w:val="24"/>
              </w:rPr>
              <w:t xml:space="preserve"> A, </w:t>
            </w:r>
            <w:proofErr w:type="spellStart"/>
            <w:r w:rsidRPr="00F629AE">
              <w:rPr>
                <w:rFonts w:asciiTheme="majorBidi" w:hAnsiTheme="majorBidi" w:cstheme="majorBidi"/>
                <w:color w:val="auto"/>
                <w:sz w:val="24"/>
                <w:szCs w:val="24"/>
              </w:rPr>
              <w:t>Burgui</w:t>
            </w:r>
            <w:proofErr w:type="spellEnd"/>
            <w:r w:rsidRPr="00F629AE">
              <w:rPr>
                <w:rFonts w:asciiTheme="majorBidi" w:hAnsiTheme="majorBidi" w:cstheme="majorBidi"/>
                <w:color w:val="auto"/>
                <w:sz w:val="24"/>
                <w:szCs w:val="24"/>
              </w:rPr>
              <w:t xml:space="preserve"> C, Ezpeleta C, Castilla J, Guevara M, Working Group for the Study of COVID-19 in Navarra. Risk reduction of hospitalisation and severe disease in vaccinated COVID-19 cases during the SARS-CoV-2 variant Omicron BA.1-predominant period, Navarre, Spain, January to March 2022. Eurosurveillance. 2023;28(5):2200337. doi:10.2807/1560-7917.ES.2023.28.5.2200337.</w:t>
            </w:r>
          </w:p>
        </w:tc>
        <w:tc>
          <w:tcPr>
            <w:tcW w:w="5938" w:type="dxa"/>
          </w:tcPr>
          <w:p w14:paraId="53D0858C" w14:textId="054ED125" w:rsidR="009405C7" w:rsidRPr="00F629AE" w:rsidRDefault="009405C7" w:rsidP="009405C7">
            <w:pPr>
              <w:pStyle w:val="MDPI31text"/>
              <w:ind w:left="0" w:firstLine="0"/>
              <w:rPr>
                <w:rFonts w:asciiTheme="majorBidi" w:hAnsiTheme="majorBidi" w:cstheme="majorBidi"/>
                <w:color w:val="auto"/>
                <w:sz w:val="24"/>
                <w:szCs w:val="24"/>
              </w:rPr>
            </w:pPr>
            <w:r w:rsidRPr="00F629AE">
              <w:rPr>
                <w:rFonts w:asciiTheme="majorBidi" w:hAnsiTheme="majorBidi" w:cstheme="majorBidi"/>
                <w:color w:val="auto"/>
                <w:sz w:val="24"/>
                <w:szCs w:val="24"/>
              </w:rPr>
              <w:t>Outside the prespecified review scope. This case-to-case analysis evaluates risk reduction of hospitali</w:t>
            </w:r>
            <w:r w:rsidR="00F10ED1" w:rsidRPr="00F629AE">
              <w:rPr>
                <w:rFonts w:asciiTheme="majorBidi" w:hAnsiTheme="majorBidi" w:cstheme="majorBidi"/>
                <w:color w:val="auto"/>
                <w:sz w:val="24"/>
                <w:szCs w:val="24"/>
              </w:rPr>
              <w:t>z</w:t>
            </w:r>
            <w:r w:rsidRPr="00F629AE">
              <w:rPr>
                <w:rFonts w:asciiTheme="majorBidi" w:hAnsiTheme="majorBidi" w:cstheme="majorBidi"/>
                <w:color w:val="auto"/>
                <w:sz w:val="24"/>
                <w:szCs w:val="24"/>
              </w:rPr>
              <w:t>ation and severe disease among confirmed COVID-19 cases only, rather than vaccine effectiveness against severe outcomes in the underlying population, yielding non-</w:t>
            </w:r>
            <w:r w:rsidR="000244C3" w:rsidRPr="00F629AE">
              <w:rPr>
                <w:rFonts w:asciiTheme="majorBidi" w:hAnsiTheme="majorBidi" w:cstheme="majorBidi"/>
                <w:color w:val="auto"/>
                <w:sz w:val="24"/>
                <w:szCs w:val="24"/>
              </w:rPr>
              <w:t>harmonizable</w:t>
            </w:r>
            <w:r w:rsidRPr="00F629AE">
              <w:rPr>
                <w:rFonts w:asciiTheme="majorBidi" w:hAnsiTheme="majorBidi" w:cstheme="majorBidi"/>
                <w:color w:val="auto"/>
                <w:sz w:val="24"/>
                <w:szCs w:val="24"/>
              </w:rPr>
              <w:t xml:space="preserve"> effect estimates for this review.</w:t>
            </w:r>
          </w:p>
        </w:tc>
      </w:tr>
      <w:tr w:rsidR="009405C7" w14:paraId="0187FCD6" w14:textId="77777777" w:rsidTr="00B20255">
        <w:tc>
          <w:tcPr>
            <w:tcW w:w="5403" w:type="dxa"/>
          </w:tcPr>
          <w:p w14:paraId="77013F23" w14:textId="6B6B523B" w:rsidR="009405C7" w:rsidRPr="000D6A9E" w:rsidRDefault="000D6A9E"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rPr>
              <w:t xml:space="preserve">Mateo-Urdiales A, Sacco C, Petrone D, Bella A, Riccardo F, Del Manso M, Bressi M, Siddu A, </w:t>
            </w:r>
            <w:proofErr w:type="spellStart"/>
            <w:r w:rsidRPr="000D6A9E">
              <w:rPr>
                <w:rFonts w:asciiTheme="majorBidi" w:hAnsiTheme="majorBidi" w:cstheme="majorBidi"/>
                <w:color w:val="auto"/>
                <w:sz w:val="24"/>
                <w:szCs w:val="24"/>
              </w:rPr>
              <w:t>Brusaferro</w:t>
            </w:r>
            <w:proofErr w:type="spellEnd"/>
            <w:r w:rsidRPr="000D6A9E">
              <w:rPr>
                <w:rFonts w:asciiTheme="majorBidi" w:hAnsiTheme="majorBidi" w:cstheme="majorBidi"/>
                <w:color w:val="auto"/>
                <w:sz w:val="24"/>
                <w:szCs w:val="24"/>
              </w:rPr>
              <w:t xml:space="preserve"> S, Palamara AT, Rezza G, Pezzotti P, </w:t>
            </w:r>
            <w:r w:rsidRPr="000D6A9E">
              <w:rPr>
                <w:rFonts w:asciiTheme="majorBidi" w:hAnsiTheme="majorBidi" w:cstheme="majorBidi"/>
                <w:color w:val="auto"/>
                <w:sz w:val="24"/>
                <w:szCs w:val="24"/>
              </w:rPr>
              <w:lastRenderedPageBreak/>
              <w:t>Fabiani M; Italian National COVID-19 Integrated Surveillance System and the Italian COVID-19 Vaccines Registry. Estimated effectiveness of a primary cycle of protein recombinant vaccine NVX-CoV2373 against COVID-19. JAMA Network Open. 2023;6(10):e2336854. doi:10.1001/jamanetworkopen.2023.36854.</w:t>
            </w:r>
          </w:p>
        </w:tc>
        <w:tc>
          <w:tcPr>
            <w:tcW w:w="5938" w:type="dxa"/>
          </w:tcPr>
          <w:p w14:paraId="05E01B67" w14:textId="6F08B57E" w:rsidR="009405C7" w:rsidRPr="000D6A9E" w:rsidRDefault="009405C7"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rPr>
              <w:lastRenderedPageBreak/>
              <w:t xml:space="preserve">Outside the prespecified review scope. This study evaluates the effectiveness of the protein recombinant vaccine NVX-CoV2373 (Novavax) during an Omicron-predominant </w:t>
            </w:r>
            <w:r w:rsidRPr="000D6A9E">
              <w:rPr>
                <w:rFonts w:asciiTheme="majorBidi" w:hAnsiTheme="majorBidi" w:cstheme="majorBidi"/>
                <w:color w:val="auto"/>
                <w:sz w:val="24"/>
                <w:szCs w:val="24"/>
              </w:rPr>
              <w:lastRenderedPageBreak/>
              <w:t>period, with outcomes limited to SARS-CoV-2 infection and symptomatic COVID-19. It does not assess mRNA or variant-adapted vaccines, does not provide estimable effectiveness against severe outcomes (hospitali</w:t>
            </w:r>
            <w:r w:rsidR="00F10ED1" w:rsidRPr="000D6A9E">
              <w:rPr>
                <w:rFonts w:asciiTheme="majorBidi" w:hAnsiTheme="majorBidi" w:cstheme="majorBidi"/>
                <w:color w:val="auto"/>
                <w:sz w:val="24"/>
                <w:szCs w:val="24"/>
              </w:rPr>
              <w:t>z</w:t>
            </w:r>
            <w:r w:rsidRPr="000D6A9E">
              <w:rPr>
                <w:rFonts w:asciiTheme="majorBidi" w:hAnsiTheme="majorBidi" w:cstheme="majorBidi"/>
                <w:color w:val="auto"/>
                <w:sz w:val="24"/>
                <w:szCs w:val="24"/>
              </w:rPr>
              <w:t xml:space="preserve">ation or death), and does not report </w:t>
            </w:r>
            <w:r w:rsidR="000244C3" w:rsidRPr="000D6A9E">
              <w:rPr>
                <w:rFonts w:asciiTheme="majorBidi" w:hAnsiTheme="majorBidi" w:cstheme="majorBidi"/>
                <w:color w:val="auto"/>
                <w:sz w:val="24"/>
                <w:szCs w:val="24"/>
              </w:rPr>
              <w:t>harmonized</w:t>
            </w:r>
            <w:r w:rsidRPr="000D6A9E">
              <w:rPr>
                <w:rFonts w:asciiTheme="majorBidi" w:hAnsiTheme="majorBidi" w:cstheme="majorBidi"/>
                <w:color w:val="auto"/>
                <w:sz w:val="24"/>
                <w:szCs w:val="24"/>
              </w:rPr>
              <w:t xml:space="preserve"> Omicron subvariant-specific effectiveness estimates required for inclusion in this review.</w:t>
            </w:r>
          </w:p>
        </w:tc>
      </w:tr>
      <w:tr w:rsidR="009405C7" w14:paraId="1014A625" w14:textId="77777777" w:rsidTr="00B20255">
        <w:tc>
          <w:tcPr>
            <w:tcW w:w="5403" w:type="dxa"/>
          </w:tcPr>
          <w:p w14:paraId="58FB5CFB" w14:textId="2A103CE1" w:rsidR="009405C7" w:rsidRPr="000D6A9E" w:rsidRDefault="000D6A9E"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lang w:val="en-AU"/>
              </w:rPr>
              <w:lastRenderedPageBreak/>
              <w:t xml:space="preserve">Mateo-Urdiales A, Sacco C, </w:t>
            </w:r>
            <w:proofErr w:type="spellStart"/>
            <w:r w:rsidRPr="000D6A9E">
              <w:rPr>
                <w:rFonts w:asciiTheme="majorBidi" w:hAnsiTheme="majorBidi" w:cstheme="majorBidi"/>
                <w:color w:val="auto"/>
                <w:sz w:val="24"/>
                <w:szCs w:val="24"/>
                <w:lang w:val="en-AU"/>
              </w:rPr>
              <w:t>Fotakis</w:t>
            </w:r>
            <w:proofErr w:type="spellEnd"/>
            <w:r w:rsidRPr="000D6A9E">
              <w:rPr>
                <w:rFonts w:asciiTheme="majorBidi" w:hAnsiTheme="majorBidi" w:cstheme="majorBidi"/>
                <w:color w:val="auto"/>
                <w:sz w:val="24"/>
                <w:szCs w:val="24"/>
                <w:lang w:val="en-AU"/>
              </w:rPr>
              <w:t xml:space="preserve"> EA, Del Manso M, Bella A, Riccardo F, Bressi M, Rota MC, Petrone D, Siddu A, Fedele G, Stefanelli P, Palamara AT, </w:t>
            </w:r>
            <w:proofErr w:type="spellStart"/>
            <w:r w:rsidRPr="000D6A9E">
              <w:rPr>
                <w:rFonts w:asciiTheme="majorBidi" w:hAnsiTheme="majorBidi" w:cstheme="majorBidi"/>
                <w:color w:val="auto"/>
                <w:sz w:val="24"/>
                <w:szCs w:val="24"/>
                <w:lang w:val="en-AU"/>
              </w:rPr>
              <w:t>Brusaferro</w:t>
            </w:r>
            <w:proofErr w:type="spellEnd"/>
            <w:r w:rsidRPr="000D6A9E">
              <w:rPr>
                <w:rFonts w:asciiTheme="majorBidi" w:hAnsiTheme="majorBidi" w:cstheme="majorBidi"/>
                <w:color w:val="auto"/>
                <w:sz w:val="24"/>
                <w:szCs w:val="24"/>
                <w:lang w:val="en-AU"/>
              </w:rPr>
              <w:t xml:space="preserve"> S, Rezza G, Pezzotti P, Fabiani M. Relative effectiveness of monovalent and bivalent mRNA boosters in preventing severe COVID-19 due to Omicron BA.5 infection up to 4 months post-administration in people aged ≥60 years in Italy: a retrospective matched cohort study. </w:t>
            </w:r>
            <w:r w:rsidRPr="000D6A9E">
              <w:rPr>
                <w:rFonts w:asciiTheme="majorBidi" w:hAnsiTheme="majorBidi" w:cstheme="majorBidi"/>
                <w:color w:val="auto"/>
                <w:sz w:val="24"/>
                <w:szCs w:val="24"/>
                <w:lang w:val="nb-NO"/>
              </w:rPr>
              <w:t xml:space="preserve">The </w:t>
            </w:r>
            <w:proofErr w:type="spellStart"/>
            <w:r w:rsidRPr="000D6A9E">
              <w:rPr>
                <w:rFonts w:asciiTheme="majorBidi" w:hAnsiTheme="majorBidi" w:cstheme="majorBidi"/>
                <w:color w:val="auto"/>
                <w:sz w:val="24"/>
                <w:szCs w:val="24"/>
                <w:lang w:val="nb-NO"/>
              </w:rPr>
              <w:t>Lancet</w:t>
            </w:r>
            <w:proofErr w:type="spellEnd"/>
            <w:r w:rsidRPr="000D6A9E">
              <w:rPr>
                <w:rFonts w:asciiTheme="majorBidi" w:hAnsiTheme="majorBidi" w:cstheme="majorBidi"/>
                <w:color w:val="auto"/>
                <w:sz w:val="24"/>
                <w:szCs w:val="24"/>
                <w:lang w:val="nb-NO"/>
              </w:rPr>
              <w:t xml:space="preserve"> </w:t>
            </w:r>
            <w:proofErr w:type="spellStart"/>
            <w:r w:rsidRPr="000D6A9E">
              <w:rPr>
                <w:rFonts w:asciiTheme="majorBidi" w:hAnsiTheme="majorBidi" w:cstheme="majorBidi"/>
                <w:color w:val="auto"/>
                <w:sz w:val="24"/>
                <w:szCs w:val="24"/>
                <w:lang w:val="nb-NO"/>
              </w:rPr>
              <w:t>Infectious</w:t>
            </w:r>
            <w:proofErr w:type="spellEnd"/>
            <w:r w:rsidRPr="000D6A9E">
              <w:rPr>
                <w:rFonts w:asciiTheme="majorBidi" w:hAnsiTheme="majorBidi" w:cstheme="majorBidi"/>
                <w:color w:val="auto"/>
                <w:sz w:val="24"/>
                <w:szCs w:val="24"/>
                <w:lang w:val="nb-NO"/>
              </w:rPr>
              <w:t xml:space="preserve"> </w:t>
            </w:r>
            <w:proofErr w:type="spellStart"/>
            <w:r w:rsidRPr="000D6A9E">
              <w:rPr>
                <w:rFonts w:asciiTheme="majorBidi" w:hAnsiTheme="majorBidi" w:cstheme="majorBidi"/>
                <w:color w:val="auto"/>
                <w:sz w:val="24"/>
                <w:szCs w:val="24"/>
                <w:lang w:val="nb-NO"/>
              </w:rPr>
              <w:t>Diseases</w:t>
            </w:r>
            <w:proofErr w:type="spellEnd"/>
            <w:r w:rsidRPr="000D6A9E">
              <w:rPr>
                <w:rFonts w:asciiTheme="majorBidi" w:hAnsiTheme="majorBidi" w:cstheme="majorBidi"/>
                <w:color w:val="auto"/>
                <w:sz w:val="24"/>
                <w:szCs w:val="24"/>
                <w:lang w:val="nb-NO"/>
              </w:rPr>
              <w:t>. 2023;23(12):1349–1359. doi:10.1016/S1473-3099(23)00374-2.</w:t>
            </w:r>
          </w:p>
        </w:tc>
        <w:tc>
          <w:tcPr>
            <w:tcW w:w="5938" w:type="dxa"/>
          </w:tcPr>
          <w:p w14:paraId="3E2AEEB7" w14:textId="2476ADF7" w:rsidR="009405C7" w:rsidRPr="000D6A9E" w:rsidRDefault="009405C7"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rPr>
              <w:t xml:space="preserve">Outside the prespecified review scope. This retrospective matched cohort study evaluates monovalent and early bivalent (original/Omicron BA.1 and </w:t>
            </w:r>
            <w:r w:rsidR="001C4ED4" w:rsidRPr="000D6A9E">
              <w:rPr>
                <w:rFonts w:asciiTheme="majorBidi" w:hAnsiTheme="majorBidi" w:cstheme="majorBidi"/>
                <w:color w:val="auto"/>
                <w:sz w:val="24"/>
                <w:szCs w:val="24"/>
              </w:rPr>
              <w:t>BA.4/BA.5</w:t>
            </w:r>
            <w:r w:rsidRPr="000D6A9E">
              <w:rPr>
                <w:rFonts w:asciiTheme="majorBidi" w:hAnsiTheme="majorBidi" w:cstheme="majorBidi"/>
                <w:color w:val="auto"/>
                <w:sz w:val="24"/>
                <w:szCs w:val="24"/>
              </w:rPr>
              <w:t>) mRNA booster vaccines during early Omicron BA.5 predominance (September 2022–January 2023) and does not assess late-Omicron sub-lineages (e.g., XBB, JN.1, KP) or the effectiveness of updated, variant-adapted COVID-19 vaccines that are the focus of this review.</w:t>
            </w:r>
          </w:p>
        </w:tc>
      </w:tr>
      <w:tr w:rsidR="009405C7" w14:paraId="190E3D30" w14:textId="77777777" w:rsidTr="00B20255">
        <w:tc>
          <w:tcPr>
            <w:tcW w:w="5403" w:type="dxa"/>
          </w:tcPr>
          <w:p w14:paraId="03368DBF" w14:textId="1B1D0485" w:rsidR="009405C7" w:rsidRPr="000D6A9E" w:rsidRDefault="000D6A9E" w:rsidP="009405C7">
            <w:pPr>
              <w:pStyle w:val="MDPI31text"/>
              <w:ind w:left="0" w:firstLine="0"/>
              <w:rPr>
                <w:rFonts w:asciiTheme="majorBidi" w:hAnsiTheme="majorBidi" w:cstheme="majorBidi"/>
                <w:color w:val="auto"/>
                <w:sz w:val="24"/>
                <w:szCs w:val="24"/>
              </w:rPr>
            </w:pPr>
            <w:proofErr w:type="spellStart"/>
            <w:r w:rsidRPr="000D6A9E">
              <w:rPr>
                <w:rFonts w:asciiTheme="majorBidi" w:hAnsiTheme="majorBidi" w:cstheme="majorBidi"/>
                <w:color w:val="auto"/>
                <w:sz w:val="24"/>
                <w:szCs w:val="24"/>
              </w:rPr>
              <w:t>Mbinta</w:t>
            </w:r>
            <w:proofErr w:type="spellEnd"/>
            <w:r w:rsidRPr="000D6A9E">
              <w:rPr>
                <w:rFonts w:asciiTheme="majorBidi" w:hAnsiTheme="majorBidi" w:cstheme="majorBidi"/>
                <w:color w:val="auto"/>
                <w:sz w:val="24"/>
                <w:szCs w:val="24"/>
              </w:rPr>
              <w:t xml:space="preserve"> JF, Sporle AA, Sheppard J, </w:t>
            </w:r>
            <w:proofErr w:type="spellStart"/>
            <w:r w:rsidRPr="000D6A9E">
              <w:rPr>
                <w:rFonts w:asciiTheme="majorBidi" w:hAnsiTheme="majorBidi" w:cstheme="majorBidi"/>
                <w:color w:val="auto"/>
                <w:sz w:val="24"/>
                <w:szCs w:val="24"/>
              </w:rPr>
              <w:t>Su’a-Tavila</w:t>
            </w:r>
            <w:proofErr w:type="spellEnd"/>
            <w:r w:rsidRPr="000D6A9E">
              <w:rPr>
                <w:rFonts w:asciiTheme="majorBidi" w:hAnsiTheme="majorBidi" w:cstheme="majorBidi"/>
                <w:color w:val="auto"/>
                <w:sz w:val="24"/>
                <w:szCs w:val="24"/>
              </w:rPr>
              <w:t xml:space="preserve"> A, Nguyen BP, French N, Simpson CR. Effectiveness of COVID-19 vaccines against hospitalisation, death and infection over time in Aotearoa New Zealand: a retrospective cohort study. New Zealand Medical Journal. 2024;137(1602).</w:t>
            </w:r>
          </w:p>
        </w:tc>
        <w:tc>
          <w:tcPr>
            <w:tcW w:w="5938" w:type="dxa"/>
          </w:tcPr>
          <w:p w14:paraId="5EE8839E" w14:textId="52D01A2D" w:rsidR="009405C7" w:rsidRPr="000D6A9E" w:rsidRDefault="009405C7"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rPr>
              <w:t xml:space="preserve">Outside the prespecified review scope. This nationwide retrospective cohort study evaluates overall COVID-19 vaccine effectiveness during periods of Omicron predominance without subvariant-specific attribution (e.g., BA.2, BA.5, XBB, JN.1, KP.3). The analysis primarily reflects ancestral mRNA vaccine formulations and does not assess updated or variant-adapted vaccines, nor does it provide </w:t>
            </w:r>
            <w:r w:rsidR="000244C3" w:rsidRPr="000D6A9E">
              <w:rPr>
                <w:rFonts w:asciiTheme="majorBidi" w:hAnsiTheme="majorBidi" w:cstheme="majorBidi"/>
                <w:color w:val="auto"/>
                <w:sz w:val="24"/>
                <w:szCs w:val="24"/>
              </w:rPr>
              <w:t>harmonized</w:t>
            </w:r>
            <w:r w:rsidRPr="000D6A9E">
              <w:rPr>
                <w:rFonts w:asciiTheme="majorBidi" w:hAnsiTheme="majorBidi" w:cstheme="majorBidi"/>
                <w:color w:val="auto"/>
                <w:sz w:val="24"/>
                <w:szCs w:val="24"/>
              </w:rPr>
              <w:t xml:space="preserve"> Omicron subvariant-specific effectiveness estimates required for inclusion in this review.</w:t>
            </w:r>
          </w:p>
        </w:tc>
      </w:tr>
      <w:tr w:rsidR="009405C7" w14:paraId="33E8DAF8" w14:textId="77777777" w:rsidTr="00B20255">
        <w:tc>
          <w:tcPr>
            <w:tcW w:w="5403" w:type="dxa"/>
          </w:tcPr>
          <w:p w14:paraId="524E1D6C" w14:textId="2AD464AD" w:rsidR="009405C7" w:rsidRPr="000D6A9E" w:rsidRDefault="000D6A9E"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lang w:val="en-AU"/>
              </w:rPr>
              <w:t xml:space="preserve">McConeghy KW, </w:t>
            </w:r>
            <w:proofErr w:type="spellStart"/>
            <w:r w:rsidRPr="000D6A9E">
              <w:rPr>
                <w:rFonts w:asciiTheme="majorBidi" w:hAnsiTheme="majorBidi" w:cstheme="majorBidi"/>
                <w:color w:val="auto"/>
                <w:sz w:val="24"/>
                <w:szCs w:val="24"/>
                <w:lang w:val="en-AU"/>
              </w:rPr>
              <w:t>Bardenheier</w:t>
            </w:r>
            <w:proofErr w:type="spellEnd"/>
            <w:r w:rsidRPr="000D6A9E">
              <w:rPr>
                <w:rFonts w:asciiTheme="majorBidi" w:hAnsiTheme="majorBidi" w:cstheme="majorBidi"/>
                <w:color w:val="auto"/>
                <w:sz w:val="24"/>
                <w:szCs w:val="24"/>
                <w:lang w:val="en-AU"/>
              </w:rPr>
              <w:t xml:space="preserve"> B, Huang AW, White EM, Feifer RA, Blackman C, Santostefano CM, Lee Y, </w:t>
            </w:r>
            <w:proofErr w:type="spellStart"/>
            <w:r w:rsidRPr="000D6A9E">
              <w:rPr>
                <w:rFonts w:asciiTheme="majorBidi" w:hAnsiTheme="majorBidi" w:cstheme="majorBidi"/>
                <w:color w:val="auto"/>
                <w:sz w:val="24"/>
                <w:szCs w:val="24"/>
                <w:lang w:val="en-AU"/>
              </w:rPr>
              <w:t>DeVone</w:t>
            </w:r>
            <w:proofErr w:type="spellEnd"/>
            <w:r w:rsidRPr="000D6A9E">
              <w:rPr>
                <w:rFonts w:asciiTheme="majorBidi" w:hAnsiTheme="majorBidi" w:cstheme="majorBidi"/>
                <w:color w:val="auto"/>
                <w:sz w:val="24"/>
                <w:szCs w:val="24"/>
                <w:lang w:val="en-AU"/>
              </w:rPr>
              <w:t xml:space="preserve"> F, Halladay CW, Rudolph JL, Zullo AR, Mor V, Gravenstein S. Infections, hospitalizations, and deaths among US nursing home residents with vs without a SARS-CoV-2 vaccine booster. </w:t>
            </w:r>
            <w:r w:rsidRPr="000D6A9E">
              <w:rPr>
                <w:rFonts w:asciiTheme="majorBidi" w:hAnsiTheme="majorBidi" w:cstheme="majorBidi"/>
                <w:color w:val="auto"/>
                <w:sz w:val="24"/>
                <w:szCs w:val="24"/>
                <w:lang w:val="nb-NO"/>
              </w:rPr>
              <w:t>JAMA Network Open. 2022;5(12):e2245417. doi:10.1001/jamanetworkopen.2022.45417.</w:t>
            </w:r>
          </w:p>
        </w:tc>
        <w:tc>
          <w:tcPr>
            <w:tcW w:w="5938" w:type="dxa"/>
          </w:tcPr>
          <w:p w14:paraId="19CBA0E9" w14:textId="5F3E3E5F" w:rsidR="009405C7" w:rsidRPr="000D6A9E" w:rsidRDefault="009405C7"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rPr>
              <w:t>Outside the prespecified review scope. This cohort study evaluates the effectiveness of first mRNA booster doses among US nursing home residents during Delta and early Omicron (BA.1) circulation (2021–2022). The study does not assess late-Omicron sub-lineages (e.g., BA.4/BA.5, XBB, JN.1, KP) or the effectiveness of updated, variant-adapted COVID-19 vaccines, which are the focus of this review.</w:t>
            </w:r>
          </w:p>
        </w:tc>
      </w:tr>
      <w:tr w:rsidR="009405C7" w14:paraId="4B92C845" w14:textId="77777777" w:rsidTr="00B20255">
        <w:tc>
          <w:tcPr>
            <w:tcW w:w="5403" w:type="dxa"/>
          </w:tcPr>
          <w:p w14:paraId="07252B26" w14:textId="3C3C1B59" w:rsidR="009405C7" w:rsidRPr="000D6A9E" w:rsidRDefault="000D6A9E"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lang w:val="en-AU"/>
              </w:rPr>
              <w:t xml:space="preserve">McMenamin ME, Nealon J, Lin Y, Wong JY, Cheung JK, Lau EHY, Wu P, Leung GM, Cowling BJ. Vaccine effectiveness of one, two, and three doses of BNT162b2 and CoronaVac against COVID-19 in Hong Kong: a population-based observational study. </w:t>
            </w:r>
            <w:r w:rsidRPr="000D6A9E">
              <w:rPr>
                <w:rFonts w:asciiTheme="majorBidi" w:hAnsiTheme="majorBidi" w:cstheme="majorBidi"/>
                <w:color w:val="auto"/>
                <w:sz w:val="24"/>
                <w:szCs w:val="24"/>
                <w:lang w:val="nb-NO"/>
              </w:rPr>
              <w:t xml:space="preserve">The </w:t>
            </w:r>
            <w:proofErr w:type="spellStart"/>
            <w:r w:rsidRPr="000D6A9E">
              <w:rPr>
                <w:rFonts w:asciiTheme="majorBidi" w:hAnsiTheme="majorBidi" w:cstheme="majorBidi"/>
                <w:color w:val="auto"/>
                <w:sz w:val="24"/>
                <w:szCs w:val="24"/>
                <w:lang w:val="nb-NO"/>
              </w:rPr>
              <w:t>Lancet</w:t>
            </w:r>
            <w:proofErr w:type="spellEnd"/>
            <w:r w:rsidRPr="000D6A9E">
              <w:rPr>
                <w:rFonts w:asciiTheme="majorBidi" w:hAnsiTheme="majorBidi" w:cstheme="majorBidi"/>
                <w:color w:val="auto"/>
                <w:sz w:val="24"/>
                <w:szCs w:val="24"/>
                <w:lang w:val="nb-NO"/>
              </w:rPr>
              <w:t xml:space="preserve"> </w:t>
            </w:r>
            <w:proofErr w:type="spellStart"/>
            <w:r w:rsidRPr="000D6A9E">
              <w:rPr>
                <w:rFonts w:asciiTheme="majorBidi" w:hAnsiTheme="majorBidi" w:cstheme="majorBidi"/>
                <w:color w:val="auto"/>
                <w:sz w:val="24"/>
                <w:szCs w:val="24"/>
                <w:lang w:val="nb-NO"/>
              </w:rPr>
              <w:t>Infectious</w:t>
            </w:r>
            <w:proofErr w:type="spellEnd"/>
            <w:r w:rsidRPr="000D6A9E">
              <w:rPr>
                <w:rFonts w:asciiTheme="majorBidi" w:hAnsiTheme="majorBidi" w:cstheme="majorBidi"/>
                <w:color w:val="auto"/>
                <w:sz w:val="24"/>
                <w:szCs w:val="24"/>
                <w:lang w:val="nb-NO"/>
              </w:rPr>
              <w:t xml:space="preserve"> </w:t>
            </w:r>
            <w:proofErr w:type="spellStart"/>
            <w:r w:rsidRPr="000D6A9E">
              <w:rPr>
                <w:rFonts w:asciiTheme="majorBidi" w:hAnsiTheme="majorBidi" w:cstheme="majorBidi"/>
                <w:color w:val="auto"/>
                <w:sz w:val="24"/>
                <w:szCs w:val="24"/>
                <w:lang w:val="nb-NO"/>
              </w:rPr>
              <w:t>Diseases</w:t>
            </w:r>
            <w:proofErr w:type="spellEnd"/>
            <w:r w:rsidRPr="000D6A9E">
              <w:rPr>
                <w:rFonts w:asciiTheme="majorBidi" w:hAnsiTheme="majorBidi" w:cstheme="majorBidi"/>
                <w:color w:val="auto"/>
                <w:sz w:val="24"/>
                <w:szCs w:val="24"/>
                <w:lang w:val="nb-NO"/>
              </w:rPr>
              <w:t>. 2022;22(10):1435–1443. doi:10.1016/S1473-3099(22)00345-0.</w:t>
            </w:r>
          </w:p>
        </w:tc>
        <w:tc>
          <w:tcPr>
            <w:tcW w:w="5938" w:type="dxa"/>
          </w:tcPr>
          <w:p w14:paraId="37F4F61F" w14:textId="32F07F64" w:rsidR="009405C7" w:rsidRPr="000D6A9E" w:rsidRDefault="009405C7"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rPr>
              <w:t>Outside the prespecified review scope. This population-based observational study evaluates ancestral mRNA (BNT162b2) and inactivated (CoronaVac) vaccines, including early booster doses, during early Omicron BA.2 circulation (December 2021–March 2022). The study does not assess late-Omicron sub-lineages (e.g., BA.4/BA.5, XBB, JN.1, KP) or the effectiveness of updated, variant-adapted COVID-19 vaccines, which are the focus of this review.</w:t>
            </w:r>
          </w:p>
        </w:tc>
      </w:tr>
      <w:tr w:rsidR="009405C7" w14:paraId="6C56C4BD" w14:textId="77777777" w:rsidTr="00B20255">
        <w:tc>
          <w:tcPr>
            <w:tcW w:w="5403" w:type="dxa"/>
          </w:tcPr>
          <w:p w14:paraId="5919E412" w14:textId="2BEC0818" w:rsidR="009405C7" w:rsidRPr="000D6A9E" w:rsidRDefault="000D6A9E"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rPr>
              <w:t xml:space="preserve">Medeiros-Junior NF, Gouvea MPG, Camacho LAB, Villela DAM, Lima SMB, Schwarcz WD, Pinto Neto LF, Domingues CMAS, Fantoni RNS, </w:t>
            </w:r>
            <w:proofErr w:type="spellStart"/>
            <w:r w:rsidRPr="000D6A9E">
              <w:rPr>
                <w:rFonts w:asciiTheme="majorBidi" w:hAnsiTheme="majorBidi" w:cstheme="majorBidi"/>
                <w:color w:val="auto"/>
                <w:sz w:val="24"/>
                <w:szCs w:val="24"/>
              </w:rPr>
              <w:t>Forechi</w:t>
            </w:r>
            <w:proofErr w:type="spellEnd"/>
            <w:r w:rsidRPr="000D6A9E">
              <w:rPr>
                <w:rFonts w:asciiTheme="majorBidi" w:hAnsiTheme="majorBidi" w:cstheme="majorBidi"/>
                <w:color w:val="auto"/>
                <w:sz w:val="24"/>
                <w:szCs w:val="24"/>
              </w:rPr>
              <w:t xml:space="preserve"> L, et al. Third booster half dose of ChAdOx1-nCoV-19 is effective, safe, and induces long-duration humoral and </w:t>
            </w:r>
            <w:r w:rsidRPr="000D6A9E">
              <w:rPr>
                <w:rFonts w:asciiTheme="majorBidi" w:hAnsiTheme="majorBidi" w:cstheme="majorBidi"/>
                <w:color w:val="auto"/>
                <w:sz w:val="24"/>
                <w:szCs w:val="24"/>
              </w:rPr>
              <w:lastRenderedPageBreak/>
              <w:t>cellular immune response to Omicron: 1-year follow-up of Viana study. Vaccines (Basel). 2025;13(11):1113. doi:10.3390/vaccines13111113.</w:t>
            </w:r>
          </w:p>
        </w:tc>
        <w:tc>
          <w:tcPr>
            <w:tcW w:w="5938" w:type="dxa"/>
          </w:tcPr>
          <w:p w14:paraId="514F5AAF" w14:textId="77777777" w:rsidR="009405C7" w:rsidRPr="000D6A9E" w:rsidRDefault="009405C7"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rPr>
              <w:lastRenderedPageBreak/>
              <w:t xml:space="preserve">Outside the prespecified review scope. This study evaluates homologous booster strategies using the adenoviral-vector vaccine ChAdOx1-nCoV-19 (full- vs half-dose) in adults aged 18–49 years, with a primary focus on dose-sparing and immunogenicity. It does not assess real-world vaccine </w:t>
            </w:r>
            <w:r w:rsidRPr="000D6A9E">
              <w:rPr>
                <w:rFonts w:asciiTheme="majorBidi" w:hAnsiTheme="majorBidi" w:cstheme="majorBidi"/>
                <w:color w:val="auto"/>
                <w:sz w:val="24"/>
                <w:szCs w:val="24"/>
              </w:rPr>
              <w:lastRenderedPageBreak/>
              <w:t xml:space="preserve">effectiveness of updated mRNA vaccines nor provide population-level VE or </w:t>
            </w:r>
            <w:proofErr w:type="spellStart"/>
            <w:r w:rsidRPr="000D6A9E">
              <w:rPr>
                <w:rFonts w:asciiTheme="majorBidi" w:hAnsiTheme="majorBidi" w:cstheme="majorBidi"/>
                <w:color w:val="auto"/>
                <w:sz w:val="24"/>
                <w:szCs w:val="24"/>
              </w:rPr>
              <w:t>rVE</w:t>
            </w:r>
            <w:proofErr w:type="spellEnd"/>
            <w:r w:rsidRPr="000D6A9E">
              <w:rPr>
                <w:rFonts w:asciiTheme="majorBidi" w:hAnsiTheme="majorBidi" w:cstheme="majorBidi"/>
                <w:color w:val="auto"/>
                <w:sz w:val="24"/>
                <w:szCs w:val="24"/>
              </w:rPr>
              <w:t xml:space="preserve"> estimates against late-Omicron subvariants or severe clinical outcomes consistent with the framework applied in this review.</w:t>
            </w:r>
          </w:p>
        </w:tc>
      </w:tr>
      <w:tr w:rsidR="009405C7" w14:paraId="4ECBF4B7" w14:textId="77777777" w:rsidTr="00B20255">
        <w:tc>
          <w:tcPr>
            <w:tcW w:w="5403" w:type="dxa"/>
          </w:tcPr>
          <w:p w14:paraId="57C66658" w14:textId="006D4FA9" w:rsidR="009405C7" w:rsidRPr="000D6A9E" w:rsidRDefault="000D6A9E" w:rsidP="009405C7">
            <w:pPr>
              <w:pStyle w:val="MDPI31text"/>
              <w:ind w:left="0" w:firstLine="0"/>
              <w:rPr>
                <w:rFonts w:asciiTheme="majorBidi" w:hAnsiTheme="majorBidi" w:cstheme="majorBidi"/>
                <w:color w:val="auto"/>
                <w:sz w:val="24"/>
                <w:szCs w:val="24"/>
              </w:rPr>
            </w:pPr>
            <w:proofErr w:type="spellStart"/>
            <w:r w:rsidRPr="000D6A9E">
              <w:rPr>
                <w:rFonts w:asciiTheme="majorBidi" w:hAnsiTheme="majorBidi" w:cstheme="majorBidi"/>
                <w:color w:val="auto"/>
                <w:sz w:val="24"/>
                <w:szCs w:val="24"/>
              </w:rPr>
              <w:lastRenderedPageBreak/>
              <w:t>Meeraus</w:t>
            </w:r>
            <w:proofErr w:type="spellEnd"/>
            <w:r w:rsidRPr="000D6A9E">
              <w:rPr>
                <w:rFonts w:asciiTheme="majorBidi" w:hAnsiTheme="majorBidi" w:cstheme="majorBidi"/>
                <w:color w:val="auto"/>
                <w:sz w:val="24"/>
                <w:szCs w:val="24"/>
              </w:rPr>
              <w:t xml:space="preserve"> W, Stuurman AL, </w:t>
            </w:r>
            <w:proofErr w:type="spellStart"/>
            <w:r w:rsidRPr="000D6A9E">
              <w:rPr>
                <w:rFonts w:asciiTheme="majorBidi" w:hAnsiTheme="majorBidi" w:cstheme="majorBidi"/>
                <w:color w:val="auto"/>
                <w:sz w:val="24"/>
                <w:szCs w:val="24"/>
              </w:rPr>
              <w:t>Durukal</w:t>
            </w:r>
            <w:proofErr w:type="spellEnd"/>
            <w:r w:rsidRPr="000D6A9E">
              <w:rPr>
                <w:rFonts w:asciiTheme="majorBidi" w:hAnsiTheme="majorBidi" w:cstheme="majorBidi"/>
                <w:color w:val="auto"/>
                <w:sz w:val="24"/>
                <w:szCs w:val="24"/>
              </w:rPr>
              <w:t xml:space="preserve"> I, Conde-Sousa E, Lee A, Santa Maria A, </w:t>
            </w:r>
            <w:proofErr w:type="spellStart"/>
            <w:r w:rsidRPr="000D6A9E">
              <w:rPr>
                <w:rFonts w:asciiTheme="majorBidi" w:hAnsiTheme="majorBidi" w:cstheme="majorBidi"/>
                <w:color w:val="auto"/>
                <w:sz w:val="24"/>
                <w:szCs w:val="24"/>
              </w:rPr>
              <w:t>Emoingt</w:t>
            </w:r>
            <w:proofErr w:type="spellEnd"/>
            <w:r w:rsidRPr="000D6A9E">
              <w:rPr>
                <w:rFonts w:asciiTheme="majorBidi" w:hAnsiTheme="majorBidi" w:cstheme="majorBidi"/>
                <w:color w:val="auto"/>
                <w:sz w:val="24"/>
                <w:szCs w:val="24"/>
              </w:rPr>
              <w:t xml:space="preserve"> Furtado B, </w:t>
            </w:r>
            <w:proofErr w:type="spellStart"/>
            <w:r w:rsidRPr="000D6A9E">
              <w:rPr>
                <w:rFonts w:asciiTheme="majorBidi" w:hAnsiTheme="majorBidi" w:cstheme="majorBidi"/>
                <w:color w:val="auto"/>
                <w:sz w:val="24"/>
                <w:szCs w:val="24"/>
              </w:rPr>
              <w:t>Ouwens</w:t>
            </w:r>
            <w:proofErr w:type="spellEnd"/>
            <w:r w:rsidRPr="000D6A9E">
              <w:rPr>
                <w:rFonts w:asciiTheme="majorBidi" w:hAnsiTheme="majorBidi" w:cstheme="majorBidi"/>
                <w:color w:val="auto"/>
                <w:sz w:val="24"/>
                <w:szCs w:val="24"/>
              </w:rPr>
              <w:t xml:space="preserve"> M, Gray CM, Valverde DA, Gomes da Silva H, Taylor S. COVID-19 vaccine booster doses provide increased protection against COVID-19 hospitalization compared with previously vaccinated individuals: interim findings from the REFORCO-Brazil real-world effectiveness study during Delta and Omicron. Vaccine. 2023;41(44):6366–6378. doi:10.1016/j.vaccine.2023.08.085.</w:t>
            </w:r>
          </w:p>
        </w:tc>
        <w:tc>
          <w:tcPr>
            <w:tcW w:w="5938" w:type="dxa"/>
          </w:tcPr>
          <w:p w14:paraId="71511628" w14:textId="75964C84" w:rsidR="009405C7" w:rsidRPr="000D6A9E" w:rsidRDefault="009405C7"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rPr>
              <w:t>Outside the prespecified review scope. This test-negative case–control study evaluates the relative effectiveness of monovalent, ancestral-strain COVID-19 vaccine boosters (AZD1222, BNT162b2, Ad26.COV2.S, CoronaVac) during Delta and early Omicron circulation (2021–2022). The study does not assess late-Omicron sub-lineages (e.g., XBB, JN.1, KP) or the effectiveness of updated, variant-adapted COVID-19 vaccines, which are the focus of this review.</w:t>
            </w:r>
          </w:p>
        </w:tc>
      </w:tr>
      <w:tr w:rsidR="009405C7" w14:paraId="7BAA8593" w14:textId="77777777" w:rsidTr="00B20255">
        <w:tc>
          <w:tcPr>
            <w:tcW w:w="5403" w:type="dxa"/>
          </w:tcPr>
          <w:p w14:paraId="0177F7D0" w14:textId="76004640" w:rsidR="009405C7" w:rsidRPr="000D6A9E" w:rsidRDefault="000D6A9E" w:rsidP="009405C7">
            <w:pPr>
              <w:pStyle w:val="MDPI31text"/>
              <w:ind w:left="0" w:firstLine="0"/>
              <w:rPr>
                <w:rFonts w:asciiTheme="majorBidi" w:hAnsiTheme="majorBidi" w:cstheme="majorBidi"/>
                <w:color w:val="auto"/>
                <w:sz w:val="24"/>
                <w:szCs w:val="24"/>
              </w:rPr>
            </w:pPr>
            <w:proofErr w:type="spellStart"/>
            <w:r w:rsidRPr="000D6A9E">
              <w:rPr>
                <w:rFonts w:asciiTheme="majorBidi" w:hAnsiTheme="majorBidi" w:cstheme="majorBidi"/>
                <w:color w:val="auto"/>
                <w:sz w:val="24"/>
                <w:szCs w:val="24"/>
              </w:rPr>
              <w:t>Meeraus</w:t>
            </w:r>
            <w:proofErr w:type="spellEnd"/>
            <w:r w:rsidRPr="000D6A9E">
              <w:rPr>
                <w:rFonts w:asciiTheme="majorBidi" w:hAnsiTheme="majorBidi" w:cstheme="majorBidi"/>
                <w:color w:val="auto"/>
                <w:sz w:val="24"/>
                <w:szCs w:val="24"/>
              </w:rPr>
              <w:t xml:space="preserve"> W, Postema A, Gray CM, Lee A, Santa Maria A, </w:t>
            </w:r>
            <w:proofErr w:type="spellStart"/>
            <w:r w:rsidRPr="000D6A9E">
              <w:rPr>
                <w:rFonts w:asciiTheme="majorBidi" w:hAnsiTheme="majorBidi" w:cstheme="majorBidi"/>
                <w:color w:val="auto"/>
                <w:sz w:val="24"/>
                <w:szCs w:val="24"/>
              </w:rPr>
              <w:t>Emoingt</w:t>
            </w:r>
            <w:proofErr w:type="spellEnd"/>
            <w:r w:rsidRPr="000D6A9E">
              <w:rPr>
                <w:rFonts w:asciiTheme="majorBidi" w:hAnsiTheme="majorBidi" w:cstheme="majorBidi"/>
                <w:color w:val="auto"/>
                <w:sz w:val="24"/>
                <w:szCs w:val="24"/>
              </w:rPr>
              <w:t xml:space="preserve"> Furtado B, Conde-Sousa E, </w:t>
            </w:r>
            <w:proofErr w:type="spellStart"/>
            <w:r w:rsidRPr="000D6A9E">
              <w:rPr>
                <w:rFonts w:asciiTheme="majorBidi" w:hAnsiTheme="majorBidi" w:cstheme="majorBidi"/>
                <w:color w:val="auto"/>
                <w:sz w:val="24"/>
                <w:szCs w:val="24"/>
              </w:rPr>
              <w:t>Ouwens</w:t>
            </w:r>
            <w:proofErr w:type="spellEnd"/>
            <w:r w:rsidRPr="000D6A9E">
              <w:rPr>
                <w:rFonts w:asciiTheme="majorBidi" w:hAnsiTheme="majorBidi" w:cstheme="majorBidi"/>
                <w:color w:val="auto"/>
                <w:sz w:val="24"/>
                <w:szCs w:val="24"/>
              </w:rPr>
              <w:t xml:space="preserve"> M, Valverde DA, da Cunha CA, Barbosa AN, Corte C, Taylor S. Second booster doses of adenoviral- and mRNA-based COVID-19 vaccines increase protection against COVID-19 hospitalization: final analysis from the REFORCO-Brazil real-world effectiveness study during Omicron. Vaccine. 2025;53:126955. doi:10.1016/j.vaccine.2025.126955.</w:t>
            </w:r>
          </w:p>
        </w:tc>
        <w:tc>
          <w:tcPr>
            <w:tcW w:w="5938" w:type="dxa"/>
          </w:tcPr>
          <w:p w14:paraId="726A862E" w14:textId="6B247B9B" w:rsidR="009405C7" w:rsidRPr="000D6A9E" w:rsidRDefault="009405C7" w:rsidP="009405C7">
            <w:pPr>
              <w:pStyle w:val="MDPI31text"/>
              <w:ind w:left="0" w:firstLine="0"/>
              <w:rPr>
                <w:rFonts w:asciiTheme="majorBidi" w:hAnsiTheme="majorBidi" w:cstheme="majorBidi"/>
                <w:color w:val="auto"/>
                <w:sz w:val="24"/>
                <w:szCs w:val="24"/>
              </w:rPr>
            </w:pPr>
            <w:r w:rsidRPr="000D6A9E">
              <w:rPr>
                <w:rFonts w:asciiTheme="majorBidi" w:hAnsiTheme="majorBidi" w:cstheme="majorBidi"/>
                <w:color w:val="auto"/>
                <w:sz w:val="24"/>
                <w:szCs w:val="24"/>
              </w:rPr>
              <w:t>Outside the prespecified review scope. This test-negative case–control study evaluates the relative effectiveness of ancestral (non–variant-adapted) COVID-19 vaccine second boosters (AZD1222, Ad26.COV2.S, BNT162b2, and CoronaVac) during early Omicron circulation in 2022. The study does not assess late-Omicron sub-lineages (e.g., sustained XBB predominance, JN.1, KP lineages) or the effectiveness of updated, variant-adapted COVID-19 vaccines, which are the focus of this review.</w:t>
            </w:r>
          </w:p>
        </w:tc>
      </w:tr>
      <w:tr w:rsidR="009405C7" w14:paraId="0BBC2301" w14:textId="77777777" w:rsidTr="00B20255">
        <w:tc>
          <w:tcPr>
            <w:tcW w:w="5403" w:type="dxa"/>
          </w:tcPr>
          <w:p w14:paraId="57D34F50" w14:textId="1315D4D6" w:rsidR="009405C7" w:rsidRPr="00012EED" w:rsidRDefault="00012EED" w:rsidP="009405C7">
            <w:pPr>
              <w:pStyle w:val="MDPI31text"/>
              <w:ind w:left="0" w:firstLine="0"/>
              <w:rPr>
                <w:rFonts w:asciiTheme="majorBidi" w:hAnsiTheme="majorBidi" w:cstheme="majorBidi"/>
                <w:color w:val="auto"/>
                <w:sz w:val="24"/>
                <w:szCs w:val="24"/>
              </w:rPr>
            </w:pPr>
            <w:proofErr w:type="spellStart"/>
            <w:r w:rsidRPr="00012EED">
              <w:rPr>
                <w:rFonts w:asciiTheme="majorBidi" w:hAnsiTheme="majorBidi" w:cstheme="majorBidi"/>
                <w:color w:val="auto"/>
                <w:sz w:val="24"/>
                <w:szCs w:val="24"/>
              </w:rPr>
              <w:t>Meijerink</w:t>
            </w:r>
            <w:proofErr w:type="spellEnd"/>
            <w:r w:rsidRPr="00012EED">
              <w:rPr>
                <w:rFonts w:asciiTheme="majorBidi" w:hAnsiTheme="majorBidi" w:cstheme="majorBidi"/>
                <w:color w:val="auto"/>
                <w:sz w:val="24"/>
                <w:szCs w:val="24"/>
              </w:rPr>
              <w:t xml:space="preserve"> H, Veneti L, Bråthen Kristoffersen A, Danielsen AS, Stecher M, </w:t>
            </w:r>
            <w:proofErr w:type="spellStart"/>
            <w:r w:rsidRPr="00012EED">
              <w:rPr>
                <w:rFonts w:asciiTheme="majorBidi" w:hAnsiTheme="majorBidi" w:cstheme="majorBidi"/>
                <w:color w:val="auto"/>
                <w:sz w:val="24"/>
                <w:szCs w:val="24"/>
              </w:rPr>
              <w:t>Starrfelt</w:t>
            </w:r>
            <w:proofErr w:type="spellEnd"/>
            <w:r w:rsidRPr="00012EED">
              <w:rPr>
                <w:rFonts w:asciiTheme="majorBidi" w:hAnsiTheme="majorBidi" w:cstheme="majorBidi"/>
                <w:color w:val="auto"/>
                <w:sz w:val="24"/>
                <w:szCs w:val="24"/>
              </w:rPr>
              <w:t xml:space="preserve"> J. Estimating vaccine effectiveness against COVID-19 using cause-specific sick leave as an indicator: a nationwide population-based cohort study, Norway, July 2021–December 2022. BMC Public Health. 2024;24:1861. doi:10.1186/s12889-024-19374-0.</w:t>
            </w:r>
          </w:p>
        </w:tc>
        <w:tc>
          <w:tcPr>
            <w:tcW w:w="5938" w:type="dxa"/>
          </w:tcPr>
          <w:p w14:paraId="60969417" w14:textId="49E9849D" w:rsidR="009405C7" w:rsidRPr="00012EED" w:rsidRDefault="009405C7" w:rsidP="009405C7">
            <w:pPr>
              <w:pStyle w:val="MDPI31text"/>
              <w:ind w:left="0" w:firstLine="0"/>
              <w:rPr>
                <w:rFonts w:asciiTheme="majorBidi" w:hAnsiTheme="majorBidi" w:cstheme="majorBidi"/>
                <w:color w:val="auto"/>
                <w:sz w:val="24"/>
                <w:szCs w:val="24"/>
              </w:rPr>
            </w:pPr>
            <w:r w:rsidRPr="00012EED">
              <w:rPr>
                <w:rFonts w:asciiTheme="majorBidi" w:hAnsiTheme="majorBidi" w:cstheme="majorBidi"/>
                <w:color w:val="auto"/>
                <w:sz w:val="24"/>
                <w:szCs w:val="24"/>
              </w:rPr>
              <w:t>Outside the prespecified review scope. This nationwide cohort study evaluates COVID-19 vaccine effectiveness using cause-specific sick leave among employed adults (25–64 years) during Delta and early Omicron circulation (2021–2022) and does not assess severe clinical outcomes (hospitali</w:t>
            </w:r>
            <w:r w:rsidR="00F10ED1" w:rsidRPr="00012EED">
              <w:rPr>
                <w:rFonts w:asciiTheme="majorBidi" w:hAnsiTheme="majorBidi" w:cstheme="majorBidi"/>
                <w:color w:val="auto"/>
                <w:sz w:val="24"/>
                <w:szCs w:val="24"/>
              </w:rPr>
              <w:t>z</w:t>
            </w:r>
            <w:r w:rsidRPr="00012EED">
              <w:rPr>
                <w:rFonts w:asciiTheme="majorBidi" w:hAnsiTheme="majorBidi" w:cstheme="majorBidi"/>
                <w:color w:val="auto"/>
                <w:sz w:val="24"/>
                <w:szCs w:val="24"/>
              </w:rPr>
              <w:t>ation or death) or the effectiveness of updated, variant-adapted COVID-19 vaccines relevant to the late-Omicron period.</w:t>
            </w:r>
          </w:p>
        </w:tc>
      </w:tr>
      <w:tr w:rsidR="009405C7" w14:paraId="6A893F78" w14:textId="77777777" w:rsidTr="00B20255">
        <w:tc>
          <w:tcPr>
            <w:tcW w:w="5403" w:type="dxa"/>
          </w:tcPr>
          <w:p w14:paraId="4B979F60" w14:textId="596B762B" w:rsidR="009405C7" w:rsidRPr="00920E43" w:rsidRDefault="00D02FF2" w:rsidP="009405C7">
            <w:pPr>
              <w:pStyle w:val="MDPI31text"/>
              <w:ind w:left="0" w:firstLine="0"/>
              <w:rPr>
                <w:rFonts w:asciiTheme="majorBidi" w:hAnsiTheme="majorBidi" w:cstheme="majorBidi"/>
                <w:color w:val="auto"/>
                <w:sz w:val="24"/>
                <w:szCs w:val="24"/>
              </w:rPr>
            </w:pPr>
            <w:proofErr w:type="spellStart"/>
            <w:r w:rsidRPr="00920E43">
              <w:rPr>
                <w:rFonts w:asciiTheme="majorBidi" w:hAnsiTheme="majorBidi" w:cstheme="majorBidi"/>
                <w:color w:val="auto"/>
                <w:sz w:val="24"/>
                <w:szCs w:val="24"/>
              </w:rPr>
              <w:t>Merdrignac</w:t>
            </w:r>
            <w:proofErr w:type="spellEnd"/>
            <w:r w:rsidRPr="00920E43">
              <w:rPr>
                <w:rFonts w:asciiTheme="majorBidi" w:hAnsiTheme="majorBidi" w:cstheme="majorBidi"/>
                <w:color w:val="auto"/>
                <w:sz w:val="24"/>
                <w:szCs w:val="24"/>
              </w:rPr>
              <w:t xml:space="preserve"> L, </w:t>
            </w:r>
            <w:proofErr w:type="spellStart"/>
            <w:r w:rsidRPr="00920E43">
              <w:rPr>
                <w:rFonts w:asciiTheme="majorBidi" w:hAnsiTheme="majorBidi" w:cstheme="majorBidi"/>
                <w:color w:val="auto"/>
                <w:sz w:val="24"/>
                <w:szCs w:val="24"/>
              </w:rPr>
              <w:t>Lanièce</w:t>
            </w:r>
            <w:proofErr w:type="spellEnd"/>
            <w:r w:rsidRPr="00920E43">
              <w:rPr>
                <w:rFonts w:asciiTheme="majorBidi" w:hAnsiTheme="majorBidi" w:cstheme="majorBidi"/>
                <w:color w:val="auto"/>
                <w:sz w:val="24"/>
                <w:szCs w:val="24"/>
              </w:rPr>
              <w:t xml:space="preserve"> Delaunay C, </w:t>
            </w:r>
            <w:proofErr w:type="spellStart"/>
            <w:r w:rsidRPr="00920E43">
              <w:rPr>
                <w:rFonts w:asciiTheme="majorBidi" w:hAnsiTheme="majorBidi" w:cstheme="majorBidi"/>
                <w:color w:val="auto"/>
                <w:sz w:val="24"/>
                <w:szCs w:val="24"/>
              </w:rPr>
              <w:t>Verdasca</w:t>
            </w:r>
            <w:proofErr w:type="spellEnd"/>
            <w:r w:rsidRPr="00920E43">
              <w:rPr>
                <w:rFonts w:asciiTheme="majorBidi" w:hAnsiTheme="majorBidi" w:cstheme="majorBidi"/>
                <w:color w:val="auto"/>
                <w:sz w:val="24"/>
                <w:szCs w:val="24"/>
              </w:rPr>
              <w:t xml:space="preserve"> N, Vega-Piris L, O’Donnell J, Sève N, </w:t>
            </w:r>
            <w:proofErr w:type="spellStart"/>
            <w:r w:rsidRPr="00920E43">
              <w:rPr>
                <w:rFonts w:asciiTheme="majorBidi" w:hAnsiTheme="majorBidi" w:cstheme="majorBidi"/>
                <w:color w:val="auto"/>
                <w:sz w:val="24"/>
                <w:szCs w:val="24"/>
              </w:rPr>
              <w:t>Trobajo-Sanmartín</w:t>
            </w:r>
            <w:proofErr w:type="spellEnd"/>
            <w:r w:rsidRPr="00920E43">
              <w:rPr>
                <w:rFonts w:asciiTheme="majorBidi" w:hAnsiTheme="majorBidi" w:cstheme="majorBidi"/>
                <w:color w:val="auto"/>
                <w:sz w:val="24"/>
                <w:szCs w:val="24"/>
              </w:rPr>
              <w:t xml:space="preserve"> C, Buda S, Hooiveld M, Rodrigues AP, Túri G, Latorre-</w:t>
            </w:r>
            <w:proofErr w:type="spellStart"/>
            <w:r w:rsidRPr="00920E43">
              <w:rPr>
                <w:rFonts w:asciiTheme="majorBidi" w:hAnsiTheme="majorBidi" w:cstheme="majorBidi"/>
                <w:color w:val="auto"/>
                <w:sz w:val="24"/>
                <w:szCs w:val="24"/>
              </w:rPr>
              <w:t>Margalef</w:t>
            </w:r>
            <w:proofErr w:type="spellEnd"/>
            <w:r w:rsidRPr="00920E43">
              <w:rPr>
                <w:rFonts w:asciiTheme="majorBidi" w:hAnsiTheme="majorBidi" w:cstheme="majorBidi"/>
                <w:color w:val="auto"/>
                <w:sz w:val="24"/>
                <w:szCs w:val="24"/>
              </w:rPr>
              <w:t xml:space="preserve"> N, Mlinarić I, Lazar M, Maurel M, </w:t>
            </w:r>
            <w:proofErr w:type="spellStart"/>
            <w:r w:rsidRPr="00920E43">
              <w:rPr>
                <w:rFonts w:asciiTheme="majorBidi" w:hAnsiTheme="majorBidi" w:cstheme="majorBidi"/>
                <w:color w:val="auto"/>
                <w:sz w:val="24"/>
                <w:szCs w:val="24"/>
              </w:rPr>
              <w:t>Castrillejo</w:t>
            </w:r>
            <w:proofErr w:type="spellEnd"/>
            <w:r w:rsidRPr="00920E43">
              <w:rPr>
                <w:rFonts w:asciiTheme="majorBidi" w:hAnsiTheme="majorBidi" w:cstheme="majorBidi"/>
                <w:color w:val="auto"/>
                <w:sz w:val="24"/>
                <w:szCs w:val="24"/>
              </w:rPr>
              <w:t xml:space="preserve"> D, Bennett C, </w:t>
            </w:r>
            <w:proofErr w:type="spellStart"/>
            <w:r w:rsidRPr="00920E43">
              <w:rPr>
                <w:rFonts w:asciiTheme="majorBidi" w:hAnsiTheme="majorBidi" w:cstheme="majorBidi"/>
                <w:color w:val="auto"/>
                <w:sz w:val="24"/>
                <w:szCs w:val="24"/>
              </w:rPr>
              <w:t>Rameix</w:t>
            </w:r>
            <w:proofErr w:type="spellEnd"/>
            <w:r w:rsidRPr="00920E43">
              <w:rPr>
                <w:rFonts w:asciiTheme="majorBidi" w:hAnsiTheme="majorBidi" w:cstheme="majorBidi"/>
                <w:color w:val="auto"/>
                <w:sz w:val="24"/>
                <w:szCs w:val="24"/>
              </w:rPr>
              <w:t xml:space="preserve">-Welti M-A, Martínez-Baz I, </w:t>
            </w:r>
            <w:proofErr w:type="spellStart"/>
            <w:r w:rsidRPr="00920E43">
              <w:rPr>
                <w:rFonts w:asciiTheme="majorBidi" w:hAnsiTheme="majorBidi" w:cstheme="majorBidi"/>
                <w:color w:val="auto"/>
                <w:sz w:val="24"/>
                <w:szCs w:val="24"/>
              </w:rPr>
              <w:t>Dürrwald</w:t>
            </w:r>
            <w:proofErr w:type="spellEnd"/>
            <w:r w:rsidRPr="00920E43">
              <w:rPr>
                <w:rFonts w:asciiTheme="majorBidi" w:hAnsiTheme="majorBidi" w:cstheme="majorBidi"/>
                <w:color w:val="auto"/>
                <w:sz w:val="24"/>
                <w:szCs w:val="24"/>
              </w:rPr>
              <w:t xml:space="preserve"> R, Meijer A, Melo A, Oroszi B, Samuelsson Hagey T, </w:t>
            </w:r>
            <w:proofErr w:type="spellStart"/>
            <w:r w:rsidRPr="00920E43">
              <w:rPr>
                <w:rFonts w:asciiTheme="majorBidi" w:hAnsiTheme="majorBidi" w:cstheme="majorBidi"/>
                <w:color w:val="auto"/>
                <w:sz w:val="24"/>
                <w:szCs w:val="24"/>
              </w:rPr>
              <w:t>Kurečić</w:t>
            </w:r>
            <w:proofErr w:type="spellEnd"/>
            <w:r w:rsidRPr="00920E43">
              <w:rPr>
                <w:rFonts w:asciiTheme="majorBidi" w:hAnsiTheme="majorBidi" w:cstheme="majorBidi"/>
                <w:color w:val="auto"/>
                <w:sz w:val="24"/>
                <w:szCs w:val="24"/>
              </w:rPr>
              <w:t xml:space="preserve"> Filipović S, Dijkstra F, Gomez V, Bacci S, Kaczmarek M, Kissling E; VEBIS Primary Care Vaccine Effectiveness Group. Effectiveness of XBB.1.5 vaccines against symptomatic SARS-CoV-2 infection in older adults during the JN.1 lineage-predominant period, European VEBIS primary care </w:t>
            </w:r>
            <w:proofErr w:type="spellStart"/>
            <w:r w:rsidRPr="00920E43">
              <w:rPr>
                <w:rFonts w:asciiTheme="majorBidi" w:hAnsiTheme="majorBidi" w:cstheme="majorBidi"/>
                <w:color w:val="auto"/>
                <w:sz w:val="24"/>
                <w:szCs w:val="24"/>
              </w:rPr>
              <w:t>multicentre</w:t>
            </w:r>
            <w:proofErr w:type="spellEnd"/>
            <w:r w:rsidRPr="00920E43">
              <w:rPr>
                <w:rFonts w:asciiTheme="majorBidi" w:hAnsiTheme="majorBidi" w:cstheme="majorBidi"/>
                <w:color w:val="auto"/>
                <w:sz w:val="24"/>
                <w:szCs w:val="24"/>
              </w:rPr>
              <w:t xml:space="preserve"> study, 20 November 2023–1 March 2024. Influenza and Other Respiratory Viruses. 2024;18:e70009. doi:10.1111/irv.70009.</w:t>
            </w:r>
          </w:p>
        </w:tc>
        <w:tc>
          <w:tcPr>
            <w:tcW w:w="5938" w:type="dxa"/>
          </w:tcPr>
          <w:p w14:paraId="12CA00B1" w14:textId="4AC4EC47" w:rsidR="009405C7" w:rsidRPr="00920E43" w:rsidRDefault="009405C7" w:rsidP="009405C7">
            <w:pPr>
              <w:pStyle w:val="MDPI31text"/>
              <w:ind w:left="0" w:firstLine="0"/>
              <w:rPr>
                <w:rFonts w:asciiTheme="majorBidi" w:hAnsiTheme="majorBidi" w:cstheme="majorBidi"/>
                <w:color w:val="auto"/>
                <w:sz w:val="24"/>
                <w:szCs w:val="24"/>
              </w:rPr>
            </w:pPr>
            <w:r w:rsidRPr="00920E43">
              <w:rPr>
                <w:rFonts w:asciiTheme="majorBidi" w:hAnsiTheme="majorBidi" w:cstheme="majorBidi"/>
                <w:color w:val="auto"/>
                <w:sz w:val="24"/>
                <w:szCs w:val="24"/>
              </w:rPr>
              <w:t>Outside the prespecified review scope. This multicountry VEBIS primary care test-negative study evaluates the effectiveness of XBB.1.5-adapted COVID-19 vaccines against symptomatic SARS-CoV-2 infection in an outpatient setting during JN.1 predominance. The study does not assess severe clinical outcomes (hospitali</w:t>
            </w:r>
            <w:r w:rsidR="00F10ED1" w:rsidRPr="00920E43">
              <w:rPr>
                <w:rFonts w:asciiTheme="majorBidi" w:hAnsiTheme="majorBidi" w:cstheme="majorBidi"/>
                <w:color w:val="auto"/>
                <w:sz w:val="24"/>
                <w:szCs w:val="24"/>
              </w:rPr>
              <w:t>z</w:t>
            </w:r>
            <w:r w:rsidRPr="00920E43">
              <w:rPr>
                <w:rFonts w:asciiTheme="majorBidi" w:hAnsiTheme="majorBidi" w:cstheme="majorBidi"/>
                <w:color w:val="auto"/>
                <w:sz w:val="24"/>
                <w:szCs w:val="24"/>
              </w:rPr>
              <w:t>ation or death), which are the focus of this review.</w:t>
            </w:r>
          </w:p>
        </w:tc>
      </w:tr>
      <w:tr w:rsidR="009405C7" w14:paraId="0DABA3E7" w14:textId="77777777" w:rsidTr="00B20255">
        <w:tc>
          <w:tcPr>
            <w:tcW w:w="5403" w:type="dxa"/>
          </w:tcPr>
          <w:p w14:paraId="2E54CF23" w14:textId="4E69B040" w:rsidR="009405C7" w:rsidRPr="00920E43" w:rsidRDefault="00920E43" w:rsidP="009405C7">
            <w:pPr>
              <w:pStyle w:val="MDPI31text"/>
              <w:ind w:left="0" w:firstLine="0"/>
              <w:rPr>
                <w:rFonts w:asciiTheme="majorBidi" w:hAnsiTheme="majorBidi" w:cstheme="majorBidi"/>
                <w:color w:val="auto"/>
                <w:sz w:val="24"/>
                <w:szCs w:val="24"/>
              </w:rPr>
            </w:pPr>
            <w:proofErr w:type="spellStart"/>
            <w:r w:rsidRPr="00920E43">
              <w:rPr>
                <w:rFonts w:asciiTheme="majorBidi" w:hAnsiTheme="majorBidi" w:cstheme="majorBidi"/>
                <w:color w:val="auto"/>
                <w:sz w:val="24"/>
                <w:szCs w:val="24"/>
              </w:rPr>
              <w:t>Meslé</w:t>
            </w:r>
            <w:proofErr w:type="spellEnd"/>
            <w:r w:rsidRPr="00920E43">
              <w:rPr>
                <w:rFonts w:asciiTheme="majorBidi" w:hAnsiTheme="majorBidi" w:cstheme="majorBidi"/>
                <w:color w:val="auto"/>
                <w:sz w:val="24"/>
                <w:szCs w:val="24"/>
              </w:rPr>
              <w:t xml:space="preserve"> MMI, Brown J, Mook P, Katz MA, Hagan J, Pastore R, Benka B, </w:t>
            </w:r>
            <w:proofErr w:type="spellStart"/>
            <w:r w:rsidRPr="00920E43">
              <w:rPr>
                <w:rFonts w:asciiTheme="majorBidi" w:hAnsiTheme="majorBidi" w:cstheme="majorBidi"/>
                <w:color w:val="auto"/>
                <w:sz w:val="24"/>
                <w:szCs w:val="24"/>
              </w:rPr>
              <w:t>Redlberger</w:t>
            </w:r>
            <w:proofErr w:type="spellEnd"/>
            <w:r w:rsidRPr="00920E43">
              <w:rPr>
                <w:rFonts w:asciiTheme="majorBidi" w:hAnsiTheme="majorBidi" w:cstheme="majorBidi"/>
                <w:color w:val="auto"/>
                <w:sz w:val="24"/>
                <w:szCs w:val="24"/>
              </w:rPr>
              <w:t xml:space="preserve">-Fritz M, Bossuyt N, Stouten V, </w:t>
            </w:r>
            <w:proofErr w:type="spellStart"/>
            <w:r w:rsidRPr="00920E43">
              <w:rPr>
                <w:rFonts w:asciiTheme="majorBidi" w:hAnsiTheme="majorBidi" w:cstheme="majorBidi"/>
                <w:color w:val="auto"/>
                <w:sz w:val="24"/>
                <w:szCs w:val="24"/>
              </w:rPr>
              <w:t>Vernemmen</w:t>
            </w:r>
            <w:proofErr w:type="spellEnd"/>
            <w:r w:rsidRPr="00920E43">
              <w:rPr>
                <w:rFonts w:asciiTheme="majorBidi" w:hAnsiTheme="majorBidi" w:cstheme="majorBidi"/>
                <w:color w:val="auto"/>
                <w:sz w:val="24"/>
                <w:szCs w:val="24"/>
              </w:rPr>
              <w:t xml:space="preserve"> C, Constantinou E, Maly M, </w:t>
            </w:r>
            <w:proofErr w:type="spellStart"/>
            <w:r w:rsidRPr="00920E43">
              <w:rPr>
                <w:rFonts w:asciiTheme="majorBidi" w:hAnsiTheme="majorBidi" w:cstheme="majorBidi"/>
                <w:color w:val="auto"/>
                <w:sz w:val="24"/>
                <w:szCs w:val="24"/>
              </w:rPr>
              <w:lastRenderedPageBreak/>
              <w:t>Kynčl</w:t>
            </w:r>
            <w:proofErr w:type="spellEnd"/>
            <w:r w:rsidRPr="00920E43">
              <w:rPr>
                <w:rFonts w:asciiTheme="majorBidi" w:hAnsiTheme="majorBidi" w:cstheme="majorBidi"/>
                <w:color w:val="auto"/>
                <w:sz w:val="24"/>
                <w:szCs w:val="24"/>
              </w:rPr>
              <w:t xml:space="preserve"> J, Sanca O, Grove Krause T, Skafte Vestergaard L, Leino T, </w:t>
            </w:r>
            <w:proofErr w:type="spellStart"/>
            <w:r w:rsidRPr="00920E43">
              <w:rPr>
                <w:rFonts w:asciiTheme="majorBidi" w:hAnsiTheme="majorBidi" w:cstheme="majorBidi"/>
                <w:color w:val="auto"/>
                <w:sz w:val="24"/>
                <w:szCs w:val="24"/>
              </w:rPr>
              <w:t>Poukka</w:t>
            </w:r>
            <w:proofErr w:type="spellEnd"/>
            <w:r w:rsidRPr="00920E43">
              <w:rPr>
                <w:rFonts w:asciiTheme="majorBidi" w:hAnsiTheme="majorBidi" w:cstheme="majorBidi"/>
                <w:color w:val="auto"/>
                <w:sz w:val="24"/>
                <w:szCs w:val="24"/>
              </w:rPr>
              <w:t xml:space="preserve"> E, </w:t>
            </w:r>
            <w:proofErr w:type="spellStart"/>
            <w:r w:rsidRPr="00920E43">
              <w:rPr>
                <w:rFonts w:asciiTheme="majorBidi" w:hAnsiTheme="majorBidi" w:cstheme="majorBidi"/>
                <w:color w:val="auto"/>
                <w:sz w:val="24"/>
                <w:szCs w:val="24"/>
              </w:rPr>
              <w:t>Gkolfinopoulou</w:t>
            </w:r>
            <w:proofErr w:type="spellEnd"/>
            <w:r w:rsidRPr="00920E43">
              <w:rPr>
                <w:rFonts w:asciiTheme="majorBidi" w:hAnsiTheme="majorBidi" w:cstheme="majorBidi"/>
                <w:color w:val="auto"/>
                <w:sz w:val="24"/>
                <w:szCs w:val="24"/>
              </w:rPr>
              <w:t xml:space="preserve"> K, </w:t>
            </w:r>
            <w:proofErr w:type="spellStart"/>
            <w:r w:rsidRPr="00920E43">
              <w:rPr>
                <w:rFonts w:asciiTheme="majorBidi" w:hAnsiTheme="majorBidi" w:cstheme="majorBidi"/>
                <w:color w:val="auto"/>
                <w:sz w:val="24"/>
                <w:szCs w:val="24"/>
              </w:rPr>
              <w:t>Mellou</w:t>
            </w:r>
            <w:proofErr w:type="spellEnd"/>
            <w:r w:rsidRPr="00920E43">
              <w:rPr>
                <w:rFonts w:asciiTheme="majorBidi" w:hAnsiTheme="majorBidi" w:cstheme="majorBidi"/>
                <w:color w:val="auto"/>
                <w:sz w:val="24"/>
                <w:szCs w:val="24"/>
              </w:rPr>
              <w:t xml:space="preserve"> K, </w:t>
            </w:r>
            <w:proofErr w:type="spellStart"/>
            <w:r w:rsidRPr="00920E43">
              <w:rPr>
                <w:rFonts w:asciiTheme="majorBidi" w:hAnsiTheme="majorBidi" w:cstheme="majorBidi"/>
                <w:color w:val="auto"/>
                <w:sz w:val="24"/>
                <w:szCs w:val="24"/>
              </w:rPr>
              <w:t>Tsintziloni</w:t>
            </w:r>
            <w:proofErr w:type="spellEnd"/>
            <w:r w:rsidRPr="00920E43">
              <w:rPr>
                <w:rFonts w:asciiTheme="majorBidi" w:hAnsiTheme="majorBidi" w:cstheme="majorBidi"/>
                <w:color w:val="auto"/>
                <w:sz w:val="24"/>
                <w:szCs w:val="24"/>
              </w:rPr>
              <w:t xml:space="preserve"> M, Molnár Z, Aspelund G, Thordardottir M, </w:t>
            </w:r>
            <w:proofErr w:type="spellStart"/>
            <w:r w:rsidRPr="00920E43">
              <w:rPr>
                <w:rFonts w:asciiTheme="majorBidi" w:hAnsiTheme="majorBidi" w:cstheme="majorBidi"/>
                <w:color w:val="auto"/>
                <w:sz w:val="24"/>
                <w:szCs w:val="24"/>
              </w:rPr>
              <w:t>Domegan</w:t>
            </w:r>
            <w:proofErr w:type="spellEnd"/>
            <w:r w:rsidRPr="00920E43">
              <w:rPr>
                <w:rFonts w:asciiTheme="majorBidi" w:hAnsiTheme="majorBidi" w:cstheme="majorBidi"/>
                <w:color w:val="auto"/>
                <w:sz w:val="24"/>
                <w:szCs w:val="24"/>
              </w:rPr>
              <w:t xml:space="preserve"> L, Kelly E, O’Donnell J, Mateo-Urdiales A, Riccardo F, Sacco C, </w:t>
            </w:r>
            <w:proofErr w:type="spellStart"/>
            <w:r w:rsidRPr="00920E43">
              <w:rPr>
                <w:rFonts w:asciiTheme="majorBidi" w:hAnsiTheme="majorBidi" w:cstheme="majorBidi"/>
                <w:color w:val="auto"/>
                <w:sz w:val="24"/>
                <w:szCs w:val="24"/>
              </w:rPr>
              <w:t>Bumšteinas</w:t>
            </w:r>
            <w:proofErr w:type="spellEnd"/>
            <w:r w:rsidRPr="00920E43">
              <w:rPr>
                <w:rFonts w:asciiTheme="majorBidi" w:hAnsiTheme="majorBidi" w:cstheme="majorBidi"/>
                <w:color w:val="auto"/>
                <w:sz w:val="24"/>
                <w:szCs w:val="24"/>
              </w:rPr>
              <w:t xml:space="preserve"> V, </w:t>
            </w:r>
            <w:proofErr w:type="spellStart"/>
            <w:r w:rsidRPr="00920E43">
              <w:rPr>
                <w:rFonts w:asciiTheme="majorBidi" w:hAnsiTheme="majorBidi" w:cstheme="majorBidi"/>
                <w:color w:val="auto"/>
                <w:sz w:val="24"/>
                <w:szCs w:val="24"/>
              </w:rPr>
              <w:t>Liausediene</w:t>
            </w:r>
            <w:proofErr w:type="spellEnd"/>
            <w:r w:rsidRPr="00920E43">
              <w:rPr>
                <w:rFonts w:asciiTheme="majorBidi" w:hAnsiTheme="majorBidi" w:cstheme="majorBidi"/>
                <w:color w:val="auto"/>
                <w:sz w:val="24"/>
                <w:szCs w:val="24"/>
              </w:rPr>
              <w:t xml:space="preserve"> R, </w:t>
            </w:r>
            <w:proofErr w:type="spellStart"/>
            <w:r w:rsidRPr="00920E43">
              <w:rPr>
                <w:rFonts w:asciiTheme="majorBidi" w:hAnsiTheme="majorBidi" w:cstheme="majorBidi"/>
                <w:color w:val="auto"/>
                <w:sz w:val="24"/>
                <w:szCs w:val="24"/>
              </w:rPr>
              <w:t>Mossong</w:t>
            </w:r>
            <w:proofErr w:type="spellEnd"/>
            <w:r w:rsidRPr="00920E43">
              <w:rPr>
                <w:rFonts w:asciiTheme="majorBidi" w:hAnsiTheme="majorBidi" w:cstheme="majorBidi"/>
                <w:color w:val="auto"/>
                <w:sz w:val="24"/>
                <w:szCs w:val="24"/>
              </w:rPr>
              <w:t xml:space="preserve"> J, </w:t>
            </w:r>
            <w:proofErr w:type="spellStart"/>
            <w:r w:rsidRPr="00920E43">
              <w:rPr>
                <w:rFonts w:asciiTheme="majorBidi" w:hAnsiTheme="majorBidi" w:cstheme="majorBidi"/>
                <w:color w:val="auto"/>
                <w:sz w:val="24"/>
                <w:szCs w:val="24"/>
              </w:rPr>
              <w:t>Vergison</w:t>
            </w:r>
            <w:proofErr w:type="spellEnd"/>
            <w:r w:rsidRPr="00920E43">
              <w:rPr>
                <w:rFonts w:asciiTheme="majorBidi" w:hAnsiTheme="majorBidi" w:cstheme="majorBidi"/>
                <w:color w:val="auto"/>
                <w:sz w:val="24"/>
                <w:szCs w:val="24"/>
              </w:rPr>
              <w:t xml:space="preserve"> A, Borg M-L, Melillo T, Kocinski D, </w:t>
            </w:r>
            <w:proofErr w:type="spellStart"/>
            <w:r w:rsidRPr="00920E43">
              <w:rPr>
                <w:rFonts w:asciiTheme="majorBidi" w:hAnsiTheme="majorBidi" w:cstheme="majorBidi"/>
                <w:color w:val="auto"/>
                <w:sz w:val="24"/>
                <w:szCs w:val="24"/>
              </w:rPr>
              <w:t>Pollozhani</w:t>
            </w:r>
            <w:proofErr w:type="spellEnd"/>
            <w:r w:rsidRPr="00920E43">
              <w:rPr>
                <w:rFonts w:asciiTheme="majorBidi" w:hAnsiTheme="majorBidi" w:cstheme="majorBidi"/>
                <w:color w:val="auto"/>
                <w:sz w:val="24"/>
                <w:szCs w:val="24"/>
              </w:rPr>
              <w:t xml:space="preserve"> E, </w:t>
            </w:r>
            <w:proofErr w:type="spellStart"/>
            <w:r w:rsidRPr="00920E43">
              <w:rPr>
                <w:rFonts w:asciiTheme="majorBidi" w:hAnsiTheme="majorBidi" w:cstheme="majorBidi"/>
                <w:color w:val="auto"/>
                <w:sz w:val="24"/>
                <w:szCs w:val="24"/>
              </w:rPr>
              <w:t>Meijerink</w:t>
            </w:r>
            <w:proofErr w:type="spellEnd"/>
            <w:r w:rsidRPr="00920E43">
              <w:rPr>
                <w:rFonts w:asciiTheme="majorBidi" w:hAnsiTheme="majorBidi" w:cstheme="majorBidi"/>
                <w:color w:val="auto"/>
                <w:sz w:val="24"/>
                <w:szCs w:val="24"/>
              </w:rPr>
              <w:t xml:space="preserve"> H, Costa D, Gomes JP, Pinto Leite P, </w:t>
            </w:r>
            <w:proofErr w:type="spellStart"/>
            <w:r w:rsidRPr="00920E43">
              <w:rPr>
                <w:rFonts w:asciiTheme="majorBidi" w:hAnsiTheme="majorBidi" w:cstheme="majorBidi"/>
                <w:color w:val="auto"/>
                <w:sz w:val="24"/>
                <w:szCs w:val="24"/>
              </w:rPr>
              <w:t>Druc</w:t>
            </w:r>
            <w:proofErr w:type="spellEnd"/>
            <w:r w:rsidRPr="00920E43">
              <w:rPr>
                <w:rFonts w:asciiTheme="majorBidi" w:hAnsiTheme="majorBidi" w:cstheme="majorBidi"/>
                <w:color w:val="auto"/>
                <w:sz w:val="24"/>
                <w:szCs w:val="24"/>
              </w:rPr>
              <w:t xml:space="preserve"> A, Gutu V, Mita V, Lazar M, Popescu R, Popovici O, Musilová M, </w:t>
            </w:r>
            <w:proofErr w:type="spellStart"/>
            <w:r w:rsidRPr="00920E43">
              <w:rPr>
                <w:rFonts w:asciiTheme="majorBidi" w:hAnsiTheme="majorBidi" w:cstheme="majorBidi"/>
                <w:color w:val="auto"/>
                <w:sz w:val="24"/>
                <w:szCs w:val="24"/>
              </w:rPr>
              <w:t>Mrzel</w:t>
            </w:r>
            <w:proofErr w:type="spellEnd"/>
            <w:r w:rsidRPr="00920E43">
              <w:rPr>
                <w:rFonts w:asciiTheme="majorBidi" w:hAnsiTheme="majorBidi" w:cstheme="majorBidi"/>
                <w:color w:val="auto"/>
                <w:sz w:val="24"/>
                <w:szCs w:val="24"/>
              </w:rPr>
              <w:t xml:space="preserve"> M, </w:t>
            </w:r>
            <w:proofErr w:type="spellStart"/>
            <w:r w:rsidRPr="00920E43">
              <w:rPr>
                <w:rFonts w:asciiTheme="majorBidi" w:hAnsiTheme="majorBidi" w:cstheme="majorBidi"/>
                <w:color w:val="auto"/>
                <w:sz w:val="24"/>
                <w:szCs w:val="24"/>
              </w:rPr>
              <w:t>Socan</w:t>
            </w:r>
            <w:proofErr w:type="spellEnd"/>
            <w:r w:rsidRPr="00920E43">
              <w:rPr>
                <w:rFonts w:asciiTheme="majorBidi" w:hAnsiTheme="majorBidi" w:cstheme="majorBidi"/>
                <w:color w:val="auto"/>
                <w:sz w:val="24"/>
                <w:szCs w:val="24"/>
              </w:rPr>
              <w:t xml:space="preserve"> M, </w:t>
            </w:r>
            <w:proofErr w:type="spellStart"/>
            <w:r w:rsidRPr="00920E43">
              <w:rPr>
                <w:rFonts w:asciiTheme="majorBidi" w:hAnsiTheme="majorBidi" w:cstheme="majorBidi"/>
                <w:color w:val="auto"/>
                <w:sz w:val="24"/>
                <w:szCs w:val="24"/>
              </w:rPr>
              <w:t>Učakar</w:t>
            </w:r>
            <w:proofErr w:type="spellEnd"/>
            <w:r w:rsidRPr="00920E43">
              <w:rPr>
                <w:rFonts w:asciiTheme="majorBidi" w:hAnsiTheme="majorBidi" w:cstheme="majorBidi"/>
                <w:color w:val="auto"/>
                <w:sz w:val="24"/>
                <w:szCs w:val="24"/>
              </w:rPr>
              <w:t xml:space="preserve"> V, Limia A, </w:t>
            </w:r>
            <w:proofErr w:type="spellStart"/>
            <w:r w:rsidRPr="00920E43">
              <w:rPr>
                <w:rFonts w:asciiTheme="majorBidi" w:hAnsiTheme="majorBidi" w:cstheme="majorBidi"/>
                <w:color w:val="auto"/>
                <w:sz w:val="24"/>
                <w:szCs w:val="24"/>
              </w:rPr>
              <w:t>Mazagatos</w:t>
            </w:r>
            <w:proofErr w:type="spellEnd"/>
            <w:r w:rsidRPr="00920E43">
              <w:rPr>
                <w:rFonts w:asciiTheme="majorBidi" w:hAnsiTheme="majorBidi" w:cstheme="majorBidi"/>
                <w:color w:val="auto"/>
                <w:sz w:val="24"/>
                <w:szCs w:val="24"/>
              </w:rPr>
              <w:t xml:space="preserve"> C, Olmedo C, </w:t>
            </w:r>
            <w:proofErr w:type="spellStart"/>
            <w:r w:rsidRPr="00920E43">
              <w:rPr>
                <w:rFonts w:asciiTheme="majorBidi" w:hAnsiTheme="majorBidi" w:cstheme="majorBidi"/>
                <w:color w:val="auto"/>
                <w:sz w:val="24"/>
                <w:szCs w:val="24"/>
              </w:rPr>
              <w:t>Dabrera</w:t>
            </w:r>
            <w:proofErr w:type="spellEnd"/>
            <w:r w:rsidRPr="00920E43">
              <w:rPr>
                <w:rFonts w:asciiTheme="majorBidi" w:hAnsiTheme="majorBidi" w:cstheme="majorBidi"/>
                <w:color w:val="auto"/>
                <w:sz w:val="24"/>
                <w:szCs w:val="24"/>
              </w:rPr>
              <w:t xml:space="preserve"> G, Kall M, Sinnathamby M, McGowan G, McMenamin J, Morrison K, Nitzan D, Widdowson M-A, Smallwood C, Pebody R; WHO European Respiratory Surveillance Network. Estimated number of lives directly saved by COVID-19 vaccination </w:t>
            </w:r>
            <w:proofErr w:type="spellStart"/>
            <w:r w:rsidRPr="00920E43">
              <w:rPr>
                <w:rFonts w:asciiTheme="majorBidi" w:hAnsiTheme="majorBidi" w:cstheme="majorBidi"/>
                <w:color w:val="auto"/>
                <w:sz w:val="24"/>
                <w:szCs w:val="24"/>
              </w:rPr>
              <w:t>programmes</w:t>
            </w:r>
            <w:proofErr w:type="spellEnd"/>
            <w:r w:rsidRPr="00920E43">
              <w:rPr>
                <w:rFonts w:asciiTheme="majorBidi" w:hAnsiTheme="majorBidi" w:cstheme="majorBidi"/>
                <w:color w:val="auto"/>
                <w:sz w:val="24"/>
                <w:szCs w:val="24"/>
              </w:rPr>
              <w:t xml:space="preserve"> in the WHO European Region from December 2020 to March 2023: a retrospective surveillance study. The Lancet Respiratory Medicine. 2024;12(9):714–727. doi:10.1016/S2213-2600(24)00179-6.</w:t>
            </w:r>
          </w:p>
        </w:tc>
        <w:tc>
          <w:tcPr>
            <w:tcW w:w="5938" w:type="dxa"/>
          </w:tcPr>
          <w:p w14:paraId="069B44D0" w14:textId="18A7BDF3" w:rsidR="009405C7" w:rsidRPr="00920E43" w:rsidRDefault="009405C7" w:rsidP="009405C7">
            <w:pPr>
              <w:pStyle w:val="MDPI31text"/>
              <w:ind w:left="0" w:firstLine="0"/>
              <w:rPr>
                <w:rFonts w:asciiTheme="majorBidi" w:hAnsiTheme="majorBidi" w:cstheme="majorBidi"/>
                <w:color w:val="auto"/>
                <w:sz w:val="24"/>
                <w:szCs w:val="24"/>
              </w:rPr>
            </w:pPr>
            <w:r w:rsidRPr="00920E43">
              <w:rPr>
                <w:rFonts w:asciiTheme="majorBidi" w:hAnsiTheme="majorBidi" w:cstheme="majorBidi"/>
                <w:color w:val="auto"/>
                <w:sz w:val="24"/>
                <w:szCs w:val="24"/>
              </w:rPr>
              <w:lastRenderedPageBreak/>
              <w:t xml:space="preserve">Outside the prespecified review scope. This study is a population-level surveillance and modelling analysis estimating COVID-19 vaccine–attributable mortality </w:t>
            </w:r>
            <w:r w:rsidRPr="00920E43">
              <w:rPr>
                <w:rFonts w:asciiTheme="majorBidi" w:hAnsiTheme="majorBidi" w:cstheme="majorBidi"/>
                <w:color w:val="auto"/>
                <w:sz w:val="24"/>
                <w:szCs w:val="24"/>
              </w:rPr>
              <w:lastRenderedPageBreak/>
              <w:t xml:space="preserve">reduction using aggregated data and published effectiveness inputs. It does not report primary, individual-level real-world vaccine effectiveness estimates (e.g., VE or </w:t>
            </w:r>
            <w:proofErr w:type="spellStart"/>
            <w:r w:rsidRPr="00920E43">
              <w:rPr>
                <w:rFonts w:asciiTheme="majorBidi" w:hAnsiTheme="majorBidi" w:cstheme="majorBidi"/>
                <w:color w:val="auto"/>
                <w:sz w:val="24"/>
                <w:szCs w:val="24"/>
              </w:rPr>
              <w:t>rVE</w:t>
            </w:r>
            <w:proofErr w:type="spellEnd"/>
            <w:r w:rsidRPr="00920E43">
              <w:rPr>
                <w:rFonts w:asciiTheme="majorBidi" w:hAnsiTheme="majorBidi" w:cstheme="majorBidi"/>
                <w:color w:val="auto"/>
                <w:sz w:val="24"/>
                <w:szCs w:val="24"/>
              </w:rPr>
              <w:t xml:space="preserve"> against infection, hospitali</w:t>
            </w:r>
            <w:r w:rsidR="00F10ED1" w:rsidRPr="00920E43">
              <w:rPr>
                <w:rFonts w:asciiTheme="majorBidi" w:hAnsiTheme="majorBidi" w:cstheme="majorBidi"/>
                <w:color w:val="auto"/>
                <w:sz w:val="24"/>
                <w:szCs w:val="24"/>
              </w:rPr>
              <w:t>z</w:t>
            </w:r>
            <w:r w:rsidRPr="00920E43">
              <w:rPr>
                <w:rFonts w:asciiTheme="majorBidi" w:hAnsiTheme="majorBidi" w:cstheme="majorBidi"/>
                <w:color w:val="auto"/>
                <w:sz w:val="24"/>
                <w:szCs w:val="24"/>
              </w:rPr>
              <w:t>ation, ICU admission, or death) derived from an observational or interventional study design, and therefore is not eligible for inclusion.</w:t>
            </w:r>
          </w:p>
        </w:tc>
      </w:tr>
      <w:tr w:rsidR="009405C7" w14:paraId="34B7686B" w14:textId="77777777" w:rsidTr="00B20255">
        <w:tc>
          <w:tcPr>
            <w:tcW w:w="5403" w:type="dxa"/>
          </w:tcPr>
          <w:p w14:paraId="0CBB7B36" w14:textId="0982F289" w:rsidR="009405C7" w:rsidRPr="00747861" w:rsidRDefault="00747861" w:rsidP="009405C7">
            <w:pPr>
              <w:pStyle w:val="MDPI31text"/>
              <w:ind w:left="0" w:firstLine="0"/>
              <w:rPr>
                <w:rFonts w:asciiTheme="majorBidi" w:hAnsiTheme="majorBidi" w:cstheme="majorBidi"/>
                <w:color w:val="auto"/>
                <w:sz w:val="24"/>
                <w:szCs w:val="24"/>
              </w:rPr>
            </w:pPr>
            <w:r w:rsidRPr="00747861">
              <w:rPr>
                <w:rFonts w:asciiTheme="majorBidi" w:hAnsiTheme="majorBidi" w:cstheme="majorBidi"/>
                <w:color w:val="auto"/>
                <w:sz w:val="24"/>
                <w:szCs w:val="24"/>
              </w:rPr>
              <w:lastRenderedPageBreak/>
              <w:t xml:space="preserve">Meurisse M, </w:t>
            </w:r>
            <w:proofErr w:type="spellStart"/>
            <w:r w:rsidRPr="00747861">
              <w:rPr>
                <w:rFonts w:asciiTheme="majorBidi" w:hAnsiTheme="majorBidi" w:cstheme="majorBidi"/>
                <w:color w:val="auto"/>
                <w:sz w:val="24"/>
                <w:szCs w:val="24"/>
              </w:rPr>
              <w:t>Catteau</w:t>
            </w:r>
            <w:proofErr w:type="spellEnd"/>
            <w:r w:rsidRPr="00747861">
              <w:rPr>
                <w:rFonts w:asciiTheme="majorBidi" w:hAnsiTheme="majorBidi" w:cstheme="majorBidi"/>
                <w:color w:val="auto"/>
                <w:sz w:val="24"/>
                <w:szCs w:val="24"/>
              </w:rPr>
              <w:t xml:space="preserve"> L, van </w:t>
            </w:r>
            <w:proofErr w:type="spellStart"/>
            <w:r w:rsidRPr="00747861">
              <w:rPr>
                <w:rFonts w:asciiTheme="majorBidi" w:hAnsiTheme="majorBidi" w:cstheme="majorBidi"/>
                <w:color w:val="auto"/>
                <w:sz w:val="24"/>
                <w:szCs w:val="24"/>
              </w:rPr>
              <w:t>Loenhout</w:t>
            </w:r>
            <w:proofErr w:type="spellEnd"/>
            <w:r w:rsidRPr="00747861">
              <w:rPr>
                <w:rFonts w:asciiTheme="majorBidi" w:hAnsiTheme="majorBidi" w:cstheme="majorBidi"/>
                <w:color w:val="auto"/>
                <w:sz w:val="24"/>
                <w:szCs w:val="24"/>
              </w:rPr>
              <w:t xml:space="preserve"> JAF, </w:t>
            </w:r>
            <w:proofErr w:type="spellStart"/>
            <w:r w:rsidRPr="00747861">
              <w:rPr>
                <w:rFonts w:asciiTheme="majorBidi" w:hAnsiTheme="majorBidi" w:cstheme="majorBidi"/>
                <w:color w:val="auto"/>
                <w:sz w:val="24"/>
                <w:szCs w:val="24"/>
              </w:rPr>
              <w:t>Braeye</w:t>
            </w:r>
            <w:proofErr w:type="spellEnd"/>
            <w:r w:rsidRPr="00747861">
              <w:rPr>
                <w:rFonts w:asciiTheme="majorBidi" w:hAnsiTheme="majorBidi" w:cstheme="majorBidi"/>
                <w:color w:val="auto"/>
                <w:sz w:val="24"/>
                <w:szCs w:val="24"/>
              </w:rPr>
              <w:t xml:space="preserve"> T, De Mot L, </w:t>
            </w:r>
            <w:proofErr w:type="spellStart"/>
            <w:r w:rsidRPr="00747861">
              <w:rPr>
                <w:rFonts w:asciiTheme="majorBidi" w:hAnsiTheme="majorBidi" w:cstheme="majorBidi"/>
                <w:color w:val="auto"/>
                <w:sz w:val="24"/>
                <w:szCs w:val="24"/>
              </w:rPr>
              <w:t>Serrien</w:t>
            </w:r>
            <w:proofErr w:type="spellEnd"/>
            <w:r w:rsidRPr="00747861">
              <w:rPr>
                <w:rFonts w:asciiTheme="majorBidi" w:hAnsiTheme="majorBidi" w:cstheme="majorBidi"/>
                <w:color w:val="auto"/>
                <w:sz w:val="24"/>
                <w:szCs w:val="24"/>
              </w:rPr>
              <w:t xml:space="preserve"> B, Blot K, </w:t>
            </w:r>
            <w:proofErr w:type="spellStart"/>
            <w:r w:rsidRPr="00747861">
              <w:rPr>
                <w:rFonts w:asciiTheme="majorBidi" w:hAnsiTheme="majorBidi" w:cstheme="majorBidi"/>
                <w:color w:val="auto"/>
                <w:sz w:val="24"/>
                <w:szCs w:val="24"/>
              </w:rPr>
              <w:t>Cauët</w:t>
            </w:r>
            <w:proofErr w:type="spellEnd"/>
            <w:r w:rsidRPr="00747861">
              <w:rPr>
                <w:rFonts w:asciiTheme="majorBidi" w:hAnsiTheme="majorBidi" w:cstheme="majorBidi"/>
                <w:color w:val="auto"/>
                <w:sz w:val="24"/>
                <w:szCs w:val="24"/>
              </w:rPr>
              <w:t xml:space="preserve"> E, Van Oyen H, Cuypers L, Belgian Collaborative Group on COVID-19 Hospital Surveillance, COVID-19 Genomics Belgium Consortium, Robert A, Van Goethem N. Homologous and heterologous prime–boost vaccination: impact on clinical severity of SARS-CoV-2 Omicron infection among hospitalized COVID-19 patients in Belgium. Vaccines (Basel). 2023;11(2):378. doi:10.3390/vaccines11020378.</w:t>
            </w:r>
          </w:p>
        </w:tc>
        <w:tc>
          <w:tcPr>
            <w:tcW w:w="5938" w:type="dxa"/>
          </w:tcPr>
          <w:p w14:paraId="0F727321" w14:textId="6A6C6D2F" w:rsidR="009405C7" w:rsidRPr="00747861" w:rsidRDefault="009405C7" w:rsidP="009405C7">
            <w:pPr>
              <w:pStyle w:val="MDPI31text"/>
              <w:ind w:left="0" w:firstLine="0"/>
              <w:rPr>
                <w:rFonts w:asciiTheme="majorBidi" w:hAnsiTheme="majorBidi" w:cstheme="majorBidi"/>
                <w:color w:val="auto"/>
                <w:sz w:val="24"/>
                <w:szCs w:val="24"/>
              </w:rPr>
            </w:pPr>
            <w:r w:rsidRPr="00747861">
              <w:rPr>
                <w:rFonts w:asciiTheme="majorBidi" w:hAnsiTheme="majorBidi" w:cstheme="majorBidi"/>
                <w:color w:val="auto"/>
                <w:sz w:val="24"/>
                <w:szCs w:val="24"/>
              </w:rPr>
              <w:t xml:space="preserve">Outside the prespecified review scope. This </w:t>
            </w:r>
            <w:r w:rsidR="000244C3" w:rsidRPr="00747861">
              <w:rPr>
                <w:rFonts w:asciiTheme="majorBidi" w:hAnsiTheme="majorBidi" w:cstheme="majorBidi"/>
                <w:color w:val="auto"/>
                <w:sz w:val="24"/>
                <w:szCs w:val="24"/>
              </w:rPr>
              <w:t>multicenter</w:t>
            </w:r>
            <w:r w:rsidRPr="00747861">
              <w:rPr>
                <w:rFonts w:asciiTheme="majorBidi" w:hAnsiTheme="majorBidi" w:cstheme="majorBidi"/>
                <w:color w:val="auto"/>
                <w:sz w:val="24"/>
                <w:szCs w:val="24"/>
              </w:rPr>
              <w:t xml:space="preserve"> cohort study evaluates ancestral mRNA booster vaccination and heterologous versus homologous prime–boost schedules among hospitalized patients infected with early Omicron sub-lineages (BA.1, BA.2, BA.4/BA.5) during 2021–2022. The study does not assess late-Omicron sub-lineages (e.g., XBB, JN.1, KP) or the effectiveness of updated, variant-adapted COVID-19 vaccines, which are the focus of this review.</w:t>
            </w:r>
          </w:p>
        </w:tc>
      </w:tr>
      <w:tr w:rsidR="009405C7" w14:paraId="727B670C" w14:textId="77777777" w:rsidTr="00B20255">
        <w:tc>
          <w:tcPr>
            <w:tcW w:w="5403" w:type="dxa"/>
          </w:tcPr>
          <w:p w14:paraId="7B2DA9E2" w14:textId="40272BB5" w:rsidR="009405C7" w:rsidRPr="00747861" w:rsidRDefault="00747861" w:rsidP="009405C7">
            <w:pPr>
              <w:pStyle w:val="MDPI31text"/>
              <w:ind w:left="0" w:firstLine="0"/>
              <w:rPr>
                <w:rFonts w:asciiTheme="majorBidi" w:hAnsiTheme="majorBidi" w:cstheme="majorBidi"/>
                <w:color w:val="auto"/>
                <w:sz w:val="24"/>
                <w:szCs w:val="24"/>
              </w:rPr>
            </w:pPr>
            <w:r w:rsidRPr="00747861">
              <w:rPr>
                <w:rFonts w:asciiTheme="majorBidi" w:hAnsiTheme="majorBidi" w:cstheme="majorBidi"/>
                <w:color w:val="auto"/>
                <w:sz w:val="24"/>
                <w:szCs w:val="24"/>
              </w:rPr>
              <w:t xml:space="preserve">Mi H, Chen Q, Lin H, He T, Zhang R, Ren S, Liu L, Wang J, Huang H, Wang M, Guo Z, Su C. Short-term effectiveness of single-dose intranasal spray COVID-19 vaccine against symptomatic SARS-CoV-2 Omicron infection in healthcare workers: a prospective cohort study. </w:t>
            </w:r>
            <w:proofErr w:type="spellStart"/>
            <w:r w:rsidRPr="00747861">
              <w:rPr>
                <w:rFonts w:asciiTheme="majorBidi" w:hAnsiTheme="majorBidi" w:cstheme="majorBidi"/>
                <w:color w:val="auto"/>
                <w:sz w:val="24"/>
                <w:szCs w:val="24"/>
              </w:rPr>
              <w:t>eClinicalMedicine</w:t>
            </w:r>
            <w:proofErr w:type="spellEnd"/>
            <w:r w:rsidRPr="00747861">
              <w:rPr>
                <w:rFonts w:asciiTheme="majorBidi" w:hAnsiTheme="majorBidi" w:cstheme="majorBidi"/>
                <w:color w:val="auto"/>
                <w:sz w:val="24"/>
                <w:szCs w:val="24"/>
              </w:rPr>
              <w:t>. 2024;67:102374. doi:10.1016/j.eclinm.2023.102374.</w:t>
            </w:r>
          </w:p>
        </w:tc>
        <w:tc>
          <w:tcPr>
            <w:tcW w:w="5938" w:type="dxa"/>
          </w:tcPr>
          <w:p w14:paraId="21DB3B37" w14:textId="7F2F01E1" w:rsidR="009405C7" w:rsidRPr="00747861" w:rsidRDefault="009405C7" w:rsidP="009405C7">
            <w:pPr>
              <w:pStyle w:val="MDPI31text"/>
              <w:ind w:left="0" w:firstLine="0"/>
              <w:rPr>
                <w:rFonts w:asciiTheme="majorBidi" w:hAnsiTheme="majorBidi" w:cstheme="majorBidi"/>
                <w:color w:val="auto"/>
                <w:sz w:val="24"/>
                <w:szCs w:val="24"/>
              </w:rPr>
            </w:pPr>
            <w:r w:rsidRPr="00747861">
              <w:rPr>
                <w:rFonts w:asciiTheme="majorBidi" w:hAnsiTheme="majorBidi" w:cstheme="majorBidi"/>
                <w:color w:val="auto"/>
                <w:sz w:val="24"/>
                <w:szCs w:val="24"/>
              </w:rPr>
              <w:t>Outside the prespecified review scope. The study evaluates a novel intranasal (mucosal) COVID-19 vaccine (dNS1-RBD) in a healthcare-worker cohort with short follow-up, and reports effectiveness against symptomatic infection only. No severe clinical outcomes (hospitali</w:t>
            </w:r>
            <w:r w:rsidR="00F10ED1" w:rsidRPr="00747861">
              <w:rPr>
                <w:rFonts w:asciiTheme="majorBidi" w:hAnsiTheme="majorBidi" w:cstheme="majorBidi"/>
                <w:color w:val="auto"/>
                <w:sz w:val="24"/>
                <w:szCs w:val="24"/>
              </w:rPr>
              <w:t>z</w:t>
            </w:r>
            <w:r w:rsidRPr="00747861">
              <w:rPr>
                <w:rFonts w:asciiTheme="majorBidi" w:hAnsiTheme="majorBidi" w:cstheme="majorBidi"/>
                <w:color w:val="auto"/>
                <w:sz w:val="24"/>
                <w:szCs w:val="24"/>
              </w:rPr>
              <w:t>ation, ICU admission, or death) were assessed, and the vaccine platform is not a systemically administered mRNA vaccine, limiting comparability with studies included in this review.</w:t>
            </w:r>
          </w:p>
        </w:tc>
      </w:tr>
      <w:tr w:rsidR="009405C7" w14:paraId="14A1D77A" w14:textId="77777777" w:rsidTr="00B20255">
        <w:tc>
          <w:tcPr>
            <w:tcW w:w="5403" w:type="dxa"/>
          </w:tcPr>
          <w:p w14:paraId="032D2ECD" w14:textId="1FD2DD1E" w:rsidR="009405C7" w:rsidRPr="00E25303" w:rsidRDefault="00E25303" w:rsidP="009405C7">
            <w:pPr>
              <w:pStyle w:val="MDPI31text"/>
              <w:ind w:left="0" w:firstLine="0"/>
              <w:rPr>
                <w:rFonts w:asciiTheme="majorBidi" w:hAnsiTheme="majorBidi" w:cstheme="majorBidi"/>
                <w:color w:val="auto"/>
                <w:sz w:val="24"/>
                <w:szCs w:val="24"/>
              </w:rPr>
            </w:pPr>
            <w:r w:rsidRPr="00E25303">
              <w:rPr>
                <w:rFonts w:asciiTheme="majorBidi" w:hAnsiTheme="majorBidi" w:cstheme="majorBidi"/>
                <w:color w:val="auto"/>
                <w:sz w:val="24"/>
                <w:szCs w:val="24"/>
              </w:rPr>
              <w:t>Mimura W, Ishiguro C, Maeda M, Murata F, Fukuda H. Effectiveness of a third dose of COVID-19 mRNA vaccine during the Omicron BA.1- and BA.2-predominant periods in Japan: the Vaccine Effectiveness, Networking, and Universal Safety (VENUS) study. Open Forum Infectious Diseases. 2022;9(12):ofac636. doi:10.1093/</w:t>
            </w:r>
            <w:proofErr w:type="spellStart"/>
            <w:r w:rsidRPr="00E25303">
              <w:rPr>
                <w:rFonts w:asciiTheme="majorBidi" w:hAnsiTheme="majorBidi" w:cstheme="majorBidi"/>
                <w:color w:val="auto"/>
                <w:sz w:val="24"/>
                <w:szCs w:val="24"/>
              </w:rPr>
              <w:t>ofid</w:t>
            </w:r>
            <w:proofErr w:type="spellEnd"/>
            <w:r w:rsidRPr="00E25303">
              <w:rPr>
                <w:rFonts w:asciiTheme="majorBidi" w:hAnsiTheme="majorBidi" w:cstheme="majorBidi"/>
                <w:color w:val="auto"/>
                <w:sz w:val="24"/>
                <w:szCs w:val="24"/>
              </w:rPr>
              <w:t>/ofac636.</w:t>
            </w:r>
          </w:p>
        </w:tc>
        <w:tc>
          <w:tcPr>
            <w:tcW w:w="5938" w:type="dxa"/>
          </w:tcPr>
          <w:p w14:paraId="77691043" w14:textId="2A9BBD72" w:rsidR="009405C7" w:rsidRPr="00E25303" w:rsidRDefault="009405C7" w:rsidP="009405C7">
            <w:pPr>
              <w:pStyle w:val="MDPI31text"/>
              <w:ind w:left="0" w:firstLine="0"/>
              <w:rPr>
                <w:rFonts w:asciiTheme="majorBidi" w:hAnsiTheme="majorBidi" w:cstheme="majorBidi"/>
                <w:color w:val="auto"/>
                <w:sz w:val="24"/>
                <w:szCs w:val="24"/>
              </w:rPr>
            </w:pPr>
            <w:r w:rsidRPr="00E25303">
              <w:rPr>
                <w:rFonts w:asciiTheme="majorBidi" w:hAnsiTheme="majorBidi" w:cstheme="majorBidi"/>
                <w:color w:val="auto"/>
                <w:sz w:val="24"/>
                <w:szCs w:val="24"/>
              </w:rPr>
              <w:t>Outside the prespecified review scope. The study evaluates effectiveness of ancestral (monovalent) mRNA vaccines against SARS-CoV-2 infection and symptomatic infection only during early Omicron BA.1–BA.2 predominance (January–April 2022). It does not assess severe clinical outcomes (hospitali</w:t>
            </w:r>
            <w:r w:rsidR="00F10ED1" w:rsidRPr="00E25303">
              <w:rPr>
                <w:rFonts w:asciiTheme="majorBidi" w:hAnsiTheme="majorBidi" w:cstheme="majorBidi"/>
                <w:color w:val="auto"/>
                <w:sz w:val="24"/>
                <w:szCs w:val="24"/>
              </w:rPr>
              <w:t>z</w:t>
            </w:r>
            <w:r w:rsidRPr="00E25303">
              <w:rPr>
                <w:rFonts w:asciiTheme="majorBidi" w:hAnsiTheme="majorBidi" w:cstheme="majorBidi"/>
                <w:color w:val="auto"/>
                <w:sz w:val="24"/>
                <w:szCs w:val="24"/>
              </w:rPr>
              <w:t xml:space="preserve">ation, ICU admission, or death) and does not provide effectiveness estimates for later Omicron subvariants </w:t>
            </w:r>
            <w:r w:rsidR="00AA15B8" w:rsidRPr="00E25303">
              <w:rPr>
                <w:rFonts w:asciiTheme="majorBidi" w:hAnsiTheme="majorBidi" w:cstheme="majorBidi"/>
                <w:color w:val="auto"/>
                <w:sz w:val="24"/>
                <w:szCs w:val="24"/>
              </w:rPr>
              <w:t>prioritized</w:t>
            </w:r>
            <w:r w:rsidRPr="00E25303">
              <w:rPr>
                <w:rFonts w:asciiTheme="majorBidi" w:hAnsiTheme="majorBidi" w:cstheme="majorBidi"/>
                <w:color w:val="auto"/>
                <w:sz w:val="24"/>
                <w:szCs w:val="24"/>
              </w:rPr>
              <w:t xml:space="preserve"> in this review (e.g., BA.5 late phase, XBB, JN.1, KP.3).</w:t>
            </w:r>
          </w:p>
        </w:tc>
      </w:tr>
      <w:tr w:rsidR="009405C7" w14:paraId="7A22A653" w14:textId="77777777" w:rsidTr="00B20255">
        <w:tc>
          <w:tcPr>
            <w:tcW w:w="5403" w:type="dxa"/>
          </w:tcPr>
          <w:p w14:paraId="1FD4148D" w14:textId="60778EC3" w:rsidR="009405C7" w:rsidRPr="00E25303" w:rsidRDefault="00E25303" w:rsidP="009405C7">
            <w:pPr>
              <w:pStyle w:val="MDPI31text"/>
              <w:ind w:left="0" w:firstLine="0"/>
              <w:rPr>
                <w:rFonts w:asciiTheme="majorBidi" w:hAnsiTheme="majorBidi" w:cstheme="majorBidi"/>
                <w:color w:val="auto"/>
                <w:sz w:val="24"/>
                <w:szCs w:val="24"/>
              </w:rPr>
            </w:pPr>
            <w:r w:rsidRPr="00E25303">
              <w:rPr>
                <w:rFonts w:asciiTheme="majorBidi" w:hAnsiTheme="majorBidi" w:cstheme="majorBidi"/>
                <w:color w:val="auto"/>
                <w:sz w:val="24"/>
                <w:szCs w:val="24"/>
              </w:rPr>
              <w:t xml:space="preserve">Mimura W, Ishiguro C, Maeda M, Murata F, Fukuda H. Effectiveness of messenger RNA vaccines against </w:t>
            </w:r>
            <w:r w:rsidRPr="00E25303">
              <w:rPr>
                <w:rFonts w:asciiTheme="majorBidi" w:hAnsiTheme="majorBidi" w:cstheme="majorBidi"/>
                <w:color w:val="auto"/>
                <w:sz w:val="24"/>
                <w:szCs w:val="24"/>
              </w:rPr>
              <w:lastRenderedPageBreak/>
              <w:t>infection with SARS-CoV-2 during the periods of Delta and Omicron variant predominance in Japan: the Vaccine Effectiveness, Networking, and Universal Safety (VENUS) study. International Journal of Infectious Diseases. 2022;125:58–60. doi:10.1016/j.ijid.2022.10.001.</w:t>
            </w:r>
          </w:p>
        </w:tc>
        <w:tc>
          <w:tcPr>
            <w:tcW w:w="5938" w:type="dxa"/>
          </w:tcPr>
          <w:p w14:paraId="262525AA" w14:textId="05ED8954" w:rsidR="009405C7" w:rsidRPr="00E25303" w:rsidRDefault="009405C7" w:rsidP="009405C7">
            <w:pPr>
              <w:pStyle w:val="MDPI31text"/>
              <w:ind w:left="0" w:firstLine="0"/>
              <w:rPr>
                <w:rFonts w:asciiTheme="majorBidi" w:hAnsiTheme="majorBidi" w:cstheme="majorBidi"/>
                <w:color w:val="auto"/>
                <w:sz w:val="24"/>
                <w:szCs w:val="24"/>
              </w:rPr>
            </w:pPr>
            <w:r w:rsidRPr="00E25303">
              <w:rPr>
                <w:rFonts w:asciiTheme="majorBidi" w:hAnsiTheme="majorBidi" w:cstheme="majorBidi"/>
                <w:color w:val="auto"/>
                <w:sz w:val="24"/>
                <w:szCs w:val="24"/>
              </w:rPr>
              <w:lastRenderedPageBreak/>
              <w:t xml:space="preserve">Outside the prespecified review scope. The study evaluates effectiveness of ancestral (monovalent) mRNA vaccines </w:t>
            </w:r>
            <w:r w:rsidRPr="00E25303">
              <w:rPr>
                <w:rFonts w:asciiTheme="majorBidi" w:hAnsiTheme="majorBidi" w:cstheme="majorBidi"/>
                <w:color w:val="auto"/>
                <w:sz w:val="24"/>
                <w:szCs w:val="24"/>
              </w:rPr>
              <w:lastRenderedPageBreak/>
              <w:t>against infection and symptomatic infection only during early Omicron predominance (January–March 2022). It does not assess severe clinical outcomes (hospitali</w:t>
            </w:r>
            <w:r w:rsidR="00F10ED1" w:rsidRPr="00E25303">
              <w:rPr>
                <w:rFonts w:asciiTheme="majorBidi" w:hAnsiTheme="majorBidi" w:cstheme="majorBidi"/>
                <w:color w:val="auto"/>
                <w:sz w:val="24"/>
                <w:szCs w:val="24"/>
              </w:rPr>
              <w:t>z</w:t>
            </w:r>
            <w:r w:rsidRPr="00E25303">
              <w:rPr>
                <w:rFonts w:asciiTheme="majorBidi" w:hAnsiTheme="majorBidi" w:cstheme="majorBidi"/>
                <w:color w:val="auto"/>
                <w:sz w:val="24"/>
                <w:szCs w:val="24"/>
              </w:rPr>
              <w:t>ation, ICU admission, or death) and does not provide effectiveness estimates for later Omicron subvariants prioritized in this review (e.g., BA.5 late phase, XBB, JN.1, KP.3).</w:t>
            </w:r>
          </w:p>
        </w:tc>
      </w:tr>
      <w:tr w:rsidR="009405C7" w14:paraId="6424C869" w14:textId="77777777" w:rsidTr="00B20255">
        <w:tc>
          <w:tcPr>
            <w:tcW w:w="5403" w:type="dxa"/>
          </w:tcPr>
          <w:p w14:paraId="1E53A781" w14:textId="7D93C564" w:rsidR="009405C7" w:rsidRPr="00E25303" w:rsidRDefault="00E25303" w:rsidP="009405C7">
            <w:pPr>
              <w:pStyle w:val="MDPI31text"/>
              <w:ind w:left="0" w:firstLine="0"/>
              <w:rPr>
                <w:rFonts w:asciiTheme="majorBidi" w:hAnsiTheme="majorBidi" w:cstheme="majorBidi"/>
                <w:color w:val="auto"/>
                <w:sz w:val="24"/>
                <w:szCs w:val="24"/>
              </w:rPr>
            </w:pPr>
            <w:r w:rsidRPr="00E25303">
              <w:rPr>
                <w:rFonts w:asciiTheme="majorBidi" w:hAnsiTheme="majorBidi" w:cstheme="majorBidi"/>
                <w:color w:val="auto"/>
                <w:sz w:val="24"/>
                <w:szCs w:val="24"/>
              </w:rPr>
              <w:lastRenderedPageBreak/>
              <w:t>Mimura W, Ishiguro C, Terada-Hirashima J, Matsunaga N, Maeda M, Murata F, Fukuda H. Bivalent vaccine effectiveness among adults aged ≥65 years during the BA.5-predominant period in Japan: the VENUS study. Open Forum Infectious Diseases. 2023;10(10):ofad475. doi:10.1093/</w:t>
            </w:r>
            <w:proofErr w:type="spellStart"/>
            <w:r w:rsidRPr="00E25303">
              <w:rPr>
                <w:rFonts w:asciiTheme="majorBidi" w:hAnsiTheme="majorBidi" w:cstheme="majorBidi"/>
                <w:color w:val="auto"/>
                <w:sz w:val="24"/>
                <w:szCs w:val="24"/>
              </w:rPr>
              <w:t>ofid</w:t>
            </w:r>
            <w:proofErr w:type="spellEnd"/>
            <w:r w:rsidRPr="00E25303">
              <w:rPr>
                <w:rFonts w:asciiTheme="majorBidi" w:hAnsiTheme="majorBidi" w:cstheme="majorBidi"/>
                <w:color w:val="auto"/>
                <w:sz w:val="24"/>
                <w:szCs w:val="24"/>
              </w:rPr>
              <w:t>/ofad475.</w:t>
            </w:r>
          </w:p>
        </w:tc>
        <w:tc>
          <w:tcPr>
            <w:tcW w:w="5938" w:type="dxa"/>
          </w:tcPr>
          <w:p w14:paraId="0A4DC254" w14:textId="29FE197D" w:rsidR="009405C7" w:rsidRPr="00E25303" w:rsidRDefault="009405C7" w:rsidP="009405C7">
            <w:pPr>
              <w:pStyle w:val="MDPI31text"/>
              <w:ind w:left="0" w:firstLine="0"/>
              <w:rPr>
                <w:rFonts w:asciiTheme="majorBidi" w:hAnsiTheme="majorBidi" w:cstheme="majorBidi"/>
                <w:color w:val="auto"/>
                <w:sz w:val="24"/>
                <w:szCs w:val="24"/>
              </w:rPr>
            </w:pPr>
            <w:r w:rsidRPr="00E25303">
              <w:rPr>
                <w:rFonts w:asciiTheme="majorBidi" w:hAnsiTheme="majorBidi" w:cstheme="majorBidi"/>
                <w:color w:val="auto"/>
                <w:sz w:val="24"/>
                <w:szCs w:val="24"/>
              </w:rPr>
              <w:t>Outside the prespecified review scope. This population-based cohort study evaluates the effectiveness of bivalent BA.1 and BA.4/BA.5 mRNA COVID-19 vaccines during early Omicron BA.5 predominance (July–December 2022) and does not assess late-Omicron sub-lineages (e.g., XBB, JN.1, KP) or the effectiveness of updated, later-generation variant-adapted COVID-19 vaccines that are the focus of this review.</w:t>
            </w:r>
          </w:p>
        </w:tc>
      </w:tr>
      <w:tr w:rsidR="009405C7" w14:paraId="38F3FB86" w14:textId="77777777" w:rsidTr="00B20255">
        <w:tc>
          <w:tcPr>
            <w:tcW w:w="5403" w:type="dxa"/>
          </w:tcPr>
          <w:p w14:paraId="72295150" w14:textId="10D53855" w:rsidR="009405C7" w:rsidRPr="00344F01" w:rsidRDefault="00344F01" w:rsidP="009405C7">
            <w:pPr>
              <w:pStyle w:val="MDPI31text"/>
              <w:ind w:left="0" w:firstLine="0"/>
              <w:rPr>
                <w:rFonts w:asciiTheme="majorBidi" w:hAnsiTheme="majorBidi" w:cstheme="majorBidi"/>
                <w:color w:val="auto"/>
                <w:sz w:val="24"/>
                <w:szCs w:val="24"/>
              </w:rPr>
            </w:pPr>
            <w:r w:rsidRPr="00344F01">
              <w:rPr>
                <w:rFonts w:asciiTheme="majorBidi" w:hAnsiTheme="majorBidi" w:cstheme="majorBidi"/>
                <w:color w:val="auto"/>
                <w:sz w:val="24"/>
                <w:szCs w:val="24"/>
              </w:rPr>
              <w:t>Miyauchi S, Hiyama T, Nakano Y, Yoshida M, Yoshino A, Miyake Y, Okamoto Y. Real-world effectiveness of a booster dose of the COVID-19 vaccines among Japanese university students. Vaccines (Basel). 2022;10(8):1283. doi:10.3390/vaccines10081283.</w:t>
            </w:r>
          </w:p>
        </w:tc>
        <w:tc>
          <w:tcPr>
            <w:tcW w:w="5938" w:type="dxa"/>
          </w:tcPr>
          <w:p w14:paraId="36215CDB" w14:textId="7CEBB15A" w:rsidR="009405C7" w:rsidRPr="00344F01" w:rsidRDefault="009405C7" w:rsidP="009405C7">
            <w:pPr>
              <w:pStyle w:val="MDPI31text"/>
              <w:ind w:left="0" w:firstLine="0"/>
              <w:rPr>
                <w:rFonts w:asciiTheme="majorBidi" w:hAnsiTheme="majorBidi" w:cstheme="majorBidi"/>
                <w:color w:val="auto"/>
                <w:sz w:val="24"/>
                <w:szCs w:val="24"/>
              </w:rPr>
            </w:pPr>
            <w:r w:rsidRPr="00344F01">
              <w:rPr>
                <w:rFonts w:asciiTheme="majorBidi" w:hAnsiTheme="majorBidi" w:cstheme="majorBidi"/>
                <w:color w:val="auto"/>
                <w:sz w:val="24"/>
                <w:szCs w:val="24"/>
              </w:rPr>
              <w:t>Outside the prespecified review scope. This single-centre observational study was conducted during early Omicron predominance (mainly BA.1) and evaluates ancestral (non–variant-adapted) mRNA booster vaccination using close-contact infection and symptom-based outcomes in a young university population. It does not provide effectiveness estimates for later Omicron subvariants (BA.5, XBB, JN.1, KP.3) or for updated/variant-adapted vaccines that are the focus of this review.</w:t>
            </w:r>
          </w:p>
        </w:tc>
      </w:tr>
      <w:tr w:rsidR="009405C7" w14:paraId="6B66D52A" w14:textId="77777777" w:rsidTr="00B20255">
        <w:tc>
          <w:tcPr>
            <w:tcW w:w="5403" w:type="dxa"/>
          </w:tcPr>
          <w:p w14:paraId="030525D7" w14:textId="14D4560C" w:rsidR="009405C7" w:rsidRPr="00344F01" w:rsidRDefault="00344F01" w:rsidP="009405C7">
            <w:pPr>
              <w:pStyle w:val="MDPI31text"/>
              <w:ind w:left="0" w:firstLine="0"/>
              <w:rPr>
                <w:rFonts w:asciiTheme="majorBidi" w:hAnsiTheme="majorBidi" w:cstheme="majorBidi"/>
                <w:color w:val="auto"/>
                <w:sz w:val="24"/>
                <w:szCs w:val="24"/>
              </w:rPr>
            </w:pPr>
            <w:r w:rsidRPr="00344F01">
              <w:rPr>
                <w:rFonts w:asciiTheme="majorBidi" w:hAnsiTheme="majorBidi" w:cstheme="majorBidi"/>
                <w:color w:val="auto"/>
                <w:sz w:val="24"/>
                <w:szCs w:val="24"/>
              </w:rPr>
              <w:t>Miyauchi S, Hiyama T, Nakano Y, Yoshino A, Miyake Y, Okamoto Y. Is a booster dose of COVID-19 vaccines effective on newly dominant Omicron subvariants among university students? Comparison between BA.1 and BA.2 dominancy. American Journal of Infection Control. 2023;51(8):907–911. doi:10.1016/j.ajic.2022.11.015.</w:t>
            </w:r>
          </w:p>
        </w:tc>
        <w:tc>
          <w:tcPr>
            <w:tcW w:w="5938" w:type="dxa"/>
          </w:tcPr>
          <w:p w14:paraId="77895AA1" w14:textId="6483543F" w:rsidR="009405C7" w:rsidRPr="00344F01" w:rsidRDefault="009405C7" w:rsidP="009405C7">
            <w:pPr>
              <w:pStyle w:val="MDPI31text"/>
              <w:ind w:left="0" w:firstLine="0"/>
              <w:rPr>
                <w:rFonts w:asciiTheme="majorBidi" w:hAnsiTheme="majorBidi" w:cstheme="majorBidi"/>
                <w:color w:val="auto"/>
                <w:sz w:val="24"/>
                <w:szCs w:val="24"/>
              </w:rPr>
            </w:pPr>
            <w:r w:rsidRPr="00344F01">
              <w:rPr>
                <w:rFonts w:asciiTheme="majorBidi" w:hAnsiTheme="majorBidi" w:cstheme="majorBidi"/>
                <w:color w:val="auto"/>
                <w:sz w:val="24"/>
                <w:szCs w:val="24"/>
              </w:rPr>
              <w:t>Outside the prespecified review scope. This single-centre observational study was conducted during early Omicron predominance (BA.1 and BA.2) and evaluates ancestral (non–variant-adapted) mRNA booster vaccination using close-contact infection and symptom-based outcomes in a university population. It does not provide effectiveness estimates for later Omicron subvariants (BA.5, XBB, JN.1, KP.3) or for updated/variant-adapted vaccines that are the focus of this review.</w:t>
            </w:r>
          </w:p>
        </w:tc>
      </w:tr>
      <w:tr w:rsidR="009405C7" w14:paraId="513D3DF1" w14:textId="77777777" w:rsidTr="00B20255">
        <w:tc>
          <w:tcPr>
            <w:tcW w:w="5403" w:type="dxa"/>
          </w:tcPr>
          <w:p w14:paraId="630C94C8" w14:textId="3F1BFB08" w:rsidR="009405C7" w:rsidRPr="00F477F8" w:rsidRDefault="00F477F8" w:rsidP="009405C7">
            <w:pPr>
              <w:pStyle w:val="MDPI31text"/>
              <w:ind w:left="0" w:firstLine="0"/>
              <w:rPr>
                <w:rFonts w:asciiTheme="majorBidi" w:hAnsiTheme="majorBidi" w:cstheme="majorBidi"/>
                <w:color w:val="auto"/>
                <w:sz w:val="24"/>
                <w:szCs w:val="24"/>
              </w:rPr>
            </w:pPr>
            <w:r w:rsidRPr="00F477F8">
              <w:rPr>
                <w:rFonts w:asciiTheme="majorBidi" w:hAnsiTheme="majorBidi" w:cstheme="majorBidi"/>
                <w:color w:val="auto"/>
                <w:sz w:val="24"/>
                <w:szCs w:val="24"/>
              </w:rPr>
              <w:t xml:space="preserve">Moffa MA, Shively NR, Carr DR, Bremmer DN, Buchanan C, </w:t>
            </w:r>
            <w:proofErr w:type="spellStart"/>
            <w:r w:rsidRPr="00F477F8">
              <w:rPr>
                <w:rFonts w:asciiTheme="majorBidi" w:hAnsiTheme="majorBidi" w:cstheme="majorBidi"/>
                <w:color w:val="auto"/>
                <w:sz w:val="24"/>
                <w:szCs w:val="24"/>
              </w:rPr>
              <w:t>Trienski</w:t>
            </w:r>
            <w:proofErr w:type="spellEnd"/>
            <w:r w:rsidRPr="00F477F8">
              <w:rPr>
                <w:rFonts w:asciiTheme="majorBidi" w:hAnsiTheme="majorBidi" w:cstheme="majorBidi"/>
                <w:color w:val="auto"/>
                <w:sz w:val="24"/>
                <w:szCs w:val="24"/>
              </w:rPr>
              <w:t xml:space="preserve"> TL, Jacobs MW, Saini V, Walsh TL. Description of hospitalizations due to the severe acute respiratory syndrome coronavirus 2 Omicron variant based on vaccination status. Open Forum Infectious Diseases. 2022;9(9):ofac438. doi:10.1093/</w:t>
            </w:r>
            <w:proofErr w:type="spellStart"/>
            <w:r w:rsidRPr="00F477F8">
              <w:rPr>
                <w:rFonts w:asciiTheme="majorBidi" w:hAnsiTheme="majorBidi" w:cstheme="majorBidi"/>
                <w:color w:val="auto"/>
                <w:sz w:val="24"/>
                <w:szCs w:val="24"/>
              </w:rPr>
              <w:t>ofid</w:t>
            </w:r>
            <w:proofErr w:type="spellEnd"/>
            <w:r w:rsidRPr="00F477F8">
              <w:rPr>
                <w:rFonts w:asciiTheme="majorBidi" w:hAnsiTheme="majorBidi" w:cstheme="majorBidi"/>
                <w:color w:val="auto"/>
                <w:sz w:val="24"/>
                <w:szCs w:val="24"/>
              </w:rPr>
              <w:t>/ofac438.</w:t>
            </w:r>
          </w:p>
        </w:tc>
        <w:tc>
          <w:tcPr>
            <w:tcW w:w="5938" w:type="dxa"/>
          </w:tcPr>
          <w:p w14:paraId="74B4A57A" w14:textId="77777777" w:rsidR="009405C7" w:rsidRPr="00F477F8" w:rsidRDefault="009405C7" w:rsidP="009405C7">
            <w:pPr>
              <w:pStyle w:val="MDPI31text"/>
              <w:ind w:left="0" w:firstLine="0"/>
              <w:rPr>
                <w:rFonts w:asciiTheme="majorBidi" w:hAnsiTheme="majorBidi" w:cstheme="majorBidi"/>
                <w:color w:val="auto"/>
                <w:sz w:val="24"/>
                <w:szCs w:val="24"/>
              </w:rPr>
            </w:pPr>
            <w:r w:rsidRPr="00F477F8">
              <w:rPr>
                <w:rFonts w:asciiTheme="majorBidi" w:hAnsiTheme="majorBidi" w:cstheme="majorBidi"/>
                <w:color w:val="auto"/>
                <w:sz w:val="24"/>
                <w:szCs w:val="24"/>
              </w:rPr>
              <w:t>Outside the prespecified review scope. The study is a descriptive, hospital-based cohort focused on characterizing Omicron BA.1 hospitalizations by vaccination status and estimates vaccine effectiveness using crude population attack-rate comparisons, rather than a population-based test-negative or cohort design. It was conducted during early Omicron BA.1 predominance (January–February 2022), evaluates ancestral (monovalent) vaccines, and does not provide effectiveness estimates for later Omicron subvariants prioritized in this review.</w:t>
            </w:r>
          </w:p>
        </w:tc>
      </w:tr>
      <w:tr w:rsidR="009405C7" w14:paraId="11E55AF7" w14:textId="77777777" w:rsidTr="00B20255">
        <w:tc>
          <w:tcPr>
            <w:tcW w:w="5403" w:type="dxa"/>
          </w:tcPr>
          <w:p w14:paraId="357E33DF" w14:textId="508CFA54" w:rsidR="009405C7" w:rsidRPr="00F477F8" w:rsidRDefault="00F477F8" w:rsidP="009405C7">
            <w:pPr>
              <w:pStyle w:val="MDPI31text"/>
              <w:ind w:left="0" w:firstLine="0"/>
              <w:rPr>
                <w:rFonts w:asciiTheme="majorBidi" w:hAnsiTheme="majorBidi" w:cstheme="majorBidi"/>
                <w:color w:val="auto"/>
                <w:sz w:val="24"/>
                <w:szCs w:val="24"/>
              </w:rPr>
            </w:pPr>
            <w:proofErr w:type="spellStart"/>
            <w:r w:rsidRPr="00F477F8">
              <w:rPr>
                <w:rFonts w:asciiTheme="majorBidi" w:hAnsiTheme="majorBidi" w:cstheme="majorBidi"/>
                <w:color w:val="auto"/>
                <w:sz w:val="24"/>
                <w:szCs w:val="24"/>
              </w:rPr>
              <w:t>Moghnieh</w:t>
            </w:r>
            <w:proofErr w:type="spellEnd"/>
            <w:r w:rsidRPr="00F477F8">
              <w:rPr>
                <w:rFonts w:asciiTheme="majorBidi" w:hAnsiTheme="majorBidi" w:cstheme="majorBidi"/>
                <w:color w:val="auto"/>
                <w:sz w:val="24"/>
                <w:szCs w:val="24"/>
              </w:rPr>
              <w:t xml:space="preserve"> R, El Hajj C, Abdallah D, </w:t>
            </w:r>
            <w:proofErr w:type="spellStart"/>
            <w:r w:rsidRPr="00F477F8">
              <w:rPr>
                <w:rFonts w:asciiTheme="majorBidi" w:hAnsiTheme="majorBidi" w:cstheme="majorBidi"/>
                <w:color w:val="auto"/>
                <w:sz w:val="24"/>
                <w:szCs w:val="24"/>
              </w:rPr>
              <w:t>Jbeily</w:t>
            </w:r>
            <w:proofErr w:type="spellEnd"/>
            <w:r w:rsidRPr="00F477F8">
              <w:rPr>
                <w:rFonts w:asciiTheme="majorBidi" w:hAnsiTheme="majorBidi" w:cstheme="majorBidi"/>
                <w:color w:val="auto"/>
                <w:sz w:val="24"/>
                <w:szCs w:val="24"/>
              </w:rPr>
              <w:t xml:space="preserve"> N, Bizri AR, Sayegh MH. Immunogenicity and effectiveness of primary and booster vaccine combination strategies during periods of SARS-CoV-2 Delta and Omicron variants. Vaccines (Basel). 2022;10(10):1596. doi:10.3390/vaccines10101596.</w:t>
            </w:r>
          </w:p>
        </w:tc>
        <w:tc>
          <w:tcPr>
            <w:tcW w:w="5938" w:type="dxa"/>
          </w:tcPr>
          <w:p w14:paraId="4598CC60" w14:textId="5BE32260" w:rsidR="009405C7" w:rsidRPr="00F477F8" w:rsidRDefault="009405C7" w:rsidP="009405C7">
            <w:pPr>
              <w:pStyle w:val="MDPI31text"/>
              <w:ind w:left="0" w:firstLine="0"/>
              <w:rPr>
                <w:rFonts w:asciiTheme="majorBidi" w:hAnsiTheme="majorBidi" w:cstheme="majorBidi"/>
                <w:color w:val="auto"/>
                <w:sz w:val="24"/>
                <w:szCs w:val="24"/>
              </w:rPr>
            </w:pPr>
            <w:r w:rsidRPr="00F477F8">
              <w:rPr>
                <w:rFonts w:asciiTheme="majorBidi" w:hAnsiTheme="majorBidi" w:cstheme="majorBidi"/>
                <w:color w:val="auto"/>
                <w:sz w:val="24"/>
                <w:szCs w:val="24"/>
              </w:rPr>
              <w:t xml:space="preserve">Outside the prespecified review scope. This case–control study conducted in a highly selected occupational cohort (national airline employees in Lebanon) primarily evaluated vaccine effectiveness against laboratory-confirmed SARS-CoV-2 infection and examined humoral immunogenicity and hybrid immunity during Delta and Omicron waves. The study did not provide vaccine effectiveness estimates for </w:t>
            </w:r>
            <w:r w:rsidRPr="00F477F8">
              <w:rPr>
                <w:rFonts w:asciiTheme="majorBidi" w:hAnsiTheme="majorBidi" w:cstheme="majorBidi"/>
                <w:color w:val="auto"/>
                <w:sz w:val="24"/>
                <w:szCs w:val="24"/>
              </w:rPr>
              <w:lastRenderedPageBreak/>
              <w:t>hospitali</w:t>
            </w:r>
            <w:r w:rsidR="00F10ED1" w:rsidRPr="00F477F8">
              <w:rPr>
                <w:rFonts w:asciiTheme="majorBidi" w:hAnsiTheme="majorBidi" w:cstheme="majorBidi"/>
                <w:color w:val="auto"/>
                <w:sz w:val="24"/>
                <w:szCs w:val="24"/>
              </w:rPr>
              <w:t>z</w:t>
            </w:r>
            <w:r w:rsidRPr="00F477F8">
              <w:rPr>
                <w:rFonts w:asciiTheme="majorBidi" w:hAnsiTheme="majorBidi" w:cstheme="majorBidi"/>
                <w:color w:val="auto"/>
                <w:sz w:val="24"/>
                <w:szCs w:val="24"/>
              </w:rPr>
              <w:t>ation, severe or critical disease, ICU admission, or mortality, and therefore does not offer extractable effectiveness measures for severe COVID-19 outcomes suitable for synthesis in this review.</w:t>
            </w:r>
          </w:p>
        </w:tc>
      </w:tr>
      <w:tr w:rsidR="009405C7" w14:paraId="72BD5541" w14:textId="77777777" w:rsidTr="00B20255">
        <w:tc>
          <w:tcPr>
            <w:tcW w:w="5403" w:type="dxa"/>
          </w:tcPr>
          <w:p w14:paraId="26DF7246" w14:textId="0C610EEC" w:rsidR="009405C7" w:rsidRPr="005A1AD4" w:rsidRDefault="005A1AD4" w:rsidP="009405C7">
            <w:pPr>
              <w:pStyle w:val="MDPI31text"/>
              <w:ind w:left="0" w:firstLine="0"/>
              <w:rPr>
                <w:rFonts w:asciiTheme="majorBidi" w:hAnsiTheme="majorBidi" w:cstheme="majorBidi"/>
                <w:color w:val="auto"/>
                <w:sz w:val="24"/>
                <w:szCs w:val="24"/>
              </w:rPr>
            </w:pPr>
            <w:r w:rsidRPr="005A1AD4">
              <w:rPr>
                <w:rFonts w:asciiTheme="majorBidi" w:hAnsiTheme="majorBidi" w:cstheme="majorBidi"/>
                <w:color w:val="auto"/>
                <w:sz w:val="24"/>
                <w:szCs w:val="24"/>
              </w:rPr>
              <w:lastRenderedPageBreak/>
              <w:t xml:space="preserve">Mondi A, Mastrorosa I, Navarra A, Cimaglia C, </w:t>
            </w:r>
            <w:proofErr w:type="spellStart"/>
            <w:r w:rsidRPr="005A1AD4">
              <w:rPr>
                <w:rFonts w:asciiTheme="majorBidi" w:hAnsiTheme="majorBidi" w:cstheme="majorBidi"/>
                <w:color w:val="auto"/>
                <w:sz w:val="24"/>
                <w:szCs w:val="24"/>
              </w:rPr>
              <w:t>Pinnetti</w:t>
            </w:r>
            <w:proofErr w:type="spellEnd"/>
            <w:r w:rsidRPr="005A1AD4">
              <w:rPr>
                <w:rFonts w:asciiTheme="majorBidi" w:hAnsiTheme="majorBidi" w:cstheme="majorBidi"/>
                <w:color w:val="auto"/>
                <w:sz w:val="24"/>
                <w:szCs w:val="24"/>
              </w:rPr>
              <w:t xml:space="preserve"> C, Mazzotta V, Agresta A, </w:t>
            </w:r>
            <w:proofErr w:type="spellStart"/>
            <w:r w:rsidRPr="005A1AD4">
              <w:rPr>
                <w:rFonts w:asciiTheme="majorBidi" w:hAnsiTheme="majorBidi" w:cstheme="majorBidi"/>
                <w:color w:val="auto"/>
                <w:sz w:val="24"/>
                <w:szCs w:val="24"/>
              </w:rPr>
              <w:t>Corpolongo</w:t>
            </w:r>
            <w:proofErr w:type="spellEnd"/>
            <w:r w:rsidRPr="005A1AD4">
              <w:rPr>
                <w:rFonts w:asciiTheme="majorBidi" w:hAnsiTheme="majorBidi" w:cstheme="majorBidi"/>
                <w:color w:val="auto"/>
                <w:sz w:val="24"/>
                <w:szCs w:val="24"/>
              </w:rPr>
              <w:t xml:space="preserve"> A, Zolezzi A, Al </w:t>
            </w:r>
            <w:proofErr w:type="spellStart"/>
            <w:r w:rsidRPr="005A1AD4">
              <w:rPr>
                <w:rFonts w:asciiTheme="majorBidi" w:hAnsiTheme="majorBidi" w:cstheme="majorBidi"/>
                <w:color w:val="auto"/>
                <w:sz w:val="24"/>
                <w:szCs w:val="24"/>
              </w:rPr>
              <w:t>Moghazi</w:t>
            </w:r>
            <w:proofErr w:type="spellEnd"/>
            <w:r w:rsidRPr="005A1AD4">
              <w:rPr>
                <w:rFonts w:asciiTheme="majorBidi" w:hAnsiTheme="majorBidi" w:cstheme="majorBidi"/>
                <w:color w:val="auto"/>
                <w:sz w:val="24"/>
                <w:szCs w:val="24"/>
              </w:rPr>
              <w:t xml:space="preserve"> S, Loiacono L, Bocci MG, </w:t>
            </w:r>
            <w:proofErr w:type="spellStart"/>
            <w:r w:rsidRPr="005A1AD4">
              <w:rPr>
                <w:rFonts w:asciiTheme="majorBidi" w:hAnsiTheme="majorBidi" w:cstheme="majorBidi"/>
                <w:color w:val="auto"/>
                <w:sz w:val="24"/>
                <w:szCs w:val="24"/>
              </w:rPr>
              <w:t>Matusali</w:t>
            </w:r>
            <w:proofErr w:type="spellEnd"/>
            <w:r w:rsidRPr="005A1AD4">
              <w:rPr>
                <w:rFonts w:asciiTheme="majorBidi" w:hAnsiTheme="majorBidi" w:cstheme="majorBidi"/>
                <w:color w:val="auto"/>
                <w:sz w:val="24"/>
                <w:szCs w:val="24"/>
              </w:rPr>
              <w:t xml:space="preserve"> G, D’Annunzio A, </w:t>
            </w:r>
            <w:proofErr w:type="spellStart"/>
            <w:r w:rsidRPr="005A1AD4">
              <w:rPr>
                <w:rFonts w:asciiTheme="majorBidi" w:hAnsiTheme="majorBidi" w:cstheme="majorBidi"/>
                <w:color w:val="auto"/>
                <w:sz w:val="24"/>
                <w:szCs w:val="24"/>
              </w:rPr>
              <w:t>Gallì</w:t>
            </w:r>
            <w:proofErr w:type="spellEnd"/>
            <w:r w:rsidRPr="005A1AD4">
              <w:rPr>
                <w:rFonts w:asciiTheme="majorBidi" w:hAnsiTheme="majorBidi" w:cstheme="majorBidi"/>
                <w:color w:val="auto"/>
                <w:sz w:val="24"/>
                <w:szCs w:val="24"/>
              </w:rPr>
              <w:t xml:space="preserve"> P, Maggi F, Vairo F, Girardi E, Antinori A. Impact of anti-SARS-CoV-2 vaccination on disease severity and clinical outcomes of individuals hospitalized for COVID-19 throughout successive pandemic waves: data from an Italian reference hospital. Vaccines (Basel). 2024;12(9):1018. doi:10.3390/vaccines12091018.</w:t>
            </w:r>
          </w:p>
        </w:tc>
        <w:tc>
          <w:tcPr>
            <w:tcW w:w="5938" w:type="dxa"/>
          </w:tcPr>
          <w:p w14:paraId="652FB846" w14:textId="77777777" w:rsidR="009405C7" w:rsidRPr="005A1AD4" w:rsidRDefault="009405C7" w:rsidP="009405C7">
            <w:pPr>
              <w:pStyle w:val="MDPI31text"/>
              <w:ind w:left="0" w:firstLine="0"/>
              <w:rPr>
                <w:rFonts w:asciiTheme="majorBidi" w:hAnsiTheme="majorBidi" w:cstheme="majorBidi"/>
                <w:color w:val="auto"/>
                <w:sz w:val="24"/>
                <w:szCs w:val="24"/>
              </w:rPr>
            </w:pPr>
            <w:r w:rsidRPr="005A1AD4">
              <w:rPr>
                <w:rFonts w:asciiTheme="majorBidi" w:hAnsiTheme="majorBidi" w:cstheme="majorBidi"/>
                <w:color w:val="auto"/>
                <w:sz w:val="24"/>
                <w:szCs w:val="24"/>
              </w:rPr>
              <w:t>Outside the prespecified review scope. This retrospective hospital-based study includes only patients already hospitalized with COVID-19 and evaluates vaccination effects on disease severity and in-hospital outcomes (ICU admission and mortality), rather than population-level vaccine effectiveness against infection or hospitalization as defined in this review.</w:t>
            </w:r>
          </w:p>
        </w:tc>
      </w:tr>
      <w:tr w:rsidR="009405C7" w14:paraId="1AD1C6A0" w14:textId="77777777" w:rsidTr="00B20255">
        <w:tc>
          <w:tcPr>
            <w:tcW w:w="5403" w:type="dxa"/>
          </w:tcPr>
          <w:p w14:paraId="647C9A2B" w14:textId="328A90D1" w:rsidR="009405C7" w:rsidRPr="00D57085" w:rsidRDefault="00D57085" w:rsidP="009405C7">
            <w:pPr>
              <w:pStyle w:val="MDPI31text"/>
              <w:ind w:left="0" w:firstLine="0"/>
              <w:rPr>
                <w:rFonts w:asciiTheme="majorBidi" w:hAnsiTheme="majorBidi" w:cstheme="majorBidi"/>
                <w:color w:val="auto"/>
                <w:sz w:val="24"/>
                <w:szCs w:val="24"/>
              </w:rPr>
            </w:pPr>
            <w:r w:rsidRPr="00D57085">
              <w:rPr>
                <w:rFonts w:asciiTheme="majorBidi" w:hAnsiTheme="majorBidi" w:cstheme="majorBidi"/>
                <w:color w:val="auto"/>
                <w:sz w:val="24"/>
                <w:szCs w:val="24"/>
              </w:rPr>
              <w:t xml:space="preserve">Monge Corella S, Nunes B, Humphreys J, Nardone A, Kissling E, Lucas Almeida D, Soares P, Machado A, Casado I, Castilla J, Martínez-Baz I, Echeverria A, Emborg HD, Finderup K, Holm Hansen C, Søborg B, Valentiner-Branth P, </w:t>
            </w:r>
            <w:proofErr w:type="spellStart"/>
            <w:r w:rsidRPr="00D57085">
              <w:rPr>
                <w:rFonts w:asciiTheme="majorBidi" w:hAnsiTheme="majorBidi" w:cstheme="majorBidi"/>
                <w:color w:val="auto"/>
                <w:sz w:val="24"/>
                <w:szCs w:val="24"/>
              </w:rPr>
              <w:t>Meijerink</w:t>
            </w:r>
            <w:proofErr w:type="spellEnd"/>
            <w:r w:rsidRPr="00D57085">
              <w:rPr>
                <w:rFonts w:asciiTheme="majorBidi" w:hAnsiTheme="majorBidi" w:cstheme="majorBidi"/>
                <w:color w:val="auto"/>
                <w:sz w:val="24"/>
                <w:szCs w:val="24"/>
              </w:rPr>
              <w:t xml:space="preserve"> H, Kristoffersen A, </w:t>
            </w:r>
            <w:proofErr w:type="spellStart"/>
            <w:r w:rsidRPr="00D57085">
              <w:rPr>
                <w:rFonts w:asciiTheme="majorBidi" w:hAnsiTheme="majorBidi" w:cstheme="majorBidi"/>
                <w:color w:val="auto"/>
                <w:sz w:val="24"/>
                <w:szCs w:val="24"/>
              </w:rPr>
              <w:t>Starrfelt</w:t>
            </w:r>
            <w:proofErr w:type="spellEnd"/>
            <w:r w:rsidRPr="00D57085">
              <w:rPr>
                <w:rFonts w:asciiTheme="majorBidi" w:hAnsiTheme="majorBidi" w:cstheme="majorBidi"/>
                <w:color w:val="auto"/>
                <w:sz w:val="24"/>
                <w:szCs w:val="24"/>
              </w:rPr>
              <w:t xml:space="preserve"> J, </w:t>
            </w:r>
            <w:proofErr w:type="spellStart"/>
            <w:r w:rsidRPr="00D57085">
              <w:rPr>
                <w:rFonts w:asciiTheme="majorBidi" w:hAnsiTheme="majorBidi" w:cstheme="majorBidi"/>
                <w:color w:val="auto"/>
                <w:sz w:val="24"/>
                <w:szCs w:val="24"/>
              </w:rPr>
              <w:t>Braeye</w:t>
            </w:r>
            <w:proofErr w:type="spellEnd"/>
            <w:r w:rsidRPr="00D57085">
              <w:rPr>
                <w:rFonts w:asciiTheme="majorBidi" w:hAnsiTheme="majorBidi" w:cstheme="majorBidi"/>
                <w:color w:val="auto"/>
                <w:sz w:val="24"/>
                <w:szCs w:val="24"/>
              </w:rPr>
              <w:t xml:space="preserve"> T, Van </w:t>
            </w:r>
            <w:proofErr w:type="spellStart"/>
            <w:r w:rsidRPr="00D57085">
              <w:rPr>
                <w:rFonts w:asciiTheme="majorBidi" w:hAnsiTheme="majorBidi" w:cstheme="majorBidi"/>
                <w:color w:val="auto"/>
                <w:sz w:val="24"/>
                <w:szCs w:val="24"/>
              </w:rPr>
              <w:t>Evercooren</w:t>
            </w:r>
            <w:proofErr w:type="spellEnd"/>
            <w:r w:rsidRPr="00D57085">
              <w:rPr>
                <w:rFonts w:asciiTheme="majorBidi" w:hAnsiTheme="majorBidi" w:cstheme="majorBidi"/>
                <w:color w:val="auto"/>
                <w:sz w:val="24"/>
                <w:szCs w:val="24"/>
              </w:rPr>
              <w:t xml:space="preserve"> I, Van </w:t>
            </w:r>
            <w:proofErr w:type="spellStart"/>
            <w:r w:rsidRPr="00D57085">
              <w:rPr>
                <w:rFonts w:asciiTheme="majorBidi" w:hAnsiTheme="majorBidi" w:cstheme="majorBidi"/>
                <w:color w:val="auto"/>
                <w:sz w:val="24"/>
                <w:szCs w:val="24"/>
              </w:rPr>
              <w:t>Loenhout</w:t>
            </w:r>
            <w:proofErr w:type="spellEnd"/>
            <w:r w:rsidRPr="00D57085">
              <w:rPr>
                <w:rFonts w:asciiTheme="majorBidi" w:hAnsiTheme="majorBidi" w:cstheme="majorBidi"/>
                <w:color w:val="auto"/>
                <w:sz w:val="24"/>
                <w:szCs w:val="24"/>
              </w:rPr>
              <w:t xml:space="preserve"> J, </w:t>
            </w:r>
            <w:proofErr w:type="spellStart"/>
            <w:r w:rsidRPr="00D57085">
              <w:rPr>
                <w:rFonts w:asciiTheme="majorBidi" w:hAnsiTheme="majorBidi" w:cstheme="majorBidi"/>
                <w:color w:val="auto"/>
                <w:sz w:val="24"/>
                <w:szCs w:val="24"/>
              </w:rPr>
              <w:t>AlKerwi</w:t>
            </w:r>
            <w:proofErr w:type="spellEnd"/>
            <w:r w:rsidRPr="00D57085">
              <w:rPr>
                <w:rFonts w:asciiTheme="majorBidi" w:hAnsiTheme="majorBidi" w:cstheme="majorBidi"/>
                <w:color w:val="auto"/>
                <w:sz w:val="24"/>
                <w:szCs w:val="24"/>
              </w:rPr>
              <w:t xml:space="preserve"> A, Schmitz S, Sacco C, Mateo Urdiales A, Fabiani M, de Gier B, </w:t>
            </w:r>
            <w:proofErr w:type="spellStart"/>
            <w:r w:rsidRPr="00D57085">
              <w:rPr>
                <w:rFonts w:asciiTheme="majorBidi" w:hAnsiTheme="majorBidi" w:cstheme="majorBidi"/>
                <w:color w:val="auto"/>
                <w:sz w:val="24"/>
                <w:szCs w:val="24"/>
              </w:rPr>
              <w:t>Hahné</w:t>
            </w:r>
            <w:proofErr w:type="spellEnd"/>
            <w:r w:rsidRPr="00D57085">
              <w:rPr>
                <w:rFonts w:asciiTheme="majorBidi" w:hAnsiTheme="majorBidi" w:cstheme="majorBidi"/>
                <w:color w:val="auto"/>
                <w:sz w:val="24"/>
                <w:szCs w:val="24"/>
              </w:rPr>
              <w:t xml:space="preserve"> S, Ljung R, </w:t>
            </w:r>
            <w:proofErr w:type="spellStart"/>
            <w:r w:rsidRPr="00D57085">
              <w:rPr>
                <w:rFonts w:asciiTheme="majorBidi" w:hAnsiTheme="majorBidi" w:cstheme="majorBidi"/>
                <w:color w:val="auto"/>
                <w:sz w:val="24"/>
                <w:szCs w:val="24"/>
              </w:rPr>
              <w:t>Pihlström</w:t>
            </w:r>
            <w:proofErr w:type="spellEnd"/>
            <w:r w:rsidRPr="00D57085">
              <w:rPr>
                <w:rFonts w:asciiTheme="majorBidi" w:hAnsiTheme="majorBidi" w:cstheme="majorBidi"/>
                <w:color w:val="auto"/>
                <w:sz w:val="24"/>
                <w:szCs w:val="24"/>
              </w:rPr>
              <w:t xml:space="preserve"> N. COVID-19 vaccine effectiveness against hospitalisation and death using electronic health records in eight European countries in the VEBIS monitoring network, October 2023 to April 2024. Stockholm: European Centre for Disease Prevention and Control (ECDC); 2024. doi:10.2900/3669047.</w:t>
            </w:r>
          </w:p>
        </w:tc>
        <w:tc>
          <w:tcPr>
            <w:tcW w:w="5938" w:type="dxa"/>
          </w:tcPr>
          <w:p w14:paraId="1B3351B1" w14:textId="77777777" w:rsidR="009405C7" w:rsidRPr="00D57085" w:rsidRDefault="009405C7" w:rsidP="009405C7">
            <w:pPr>
              <w:pStyle w:val="MDPI31text"/>
              <w:ind w:left="0" w:firstLine="0"/>
              <w:rPr>
                <w:rFonts w:asciiTheme="majorBidi" w:hAnsiTheme="majorBidi" w:cstheme="majorBidi"/>
                <w:color w:val="auto"/>
                <w:sz w:val="24"/>
                <w:szCs w:val="24"/>
              </w:rPr>
            </w:pPr>
            <w:r w:rsidRPr="00D57085">
              <w:rPr>
                <w:rFonts w:asciiTheme="majorBidi" w:hAnsiTheme="majorBidi" w:cstheme="majorBidi"/>
                <w:color w:val="auto"/>
                <w:sz w:val="24"/>
                <w:szCs w:val="24"/>
              </w:rPr>
              <w:t>Outside the prespecified review scope. This document is an ECDC technical monitoring report rather than a peer-reviewed primary research study and presents pooled, near–real-time surveillance estimates generated within the VEBIS-EHR network. The analyses substantially overlap with peer-reviewed VEBIS publications already included in this review and use rolling monitoring periods and reference groups that are not directly comparable with the vaccine-effectiveness frameworks synthesised here. To avoid duplication of evidence, this report was not included in the formal data synthesis.</w:t>
            </w:r>
          </w:p>
        </w:tc>
      </w:tr>
      <w:tr w:rsidR="009405C7" w14:paraId="6A471BCF" w14:textId="77777777" w:rsidTr="00B20255">
        <w:tc>
          <w:tcPr>
            <w:tcW w:w="5403" w:type="dxa"/>
          </w:tcPr>
          <w:p w14:paraId="7CBD9AFF" w14:textId="45F114A1" w:rsidR="009405C7" w:rsidRPr="00247012" w:rsidRDefault="00247012" w:rsidP="009405C7">
            <w:pPr>
              <w:pStyle w:val="MDPI31text"/>
              <w:ind w:left="0" w:firstLine="0"/>
              <w:rPr>
                <w:rFonts w:asciiTheme="majorBidi" w:hAnsiTheme="majorBidi" w:cstheme="majorBidi"/>
                <w:color w:val="auto"/>
                <w:sz w:val="24"/>
                <w:szCs w:val="24"/>
              </w:rPr>
            </w:pPr>
            <w:r w:rsidRPr="00247012">
              <w:rPr>
                <w:rFonts w:asciiTheme="majorBidi" w:hAnsiTheme="majorBidi" w:cstheme="majorBidi"/>
                <w:color w:val="auto"/>
                <w:sz w:val="24"/>
                <w:szCs w:val="24"/>
              </w:rPr>
              <w:t xml:space="preserve">Monge S, Rojas-Benedicto A, Olmedo C, </w:t>
            </w:r>
            <w:proofErr w:type="spellStart"/>
            <w:r w:rsidRPr="00247012">
              <w:rPr>
                <w:rFonts w:asciiTheme="majorBidi" w:hAnsiTheme="majorBidi" w:cstheme="majorBidi"/>
                <w:color w:val="auto"/>
                <w:sz w:val="24"/>
                <w:szCs w:val="24"/>
              </w:rPr>
              <w:t>Mazagatos</w:t>
            </w:r>
            <w:proofErr w:type="spellEnd"/>
            <w:r w:rsidRPr="00247012">
              <w:rPr>
                <w:rFonts w:asciiTheme="majorBidi" w:hAnsiTheme="majorBidi" w:cstheme="majorBidi"/>
                <w:color w:val="auto"/>
                <w:sz w:val="24"/>
                <w:szCs w:val="24"/>
              </w:rPr>
              <w:t xml:space="preserve"> C, Sierra MJ, Limia A, Martín-Merino E, Larrauri A, Hernán MA. Effectiveness of mRNA vaccine boosters against infection with the SARS-CoV-2 Omicron (B.1.1.529) variant in Spain: a nationwide cohort study. The Lancet Infectious Diseases. 2022;22(9):1313–1320. doi:10.1016/S1473-3099(22)00292-4.</w:t>
            </w:r>
          </w:p>
        </w:tc>
        <w:tc>
          <w:tcPr>
            <w:tcW w:w="5938" w:type="dxa"/>
          </w:tcPr>
          <w:p w14:paraId="10F035A8" w14:textId="7ADE6597" w:rsidR="009405C7" w:rsidRPr="00247012" w:rsidRDefault="009405C7" w:rsidP="009405C7">
            <w:pPr>
              <w:pStyle w:val="MDPI31text"/>
              <w:ind w:left="0" w:firstLine="0"/>
              <w:rPr>
                <w:rFonts w:asciiTheme="majorBidi" w:hAnsiTheme="majorBidi" w:cstheme="majorBidi"/>
                <w:color w:val="auto"/>
                <w:sz w:val="24"/>
                <w:szCs w:val="24"/>
              </w:rPr>
            </w:pPr>
            <w:r w:rsidRPr="00247012">
              <w:rPr>
                <w:rFonts w:asciiTheme="majorBidi" w:hAnsiTheme="majorBidi" w:cstheme="majorBidi"/>
                <w:color w:val="auto"/>
                <w:sz w:val="24"/>
                <w:szCs w:val="24"/>
              </w:rPr>
              <w:t>Outside the prespecified review scope. The study evaluates effectiveness of ancestral (monovalent) mRNA booster vaccines against SARS-CoV-2 infection only during early Omicron (BA.1–BA.2) predominance (January–February 2022), with short follow-up. It predates the variant-adapted/bivalent vaccine era and does not report effectiveness against severe clinical outcomes or later Omicron subvariants of interest (e.g., BA.5 late phase, XBB, JN.1, KP.3).</w:t>
            </w:r>
          </w:p>
        </w:tc>
      </w:tr>
      <w:tr w:rsidR="009405C7" w14:paraId="373CA3BB" w14:textId="77777777" w:rsidTr="00B20255">
        <w:tc>
          <w:tcPr>
            <w:tcW w:w="5403" w:type="dxa"/>
          </w:tcPr>
          <w:p w14:paraId="4502D3BA" w14:textId="0226D9C4" w:rsidR="009405C7" w:rsidRPr="00247012" w:rsidRDefault="00247012" w:rsidP="009405C7">
            <w:pPr>
              <w:pStyle w:val="MDPI31text"/>
              <w:ind w:left="0" w:firstLine="0"/>
              <w:rPr>
                <w:rFonts w:asciiTheme="majorBidi" w:hAnsiTheme="majorBidi" w:cstheme="majorBidi"/>
                <w:color w:val="auto"/>
                <w:sz w:val="24"/>
                <w:szCs w:val="24"/>
              </w:rPr>
            </w:pPr>
            <w:r w:rsidRPr="00247012">
              <w:rPr>
                <w:rFonts w:asciiTheme="majorBidi" w:hAnsiTheme="majorBidi" w:cstheme="majorBidi"/>
                <w:color w:val="auto"/>
                <w:sz w:val="24"/>
                <w:szCs w:val="24"/>
              </w:rPr>
              <w:t xml:space="preserve">Monge S, Rojas-Benedicto A, Olmedo C, Martín-Merino E, </w:t>
            </w:r>
            <w:proofErr w:type="spellStart"/>
            <w:r w:rsidRPr="00247012">
              <w:rPr>
                <w:rFonts w:asciiTheme="majorBidi" w:hAnsiTheme="majorBidi" w:cstheme="majorBidi"/>
                <w:color w:val="auto"/>
                <w:sz w:val="24"/>
                <w:szCs w:val="24"/>
              </w:rPr>
              <w:t>Mazagatos</w:t>
            </w:r>
            <w:proofErr w:type="spellEnd"/>
            <w:r w:rsidRPr="00247012">
              <w:rPr>
                <w:rFonts w:asciiTheme="majorBidi" w:hAnsiTheme="majorBidi" w:cstheme="majorBidi"/>
                <w:color w:val="auto"/>
                <w:sz w:val="24"/>
                <w:szCs w:val="24"/>
              </w:rPr>
              <w:t xml:space="preserve"> C, Limia A, Sierra MJ, Larrauri A, Hernán MA. Effectiveness of a second dose of an mRNA vaccine against SARS-CoV-2 Omicron infection in individuals previously infected by other variants. Clinical Infectious Diseases. 2023;76(3):e367–e374. doi:10.1093/</w:t>
            </w:r>
            <w:proofErr w:type="spellStart"/>
            <w:r w:rsidRPr="00247012">
              <w:rPr>
                <w:rFonts w:asciiTheme="majorBidi" w:hAnsiTheme="majorBidi" w:cstheme="majorBidi"/>
                <w:color w:val="auto"/>
                <w:sz w:val="24"/>
                <w:szCs w:val="24"/>
              </w:rPr>
              <w:t>cid</w:t>
            </w:r>
            <w:proofErr w:type="spellEnd"/>
            <w:r w:rsidRPr="00247012">
              <w:rPr>
                <w:rFonts w:asciiTheme="majorBidi" w:hAnsiTheme="majorBidi" w:cstheme="majorBidi"/>
                <w:color w:val="auto"/>
                <w:sz w:val="24"/>
                <w:szCs w:val="24"/>
              </w:rPr>
              <w:t>/ciac429.</w:t>
            </w:r>
          </w:p>
        </w:tc>
        <w:tc>
          <w:tcPr>
            <w:tcW w:w="5938" w:type="dxa"/>
          </w:tcPr>
          <w:p w14:paraId="18816642" w14:textId="50A7FF7C" w:rsidR="009405C7" w:rsidRPr="00247012" w:rsidRDefault="009405C7" w:rsidP="009405C7">
            <w:pPr>
              <w:pStyle w:val="MDPI31text"/>
              <w:ind w:left="0" w:firstLine="0"/>
              <w:rPr>
                <w:rFonts w:asciiTheme="majorBidi" w:hAnsiTheme="majorBidi" w:cstheme="majorBidi"/>
                <w:color w:val="auto"/>
                <w:sz w:val="24"/>
                <w:szCs w:val="24"/>
              </w:rPr>
            </w:pPr>
            <w:r w:rsidRPr="00247012">
              <w:rPr>
                <w:rFonts w:asciiTheme="majorBidi" w:hAnsiTheme="majorBidi" w:cstheme="majorBidi"/>
                <w:color w:val="auto"/>
                <w:sz w:val="24"/>
                <w:szCs w:val="24"/>
              </w:rPr>
              <w:t>Outside the prespecified review scope. The study evaluates the effectiveness of a second dose of ancestral (monovalent) mRNA vaccine against SARS-CoV-2 reinfection exclusively among previously infected individuals (hybrid immunity) during early Omicron predominance (BA.1–BA.2; January–February 2022). It does not assess severe clinical outcomes and does not provide effectiveness estimates for later Omicron subvariants prioritized in this review (e.g., BA.5 late phase, XBB, JN.1, KP.3).</w:t>
            </w:r>
          </w:p>
        </w:tc>
      </w:tr>
      <w:tr w:rsidR="009405C7" w14:paraId="4E5FE234" w14:textId="77777777" w:rsidTr="00B20255">
        <w:tc>
          <w:tcPr>
            <w:tcW w:w="5403" w:type="dxa"/>
          </w:tcPr>
          <w:p w14:paraId="2C6207CA" w14:textId="3DCC0C46" w:rsidR="009405C7" w:rsidRPr="001061D0" w:rsidRDefault="001061D0" w:rsidP="009405C7">
            <w:pPr>
              <w:pStyle w:val="MDPI31text"/>
              <w:ind w:left="0" w:firstLine="0"/>
              <w:rPr>
                <w:rFonts w:asciiTheme="majorBidi" w:hAnsiTheme="majorBidi" w:cstheme="majorBidi"/>
                <w:color w:val="auto"/>
                <w:sz w:val="24"/>
                <w:szCs w:val="24"/>
              </w:rPr>
            </w:pPr>
            <w:r w:rsidRPr="001061D0">
              <w:rPr>
                <w:rFonts w:asciiTheme="majorBidi" w:hAnsiTheme="majorBidi" w:cstheme="majorBidi"/>
                <w:color w:val="auto"/>
                <w:sz w:val="24"/>
                <w:szCs w:val="24"/>
                <w:lang w:val="en-GB"/>
              </w:rPr>
              <w:t xml:space="preserve">Murari TB, Fonseca LMS, Pereira HBB, Nascimento Filho AS, Saba H, Scorza FA, de Almeida ACG, Maciel ELN, Mendes JFF, Rocha Filho TM, David JR, </w:t>
            </w:r>
            <w:r w:rsidRPr="001061D0">
              <w:rPr>
                <w:rFonts w:asciiTheme="majorBidi" w:hAnsiTheme="majorBidi" w:cstheme="majorBidi"/>
                <w:color w:val="auto"/>
                <w:sz w:val="24"/>
                <w:szCs w:val="24"/>
                <w:lang w:val="en-GB"/>
              </w:rPr>
              <w:lastRenderedPageBreak/>
              <w:t xml:space="preserve">Badaró R, Machado BAS, Moret MA. </w:t>
            </w:r>
            <w:r w:rsidRPr="001061D0">
              <w:rPr>
                <w:rFonts w:asciiTheme="majorBidi" w:hAnsiTheme="majorBidi" w:cstheme="majorBidi"/>
                <w:color w:val="auto"/>
                <w:sz w:val="24"/>
                <w:szCs w:val="24"/>
                <w:lang w:val="en-AU"/>
              </w:rPr>
              <w:t xml:space="preserve">Retrospective cohort study of COVID-19 in patients of the Brazilian public health system with SARS-CoV-2 Omicron variant infection. </w:t>
            </w:r>
            <w:proofErr w:type="spellStart"/>
            <w:r w:rsidRPr="001061D0">
              <w:rPr>
                <w:rFonts w:asciiTheme="majorBidi" w:hAnsiTheme="majorBidi" w:cstheme="majorBidi"/>
                <w:color w:val="auto"/>
                <w:sz w:val="24"/>
                <w:szCs w:val="24"/>
                <w:lang w:val="nb-NO"/>
              </w:rPr>
              <w:t>Vaccines</w:t>
            </w:r>
            <w:proofErr w:type="spellEnd"/>
            <w:r w:rsidRPr="001061D0">
              <w:rPr>
                <w:rFonts w:asciiTheme="majorBidi" w:hAnsiTheme="majorBidi" w:cstheme="majorBidi"/>
                <w:color w:val="auto"/>
                <w:sz w:val="24"/>
                <w:szCs w:val="24"/>
                <w:lang w:val="nb-NO"/>
              </w:rPr>
              <w:t xml:space="preserve"> (Basel). 2022;10(9):1504. doi:10.3390/vaccines10091504.</w:t>
            </w:r>
          </w:p>
        </w:tc>
        <w:tc>
          <w:tcPr>
            <w:tcW w:w="5938" w:type="dxa"/>
          </w:tcPr>
          <w:p w14:paraId="47D19577" w14:textId="0147A43D" w:rsidR="009405C7" w:rsidRPr="001061D0" w:rsidRDefault="009405C7" w:rsidP="009405C7">
            <w:pPr>
              <w:pStyle w:val="MDPI31text"/>
              <w:ind w:left="0" w:firstLine="0"/>
              <w:rPr>
                <w:rFonts w:asciiTheme="majorBidi" w:hAnsiTheme="majorBidi" w:cstheme="majorBidi"/>
                <w:color w:val="auto"/>
                <w:sz w:val="24"/>
                <w:szCs w:val="24"/>
              </w:rPr>
            </w:pPr>
            <w:r w:rsidRPr="001061D0">
              <w:rPr>
                <w:rFonts w:asciiTheme="majorBidi" w:hAnsiTheme="majorBidi" w:cstheme="majorBidi"/>
                <w:color w:val="auto"/>
                <w:sz w:val="24"/>
                <w:szCs w:val="24"/>
              </w:rPr>
              <w:lastRenderedPageBreak/>
              <w:t xml:space="preserve">Outside the prespecified review scope. This retrospective analysis is restricted to patients already </w:t>
            </w:r>
            <w:r w:rsidR="000C0C3F" w:rsidRPr="001061D0">
              <w:rPr>
                <w:rFonts w:asciiTheme="majorBidi" w:hAnsiTheme="majorBidi" w:cstheme="majorBidi"/>
                <w:color w:val="auto"/>
                <w:sz w:val="24"/>
                <w:szCs w:val="24"/>
              </w:rPr>
              <w:t>hospitalized</w:t>
            </w:r>
            <w:r w:rsidRPr="001061D0">
              <w:rPr>
                <w:rFonts w:asciiTheme="majorBidi" w:hAnsiTheme="majorBidi" w:cstheme="majorBidi"/>
                <w:color w:val="auto"/>
                <w:sz w:val="24"/>
                <w:szCs w:val="24"/>
              </w:rPr>
              <w:t xml:space="preserve"> with COVID-19 in the Brazilian public health system and reports </w:t>
            </w:r>
            <w:r w:rsidRPr="001061D0">
              <w:rPr>
                <w:rFonts w:asciiTheme="majorBidi" w:hAnsiTheme="majorBidi" w:cstheme="majorBidi"/>
                <w:color w:val="auto"/>
                <w:sz w:val="24"/>
                <w:szCs w:val="24"/>
              </w:rPr>
              <w:lastRenderedPageBreak/>
              <w:t xml:space="preserve">descriptive comparisons of in-hospital mortality and recovery by vaccination status across Gamma, Delta, and Omicron periods. The study does not use a population-based cohort, case–control, or test-negative design to estimate vaccine effectiveness, and therefore does not provide extractable or comparable VE or </w:t>
            </w:r>
            <w:proofErr w:type="spellStart"/>
            <w:r w:rsidRPr="001061D0">
              <w:rPr>
                <w:rFonts w:asciiTheme="majorBidi" w:hAnsiTheme="majorBidi" w:cstheme="majorBidi"/>
                <w:color w:val="auto"/>
                <w:sz w:val="24"/>
                <w:szCs w:val="24"/>
              </w:rPr>
              <w:t>rVE</w:t>
            </w:r>
            <w:proofErr w:type="spellEnd"/>
            <w:r w:rsidRPr="001061D0">
              <w:rPr>
                <w:rFonts w:asciiTheme="majorBidi" w:hAnsiTheme="majorBidi" w:cstheme="majorBidi"/>
                <w:color w:val="auto"/>
                <w:sz w:val="24"/>
                <w:szCs w:val="24"/>
              </w:rPr>
              <w:t xml:space="preserve"> estimates against severe COVID-19 outcomes suitable for synthesis in this review.</w:t>
            </w:r>
          </w:p>
        </w:tc>
      </w:tr>
      <w:tr w:rsidR="009405C7" w14:paraId="2D942D06" w14:textId="77777777" w:rsidTr="00B20255">
        <w:tc>
          <w:tcPr>
            <w:tcW w:w="5403" w:type="dxa"/>
          </w:tcPr>
          <w:p w14:paraId="4F75B4EA" w14:textId="09B173FE" w:rsidR="009405C7" w:rsidRPr="0002017A" w:rsidRDefault="00A3587F" w:rsidP="009405C7">
            <w:pPr>
              <w:pStyle w:val="MDPI31text"/>
              <w:ind w:left="0" w:firstLine="0"/>
              <w:rPr>
                <w:rFonts w:asciiTheme="majorBidi" w:hAnsiTheme="majorBidi" w:cstheme="majorBidi"/>
                <w:color w:val="auto"/>
                <w:sz w:val="24"/>
                <w:szCs w:val="24"/>
              </w:rPr>
            </w:pPr>
            <w:r w:rsidRPr="0002017A">
              <w:rPr>
                <w:rFonts w:asciiTheme="majorBidi" w:hAnsiTheme="majorBidi" w:cstheme="majorBidi"/>
                <w:color w:val="auto"/>
                <w:sz w:val="24"/>
                <w:szCs w:val="24"/>
              </w:rPr>
              <w:lastRenderedPageBreak/>
              <w:t xml:space="preserve">Ng OT, Marimuthu K, Lim N, Lim ZQ, </w:t>
            </w:r>
            <w:proofErr w:type="spellStart"/>
            <w:r w:rsidRPr="0002017A">
              <w:rPr>
                <w:rFonts w:asciiTheme="majorBidi" w:hAnsiTheme="majorBidi" w:cstheme="majorBidi"/>
                <w:color w:val="auto"/>
                <w:sz w:val="24"/>
                <w:szCs w:val="24"/>
              </w:rPr>
              <w:t>Thevasagayam</w:t>
            </w:r>
            <w:proofErr w:type="spellEnd"/>
            <w:r w:rsidRPr="0002017A">
              <w:rPr>
                <w:rFonts w:asciiTheme="majorBidi" w:hAnsiTheme="majorBidi" w:cstheme="majorBidi"/>
                <w:color w:val="auto"/>
                <w:sz w:val="24"/>
                <w:szCs w:val="24"/>
              </w:rPr>
              <w:t xml:space="preserve"> NM, Koh V, Chiew CJ, Ma S, Koh M, Low PY, Tan SB, Ho J, Maurer-Stroh S, Lee VJM, Leo YS, Tan KB, Cook AR, Tan CC. Analysis of COVID-19 incidence and severity among adults vaccinated with 2-dose mRNA COVID-19 or inactivated SARS-CoV-2 vaccines with and without boosters in Singapore. JAMA </w:t>
            </w:r>
            <w:proofErr w:type="spellStart"/>
            <w:r w:rsidRPr="0002017A">
              <w:rPr>
                <w:rFonts w:asciiTheme="majorBidi" w:hAnsiTheme="majorBidi" w:cstheme="majorBidi"/>
                <w:color w:val="auto"/>
                <w:sz w:val="24"/>
                <w:szCs w:val="24"/>
              </w:rPr>
              <w:t>Netw</w:t>
            </w:r>
            <w:proofErr w:type="spellEnd"/>
            <w:r w:rsidRPr="0002017A">
              <w:rPr>
                <w:rFonts w:asciiTheme="majorBidi" w:hAnsiTheme="majorBidi" w:cstheme="majorBidi"/>
                <w:color w:val="auto"/>
                <w:sz w:val="24"/>
                <w:szCs w:val="24"/>
              </w:rPr>
              <w:t xml:space="preserve"> Open. 2022;5(8):e2228900. doi:10.1001/jamanetworkopen.2022.28900.</w:t>
            </w:r>
          </w:p>
        </w:tc>
        <w:tc>
          <w:tcPr>
            <w:tcW w:w="5938" w:type="dxa"/>
          </w:tcPr>
          <w:p w14:paraId="71AA4E8B" w14:textId="0F6A0B44" w:rsidR="009405C7" w:rsidRPr="0002017A" w:rsidRDefault="009405C7" w:rsidP="009405C7">
            <w:pPr>
              <w:pStyle w:val="MDPI31text"/>
              <w:ind w:left="0" w:firstLine="0"/>
              <w:rPr>
                <w:rFonts w:asciiTheme="majorBidi" w:hAnsiTheme="majorBidi" w:cstheme="majorBidi"/>
                <w:color w:val="auto"/>
                <w:sz w:val="24"/>
                <w:szCs w:val="24"/>
              </w:rPr>
            </w:pPr>
            <w:r w:rsidRPr="0002017A">
              <w:rPr>
                <w:rFonts w:asciiTheme="majorBidi" w:hAnsiTheme="majorBidi" w:cstheme="majorBidi"/>
                <w:color w:val="auto"/>
                <w:sz w:val="24"/>
                <w:szCs w:val="24"/>
              </w:rPr>
              <w:t>Outside the prespecified review scope. The study evaluates effectiveness of ancestral (monovalent) mRNA and inactivated COVID-19 vaccines and early booster strategies during early Omicron BA.1–BA.2 circulation (December 2021–March 2022). It predates the variant-adapted/bivalent vaccine era and does not provide effectiveness estimates for later Omicron subvariants of interest (e.g., BA.5 late phase, XBB, JN.1, KP.3).</w:t>
            </w:r>
          </w:p>
        </w:tc>
      </w:tr>
      <w:tr w:rsidR="009405C7" w14:paraId="53C1732A" w14:textId="77777777" w:rsidTr="00B20255">
        <w:tc>
          <w:tcPr>
            <w:tcW w:w="5403" w:type="dxa"/>
          </w:tcPr>
          <w:p w14:paraId="289002D7" w14:textId="75EF791D" w:rsidR="009405C7" w:rsidRPr="0002017A" w:rsidRDefault="0002017A" w:rsidP="009405C7">
            <w:pPr>
              <w:pStyle w:val="MDPI31text"/>
              <w:ind w:left="0" w:firstLine="0"/>
              <w:rPr>
                <w:rFonts w:asciiTheme="majorBidi" w:hAnsiTheme="majorBidi" w:cstheme="majorBidi"/>
                <w:color w:val="auto"/>
                <w:sz w:val="24"/>
                <w:szCs w:val="24"/>
              </w:rPr>
            </w:pPr>
            <w:r w:rsidRPr="0002017A">
              <w:rPr>
                <w:rFonts w:asciiTheme="majorBidi" w:hAnsiTheme="majorBidi" w:cstheme="majorBidi"/>
                <w:color w:val="auto"/>
                <w:sz w:val="24"/>
                <w:szCs w:val="24"/>
              </w:rPr>
              <w:t>Ng RWY, Sze RKH, Chong KC, Zhao S, Ling L, Lui G, Leung ASY, Yeung ACM, Ho WCS, Wong MCS, Chen Z, Boon SS, Hui DSC, Chan PKS. Effectiveness of mRNA and inactivated COVID-19 vaccines: A test-negative study in an infection-naïve Hong Kong population. J Infect. 2023;87(2):136–143. doi:10.1016/j.jinf.2023.05.020.</w:t>
            </w:r>
          </w:p>
        </w:tc>
        <w:tc>
          <w:tcPr>
            <w:tcW w:w="5938" w:type="dxa"/>
          </w:tcPr>
          <w:p w14:paraId="37C9CCC5" w14:textId="304DA940" w:rsidR="009405C7" w:rsidRPr="0002017A" w:rsidRDefault="009405C7" w:rsidP="009405C7">
            <w:pPr>
              <w:pStyle w:val="MDPI31text"/>
              <w:ind w:left="0" w:firstLine="0"/>
              <w:rPr>
                <w:rFonts w:asciiTheme="majorBidi" w:hAnsiTheme="majorBidi" w:cstheme="majorBidi"/>
                <w:color w:val="auto"/>
                <w:sz w:val="24"/>
                <w:szCs w:val="24"/>
              </w:rPr>
            </w:pPr>
            <w:r w:rsidRPr="0002017A">
              <w:rPr>
                <w:rFonts w:asciiTheme="majorBidi" w:hAnsiTheme="majorBidi" w:cstheme="majorBidi"/>
                <w:color w:val="auto"/>
                <w:sz w:val="24"/>
                <w:szCs w:val="24"/>
              </w:rPr>
              <w:t>Outside the prespecified review scope. The study evaluates effectiveness of ancestral (monovalent) COVID-19 vaccines during the Omicron BA.2 wave (January–May 2022). It predates the variant-adapted/bivalent vaccine era and does not report effectiveness estimates for later Omicron subvariants of interest (e.g., BA.5 late phase, XBB, JN.1, KP.3).</w:t>
            </w:r>
          </w:p>
        </w:tc>
      </w:tr>
      <w:tr w:rsidR="009405C7" w14:paraId="4D4B6E54" w14:textId="77777777" w:rsidTr="00B20255">
        <w:tc>
          <w:tcPr>
            <w:tcW w:w="5403" w:type="dxa"/>
          </w:tcPr>
          <w:p w14:paraId="3F6BE4AE" w14:textId="3072F2DE" w:rsidR="009405C7" w:rsidRPr="00EC5C45" w:rsidRDefault="0002017A"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lang w:val="en-GB"/>
              </w:rPr>
              <w:t xml:space="preserve">Nguyen VH, Boileau C, Bogdanov A, </w:t>
            </w:r>
            <w:proofErr w:type="spellStart"/>
            <w:r w:rsidRPr="00EC5C45">
              <w:rPr>
                <w:rFonts w:asciiTheme="majorBidi" w:hAnsiTheme="majorBidi" w:cstheme="majorBidi"/>
                <w:color w:val="auto"/>
                <w:sz w:val="24"/>
                <w:szCs w:val="24"/>
                <w:lang w:val="en-GB"/>
              </w:rPr>
              <w:t>Sredl</w:t>
            </w:r>
            <w:proofErr w:type="spellEnd"/>
            <w:r w:rsidRPr="00EC5C45">
              <w:rPr>
                <w:rFonts w:asciiTheme="majorBidi" w:hAnsiTheme="majorBidi" w:cstheme="majorBidi"/>
                <w:color w:val="auto"/>
                <w:sz w:val="24"/>
                <w:szCs w:val="24"/>
                <w:lang w:val="en-GB"/>
              </w:rPr>
              <w:t xml:space="preserve"> M, Bonafede M, Ducruet T, Chavers S, Rosen A, Martin D, Buck P, Esposito D, Van de Velde N, Mansi JA. </w:t>
            </w:r>
            <w:r w:rsidRPr="00EC5C45">
              <w:rPr>
                <w:rFonts w:asciiTheme="majorBidi" w:hAnsiTheme="majorBidi" w:cstheme="majorBidi"/>
                <w:color w:val="auto"/>
                <w:sz w:val="24"/>
                <w:szCs w:val="24"/>
                <w:lang w:val="en-AU"/>
              </w:rPr>
              <w:t xml:space="preserve">Relative effectiveness of BNT162b2, mRNA-1273, and Ad26.COV2.S vaccines and homologous boosting in preventing COVID-19 in adults in the US. </w:t>
            </w:r>
            <w:r w:rsidRPr="00EC5C45">
              <w:rPr>
                <w:rFonts w:asciiTheme="majorBidi" w:hAnsiTheme="majorBidi" w:cstheme="majorBidi"/>
                <w:color w:val="auto"/>
                <w:sz w:val="24"/>
                <w:szCs w:val="24"/>
                <w:lang w:val="nb-NO"/>
              </w:rPr>
              <w:t xml:space="preserve">Open Forum </w:t>
            </w:r>
            <w:proofErr w:type="spellStart"/>
            <w:r w:rsidRPr="00EC5C45">
              <w:rPr>
                <w:rFonts w:asciiTheme="majorBidi" w:hAnsiTheme="majorBidi" w:cstheme="majorBidi"/>
                <w:color w:val="auto"/>
                <w:sz w:val="24"/>
                <w:szCs w:val="24"/>
                <w:lang w:val="nb-NO"/>
              </w:rPr>
              <w:t>Infect</w:t>
            </w:r>
            <w:proofErr w:type="spellEnd"/>
            <w:r w:rsidRPr="00EC5C45">
              <w:rPr>
                <w:rFonts w:asciiTheme="majorBidi" w:hAnsiTheme="majorBidi" w:cstheme="majorBidi"/>
                <w:color w:val="auto"/>
                <w:sz w:val="24"/>
                <w:szCs w:val="24"/>
                <w:lang w:val="nb-NO"/>
              </w:rPr>
              <w:t xml:space="preserve"> Dis. 2023;10(7):ofad288. doi:10.1093/</w:t>
            </w:r>
            <w:proofErr w:type="spellStart"/>
            <w:r w:rsidRPr="00EC5C45">
              <w:rPr>
                <w:rFonts w:asciiTheme="majorBidi" w:hAnsiTheme="majorBidi" w:cstheme="majorBidi"/>
                <w:color w:val="auto"/>
                <w:sz w:val="24"/>
                <w:szCs w:val="24"/>
                <w:lang w:val="nb-NO"/>
              </w:rPr>
              <w:t>ofid</w:t>
            </w:r>
            <w:proofErr w:type="spellEnd"/>
            <w:r w:rsidRPr="00EC5C45">
              <w:rPr>
                <w:rFonts w:asciiTheme="majorBidi" w:hAnsiTheme="majorBidi" w:cstheme="majorBidi"/>
                <w:color w:val="auto"/>
                <w:sz w:val="24"/>
                <w:szCs w:val="24"/>
                <w:lang w:val="nb-NO"/>
              </w:rPr>
              <w:t>/ofad288.</w:t>
            </w:r>
          </w:p>
        </w:tc>
        <w:tc>
          <w:tcPr>
            <w:tcW w:w="5938" w:type="dxa"/>
          </w:tcPr>
          <w:p w14:paraId="2930B98F" w14:textId="33B22D27" w:rsidR="009405C7" w:rsidRPr="00EC5C45" w:rsidRDefault="009405C7"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t>Outside the prespecified review scope. This retrospective cohort study assessed head-to-head relative effectiveness of different COVID-19 vaccine products (mRNA-1273 vs BNT162b2 or Ad26.COV2.S) against any medically attended COVID-19, with hospitali</w:t>
            </w:r>
            <w:r w:rsidR="00F10ED1" w:rsidRPr="00EC5C45">
              <w:rPr>
                <w:rFonts w:asciiTheme="majorBidi" w:hAnsiTheme="majorBidi" w:cstheme="majorBidi"/>
                <w:color w:val="auto"/>
                <w:sz w:val="24"/>
                <w:szCs w:val="24"/>
              </w:rPr>
              <w:t>z</w:t>
            </w:r>
            <w:r w:rsidRPr="00EC5C45">
              <w:rPr>
                <w:rFonts w:asciiTheme="majorBidi" w:hAnsiTheme="majorBidi" w:cstheme="majorBidi"/>
                <w:color w:val="auto"/>
                <w:sz w:val="24"/>
                <w:szCs w:val="24"/>
              </w:rPr>
              <w:t>ation evaluated as a secondary outcome. The study does not estimate absolute vaccine effectiveness versus unvaccinated individuals or standardised relative VE using a consistent comparator, and its comparative product-focused design is not directly comparable with the vaccine effectiveness framework synthesised in this review.</w:t>
            </w:r>
          </w:p>
        </w:tc>
      </w:tr>
      <w:tr w:rsidR="009405C7" w14:paraId="281A046A" w14:textId="77777777" w:rsidTr="00B20255">
        <w:tc>
          <w:tcPr>
            <w:tcW w:w="5403" w:type="dxa"/>
          </w:tcPr>
          <w:p w14:paraId="61D45C03" w14:textId="43F04B33" w:rsidR="009405C7" w:rsidRPr="00EC5C45" w:rsidRDefault="003379F7"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lang w:val="en-GB"/>
              </w:rPr>
              <w:t xml:space="preserve">Nham E, Sohn JW, Choi WS, Wie S-H, Lee J, Lee J-S, Jeong HW, Eom JS, Choi YJ, Seong H, Yoon JG, Noh JY, Song JY, Cheong HJ, Kim WJ. </w:t>
            </w:r>
            <w:r w:rsidRPr="00EC5C45">
              <w:rPr>
                <w:rFonts w:asciiTheme="majorBidi" w:hAnsiTheme="majorBidi" w:cstheme="majorBidi"/>
                <w:color w:val="auto"/>
                <w:sz w:val="24"/>
                <w:szCs w:val="24"/>
                <w:lang w:val="en-AU"/>
              </w:rPr>
              <w:t xml:space="preserve">Effectiveness of COVID-19 XBB.1.5 monovalent mRNA vaccine in Korea: interim analysis. </w:t>
            </w:r>
            <w:r w:rsidRPr="00EC5C45">
              <w:rPr>
                <w:rFonts w:asciiTheme="majorBidi" w:hAnsiTheme="majorBidi" w:cstheme="majorBidi"/>
                <w:color w:val="auto"/>
                <w:sz w:val="24"/>
                <w:szCs w:val="24"/>
                <w:lang w:val="nb-NO"/>
              </w:rPr>
              <w:t xml:space="preserve">Front </w:t>
            </w:r>
            <w:proofErr w:type="spellStart"/>
            <w:r w:rsidRPr="00EC5C45">
              <w:rPr>
                <w:rFonts w:asciiTheme="majorBidi" w:hAnsiTheme="majorBidi" w:cstheme="majorBidi"/>
                <w:color w:val="auto"/>
                <w:sz w:val="24"/>
                <w:szCs w:val="24"/>
                <w:lang w:val="nb-NO"/>
              </w:rPr>
              <w:t>Immunol</w:t>
            </w:r>
            <w:proofErr w:type="spellEnd"/>
            <w:r w:rsidRPr="00EC5C45">
              <w:rPr>
                <w:rFonts w:asciiTheme="majorBidi" w:hAnsiTheme="majorBidi" w:cstheme="majorBidi"/>
                <w:color w:val="auto"/>
                <w:sz w:val="24"/>
                <w:szCs w:val="24"/>
                <w:lang w:val="nb-NO"/>
              </w:rPr>
              <w:t>. 2024;15:1382944. doi:10.3389/fimmu.2024.1382944.</w:t>
            </w:r>
          </w:p>
        </w:tc>
        <w:tc>
          <w:tcPr>
            <w:tcW w:w="5938" w:type="dxa"/>
          </w:tcPr>
          <w:p w14:paraId="2ADAD494" w14:textId="5485E40C" w:rsidR="009405C7" w:rsidRPr="00EC5C45" w:rsidRDefault="009405C7"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t xml:space="preserve">Outside the prespecified review scope. This </w:t>
            </w:r>
            <w:r w:rsidR="000244C3" w:rsidRPr="00EC5C45">
              <w:rPr>
                <w:rFonts w:asciiTheme="majorBidi" w:hAnsiTheme="majorBidi" w:cstheme="majorBidi"/>
                <w:color w:val="auto"/>
                <w:sz w:val="24"/>
                <w:szCs w:val="24"/>
              </w:rPr>
              <w:t>multicenter</w:t>
            </w:r>
            <w:r w:rsidRPr="00EC5C45">
              <w:rPr>
                <w:rFonts w:asciiTheme="majorBidi" w:hAnsiTheme="majorBidi" w:cstheme="majorBidi"/>
                <w:color w:val="auto"/>
                <w:sz w:val="24"/>
                <w:szCs w:val="24"/>
              </w:rPr>
              <w:t xml:space="preserve"> test-negative case–control study evaluated the effectiveness of the XBB.1.5 monovalent mRNA vaccine against laboratory-confirmed SARS-CoV-2 infection during a short early post-vaccination period. The study did not estimate vaccine effectiveness against hospitali</w:t>
            </w:r>
            <w:r w:rsidR="00F10ED1" w:rsidRPr="00EC5C45">
              <w:rPr>
                <w:rFonts w:asciiTheme="majorBidi" w:hAnsiTheme="majorBidi" w:cstheme="majorBidi"/>
                <w:color w:val="auto"/>
                <w:sz w:val="24"/>
                <w:szCs w:val="24"/>
              </w:rPr>
              <w:t>z</w:t>
            </w:r>
            <w:r w:rsidRPr="00EC5C45">
              <w:rPr>
                <w:rFonts w:asciiTheme="majorBidi" w:hAnsiTheme="majorBidi" w:cstheme="majorBidi"/>
                <w:color w:val="auto"/>
                <w:sz w:val="24"/>
                <w:szCs w:val="24"/>
              </w:rPr>
              <w:t>ation, severe or critical disease, ICU admission, or mortality, and therefore provides no extractable effectiveness estimates for severe COVID-19 outcomes relevant to this review.</w:t>
            </w:r>
          </w:p>
        </w:tc>
      </w:tr>
      <w:tr w:rsidR="009405C7" w14:paraId="0FE37A2A" w14:textId="77777777" w:rsidTr="00B20255">
        <w:tc>
          <w:tcPr>
            <w:tcW w:w="5403" w:type="dxa"/>
          </w:tcPr>
          <w:p w14:paraId="09281766" w14:textId="59BB2C9E" w:rsidR="009405C7" w:rsidRPr="00EC5C45" w:rsidRDefault="003379F7" w:rsidP="009405C7">
            <w:pPr>
              <w:pStyle w:val="MDPI31text"/>
              <w:ind w:left="0" w:firstLine="0"/>
              <w:rPr>
                <w:rFonts w:asciiTheme="majorBidi" w:hAnsiTheme="majorBidi" w:cstheme="majorBidi"/>
                <w:color w:val="auto"/>
                <w:sz w:val="24"/>
                <w:szCs w:val="24"/>
              </w:rPr>
            </w:pPr>
            <w:proofErr w:type="spellStart"/>
            <w:r w:rsidRPr="00EC5C45">
              <w:rPr>
                <w:rFonts w:asciiTheme="majorBidi" w:hAnsiTheme="majorBidi" w:cstheme="majorBidi"/>
                <w:color w:val="auto"/>
                <w:sz w:val="24"/>
                <w:szCs w:val="24"/>
              </w:rPr>
              <w:t>Nyaku</w:t>
            </w:r>
            <w:proofErr w:type="spellEnd"/>
            <w:r w:rsidRPr="00EC5C45">
              <w:rPr>
                <w:rFonts w:asciiTheme="majorBidi" w:hAnsiTheme="majorBidi" w:cstheme="majorBidi"/>
                <w:color w:val="auto"/>
                <w:sz w:val="24"/>
                <w:szCs w:val="24"/>
              </w:rPr>
              <w:t xml:space="preserve"> M, Yoon LS, Ricci D, Rubens L, Sheridan P, Iyer M, Zhen T, Harvey RA, Madsen A. Effectiveness of heterologous and homologous Ad26.COV2.S vaccine boosting in preventing COVID-19-related </w:t>
            </w:r>
            <w:r w:rsidRPr="00EC5C45">
              <w:rPr>
                <w:rFonts w:asciiTheme="majorBidi" w:hAnsiTheme="majorBidi" w:cstheme="majorBidi"/>
                <w:color w:val="auto"/>
                <w:sz w:val="24"/>
                <w:szCs w:val="24"/>
              </w:rPr>
              <w:lastRenderedPageBreak/>
              <w:t>outcomes among individuals with a completed primary vaccination series in the United States. Vaccines (Basel). 2025;13(2):166. doi:10.3390/vaccines13020166.</w:t>
            </w:r>
          </w:p>
        </w:tc>
        <w:tc>
          <w:tcPr>
            <w:tcW w:w="5938" w:type="dxa"/>
          </w:tcPr>
          <w:p w14:paraId="62166311" w14:textId="2D424953" w:rsidR="009405C7" w:rsidRPr="00EC5C45" w:rsidRDefault="009405C7"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lastRenderedPageBreak/>
              <w:t xml:space="preserve">Outside the prespecified review scope. This study evaluates ancestral (non–variant-adapted) Ad26.COV2.S booster vaccination and does not assess updated/variant-adapted vaccines or provide effectiveness estimates relevant to later </w:t>
            </w:r>
            <w:r w:rsidRPr="00EC5C45">
              <w:rPr>
                <w:rFonts w:asciiTheme="majorBidi" w:hAnsiTheme="majorBidi" w:cstheme="majorBidi"/>
                <w:color w:val="auto"/>
                <w:sz w:val="24"/>
                <w:szCs w:val="24"/>
              </w:rPr>
              <w:lastRenderedPageBreak/>
              <w:t>Omicron subvariants (BA.5, XBB, JN.1, KP.3) that are the focus of this review.</w:t>
            </w:r>
          </w:p>
        </w:tc>
      </w:tr>
      <w:tr w:rsidR="009405C7" w14:paraId="238B0B8E" w14:textId="77777777" w:rsidTr="00B20255">
        <w:tc>
          <w:tcPr>
            <w:tcW w:w="5403" w:type="dxa"/>
          </w:tcPr>
          <w:p w14:paraId="24D261D2" w14:textId="5798EF52" w:rsidR="009405C7" w:rsidRPr="00EC5C45" w:rsidRDefault="003379F7"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lang w:val="en-AU"/>
              </w:rPr>
              <w:lastRenderedPageBreak/>
              <w:t xml:space="preserve">Nyberg T, Ferguson NM, Nash SG, Webster HH, Flaxman S, Andrews N, Hinsley W, Lopez Bernal J, Kall M, Bhatt S, Blomquist P, Zaidi A, Volz E, Abdul Aziz N, Harman K, Funk S, Abbott S, Hope R, Charlett A, Chand M, Ghani AC, Seaman SR, </w:t>
            </w:r>
            <w:proofErr w:type="spellStart"/>
            <w:r w:rsidRPr="00EC5C45">
              <w:rPr>
                <w:rFonts w:asciiTheme="majorBidi" w:hAnsiTheme="majorBidi" w:cstheme="majorBidi"/>
                <w:color w:val="auto"/>
                <w:sz w:val="24"/>
                <w:szCs w:val="24"/>
                <w:lang w:val="en-AU"/>
              </w:rPr>
              <w:t>Dabrera</w:t>
            </w:r>
            <w:proofErr w:type="spellEnd"/>
            <w:r w:rsidRPr="00EC5C45">
              <w:rPr>
                <w:rFonts w:asciiTheme="majorBidi" w:hAnsiTheme="majorBidi" w:cstheme="majorBidi"/>
                <w:color w:val="auto"/>
                <w:sz w:val="24"/>
                <w:szCs w:val="24"/>
                <w:lang w:val="en-AU"/>
              </w:rPr>
              <w:t xml:space="preserve"> G, De Angelis D, </w:t>
            </w:r>
            <w:proofErr w:type="spellStart"/>
            <w:r w:rsidRPr="00EC5C45">
              <w:rPr>
                <w:rFonts w:asciiTheme="majorBidi" w:hAnsiTheme="majorBidi" w:cstheme="majorBidi"/>
                <w:color w:val="auto"/>
                <w:sz w:val="24"/>
                <w:szCs w:val="24"/>
                <w:lang w:val="en-AU"/>
              </w:rPr>
              <w:t>Presanis</w:t>
            </w:r>
            <w:proofErr w:type="spellEnd"/>
            <w:r w:rsidRPr="00EC5C45">
              <w:rPr>
                <w:rFonts w:asciiTheme="majorBidi" w:hAnsiTheme="majorBidi" w:cstheme="majorBidi"/>
                <w:color w:val="auto"/>
                <w:sz w:val="24"/>
                <w:szCs w:val="24"/>
                <w:lang w:val="en-AU"/>
              </w:rPr>
              <w:t xml:space="preserve"> AM, Thelwall S. Comparative analysis of the risks of hospitalisation and death associated with SARS-CoV-2 omicron (B.1.1.529) and delta (B.1.617.2) variants in England: a cohort study. </w:t>
            </w:r>
            <w:proofErr w:type="spellStart"/>
            <w:r w:rsidRPr="00EC5C45">
              <w:rPr>
                <w:rFonts w:asciiTheme="majorBidi" w:hAnsiTheme="majorBidi" w:cstheme="majorBidi"/>
                <w:color w:val="auto"/>
                <w:sz w:val="24"/>
                <w:szCs w:val="24"/>
                <w:lang w:val="nb-NO"/>
              </w:rPr>
              <w:t>Lancet</w:t>
            </w:r>
            <w:proofErr w:type="spellEnd"/>
            <w:r w:rsidRPr="00EC5C45">
              <w:rPr>
                <w:rFonts w:asciiTheme="majorBidi" w:hAnsiTheme="majorBidi" w:cstheme="majorBidi"/>
                <w:color w:val="auto"/>
                <w:sz w:val="24"/>
                <w:szCs w:val="24"/>
                <w:lang w:val="nb-NO"/>
              </w:rPr>
              <w:t>. 2022;399(10332):1303–1312. doi:10.1016/S0140-6736(22)00462-7.</w:t>
            </w:r>
          </w:p>
        </w:tc>
        <w:tc>
          <w:tcPr>
            <w:tcW w:w="5938" w:type="dxa"/>
          </w:tcPr>
          <w:p w14:paraId="35FF707C" w14:textId="2EB03192" w:rsidR="009405C7" w:rsidRPr="00EC5C45" w:rsidRDefault="009405C7"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t>Outside the prespecified review scope. This national cohort study primarily assessed the comparative severity of Omicron versus Delta infections, reporting hazard ratios for hospitali</w:t>
            </w:r>
            <w:r w:rsidR="00F10ED1" w:rsidRPr="00EC5C45">
              <w:rPr>
                <w:rFonts w:asciiTheme="majorBidi" w:hAnsiTheme="majorBidi" w:cstheme="majorBidi"/>
                <w:color w:val="auto"/>
                <w:sz w:val="24"/>
                <w:szCs w:val="24"/>
              </w:rPr>
              <w:t>z</w:t>
            </w:r>
            <w:r w:rsidRPr="00EC5C45">
              <w:rPr>
                <w:rFonts w:asciiTheme="majorBidi" w:hAnsiTheme="majorBidi" w:cstheme="majorBidi"/>
                <w:color w:val="auto"/>
                <w:sz w:val="24"/>
                <w:szCs w:val="24"/>
              </w:rPr>
              <w:t xml:space="preserve">ation and death by variant. Vaccine-related analyses were included to adjust and decompose variant-specific severity and are conditional on confirmed infection, rather than providing primary population-based estimates of vaccine effectiveness (VE or </w:t>
            </w:r>
            <w:proofErr w:type="spellStart"/>
            <w:r w:rsidRPr="00EC5C45">
              <w:rPr>
                <w:rFonts w:asciiTheme="majorBidi" w:hAnsiTheme="majorBidi" w:cstheme="majorBidi"/>
                <w:color w:val="auto"/>
                <w:sz w:val="24"/>
                <w:szCs w:val="24"/>
              </w:rPr>
              <w:t>rVE</w:t>
            </w:r>
            <w:proofErr w:type="spellEnd"/>
            <w:r w:rsidRPr="00EC5C45">
              <w:rPr>
                <w:rFonts w:asciiTheme="majorBidi" w:hAnsiTheme="majorBidi" w:cstheme="majorBidi"/>
                <w:color w:val="auto"/>
                <w:sz w:val="24"/>
                <w:szCs w:val="24"/>
              </w:rPr>
              <w:t>) against severe COVID-19 outcomes. As such, the study’s effect measures are not directly comparable with the vaccine effectiveness framework synthesised in this review.</w:t>
            </w:r>
          </w:p>
        </w:tc>
      </w:tr>
      <w:tr w:rsidR="009405C7" w14:paraId="7E3659B7" w14:textId="77777777" w:rsidTr="00B20255">
        <w:tc>
          <w:tcPr>
            <w:tcW w:w="5403" w:type="dxa"/>
          </w:tcPr>
          <w:p w14:paraId="28471D81" w14:textId="52B74B65" w:rsidR="009405C7" w:rsidRPr="00EC5C45" w:rsidRDefault="00EC5C45"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t xml:space="preserve">Obradović A, Raičević M, </w:t>
            </w:r>
            <w:proofErr w:type="spellStart"/>
            <w:r w:rsidRPr="00EC5C45">
              <w:rPr>
                <w:rFonts w:asciiTheme="majorBidi" w:hAnsiTheme="majorBidi" w:cstheme="majorBidi"/>
                <w:color w:val="auto"/>
                <w:sz w:val="24"/>
                <w:szCs w:val="24"/>
              </w:rPr>
              <w:t>Joksimović</w:t>
            </w:r>
            <w:proofErr w:type="spellEnd"/>
            <w:r w:rsidRPr="00EC5C45">
              <w:rPr>
                <w:rFonts w:asciiTheme="majorBidi" w:hAnsiTheme="majorBidi" w:cstheme="majorBidi"/>
                <w:color w:val="auto"/>
                <w:sz w:val="24"/>
                <w:szCs w:val="24"/>
              </w:rPr>
              <w:t xml:space="preserve"> M. The impact of limited vaccine access on COVID-19 mortality—descriptive study of COVID-19 vaccination and mortality due to COVID-19 in Montenegro, July 2020–February 2022. Vaccines (Basel). 2025;13(3):278. doi:10.3390/vaccines13030278.</w:t>
            </w:r>
          </w:p>
        </w:tc>
        <w:tc>
          <w:tcPr>
            <w:tcW w:w="5938" w:type="dxa"/>
          </w:tcPr>
          <w:p w14:paraId="4B43AC50" w14:textId="77777777" w:rsidR="009405C7" w:rsidRPr="00EC5C45" w:rsidRDefault="009405C7"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t>Outside the prespecified review scope. This study is a descriptive, population-level analysis using aggregated mortality and vaccination registry data to compare crude COVID-19 death rates among vaccinated and unvaccinated individuals. It does not use an individual-level cohort, case–control, or test-negative design to estimate vaccine effectiveness, lacks appropriate adjustment for key confounders (e.g., age, comorbidities, time since vaccination), and therefore does not provide extractable or comparable vaccine effectiveness estimates suitable for synthesis in this review.</w:t>
            </w:r>
          </w:p>
        </w:tc>
      </w:tr>
      <w:tr w:rsidR="009405C7" w14:paraId="1289B470" w14:textId="77777777" w:rsidTr="00B20255">
        <w:tc>
          <w:tcPr>
            <w:tcW w:w="5403" w:type="dxa"/>
          </w:tcPr>
          <w:p w14:paraId="061CCDD3" w14:textId="79EBD4E0" w:rsidR="009405C7" w:rsidRPr="00EC5C45" w:rsidRDefault="00EC5C45"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lang w:val="en-AU"/>
              </w:rPr>
              <w:t xml:space="preserve">Ogata T, Hattori S, Kawachi K, </w:t>
            </w:r>
            <w:proofErr w:type="spellStart"/>
            <w:r w:rsidRPr="00EC5C45">
              <w:rPr>
                <w:rFonts w:asciiTheme="majorBidi" w:hAnsiTheme="majorBidi" w:cstheme="majorBidi"/>
                <w:color w:val="auto"/>
                <w:sz w:val="24"/>
                <w:szCs w:val="24"/>
                <w:lang w:val="en-AU"/>
              </w:rPr>
              <w:t>Ishikane</w:t>
            </w:r>
            <w:proofErr w:type="spellEnd"/>
            <w:r w:rsidRPr="00EC5C45">
              <w:rPr>
                <w:rFonts w:asciiTheme="majorBidi" w:hAnsiTheme="majorBidi" w:cstheme="majorBidi"/>
                <w:color w:val="auto"/>
                <w:sz w:val="24"/>
                <w:szCs w:val="24"/>
                <w:lang w:val="en-AU"/>
              </w:rPr>
              <w:t xml:space="preserve"> M, Tanaka H. Durability of effectiveness of a booster dose of COVID-19 bivalent (ancestral/BA.4-5) vaccine against all-cause mortality in older adults in Japan, October 2022 to September 2023. </w:t>
            </w:r>
            <w:proofErr w:type="spellStart"/>
            <w:r w:rsidRPr="00EC5C45">
              <w:rPr>
                <w:rFonts w:asciiTheme="majorBidi" w:hAnsiTheme="majorBidi" w:cstheme="majorBidi"/>
                <w:color w:val="auto"/>
                <w:sz w:val="24"/>
                <w:szCs w:val="24"/>
                <w:lang w:val="nb-NO"/>
              </w:rPr>
              <w:t>Vaccine</w:t>
            </w:r>
            <w:proofErr w:type="spellEnd"/>
            <w:r w:rsidRPr="00EC5C45">
              <w:rPr>
                <w:rFonts w:asciiTheme="majorBidi" w:hAnsiTheme="majorBidi" w:cstheme="majorBidi"/>
                <w:color w:val="auto"/>
                <w:sz w:val="24"/>
                <w:szCs w:val="24"/>
                <w:lang w:val="nb-NO"/>
              </w:rPr>
              <w:t>. 2025;65:127796. doi:10.1016/j.vaccine.2025.127796.</w:t>
            </w:r>
          </w:p>
        </w:tc>
        <w:tc>
          <w:tcPr>
            <w:tcW w:w="5938" w:type="dxa"/>
          </w:tcPr>
          <w:p w14:paraId="1A10D35F" w14:textId="665720F1" w:rsidR="009405C7" w:rsidRPr="00EC5C45" w:rsidRDefault="005F361B"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t>Outside the prespecified review scope. This population-based cohort study evaluates a bivalent ancestral/BA.4/BA.5 mRNA booster vaccine against all-cause mortality during a pre-XBB vaccine formulation period (October 2022–September 2023). The study does not assess monovalent XBB.1.5-adapted vaccines or COVID-19–specific severe outcomes during XBB, JN.1, or KP lineage-predominant periods, and therefore is not directly comparable with the vaccine formulations, outcomes, and variant periods synthesised in this review.</w:t>
            </w:r>
          </w:p>
        </w:tc>
      </w:tr>
      <w:tr w:rsidR="009405C7" w14:paraId="0F80F63B" w14:textId="77777777" w:rsidTr="00B20255">
        <w:tc>
          <w:tcPr>
            <w:tcW w:w="5403" w:type="dxa"/>
          </w:tcPr>
          <w:p w14:paraId="47DBE6C2" w14:textId="4B2FB01B" w:rsidR="009405C7" w:rsidRPr="00EC5C45" w:rsidRDefault="00EC5C45"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t xml:space="preserve">Oh G-H, Park JM, Kofie P, Lee M-S. Emergence of the Delta and Omicron variants of COVID-19 clusters in a long-term care hospital, Seoul, Korea: focusing on outbreak epidemiology, incidence, fatality, and vaccination. Infect </w:t>
            </w:r>
            <w:proofErr w:type="spellStart"/>
            <w:r w:rsidRPr="00EC5C45">
              <w:rPr>
                <w:rFonts w:asciiTheme="majorBidi" w:hAnsiTheme="majorBidi" w:cstheme="majorBidi"/>
                <w:color w:val="auto"/>
                <w:sz w:val="24"/>
                <w:szCs w:val="24"/>
              </w:rPr>
              <w:t>Chemother</w:t>
            </w:r>
            <w:proofErr w:type="spellEnd"/>
            <w:r w:rsidRPr="00EC5C45">
              <w:rPr>
                <w:rFonts w:asciiTheme="majorBidi" w:hAnsiTheme="majorBidi" w:cstheme="majorBidi"/>
                <w:color w:val="auto"/>
                <w:sz w:val="24"/>
                <w:szCs w:val="24"/>
              </w:rPr>
              <w:t>. 2025;57(1):148–160. doi:10.3947/ic.2024.0128.</w:t>
            </w:r>
          </w:p>
        </w:tc>
        <w:tc>
          <w:tcPr>
            <w:tcW w:w="5938" w:type="dxa"/>
          </w:tcPr>
          <w:p w14:paraId="5A30718C" w14:textId="77777777" w:rsidR="009405C7" w:rsidRPr="00EC5C45" w:rsidRDefault="009405C7"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t>Outside the prespecified review scope. This study is a cluster outbreak investigation conducted in two long-term care hospitals and focuses on incidence, attack rates, and fatality rates of Delta and Omicron variants among confirmed cases. Vaccination effects are examined descriptively within outbreak settings, without a population-based comparator or individual-level cohort/test-negative design to estimate vaccine effectiveness against infection, hospitalization, or death. Consequently, the findings are not directly comparable with the population-based vaccine effectiveness estimates synthesised in this review.</w:t>
            </w:r>
          </w:p>
        </w:tc>
      </w:tr>
      <w:tr w:rsidR="009405C7" w14:paraId="463C53A7" w14:textId="77777777" w:rsidTr="00B20255">
        <w:tc>
          <w:tcPr>
            <w:tcW w:w="5403" w:type="dxa"/>
          </w:tcPr>
          <w:p w14:paraId="6172FE43" w14:textId="29CA77BE" w:rsidR="009405C7" w:rsidRPr="00EC5C45" w:rsidRDefault="00EC5C45"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lang w:val="en-AU"/>
              </w:rPr>
              <w:t xml:space="preserve">Okoli GN, Murphy C, Mak L, Cheng SMS, Peiris M, Cowling BJ. Estimates of SARS-CoV-2 vaccine </w:t>
            </w:r>
            <w:r w:rsidRPr="00EC5C45">
              <w:rPr>
                <w:rFonts w:asciiTheme="majorBidi" w:hAnsiTheme="majorBidi" w:cstheme="majorBidi"/>
                <w:color w:val="auto"/>
                <w:sz w:val="24"/>
                <w:szCs w:val="24"/>
                <w:lang w:val="en-AU"/>
              </w:rPr>
              <w:lastRenderedPageBreak/>
              <w:t xml:space="preserve">effectiveness against outpatient medically attended SARS-CoV-2 infection from April 2023 through August 2024 in Hong Kong: a test-negative design study. </w:t>
            </w:r>
            <w:proofErr w:type="spellStart"/>
            <w:r w:rsidRPr="00EC5C45">
              <w:rPr>
                <w:rFonts w:asciiTheme="majorBidi" w:hAnsiTheme="majorBidi" w:cstheme="majorBidi"/>
                <w:color w:val="auto"/>
                <w:sz w:val="24"/>
                <w:szCs w:val="24"/>
                <w:lang w:val="nb-NO"/>
              </w:rPr>
              <w:t>Vaccine</w:t>
            </w:r>
            <w:proofErr w:type="spellEnd"/>
            <w:r w:rsidRPr="00EC5C45">
              <w:rPr>
                <w:rFonts w:asciiTheme="majorBidi" w:hAnsiTheme="majorBidi" w:cstheme="majorBidi"/>
                <w:color w:val="auto"/>
                <w:sz w:val="24"/>
                <w:szCs w:val="24"/>
                <w:lang w:val="nb-NO"/>
              </w:rPr>
              <w:t>. 2025;63:127687. doi:10.1016/j.vaccine.2025.127687.</w:t>
            </w:r>
          </w:p>
        </w:tc>
        <w:tc>
          <w:tcPr>
            <w:tcW w:w="5938" w:type="dxa"/>
          </w:tcPr>
          <w:p w14:paraId="13913F76" w14:textId="690B5E7F" w:rsidR="009405C7" w:rsidRPr="00EC5C45" w:rsidRDefault="009405C7"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lastRenderedPageBreak/>
              <w:t xml:space="preserve">Outside the prespecified review scope. This test-negative design study estimates vaccine effectiveness against </w:t>
            </w:r>
            <w:r w:rsidRPr="00EC5C45">
              <w:rPr>
                <w:rFonts w:asciiTheme="majorBidi" w:hAnsiTheme="majorBidi" w:cstheme="majorBidi"/>
                <w:color w:val="auto"/>
                <w:sz w:val="24"/>
                <w:szCs w:val="24"/>
              </w:rPr>
              <w:lastRenderedPageBreak/>
              <w:t>outpatient, medically attended SARS-CoV-2 infection among individuals aged 5–64 years, without evaluating severe clinical outcomes (hospitali</w:t>
            </w:r>
            <w:r w:rsidR="00F10ED1" w:rsidRPr="00EC5C45">
              <w:rPr>
                <w:rFonts w:asciiTheme="majorBidi" w:hAnsiTheme="majorBidi" w:cstheme="majorBidi"/>
                <w:color w:val="auto"/>
                <w:sz w:val="24"/>
                <w:szCs w:val="24"/>
              </w:rPr>
              <w:t>z</w:t>
            </w:r>
            <w:r w:rsidRPr="00EC5C45">
              <w:rPr>
                <w:rFonts w:asciiTheme="majorBidi" w:hAnsiTheme="majorBidi" w:cstheme="majorBidi"/>
                <w:color w:val="auto"/>
                <w:sz w:val="24"/>
                <w:szCs w:val="24"/>
              </w:rPr>
              <w:t>ation, ICU admission, or death). The infection-focused outcome and lack of severe-outcome effectiveness estimates fall outside the severe-outcome Omicron-focused framework of this review.</w:t>
            </w:r>
          </w:p>
        </w:tc>
      </w:tr>
      <w:tr w:rsidR="009405C7" w14:paraId="08FF2D0D" w14:textId="77777777" w:rsidTr="00B20255">
        <w:tc>
          <w:tcPr>
            <w:tcW w:w="5403" w:type="dxa"/>
          </w:tcPr>
          <w:p w14:paraId="136219F1" w14:textId="119A792E" w:rsidR="009405C7" w:rsidRPr="00EC5C45" w:rsidRDefault="00EC5C45"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lastRenderedPageBreak/>
              <w:t xml:space="preserve">Oliveira EA, Oliveira MCL, Colosimo EA, Simões e Silva AC, Mak RH, Vasconcelos MA, Silva LR, Martelli DB, </w:t>
            </w:r>
            <w:proofErr w:type="spellStart"/>
            <w:r w:rsidRPr="00EC5C45">
              <w:rPr>
                <w:rFonts w:asciiTheme="majorBidi" w:hAnsiTheme="majorBidi" w:cstheme="majorBidi"/>
                <w:color w:val="auto"/>
                <w:sz w:val="24"/>
                <w:szCs w:val="24"/>
              </w:rPr>
              <w:t>Pinhati</w:t>
            </w:r>
            <w:proofErr w:type="spellEnd"/>
            <w:r w:rsidRPr="00EC5C45">
              <w:rPr>
                <w:rFonts w:asciiTheme="majorBidi" w:hAnsiTheme="majorBidi" w:cstheme="majorBidi"/>
                <w:color w:val="auto"/>
                <w:sz w:val="24"/>
                <w:szCs w:val="24"/>
              </w:rPr>
              <w:t xml:space="preserve"> CC, Martelli-Junior H. Vaccine effectiveness against SARS-CoV-2 variants in adolescents from 15 to 90 days after second dose: a population-based test-negative case-control study. J Pediatr. 2023;253:189–196. doi:10.1016/j.jpeds.2022.09.039.</w:t>
            </w:r>
          </w:p>
        </w:tc>
        <w:tc>
          <w:tcPr>
            <w:tcW w:w="5938" w:type="dxa"/>
          </w:tcPr>
          <w:p w14:paraId="3589F816" w14:textId="40089F98" w:rsidR="009405C7" w:rsidRPr="00EC5C45" w:rsidRDefault="009405C7"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t>Outside the prespecified review scope. This population-based test-negative study is restricted to adolescents aged 12–19 years and evaluates two-dose primary-series COVID-19 vaccination during early Omicron circulation (BA.1-dominant period, 2021–2022). The study predates the introduction of updated or variant-adapted vaccines and does not report vaccine effectiveness estimates for later Omicron subvariants of interest (BA.2, BA.5, XBB, JN.1, or KP.3). Consequently, its population, vaccine formulation, and variant coverage are not directly comparable with the updated-vaccine, late-Omicron effectiveness framework applied in this review.</w:t>
            </w:r>
          </w:p>
        </w:tc>
      </w:tr>
      <w:tr w:rsidR="009405C7" w14:paraId="7B40AB56" w14:textId="77777777" w:rsidTr="00B20255">
        <w:tc>
          <w:tcPr>
            <w:tcW w:w="5403" w:type="dxa"/>
          </w:tcPr>
          <w:p w14:paraId="40700305" w14:textId="4630EA0E" w:rsidR="009405C7" w:rsidRPr="00EC5C45" w:rsidRDefault="00EC5C45"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lang w:val="en-AU"/>
              </w:rPr>
              <w:t xml:space="preserve">Park SK, Choe YJ, Jang EJ, Kim RK, Lim DS, Yi S, Lee S, Kwon GY, Shin JY, Choi SY, Jeong MJ, Park YJ. Effectiveness of a fourth dose of COVID-19 mRNA vaccine in the elderly population during the Omicron BA.2 and BA.5 circulation: a nationwide cohort study in Korea (K-COVE). </w:t>
            </w:r>
            <w:r w:rsidRPr="00EC5C45">
              <w:rPr>
                <w:rFonts w:asciiTheme="majorBidi" w:hAnsiTheme="majorBidi" w:cstheme="majorBidi"/>
                <w:color w:val="auto"/>
                <w:sz w:val="24"/>
                <w:szCs w:val="24"/>
                <w:lang w:val="nb-NO"/>
              </w:rPr>
              <w:t xml:space="preserve">Open Forum </w:t>
            </w:r>
            <w:proofErr w:type="spellStart"/>
            <w:r w:rsidRPr="00EC5C45">
              <w:rPr>
                <w:rFonts w:asciiTheme="majorBidi" w:hAnsiTheme="majorBidi" w:cstheme="majorBidi"/>
                <w:color w:val="auto"/>
                <w:sz w:val="24"/>
                <w:szCs w:val="24"/>
                <w:lang w:val="nb-NO"/>
              </w:rPr>
              <w:t>Infect</w:t>
            </w:r>
            <w:proofErr w:type="spellEnd"/>
            <w:r w:rsidRPr="00EC5C45">
              <w:rPr>
                <w:rFonts w:asciiTheme="majorBidi" w:hAnsiTheme="majorBidi" w:cstheme="majorBidi"/>
                <w:color w:val="auto"/>
                <w:sz w:val="24"/>
                <w:szCs w:val="24"/>
                <w:lang w:val="nb-NO"/>
              </w:rPr>
              <w:t xml:space="preserve"> Dis. 2023;10(3):ofad109. doi:10.1093/</w:t>
            </w:r>
            <w:proofErr w:type="spellStart"/>
            <w:r w:rsidRPr="00EC5C45">
              <w:rPr>
                <w:rFonts w:asciiTheme="majorBidi" w:hAnsiTheme="majorBidi" w:cstheme="majorBidi"/>
                <w:color w:val="auto"/>
                <w:sz w:val="24"/>
                <w:szCs w:val="24"/>
                <w:lang w:val="nb-NO"/>
              </w:rPr>
              <w:t>ofid</w:t>
            </w:r>
            <w:proofErr w:type="spellEnd"/>
            <w:r w:rsidRPr="00EC5C45">
              <w:rPr>
                <w:rFonts w:asciiTheme="majorBidi" w:hAnsiTheme="majorBidi" w:cstheme="majorBidi"/>
                <w:color w:val="auto"/>
                <w:sz w:val="24"/>
                <w:szCs w:val="24"/>
                <w:lang w:val="nb-NO"/>
              </w:rPr>
              <w:t>/ofad109.</w:t>
            </w:r>
          </w:p>
        </w:tc>
        <w:tc>
          <w:tcPr>
            <w:tcW w:w="5938" w:type="dxa"/>
          </w:tcPr>
          <w:p w14:paraId="2430B29B" w14:textId="115A888F" w:rsidR="009405C7" w:rsidRPr="00EC5C45" w:rsidRDefault="009405C7" w:rsidP="009405C7">
            <w:pPr>
              <w:pStyle w:val="MDPI31text"/>
              <w:ind w:left="0" w:firstLine="0"/>
              <w:rPr>
                <w:rFonts w:asciiTheme="majorBidi" w:hAnsiTheme="majorBidi" w:cstheme="majorBidi"/>
                <w:color w:val="auto"/>
                <w:sz w:val="24"/>
                <w:szCs w:val="24"/>
              </w:rPr>
            </w:pPr>
            <w:r w:rsidRPr="00EC5C45">
              <w:rPr>
                <w:rFonts w:asciiTheme="majorBidi" w:hAnsiTheme="majorBidi" w:cstheme="majorBidi"/>
                <w:color w:val="auto"/>
                <w:sz w:val="24"/>
                <w:szCs w:val="24"/>
              </w:rPr>
              <w:t>Outside the prespecified review scope. This nationwide cohort study evaluates the effectiveness of a fourth dose of ancestral mRNA COVID-19 vaccines during early Omicron BA.2 and BA.5 circulation (April–August 2022). The study does not assess late-Omicron sub-lineages (e.g., XBB, JN.1, KP) or the effectiveness of updated, variant-adapted COVID-19 vaccines, which are the focus of this review.</w:t>
            </w:r>
          </w:p>
        </w:tc>
      </w:tr>
      <w:tr w:rsidR="009405C7" w14:paraId="1880DF65" w14:textId="77777777" w:rsidTr="00B20255">
        <w:tc>
          <w:tcPr>
            <w:tcW w:w="5403" w:type="dxa"/>
          </w:tcPr>
          <w:p w14:paraId="7AFA09EF" w14:textId="333EB4B8" w:rsidR="009405C7" w:rsidRPr="0061664B" w:rsidRDefault="0019407D" w:rsidP="009405C7">
            <w:pPr>
              <w:pStyle w:val="MDPI31text"/>
              <w:ind w:left="0" w:firstLine="0"/>
              <w:rPr>
                <w:rFonts w:asciiTheme="majorBidi" w:hAnsiTheme="majorBidi" w:cstheme="majorBidi"/>
                <w:color w:val="auto"/>
                <w:sz w:val="24"/>
                <w:szCs w:val="24"/>
              </w:rPr>
            </w:pPr>
            <w:r w:rsidRPr="0061664B">
              <w:rPr>
                <w:rFonts w:asciiTheme="majorBidi" w:hAnsiTheme="majorBidi" w:cstheme="majorBidi"/>
                <w:color w:val="auto"/>
                <w:sz w:val="24"/>
                <w:szCs w:val="24"/>
              </w:rPr>
              <w:t>Paternina-Caicedo A, Quevedo DS, Ríos DS, Moyano D, Alvis-Guzmán N, Alviz-</w:t>
            </w:r>
            <w:proofErr w:type="spellStart"/>
            <w:r w:rsidRPr="0061664B">
              <w:rPr>
                <w:rFonts w:asciiTheme="majorBidi" w:hAnsiTheme="majorBidi" w:cstheme="majorBidi"/>
                <w:color w:val="auto"/>
                <w:sz w:val="24"/>
                <w:szCs w:val="24"/>
              </w:rPr>
              <w:t>Zakzuk</w:t>
            </w:r>
            <w:proofErr w:type="spellEnd"/>
            <w:r w:rsidRPr="0061664B">
              <w:rPr>
                <w:rFonts w:asciiTheme="majorBidi" w:hAnsiTheme="majorBidi" w:cstheme="majorBidi"/>
                <w:color w:val="auto"/>
                <w:sz w:val="24"/>
                <w:szCs w:val="24"/>
              </w:rPr>
              <w:t xml:space="preserve"> NR, Salcedo F, Moyano L, Ramírez-Suarez J, Smith AD, De la Hoz-Restrepo F. Comparative effectiveness and duration of protection of ChAdOx1, CoronaVac, BNT162b2, mRNA-1273, and Ad26.COV2.S COVID-19 vaccines for symptomatic and hospitalized Mu, Delta, and Omicron: a test-negative case-control study. Vaccine. 2023;41(42):6291–6299. doi:10.1016/j.vaccine.2023.08.072.</w:t>
            </w:r>
          </w:p>
        </w:tc>
        <w:tc>
          <w:tcPr>
            <w:tcW w:w="5938" w:type="dxa"/>
          </w:tcPr>
          <w:p w14:paraId="655C143A" w14:textId="44D66B20" w:rsidR="009405C7" w:rsidRPr="0061664B" w:rsidRDefault="009405C7" w:rsidP="009405C7">
            <w:pPr>
              <w:pStyle w:val="MDPI31text"/>
              <w:ind w:left="0" w:firstLine="0"/>
              <w:rPr>
                <w:rFonts w:asciiTheme="majorBidi" w:hAnsiTheme="majorBidi" w:cstheme="majorBidi"/>
                <w:color w:val="auto"/>
                <w:sz w:val="24"/>
                <w:szCs w:val="24"/>
              </w:rPr>
            </w:pPr>
            <w:r w:rsidRPr="0061664B">
              <w:rPr>
                <w:rFonts w:asciiTheme="majorBidi" w:hAnsiTheme="majorBidi" w:cstheme="majorBidi"/>
                <w:color w:val="auto"/>
                <w:sz w:val="24"/>
                <w:szCs w:val="24"/>
              </w:rPr>
              <w:t>Outside the prespecified review scope. The study evaluates effectiveness of ancestral (monovalent) COVID-19 vaccines during 2021–early 2022, focusing on Mu, Delta, and early Omicron periods. It predates the variant-adapted vaccine era and does not report effectiveness estimates for later Omicron subvariants of interest (e.g., XBB, JN.1, KP.3).</w:t>
            </w:r>
          </w:p>
        </w:tc>
      </w:tr>
      <w:tr w:rsidR="009405C7" w14:paraId="3DF73AC3" w14:textId="77777777" w:rsidTr="00B20255">
        <w:tc>
          <w:tcPr>
            <w:tcW w:w="5403" w:type="dxa"/>
          </w:tcPr>
          <w:p w14:paraId="2306F5DE" w14:textId="292577AE" w:rsidR="009405C7" w:rsidRPr="0061664B" w:rsidRDefault="00CB398F" w:rsidP="009405C7">
            <w:pPr>
              <w:pStyle w:val="MDPI31text"/>
              <w:ind w:left="0" w:firstLine="0"/>
              <w:rPr>
                <w:rFonts w:asciiTheme="majorBidi" w:hAnsiTheme="majorBidi" w:cstheme="majorBidi"/>
                <w:color w:val="auto"/>
                <w:sz w:val="24"/>
                <w:szCs w:val="24"/>
              </w:rPr>
            </w:pPr>
            <w:r w:rsidRPr="0061664B">
              <w:rPr>
                <w:rFonts w:asciiTheme="majorBidi" w:hAnsiTheme="majorBidi" w:cstheme="majorBidi"/>
                <w:color w:val="auto"/>
                <w:sz w:val="24"/>
                <w:szCs w:val="24"/>
                <w:lang w:val="en-AU"/>
              </w:rPr>
              <w:t>Paynter J, McIntyre P, Wiki J, Nghiem N, Liu B, Marek L, Hobbs M. Using nationwide data to examine the relative effectiveness of Covid-19 vaccination against Omicron amongst a population with low prior rates of SARS-CoV-2 infection: a cohort study. Vaccine X. 2025;24:100624. doi:10.1016/j.jvacx.2025.100624.</w:t>
            </w:r>
          </w:p>
        </w:tc>
        <w:tc>
          <w:tcPr>
            <w:tcW w:w="5938" w:type="dxa"/>
          </w:tcPr>
          <w:p w14:paraId="5D1306C2" w14:textId="77777777" w:rsidR="009405C7" w:rsidRPr="0061664B" w:rsidRDefault="009405C7" w:rsidP="009405C7">
            <w:pPr>
              <w:pStyle w:val="MDPI31text"/>
              <w:ind w:left="0" w:firstLine="0"/>
              <w:rPr>
                <w:rFonts w:asciiTheme="majorBidi" w:hAnsiTheme="majorBidi" w:cstheme="majorBidi"/>
                <w:color w:val="auto"/>
                <w:sz w:val="24"/>
                <w:szCs w:val="24"/>
              </w:rPr>
            </w:pPr>
            <w:r w:rsidRPr="0061664B">
              <w:rPr>
                <w:rFonts w:asciiTheme="majorBidi" w:hAnsiTheme="majorBidi" w:cstheme="majorBidi"/>
                <w:color w:val="auto"/>
                <w:sz w:val="24"/>
                <w:szCs w:val="24"/>
              </w:rPr>
              <w:t>Outside the prespecified review scope. This nationwide cohort study estimates relative vaccine effectiveness of a booster dose (three vs two doses) without an unvaccinated reference group, representing an incremental booster comparison that is not directly comparable with the absolute or standardised vaccine-effectiveness frameworks synthesised in this review.</w:t>
            </w:r>
          </w:p>
        </w:tc>
      </w:tr>
      <w:tr w:rsidR="009405C7" w14:paraId="2966AEFB" w14:textId="77777777" w:rsidTr="00B20255">
        <w:tc>
          <w:tcPr>
            <w:tcW w:w="5403" w:type="dxa"/>
          </w:tcPr>
          <w:p w14:paraId="50960F19" w14:textId="0B6340D3" w:rsidR="009405C7" w:rsidRPr="0061664B" w:rsidRDefault="0061664B" w:rsidP="009405C7">
            <w:pPr>
              <w:pStyle w:val="MDPI31text"/>
              <w:ind w:left="0" w:firstLine="0"/>
              <w:rPr>
                <w:rFonts w:asciiTheme="majorBidi" w:hAnsiTheme="majorBidi" w:cstheme="majorBidi"/>
                <w:color w:val="auto"/>
                <w:sz w:val="24"/>
                <w:szCs w:val="24"/>
              </w:rPr>
            </w:pPr>
            <w:r w:rsidRPr="0061664B">
              <w:rPr>
                <w:rFonts w:asciiTheme="majorBidi" w:hAnsiTheme="majorBidi" w:cstheme="majorBidi"/>
                <w:color w:val="auto"/>
                <w:sz w:val="24"/>
                <w:szCs w:val="24"/>
              </w:rPr>
              <w:t xml:space="preserve">Petrie JG, King JP, McClure DL, Rolfes MA, Meece JK, Pattinson D, Neumann G, Kawaoka Y, Belongia EA, McLean HQ. Effectiveness of first and second COVID-19 mRNA vaccine monovalent booster doses during a period of circulation of Omicron variant sublineages: December 2021–July 2022. Influenza </w:t>
            </w:r>
            <w:r w:rsidRPr="0061664B">
              <w:rPr>
                <w:rFonts w:asciiTheme="majorBidi" w:hAnsiTheme="majorBidi" w:cstheme="majorBidi"/>
                <w:color w:val="auto"/>
                <w:sz w:val="24"/>
                <w:szCs w:val="24"/>
              </w:rPr>
              <w:lastRenderedPageBreak/>
              <w:t>Other Respir Viruses. 2023;17(3):e13104. doi:10.1111/irv.13104.</w:t>
            </w:r>
          </w:p>
        </w:tc>
        <w:tc>
          <w:tcPr>
            <w:tcW w:w="5938" w:type="dxa"/>
          </w:tcPr>
          <w:p w14:paraId="27CE1E21" w14:textId="339C3B2E" w:rsidR="009405C7" w:rsidRPr="0061664B" w:rsidRDefault="009405C7" w:rsidP="009405C7">
            <w:pPr>
              <w:pStyle w:val="MDPI31text"/>
              <w:ind w:left="0" w:firstLine="0"/>
              <w:rPr>
                <w:rFonts w:asciiTheme="majorBidi" w:hAnsiTheme="majorBidi" w:cstheme="majorBidi"/>
                <w:color w:val="auto"/>
                <w:sz w:val="24"/>
                <w:szCs w:val="24"/>
              </w:rPr>
            </w:pPr>
            <w:r w:rsidRPr="0061664B">
              <w:rPr>
                <w:rFonts w:asciiTheme="majorBidi" w:hAnsiTheme="majorBidi" w:cstheme="majorBidi"/>
                <w:color w:val="auto"/>
                <w:sz w:val="24"/>
                <w:szCs w:val="24"/>
              </w:rPr>
              <w:lastRenderedPageBreak/>
              <w:t>Outside the prespecified review scope. This prospective community cohort study evaluated the relative effectiveness of monovalent mRNA booster doses against laboratory-confirmed SARS-CoV-2 infection during Omicron sublineage circulation, with outcomes restricted to infection (symptomatic and asymptomatic). The study did not assess vaccine effectiveness against hospitali</w:t>
            </w:r>
            <w:r w:rsidR="00F10ED1" w:rsidRPr="0061664B">
              <w:rPr>
                <w:rFonts w:asciiTheme="majorBidi" w:hAnsiTheme="majorBidi" w:cstheme="majorBidi"/>
                <w:color w:val="auto"/>
                <w:sz w:val="24"/>
                <w:szCs w:val="24"/>
              </w:rPr>
              <w:t>z</w:t>
            </w:r>
            <w:r w:rsidRPr="0061664B">
              <w:rPr>
                <w:rFonts w:asciiTheme="majorBidi" w:hAnsiTheme="majorBidi" w:cstheme="majorBidi"/>
                <w:color w:val="auto"/>
                <w:sz w:val="24"/>
                <w:szCs w:val="24"/>
              </w:rPr>
              <w:t xml:space="preserve">ation, severe or </w:t>
            </w:r>
            <w:r w:rsidRPr="0061664B">
              <w:rPr>
                <w:rFonts w:asciiTheme="majorBidi" w:hAnsiTheme="majorBidi" w:cstheme="majorBidi"/>
                <w:color w:val="auto"/>
                <w:sz w:val="24"/>
                <w:szCs w:val="24"/>
              </w:rPr>
              <w:lastRenderedPageBreak/>
              <w:t>critical disease, ICU admission, or mortality, and therefore provides no extractable effectiveness estimates for severe COVID-19 outcomes relevant to this review.</w:t>
            </w:r>
          </w:p>
        </w:tc>
      </w:tr>
      <w:tr w:rsidR="009405C7" w14:paraId="64846D09" w14:textId="77777777" w:rsidTr="00B20255">
        <w:tc>
          <w:tcPr>
            <w:tcW w:w="5403" w:type="dxa"/>
          </w:tcPr>
          <w:p w14:paraId="6353A89A" w14:textId="229BA570" w:rsidR="009405C7" w:rsidRPr="0061664B" w:rsidRDefault="0061664B" w:rsidP="009405C7">
            <w:pPr>
              <w:pStyle w:val="MDPI31text"/>
              <w:ind w:left="0" w:firstLine="0"/>
              <w:rPr>
                <w:rFonts w:asciiTheme="majorBidi" w:hAnsiTheme="majorBidi" w:cstheme="majorBidi"/>
                <w:color w:val="auto"/>
                <w:sz w:val="24"/>
                <w:szCs w:val="24"/>
              </w:rPr>
            </w:pPr>
            <w:proofErr w:type="spellStart"/>
            <w:r w:rsidRPr="0061664B">
              <w:rPr>
                <w:rFonts w:asciiTheme="majorBidi" w:hAnsiTheme="majorBidi" w:cstheme="majorBidi"/>
                <w:color w:val="auto"/>
                <w:sz w:val="24"/>
                <w:szCs w:val="24"/>
              </w:rPr>
              <w:lastRenderedPageBreak/>
              <w:t>Piché</w:t>
            </w:r>
            <w:proofErr w:type="spellEnd"/>
            <w:r w:rsidRPr="0061664B">
              <w:rPr>
                <w:rFonts w:asciiTheme="majorBidi" w:hAnsiTheme="majorBidi" w:cstheme="majorBidi"/>
                <w:color w:val="auto"/>
                <w:sz w:val="24"/>
                <w:szCs w:val="24"/>
              </w:rPr>
              <w:t>-Renaud P-P, Swayze S, Buchan SA, Wilson SE, Austin PC, Morris SK, Nasreen S, Schwartz KL, Tadrous M, Thampi N, Wilson K, Kwong JC. COVID-19 vaccine effectiveness against Omicron infection and hospitalization in children aged 5–11 years. Pediatrics. 2023;151(4):e2022059513. doi:10.1542/peds.2022-059513.</w:t>
            </w:r>
          </w:p>
        </w:tc>
        <w:tc>
          <w:tcPr>
            <w:tcW w:w="5938" w:type="dxa"/>
          </w:tcPr>
          <w:p w14:paraId="1B77F87C" w14:textId="77777777" w:rsidR="009405C7" w:rsidRPr="0061664B" w:rsidRDefault="009405C7" w:rsidP="009405C7">
            <w:pPr>
              <w:pStyle w:val="MDPI31text"/>
              <w:ind w:left="0" w:firstLine="0"/>
              <w:rPr>
                <w:rFonts w:asciiTheme="majorBidi" w:hAnsiTheme="majorBidi" w:cstheme="majorBidi"/>
                <w:color w:val="auto"/>
                <w:sz w:val="24"/>
                <w:szCs w:val="24"/>
              </w:rPr>
            </w:pPr>
            <w:r w:rsidRPr="0061664B">
              <w:rPr>
                <w:rFonts w:asciiTheme="majorBidi" w:hAnsiTheme="majorBidi" w:cstheme="majorBidi"/>
                <w:color w:val="auto"/>
                <w:sz w:val="24"/>
                <w:szCs w:val="24"/>
              </w:rPr>
              <w:t>Outside the prespecified review scope. This study is restricted to paediatric populations (children aged 5–11 years) and was conducted during the early Omicron period (January–August 2022), evaluating ancestral-strain BNT162b2 primary-series vaccination. The analysis predates the introduction of updated or variant-adapted vaccines and focuses on paediatric outcomes that are not directly comparable with the adult and older-adult severe-outcome vaccine-effectiveness framework synthesised in this review.</w:t>
            </w:r>
          </w:p>
        </w:tc>
      </w:tr>
      <w:tr w:rsidR="009405C7" w14:paraId="35662015" w14:textId="77777777" w:rsidTr="00B20255">
        <w:tc>
          <w:tcPr>
            <w:tcW w:w="5403" w:type="dxa"/>
          </w:tcPr>
          <w:p w14:paraId="4757D0C1" w14:textId="4BF92559" w:rsidR="009405C7" w:rsidRPr="00FD7F8A" w:rsidRDefault="0061664B" w:rsidP="009405C7">
            <w:pPr>
              <w:pStyle w:val="MDPI31text"/>
              <w:ind w:left="0" w:firstLine="0"/>
              <w:rPr>
                <w:rFonts w:asciiTheme="majorBidi" w:hAnsiTheme="majorBidi" w:cstheme="majorBidi"/>
                <w:color w:val="auto"/>
                <w:sz w:val="24"/>
                <w:szCs w:val="24"/>
              </w:rPr>
            </w:pPr>
            <w:r w:rsidRPr="00FD7F8A">
              <w:rPr>
                <w:rFonts w:asciiTheme="majorBidi" w:hAnsiTheme="majorBidi" w:cstheme="majorBidi"/>
                <w:color w:val="auto"/>
                <w:sz w:val="24"/>
                <w:szCs w:val="24"/>
              </w:rPr>
              <w:t>Plaxco AP, Kmet JM, Nolan VG, Taylor MA, Smeltzer MP. Association between mRNA vaccination and infection from SARS-CoV-2 during the Delta and Omicron BA.1 waves: a population-level analysis. AJPM Focus. 2023;2(4):100150. doi:10.1016/j.focus.2023.100150.</w:t>
            </w:r>
          </w:p>
        </w:tc>
        <w:tc>
          <w:tcPr>
            <w:tcW w:w="5938" w:type="dxa"/>
          </w:tcPr>
          <w:p w14:paraId="0EF057D4" w14:textId="44383615" w:rsidR="009405C7" w:rsidRPr="00FD7F8A" w:rsidRDefault="009405C7" w:rsidP="009405C7">
            <w:pPr>
              <w:pStyle w:val="MDPI31text"/>
              <w:ind w:left="0" w:firstLine="0"/>
              <w:rPr>
                <w:rFonts w:asciiTheme="majorBidi" w:hAnsiTheme="majorBidi" w:cstheme="majorBidi"/>
                <w:color w:val="auto"/>
                <w:sz w:val="24"/>
                <w:szCs w:val="24"/>
              </w:rPr>
            </w:pPr>
            <w:r w:rsidRPr="00FD7F8A">
              <w:rPr>
                <w:rFonts w:asciiTheme="majorBidi" w:hAnsiTheme="majorBidi" w:cstheme="majorBidi"/>
                <w:color w:val="auto"/>
                <w:sz w:val="24"/>
                <w:szCs w:val="24"/>
              </w:rPr>
              <w:t>Outside the prespecified review scope. The study evaluates population-level effectiveness of ancestral mRNA vaccines against SARS-CoV-2 infection during the Delta and early Omicron BA.1 waves (2021–2022). It predates the variant-adapted vaccine era and does not report effectiveness for later Omicron subvariants (e.g., XBB, JN.1, KP.3) or for severe clinical outcomes prioritized in this review.</w:t>
            </w:r>
          </w:p>
        </w:tc>
      </w:tr>
      <w:tr w:rsidR="009405C7" w14:paraId="4354AF20" w14:textId="77777777" w:rsidTr="00B20255">
        <w:tc>
          <w:tcPr>
            <w:tcW w:w="5403" w:type="dxa"/>
          </w:tcPr>
          <w:p w14:paraId="29E984B8" w14:textId="47CA2F89" w:rsidR="009405C7" w:rsidRPr="00FD7F8A" w:rsidRDefault="0061664B" w:rsidP="009405C7">
            <w:pPr>
              <w:pStyle w:val="MDPI31text"/>
              <w:ind w:left="0" w:firstLine="0"/>
              <w:rPr>
                <w:rFonts w:asciiTheme="majorBidi" w:hAnsiTheme="majorBidi" w:cstheme="majorBidi"/>
                <w:color w:val="auto"/>
                <w:sz w:val="24"/>
                <w:szCs w:val="24"/>
                <w:lang w:val="en-GB"/>
              </w:rPr>
            </w:pPr>
            <w:r w:rsidRPr="00FD7F8A">
              <w:rPr>
                <w:rFonts w:asciiTheme="majorBidi" w:hAnsiTheme="majorBidi" w:cstheme="majorBidi"/>
                <w:color w:val="auto"/>
                <w:sz w:val="24"/>
                <w:szCs w:val="24"/>
                <w:lang w:val="en-GB"/>
              </w:rPr>
              <w:t xml:space="preserve">Plumb ID, Mohr NM, Hagen M, Wiegand R, </w:t>
            </w:r>
            <w:proofErr w:type="spellStart"/>
            <w:r w:rsidRPr="00FD7F8A">
              <w:rPr>
                <w:rFonts w:asciiTheme="majorBidi" w:hAnsiTheme="majorBidi" w:cstheme="majorBidi"/>
                <w:color w:val="auto"/>
                <w:sz w:val="24"/>
                <w:szCs w:val="24"/>
                <w:lang w:val="en-GB"/>
              </w:rPr>
              <w:t>Dumyati</w:t>
            </w:r>
            <w:proofErr w:type="spellEnd"/>
            <w:r w:rsidRPr="00FD7F8A">
              <w:rPr>
                <w:rFonts w:asciiTheme="majorBidi" w:hAnsiTheme="majorBidi" w:cstheme="majorBidi"/>
                <w:color w:val="auto"/>
                <w:sz w:val="24"/>
                <w:szCs w:val="24"/>
                <w:lang w:val="en-GB"/>
              </w:rPr>
              <w:t xml:space="preserve"> G, Harland KK, Krishnadasan A, Gist JJ, Abedi G, Fleming-Dutra KE, Chea N, Lee J, Barter D, Brackney M, Fridkin SK, Wilson LE, Lovett SA, Ocampo V, Phipps EC, Marcus TM, Smithline HA, Hou PC, Lee LC, Moran GJ, Krebs E, Steele MT, Lim SC, </w:t>
            </w:r>
            <w:proofErr w:type="spellStart"/>
            <w:r w:rsidRPr="00FD7F8A">
              <w:rPr>
                <w:rFonts w:asciiTheme="majorBidi" w:hAnsiTheme="majorBidi" w:cstheme="majorBidi"/>
                <w:color w:val="auto"/>
                <w:sz w:val="24"/>
                <w:szCs w:val="24"/>
                <w:lang w:val="en-GB"/>
              </w:rPr>
              <w:t>Schrading</w:t>
            </w:r>
            <w:proofErr w:type="spellEnd"/>
            <w:r w:rsidRPr="00FD7F8A">
              <w:rPr>
                <w:rFonts w:asciiTheme="majorBidi" w:hAnsiTheme="majorBidi" w:cstheme="majorBidi"/>
                <w:color w:val="auto"/>
                <w:sz w:val="24"/>
                <w:szCs w:val="24"/>
                <w:lang w:val="en-GB"/>
              </w:rPr>
              <w:t xml:space="preserve"> WA, Chinnock B, Beiser DG, Faine B, Haran JP, Nandi U, Chipman AK, LoVecchio F, Talan DA, </w:t>
            </w:r>
            <w:proofErr w:type="spellStart"/>
            <w:r w:rsidRPr="00FD7F8A">
              <w:rPr>
                <w:rFonts w:asciiTheme="majorBidi" w:hAnsiTheme="majorBidi" w:cstheme="majorBidi"/>
                <w:color w:val="auto"/>
                <w:sz w:val="24"/>
                <w:szCs w:val="24"/>
                <w:lang w:val="en-GB"/>
              </w:rPr>
              <w:t>Pilishvili</w:t>
            </w:r>
            <w:proofErr w:type="spellEnd"/>
            <w:r w:rsidRPr="00FD7F8A">
              <w:rPr>
                <w:rFonts w:asciiTheme="majorBidi" w:hAnsiTheme="majorBidi" w:cstheme="majorBidi"/>
                <w:color w:val="auto"/>
                <w:sz w:val="24"/>
                <w:szCs w:val="24"/>
                <w:lang w:val="en-GB"/>
              </w:rPr>
              <w:t xml:space="preserve"> T. Effectiveness of a messenger RNA vaccine booster dose against coronavirus disease 2019 among US healthcare personnel, October 2021–July 2022. Open Forum Infect Dis. 2023;10(10):ofad457. doi:10.1093/</w:t>
            </w:r>
            <w:proofErr w:type="spellStart"/>
            <w:r w:rsidRPr="00FD7F8A">
              <w:rPr>
                <w:rFonts w:asciiTheme="majorBidi" w:hAnsiTheme="majorBidi" w:cstheme="majorBidi"/>
                <w:color w:val="auto"/>
                <w:sz w:val="24"/>
                <w:szCs w:val="24"/>
                <w:lang w:val="en-GB"/>
              </w:rPr>
              <w:t>ofid</w:t>
            </w:r>
            <w:proofErr w:type="spellEnd"/>
            <w:r w:rsidRPr="00FD7F8A">
              <w:rPr>
                <w:rFonts w:asciiTheme="majorBidi" w:hAnsiTheme="majorBidi" w:cstheme="majorBidi"/>
                <w:color w:val="auto"/>
                <w:sz w:val="24"/>
                <w:szCs w:val="24"/>
                <w:lang w:val="en-GB"/>
              </w:rPr>
              <w:t>/ofad457.</w:t>
            </w:r>
          </w:p>
        </w:tc>
        <w:tc>
          <w:tcPr>
            <w:tcW w:w="5938" w:type="dxa"/>
          </w:tcPr>
          <w:p w14:paraId="7E955E6E" w14:textId="723BFD22" w:rsidR="009405C7" w:rsidRPr="00FD7F8A" w:rsidRDefault="009405C7" w:rsidP="009405C7">
            <w:pPr>
              <w:pStyle w:val="MDPI31text"/>
              <w:ind w:left="0" w:firstLine="0"/>
              <w:rPr>
                <w:rFonts w:asciiTheme="majorBidi" w:hAnsiTheme="majorBidi" w:cstheme="majorBidi"/>
                <w:color w:val="auto"/>
                <w:sz w:val="24"/>
                <w:szCs w:val="24"/>
              </w:rPr>
            </w:pPr>
            <w:r w:rsidRPr="00FD7F8A">
              <w:rPr>
                <w:rFonts w:asciiTheme="majorBidi" w:hAnsiTheme="majorBidi" w:cstheme="majorBidi"/>
                <w:color w:val="auto"/>
                <w:sz w:val="24"/>
                <w:szCs w:val="24"/>
              </w:rPr>
              <w:t xml:space="preserve">Outside the prespecified review scope. This </w:t>
            </w:r>
            <w:r w:rsidR="000244C3" w:rsidRPr="00FD7F8A">
              <w:rPr>
                <w:rFonts w:asciiTheme="majorBidi" w:hAnsiTheme="majorBidi" w:cstheme="majorBidi"/>
                <w:color w:val="auto"/>
                <w:sz w:val="24"/>
                <w:szCs w:val="24"/>
              </w:rPr>
              <w:t>multicenter</w:t>
            </w:r>
            <w:r w:rsidRPr="00FD7F8A">
              <w:rPr>
                <w:rFonts w:asciiTheme="majorBidi" w:hAnsiTheme="majorBidi" w:cstheme="majorBidi"/>
                <w:color w:val="auto"/>
                <w:sz w:val="24"/>
                <w:szCs w:val="24"/>
              </w:rPr>
              <w:t xml:space="preserve"> case–control study among US healthcare personnel evaluated the effectiveness of a monovalent mRNA booster against symptomatic SARS-CoV-2 infection only during Delta- and Omicron-predominant periods. The study did not assess vaccine effectiveness against hospitali</w:t>
            </w:r>
            <w:r w:rsidR="00F10ED1" w:rsidRPr="00FD7F8A">
              <w:rPr>
                <w:rFonts w:asciiTheme="majorBidi" w:hAnsiTheme="majorBidi" w:cstheme="majorBidi"/>
                <w:color w:val="auto"/>
                <w:sz w:val="24"/>
                <w:szCs w:val="24"/>
              </w:rPr>
              <w:t>z</w:t>
            </w:r>
            <w:r w:rsidRPr="00FD7F8A">
              <w:rPr>
                <w:rFonts w:asciiTheme="majorBidi" w:hAnsiTheme="majorBidi" w:cstheme="majorBidi"/>
                <w:color w:val="auto"/>
                <w:sz w:val="24"/>
                <w:szCs w:val="24"/>
              </w:rPr>
              <w:t>ation, severe or critical disease, ICU admission, or mortality, and therefore provides no extractable effectiveness estimates for severe COVID-19 outcomes relevant to this review.</w:t>
            </w:r>
          </w:p>
        </w:tc>
      </w:tr>
      <w:tr w:rsidR="009405C7" w14:paraId="20B56980" w14:textId="77777777" w:rsidTr="00B20255">
        <w:tc>
          <w:tcPr>
            <w:tcW w:w="5403" w:type="dxa"/>
          </w:tcPr>
          <w:p w14:paraId="22CF408F" w14:textId="5B7A6168" w:rsidR="009405C7" w:rsidRPr="005D7F33" w:rsidRDefault="005D7F33" w:rsidP="009405C7">
            <w:pPr>
              <w:pStyle w:val="MDPI31text"/>
              <w:ind w:left="0" w:firstLine="0"/>
              <w:rPr>
                <w:rFonts w:asciiTheme="majorBidi" w:hAnsiTheme="majorBidi" w:cstheme="majorBidi"/>
                <w:color w:val="auto"/>
                <w:sz w:val="24"/>
                <w:szCs w:val="24"/>
              </w:rPr>
            </w:pPr>
            <w:proofErr w:type="spellStart"/>
            <w:r w:rsidRPr="005D7F33">
              <w:rPr>
                <w:rFonts w:asciiTheme="majorBidi" w:hAnsiTheme="majorBidi" w:cstheme="majorBidi"/>
                <w:color w:val="auto"/>
                <w:sz w:val="24"/>
                <w:szCs w:val="24"/>
                <w:lang w:val="en-AU"/>
              </w:rPr>
              <w:t>Poukka</w:t>
            </w:r>
            <w:proofErr w:type="spellEnd"/>
            <w:r w:rsidRPr="005D7F33">
              <w:rPr>
                <w:rFonts w:asciiTheme="majorBidi" w:hAnsiTheme="majorBidi" w:cstheme="majorBidi"/>
                <w:color w:val="auto"/>
                <w:sz w:val="24"/>
                <w:szCs w:val="24"/>
                <w:lang w:val="en-AU"/>
              </w:rPr>
              <w:t xml:space="preserve"> E, Perälä J, </w:t>
            </w:r>
            <w:proofErr w:type="spellStart"/>
            <w:r w:rsidRPr="005D7F33">
              <w:rPr>
                <w:rFonts w:asciiTheme="majorBidi" w:hAnsiTheme="majorBidi" w:cstheme="majorBidi"/>
                <w:color w:val="auto"/>
                <w:sz w:val="24"/>
                <w:szCs w:val="24"/>
                <w:lang w:val="en-AU"/>
              </w:rPr>
              <w:t>Nohynek</w:t>
            </w:r>
            <w:proofErr w:type="spellEnd"/>
            <w:r w:rsidRPr="005D7F33">
              <w:rPr>
                <w:rFonts w:asciiTheme="majorBidi" w:hAnsiTheme="majorBidi" w:cstheme="majorBidi"/>
                <w:color w:val="auto"/>
                <w:sz w:val="24"/>
                <w:szCs w:val="24"/>
                <w:lang w:val="en-AU"/>
              </w:rPr>
              <w:t xml:space="preserve"> H, Goebeler S, </w:t>
            </w:r>
            <w:proofErr w:type="spellStart"/>
            <w:r w:rsidRPr="005D7F33">
              <w:rPr>
                <w:rFonts w:asciiTheme="majorBidi" w:hAnsiTheme="majorBidi" w:cstheme="majorBidi"/>
                <w:color w:val="auto"/>
                <w:sz w:val="24"/>
                <w:szCs w:val="24"/>
                <w:lang w:val="en-AU"/>
              </w:rPr>
              <w:t>Auranen</w:t>
            </w:r>
            <w:proofErr w:type="spellEnd"/>
            <w:r w:rsidRPr="005D7F33">
              <w:rPr>
                <w:rFonts w:asciiTheme="majorBidi" w:hAnsiTheme="majorBidi" w:cstheme="majorBidi"/>
                <w:color w:val="auto"/>
                <w:sz w:val="24"/>
                <w:szCs w:val="24"/>
                <w:lang w:val="en-AU"/>
              </w:rPr>
              <w:t xml:space="preserve"> K, Leino T, Baum U. Relative effectiveness of bivalent boosters against severe COVID-19 outcomes among people aged ≥65 years in Finland, September 2022 to August 2023. </w:t>
            </w:r>
            <w:r w:rsidRPr="005D7F33">
              <w:rPr>
                <w:rFonts w:asciiTheme="majorBidi" w:hAnsiTheme="majorBidi" w:cstheme="majorBidi"/>
                <w:color w:val="auto"/>
                <w:sz w:val="24"/>
                <w:szCs w:val="24"/>
                <w:lang w:val="nb-NO"/>
              </w:rPr>
              <w:t xml:space="preserve">Euro </w:t>
            </w:r>
            <w:proofErr w:type="spellStart"/>
            <w:r w:rsidRPr="005D7F33">
              <w:rPr>
                <w:rFonts w:asciiTheme="majorBidi" w:hAnsiTheme="majorBidi" w:cstheme="majorBidi"/>
                <w:color w:val="auto"/>
                <w:sz w:val="24"/>
                <w:szCs w:val="24"/>
                <w:lang w:val="nb-NO"/>
              </w:rPr>
              <w:t>Surveill</w:t>
            </w:r>
            <w:proofErr w:type="spellEnd"/>
            <w:r w:rsidRPr="005D7F33">
              <w:rPr>
                <w:rFonts w:asciiTheme="majorBidi" w:hAnsiTheme="majorBidi" w:cstheme="majorBidi"/>
                <w:color w:val="auto"/>
                <w:sz w:val="24"/>
                <w:szCs w:val="24"/>
                <w:lang w:val="nb-NO"/>
              </w:rPr>
              <w:t>. 2024;29(37):2300587. doi:10.2807/1560-7917.ES.2024.29.37.2300587.</w:t>
            </w:r>
          </w:p>
        </w:tc>
        <w:tc>
          <w:tcPr>
            <w:tcW w:w="5938" w:type="dxa"/>
          </w:tcPr>
          <w:p w14:paraId="03EC70F0" w14:textId="7417F55C" w:rsidR="009405C7" w:rsidRPr="005D7F33" w:rsidRDefault="009405C7"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rPr>
              <w:t xml:space="preserve">Outside the prespecified review scope. This population-based cohort study evaluates bivalent Original/Omicron BA.1 and </w:t>
            </w:r>
            <w:r w:rsidR="0092798A" w:rsidRPr="005D7F33">
              <w:rPr>
                <w:rFonts w:asciiTheme="majorBidi" w:hAnsiTheme="majorBidi" w:cstheme="majorBidi"/>
                <w:color w:val="auto"/>
                <w:sz w:val="24"/>
                <w:szCs w:val="24"/>
              </w:rPr>
              <w:t>BA.4/BA.5</w:t>
            </w:r>
            <w:r w:rsidR="00D45FE0" w:rsidRPr="005D7F33">
              <w:rPr>
                <w:rFonts w:asciiTheme="majorBidi" w:hAnsiTheme="majorBidi" w:cstheme="majorBidi"/>
                <w:color w:val="auto"/>
                <w:sz w:val="24"/>
                <w:szCs w:val="24"/>
              </w:rPr>
              <w:t xml:space="preserve"> </w:t>
            </w:r>
            <w:r w:rsidRPr="005D7F33">
              <w:rPr>
                <w:rFonts w:asciiTheme="majorBidi" w:hAnsiTheme="majorBidi" w:cstheme="majorBidi"/>
                <w:color w:val="auto"/>
                <w:sz w:val="24"/>
                <w:szCs w:val="24"/>
              </w:rPr>
              <w:t>booster vaccines against severe COVID-19 outcomes during a pre-XBB vaccine formulation period (September 2022–August 2023). The study does not assess monovalent XBB.1.5-adapted vaccines and therefore is not directly comparable with the vaccine formulations and variant periods synthesised in this review.</w:t>
            </w:r>
          </w:p>
        </w:tc>
      </w:tr>
      <w:tr w:rsidR="009405C7" w14:paraId="67B0D911" w14:textId="77777777" w:rsidTr="00B20255">
        <w:tc>
          <w:tcPr>
            <w:tcW w:w="5403" w:type="dxa"/>
          </w:tcPr>
          <w:p w14:paraId="6A9D23D2" w14:textId="0126072D" w:rsidR="009405C7" w:rsidRPr="005D7F33" w:rsidRDefault="005D7F33"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lang w:val="en-AU"/>
              </w:rPr>
              <w:t>Pérez-</w:t>
            </w:r>
            <w:proofErr w:type="spellStart"/>
            <w:r w:rsidRPr="005D7F33">
              <w:rPr>
                <w:rFonts w:asciiTheme="majorBidi" w:hAnsiTheme="majorBidi" w:cstheme="majorBidi"/>
                <w:color w:val="auto"/>
                <w:sz w:val="24"/>
                <w:szCs w:val="24"/>
                <w:lang w:val="en-AU"/>
              </w:rPr>
              <w:t>Tasigchana</w:t>
            </w:r>
            <w:proofErr w:type="spellEnd"/>
            <w:r w:rsidRPr="005D7F33">
              <w:rPr>
                <w:rFonts w:asciiTheme="majorBidi" w:hAnsiTheme="majorBidi" w:cstheme="majorBidi"/>
                <w:color w:val="auto"/>
                <w:sz w:val="24"/>
                <w:szCs w:val="24"/>
                <w:lang w:val="en-AU"/>
              </w:rPr>
              <w:t xml:space="preserve"> F, Valcárcel-Pérez I, Arias-Quispe M, Astudillo L, Bruno A, Herrera G M, Armas R, de Mora D, Pinos J, Olmedo A, Salas R, Jimbo-Sotomayor R, Chiluisa C, Acosta P, Sánchez X, </w:t>
            </w:r>
            <w:proofErr w:type="spellStart"/>
            <w:r w:rsidRPr="005D7F33">
              <w:rPr>
                <w:rFonts w:asciiTheme="majorBidi" w:hAnsiTheme="majorBidi" w:cstheme="majorBidi"/>
                <w:color w:val="auto"/>
                <w:sz w:val="24"/>
                <w:szCs w:val="24"/>
                <w:lang w:val="en-AU"/>
              </w:rPr>
              <w:t>Whittembury</w:t>
            </w:r>
            <w:proofErr w:type="spellEnd"/>
            <w:r w:rsidRPr="005D7F33">
              <w:rPr>
                <w:rFonts w:asciiTheme="majorBidi" w:hAnsiTheme="majorBidi" w:cstheme="majorBidi"/>
                <w:color w:val="auto"/>
                <w:sz w:val="24"/>
                <w:szCs w:val="24"/>
                <w:lang w:val="en-AU"/>
              </w:rPr>
              <w:t xml:space="preserve"> A. Effectiveness of COVID-19 vaccines in Ecuador: a test-negative design. </w:t>
            </w:r>
            <w:proofErr w:type="spellStart"/>
            <w:r w:rsidRPr="005D7F33">
              <w:rPr>
                <w:rFonts w:asciiTheme="majorBidi" w:hAnsiTheme="majorBidi" w:cstheme="majorBidi"/>
                <w:color w:val="auto"/>
                <w:sz w:val="24"/>
                <w:szCs w:val="24"/>
                <w:lang w:val="nb-NO"/>
              </w:rPr>
              <w:t>Vaccine</w:t>
            </w:r>
            <w:proofErr w:type="spellEnd"/>
            <w:r w:rsidRPr="005D7F33">
              <w:rPr>
                <w:rFonts w:asciiTheme="majorBidi" w:hAnsiTheme="majorBidi" w:cstheme="majorBidi"/>
                <w:color w:val="auto"/>
                <w:sz w:val="24"/>
                <w:szCs w:val="24"/>
                <w:lang w:val="nb-NO"/>
              </w:rPr>
              <w:t xml:space="preserve"> </w:t>
            </w:r>
            <w:proofErr w:type="spellStart"/>
            <w:r w:rsidRPr="005D7F33">
              <w:rPr>
                <w:rFonts w:asciiTheme="majorBidi" w:hAnsiTheme="majorBidi" w:cstheme="majorBidi"/>
                <w:color w:val="auto"/>
                <w:sz w:val="24"/>
                <w:szCs w:val="24"/>
                <w:lang w:val="nb-NO"/>
              </w:rPr>
              <w:t>X</w:t>
            </w:r>
            <w:proofErr w:type="spellEnd"/>
            <w:r w:rsidRPr="005D7F33">
              <w:rPr>
                <w:rFonts w:asciiTheme="majorBidi" w:hAnsiTheme="majorBidi" w:cstheme="majorBidi"/>
                <w:color w:val="auto"/>
                <w:sz w:val="24"/>
                <w:szCs w:val="24"/>
                <w:lang w:val="nb-NO"/>
              </w:rPr>
              <w:t>. 2023;15:100404. doi:10.1016/j.jvacx.2023.100404.</w:t>
            </w:r>
          </w:p>
        </w:tc>
        <w:tc>
          <w:tcPr>
            <w:tcW w:w="5938" w:type="dxa"/>
          </w:tcPr>
          <w:p w14:paraId="297424B4" w14:textId="45F07354" w:rsidR="009405C7" w:rsidRPr="005D7F33" w:rsidRDefault="009405C7"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rPr>
              <w:t>Outside the prespecified review scope. The study evaluates effectiveness of ancestral COVID-19 vaccines against severe outcomes during May 2021–March 2022, corresponding to pre-Omicron and early Omicron circulation. It predates the variant-adapted vaccine era and does not report effectiveness estimates for later Omicron subvariants of interest (e.g., XBB, JN.1, KP.3).</w:t>
            </w:r>
          </w:p>
        </w:tc>
      </w:tr>
      <w:tr w:rsidR="009405C7" w14:paraId="7B91A16D" w14:textId="77777777" w:rsidTr="00B20255">
        <w:tc>
          <w:tcPr>
            <w:tcW w:w="5403" w:type="dxa"/>
          </w:tcPr>
          <w:p w14:paraId="06844C8D" w14:textId="731C28D3" w:rsidR="009405C7" w:rsidRPr="005D7F33" w:rsidRDefault="005D7F33"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rPr>
              <w:lastRenderedPageBreak/>
              <w:t xml:space="preserve">Pérez-Then E, </w:t>
            </w:r>
            <w:proofErr w:type="spellStart"/>
            <w:r w:rsidRPr="005D7F33">
              <w:rPr>
                <w:rFonts w:asciiTheme="majorBidi" w:hAnsiTheme="majorBidi" w:cstheme="majorBidi"/>
                <w:color w:val="auto"/>
                <w:sz w:val="24"/>
                <w:szCs w:val="24"/>
              </w:rPr>
              <w:t>Miric</w:t>
            </w:r>
            <w:proofErr w:type="spellEnd"/>
            <w:r w:rsidRPr="005D7F33">
              <w:rPr>
                <w:rFonts w:asciiTheme="majorBidi" w:hAnsiTheme="majorBidi" w:cstheme="majorBidi"/>
                <w:color w:val="auto"/>
                <w:sz w:val="24"/>
                <w:szCs w:val="24"/>
              </w:rPr>
              <w:t xml:space="preserve"> M, Qian H-Z, Chen YQ, Wang Y, Vallejo V, Quezada W, Flaquer M, Olivo J, Castillo J, García N, Calderón K, Cueto S, Veras B, Russo M, Jiménez I, Guzmán S, Garabito L, Cueto E, Colombo F, Taveras D, Torres D, Baez J, </w:t>
            </w:r>
            <w:proofErr w:type="spellStart"/>
            <w:r w:rsidRPr="005D7F33">
              <w:rPr>
                <w:rFonts w:asciiTheme="majorBidi" w:hAnsiTheme="majorBidi" w:cstheme="majorBidi"/>
                <w:color w:val="auto"/>
                <w:sz w:val="24"/>
                <w:szCs w:val="24"/>
              </w:rPr>
              <w:t>Yunen</w:t>
            </w:r>
            <w:proofErr w:type="spellEnd"/>
            <w:r w:rsidRPr="005D7F33">
              <w:rPr>
                <w:rFonts w:asciiTheme="majorBidi" w:hAnsiTheme="majorBidi" w:cstheme="majorBidi"/>
                <w:color w:val="auto"/>
                <w:sz w:val="24"/>
                <w:szCs w:val="24"/>
              </w:rPr>
              <w:t xml:space="preserve"> J, Koenig E, Pérez E, López O, Severino Medina FE, Wang X, Shao Y, Vermund SH. Population-level effectiveness of an inactivated whole-virion COVID-19 vaccine: a test-negative case-control study in the Dominican Republic. Open Forum Infect Dis. 2023;10(3):ofad075. doi:10.1093/</w:t>
            </w:r>
            <w:proofErr w:type="spellStart"/>
            <w:r w:rsidRPr="005D7F33">
              <w:rPr>
                <w:rFonts w:asciiTheme="majorBidi" w:hAnsiTheme="majorBidi" w:cstheme="majorBidi"/>
                <w:color w:val="auto"/>
                <w:sz w:val="24"/>
                <w:szCs w:val="24"/>
              </w:rPr>
              <w:t>ofid</w:t>
            </w:r>
            <w:proofErr w:type="spellEnd"/>
            <w:r w:rsidRPr="005D7F33">
              <w:rPr>
                <w:rFonts w:asciiTheme="majorBidi" w:hAnsiTheme="majorBidi" w:cstheme="majorBidi"/>
                <w:color w:val="auto"/>
                <w:sz w:val="24"/>
                <w:szCs w:val="24"/>
              </w:rPr>
              <w:t>/ofad075.</w:t>
            </w:r>
          </w:p>
        </w:tc>
        <w:tc>
          <w:tcPr>
            <w:tcW w:w="5938" w:type="dxa"/>
          </w:tcPr>
          <w:p w14:paraId="1C797BDD" w14:textId="77777777" w:rsidR="009405C7" w:rsidRPr="005D7F33" w:rsidRDefault="009405C7"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rPr>
              <w:t>Outside the prespecified review scope. This test-negative case-control study evaluated the effectiveness of a two-dose inactivated COVID-19 vaccine (CoronaVac) against symptomatic infection and severe outcomes during the pre-Omicron period (August–November 2021), when ancestral, gamma, and delta variants predominated. The study does not include Omicron-era data, and its effectiveness estimates are therefore not directly applicable to or comparable with Omicron and post-Omicron variant effectiveness, which is the focus of this review.</w:t>
            </w:r>
          </w:p>
        </w:tc>
      </w:tr>
      <w:tr w:rsidR="009405C7" w14:paraId="4F546F8E" w14:textId="77777777" w:rsidTr="00B20255">
        <w:tc>
          <w:tcPr>
            <w:tcW w:w="5403" w:type="dxa"/>
          </w:tcPr>
          <w:p w14:paraId="1CEAD221" w14:textId="61F54331" w:rsidR="009405C7" w:rsidRPr="005D7F33" w:rsidRDefault="005D7F33"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lang w:val="en-AU"/>
              </w:rPr>
              <w:t xml:space="preserve">Rane MS, Robertson MM, Kulkarni SG, </w:t>
            </w:r>
            <w:proofErr w:type="spellStart"/>
            <w:r w:rsidRPr="005D7F33">
              <w:rPr>
                <w:rFonts w:asciiTheme="majorBidi" w:hAnsiTheme="majorBidi" w:cstheme="majorBidi"/>
                <w:color w:val="auto"/>
                <w:sz w:val="24"/>
                <w:szCs w:val="24"/>
                <w:lang w:val="en-AU"/>
              </w:rPr>
              <w:t>Frogel</w:t>
            </w:r>
            <w:proofErr w:type="spellEnd"/>
            <w:r w:rsidRPr="005D7F33">
              <w:rPr>
                <w:rFonts w:asciiTheme="majorBidi" w:hAnsiTheme="majorBidi" w:cstheme="majorBidi"/>
                <w:color w:val="auto"/>
                <w:sz w:val="24"/>
                <w:szCs w:val="24"/>
                <w:lang w:val="en-AU"/>
              </w:rPr>
              <w:t xml:space="preserve"> D, </w:t>
            </w:r>
            <w:proofErr w:type="spellStart"/>
            <w:r w:rsidRPr="005D7F33">
              <w:rPr>
                <w:rFonts w:asciiTheme="majorBidi" w:hAnsiTheme="majorBidi" w:cstheme="majorBidi"/>
                <w:color w:val="auto"/>
                <w:sz w:val="24"/>
                <w:szCs w:val="24"/>
                <w:lang w:val="en-AU"/>
              </w:rPr>
              <w:t>Gainus</w:t>
            </w:r>
            <w:proofErr w:type="spellEnd"/>
            <w:r w:rsidRPr="005D7F33">
              <w:rPr>
                <w:rFonts w:asciiTheme="majorBidi" w:hAnsiTheme="majorBidi" w:cstheme="majorBidi"/>
                <w:color w:val="auto"/>
                <w:sz w:val="24"/>
                <w:szCs w:val="24"/>
                <w:lang w:val="en-AU"/>
              </w:rPr>
              <w:t xml:space="preserve"> C, Nash D. Effectiveness of COVID-19 vaccines against symptomatic and asymptomatic SARS-CoV-2 infections in an urgent care setting. </w:t>
            </w:r>
            <w:proofErr w:type="spellStart"/>
            <w:r w:rsidRPr="005D7F33">
              <w:rPr>
                <w:rFonts w:asciiTheme="majorBidi" w:hAnsiTheme="majorBidi" w:cstheme="majorBidi"/>
                <w:color w:val="auto"/>
                <w:sz w:val="24"/>
                <w:szCs w:val="24"/>
                <w:lang w:val="nb-NO"/>
              </w:rPr>
              <w:t>Vaccine</w:t>
            </w:r>
            <w:proofErr w:type="spellEnd"/>
            <w:r w:rsidRPr="005D7F33">
              <w:rPr>
                <w:rFonts w:asciiTheme="majorBidi" w:hAnsiTheme="majorBidi" w:cstheme="majorBidi"/>
                <w:color w:val="auto"/>
                <w:sz w:val="24"/>
                <w:szCs w:val="24"/>
                <w:lang w:val="nb-NO"/>
              </w:rPr>
              <w:t>. 2023;41(6):989–998. doi:10.1016/j.vaccine.2022.12.039.</w:t>
            </w:r>
          </w:p>
        </w:tc>
        <w:tc>
          <w:tcPr>
            <w:tcW w:w="5938" w:type="dxa"/>
          </w:tcPr>
          <w:p w14:paraId="778BF575" w14:textId="7BEDB243" w:rsidR="009405C7" w:rsidRPr="005D7F33" w:rsidRDefault="009405C7"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rPr>
              <w:t>Outside the prespecified review scope. This test-negative case–control study conducted in an urgent care testing population evaluated vaccine effectiveness against symptomatic and asymptomatic SARS-CoV-2 infection only during the pre-Delta and Delta periods. The study did not assess vaccine effectiveness against hospitali</w:t>
            </w:r>
            <w:r w:rsidR="00F10ED1" w:rsidRPr="005D7F33">
              <w:rPr>
                <w:rFonts w:asciiTheme="majorBidi" w:hAnsiTheme="majorBidi" w:cstheme="majorBidi"/>
                <w:color w:val="auto"/>
                <w:sz w:val="24"/>
                <w:szCs w:val="24"/>
              </w:rPr>
              <w:t>z</w:t>
            </w:r>
            <w:r w:rsidRPr="005D7F33">
              <w:rPr>
                <w:rFonts w:asciiTheme="majorBidi" w:hAnsiTheme="majorBidi" w:cstheme="majorBidi"/>
                <w:color w:val="auto"/>
                <w:sz w:val="24"/>
                <w:szCs w:val="24"/>
              </w:rPr>
              <w:t>ation, severe or critical disease, ICU admission, or mortality, and therefore provides no extractable effectiveness estimates for severe COVID-19 outcomes relevant to this review.</w:t>
            </w:r>
          </w:p>
        </w:tc>
      </w:tr>
      <w:tr w:rsidR="009405C7" w14:paraId="481BD14D" w14:textId="77777777" w:rsidTr="00B20255">
        <w:tc>
          <w:tcPr>
            <w:tcW w:w="5403" w:type="dxa"/>
          </w:tcPr>
          <w:p w14:paraId="754883B5" w14:textId="2F53FBE5" w:rsidR="009405C7" w:rsidRPr="005D7F33" w:rsidRDefault="005D7F33"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lang w:val="en-AU"/>
              </w:rPr>
              <w:t xml:space="preserve">Rennert L, Ma Z, McMahan CS, Dean D. Covid-19 vaccine effectiveness against general SARS-CoV-2 infection from the omicron variant: a retrospective cohort study. </w:t>
            </w:r>
            <w:r w:rsidRPr="005D7F33">
              <w:rPr>
                <w:rFonts w:asciiTheme="majorBidi" w:hAnsiTheme="majorBidi" w:cstheme="majorBidi"/>
                <w:color w:val="auto"/>
                <w:sz w:val="24"/>
                <w:szCs w:val="24"/>
                <w:lang w:val="nb-NO"/>
              </w:rPr>
              <w:t>PLOS Glob Public Health. 2023;3(1):e0001111. doi:10.1371/journal.pgph.0001111.</w:t>
            </w:r>
          </w:p>
        </w:tc>
        <w:tc>
          <w:tcPr>
            <w:tcW w:w="5938" w:type="dxa"/>
          </w:tcPr>
          <w:p w14:paraId="79F1B0E2" w14:textId="770F7E58" w:rsidR="009405C7" w:rsidRPr="005D7F33" w:rsidRDefault="009405C7"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rPr>
              <w:t>Outside the prespecified review scope. This retrospective cohort study conducted in a university student and employee population evaluated vaccine effectiveness against general SARS-CoV-2 infection (asymptomatic and symptomatic) only during the Omicron BA.1 period. The study did not assess vaccine effectiveness against hospitali</w:t>
            </w:r>
            <w:r w:rsidR="00F10ED1" w:rsidRPr="005D7F33">
              <w:rPr>
                <w:rFonts w:asciiTheme="majorBidi" w:hAnsiTheme="majorBidi" w:cstheme="majorBidi"/>
                <w:color w:val="auto"/>
                <w:sz w:val="24"/>
                <w:szCs w:val="24"/>
              </w:rPr>
              <w:t>z</w:t>
            </w:r>
            <w:r w:rsidRPr="005D7F33">
              <w:rPr>
                <w:rFonts w:asciiTheme="majorBidi" w:hAnsiTheme="majorBidi" w:cstheme="majorBidi"/>
                <w:color w:val="auto"/>
                <w:sz w:val="24"/>
                <w:szCs w:val="24"/>
              </w:rPr>
              <w:t>ation, severe or critical disease, ICU admission, or mortality, and therefore provides no extractable effectiveness estimates for severe COVID-19 outcomes relevant to this review.</w:t>
            </w:r>
          </w:p>
        </w:tc>
      </w:tr>
      <w:tr w:rsidR="009405C7" w14:paraId="1C622547" w14:textId="77777777" w:rsidTr="00B20255">
        <w:tc>
          <w:tcPr>
            <w:tcW w:w="5403" w:type="dxa"/>
          </w:tcPr>
          <w:p w14:paraId="6E3952E8" w14:textId="1A0B6718" w:rsidR="009405C7" w:rsidRPr="005D7F33" w:rsidRDefault="005D7F33"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rPr>
              <w:t xml:space="preserve">Rosa RG, </w:t>
            </w:r>
            <w:proofErr w:type="spellStart"/>
            <w:r w:rsidRPr="005D7F33">
              <w:rPr>
                <w:rFonts w:asciiTheme="majorBidi" w:hAnsiTheme="majorBidi" w:cstheme="majorBidi"/>
                <w:color w:val="auto"/>
                <w:sz w:val="24"/>
                <w:szCs w:val="24"/>
              </w:rPr>
              <w:t>Falavigna</w:t>
            </w:r>
            <w:proofErr w:type="spellEnd"/>
            <w:r w:rsidRPr="005D7F33">
              <w:rPr>
                <w:rFonts w:asciiTheme="majorBidi" w:hAnsiTheme="majorBidi" w:cstheme="majorBidi"/>
                <w:color w:val="auto"/>
                <w:sz w:val="24"/>
                <w:szCs w:val="24"/>
              </w:rPr>
              <w:t xml:space="preserve"> M, </w:t>
            </w:r>
            <w:proofErr w:type="spellStart"/>
            <w:r w:rsidRPr="005D7F33">
              <w:rPr>
                <w:rFonts w:asciiTheme="majorBidi" w:hAnsiTheme="majorBidi" w:cstheme="majorBidi"/>
                <w:color w:val="auto"/>
                <w:sz w:val="24"/>
                <w:szCs w:val="24"/>
              </w:rPr>
              <w:t>Manfio</w:t>
            </w:r>
            <w:proofErr w:type="spellEnd"/>
            <w:r w:rsidRPr="005D7F33">
              <w:rPr>
                <w:rFonts w:asciiTheme="majorBidi" w:hAnsiTheme="majorBidi" w:cstheme="majorBidi"/>
                <w:color w:val="auto"/>
                <w:sz w:val="24"/>
                <w:szCs w:val="24"/>
              </w:rPr>
              <w:t xml:space="preserve"> JL, de Araujo CLP, Cohen M, Barbosa GRG do Valle, de Souza AP, Silva FKR, </w:t>
            </w:r>
            <w:proofErr w:type="spellStart"/>
            <w:r w:rsidRPr="005D7F33">
              <w:rPr>
                <w:rFonts w:asciiTheme="majorBidi" w:hAnsiTheme="majorBidi" w:cstheme="majorBidi"/>
                <w:color w:val="auto"/>
                <w:sz w:val="24"/>
                <w:szCs w:val="24"/>
              </w:rPr>
              <w:t>Sganzerla</w:t>
            </w:r>
            <w:proofErr w:type="spellEnd"/>
            <w:r w:rsidRPr="005D7F33">
              <w:rPr>
                <w:rFonts w:asciiTheme="majorBidi" w:hAnsiTheme="majorBidi" w:cstheme="majorBidi"/>
                <w:color w:val="auto"/>
                <w:sz w:val="24"/>
                <w:szCs w:val="24"/>
              </w:rPr>
              <w:t xml:space="preserve"> D, Dias da Silva MM, Ferreira D, Rodrigues C de O, de Souza EM, de Oliveira JC, </w:t>
            </w:r>
            <w:proofErr w:type="spellStart"/>
            <w:r w:rsidRPr="005D7F33">
              <w:rPr>
                <w:rFonts w:asciiTheme="majorBidi" w:hAnsiTheme="majorBidi" w:cstheme="majorBidi"/>
                <w:color w:val="auto"/>
                <w:sz w:val="24"/>
                <w:szCs w:val="24"/>
              </w:rPr>
              <w:t>Gradia</w:t>
            </w:r>
            <w:proofErr w:type="spellEnd"/>
            <w:r w:rsidRPr="005D7F33">
              <w:rPr>
                <w:rFonts w:asciiTheme="majorBidi" w:hAnsiTheme="majorBidi" w:cstheme="majorBidi"/>
                <w:color w:val="auto"/>
                <w:sz w:val="24"/>
                <w:szCs w:val="24"/>
              </w:rPr>
              <w:t xml:space="preserve"> DF, </w:t>
            </w:r>
            <w:proofErr w:type="spellStart"/>
            <w:r w:rsidRPr="005D7F33">
              <w:rPr>
                <w:rFonts w:asciiTheme="majorBidi" w:hAnsiTheme="majorBidi" w:cstheme="majorBidi"/>
                <w:color w:val="auto"/>
                <w:sz w:val="24"/>
                <w:szCs w:val="24"/>
              </w:rPr>
              <w:t>Brandalize</w:t>
            </w:r>
            <w:proofErr w:type="spellEnd"/>
            <w:r w:rsidRPr="005D7F33">
              <w:rPr>
                <w:rFonts w:asciiTheme="majorBidi" w:hAnsiTheme="majorBidi" w:cstheme="majorBidi"/>
                <w:color w:val="auto"/>
                <w:sz w:val="24"/>
                <w:szCs w:val="24"/>
              </w:rPr>
              <w:t xml:space="preserve"> APC, Royer CA, Luiz RM, Kucharski GA, Pedrotti F, Valluri SR, Srivastava A, Juliao VW, Melone OC, Allen KE, Kyaw MH, </w:t>
            </w:r>
            <w:proofErr w:type="spellStart"/>
            <w:r w:rsidRPr="005D7F33">
              <w:rPr>
                <w:rFonts w:asciiTheme="majorBidi" w:hAnsiTheme="majorBidi" w:cstheme="majorBidi"/>
                <w:color w:val="auto"/>
                <w:sz w:val="24"/>
                <w:szCs w:val="24"/>
              </w:rPr>
              <w:t>Spinardi</w:t>
            </w:r>
            <w:proofErr w:type="spellEnd"/>
            <w:r w:rsidRPr="005D7F33">
              <w:rPr>
                <w:rFonts w:asciiTheme="majorBidi" w:hAnsiTheme="majorBidi" w:cstheme="majorBidi"/>
                <w:color w:val="auto"/>
                <w:sz w:val="24"/>
                <w:szCs w:val="24"/>
              </w:rPr>
              <w:t xml:space="preserve"> J, Morales Castillo G del C, McLaughlin JM. BNT162b2 mRNA COVID-19 against symptomatic Omicron infection following a mass vaccination campaign in southern Brazil: a prospective test-negative design study. Vaccine. 2023;41(37):5461–5468. doi:10.1016/j.vaccine.2023.07.038.</w:t>
            </w:r>
          </w:p>
        </w:tc>
        <w:tc>
          <w:tcPr>
            <w:tcW w:w="5938" w:type="dxa"/>
          </w:tcPr>
          <w:p w14:paraId="282E899D" w14:textId="796B9299" w:rsidR="009405C7" w:rsidRPr="005D7F33" w:rsidRDefault="009405C7"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rPr>
              <w:t>Outside the prespecified review scope. The study evaluates the effectiveness of a two-dose ancestral (monovalent) BNT162b2 primary series against symptomatic SARS-CoV-2 infection during early Omicron circulation (BA.1–BA.2; limited BA.5) between November 2021 and June 2022. It predates the updated/variant-adapted vaccine era and does not provide effectiveness estimates for later Omicron subvariants (XBB, JN.1, KP.3) or for severe clinical outcomes prioritized in this review.</w:t>
            </w:r>
          </w:p>
        </w:tc>
      </w:tr>
      <w:tr w:rsidR="009405C7" w14:paraId="2EEC776E" w14:textId="77777777" w:rsidTr="00B20255">
        <w:tc>
          <w:tcPr>
            <w:tcW w:w="5403" w:type="dxa"/>
          </w:tcPr>
          <w:p w14:paraId="7C3CD514" w14:textId="64189E22" w:rsidR="009405C7" w:rsidRPr="005D7F33" w:rsidRDefault="005D7F33"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rPr>
              <w:t xml:space="preserve">Rose AMC, Nicolay N, </w:t>
            </w:r>
            <w:proofErr w:type="spellStart"/>
            <w:r w:rsidRPr="005D7F33">
              <w:rPr>
                <w:rFonts w:asciiTheme="majorBidi" w:hAnsiTheme="majorBidi" w:cstheme="majorBidi"/>
                <w:color w:val="auto"/>
                <w:sz w:val="24"/>
                <w:szCs w:val="24"/>
              </w:rPr>
              <w:t>Sandonis</w:t>
            </w:r>
            <w:proofErr w:type="spellEnd"/>
            <w:r w:rsidRPr="005D7F33">
              <w:rPr>
                <w:rFonts w:asciiTheme="majorBidi" w:hAnsiTheme="majorBidi" w:cstheme="majorBidi"/>
                <w:color w:val="auto"/>
                <w:sz w:val="24"/>
                <w:szCs w:val="24"/>
              </w:rPr>
              <w:t xml:space="preserve"> Martín V, </w:t>
            </w:r>
            <w:proofErr w:type="spellStart"/>
            <w:r w:rsidRPr="005D7F33">
              <w:rPr>
                <w:rFonts w:asciiTheme="majorBidi" w:hAnsiTheme="majorBidi" w:cstheme="majorBidi"/>
                <w:color w:val="auto"/>
                <w:sz w:val="24"/>
                <w:szCs w:val="24"/>
              </w:rPr>
              <w:t>Mazagatos</w:t>
            </w:r>
            <w:proofErr w:type="spellEnd"/>
            <w:r w:rsidRPr="005D7F33">
              <w:rPr>
                <w:rFonts w:asciiTheme="majorBidi" w:hAnsiTheme="majorBidi" w:cstheme="majorBidi"/>
                <w:color w:val="auto"/>
                <w:sz w:val="24"/>
                <w:szCs w:val="24"/>
              </w:rPr>
              <w:t xml:space="preserve"> C, Petrović G, Baruch J, </w:t>
            </w:r>
            <w:proofErr w:type="spellStart"/>
            <w:r w:rsidRPr="005D7F33">
              <w:rPr>
                <w:rFonts w:asciiTheme="majorBidi" w:hAnsiTheme="majorBidi" w:cstheme="majorBidi"/>
                <w:color w:val="auto"/>
                <w:sz w:val="24"/>
                <w:szCs w:val="24"/>
              </w:rPr>
              <w:t>Denayer</w:t>
            </w:r>
            <w:proofErr w:type="spellEnd"/>
            <w:r w:rsidRPr="005D7F33">
              <w:rPr>
                <w:rFonts w:asciiTheme="majorBidi" w:hAnsiTheme="majorBidi" w:cstheme="majorBidi"/>
                <w:color w:val="auto"/>
                <w:sz w:val="24"/>
                <w:szCs w:val="24"/>
              </w:rPr>
              <w:t xml:space="preserve"> S, Seyler L, </w:t>
            </w:r>
            <w:proofErr w:type="spellStart"/>
            <w:r w:rsidRPr="005D7F33">
              <w:rPr>
                <w:rFonts w:asciiTheme="majorBidi" w:hAnsiTheme="majorBidi" w:cstheme="majorBidi"/>
                <w:color w:val="auto"/>
                <w:sz w:val="24"/>
                <w:szCs w:val="24"/>
              </w:rPr>
              <w:t>Domegan</w:t>
            </w:r>
            <w:proofErr w:type="spellEnd"/>
            <w:r w:rsidRPr="005D7F33">
              <w:rPr>
                <w:rFonts w:asciiTheme="majorBidi" w:hAnsiTheme="majorBidi" w:cstheme="majorBidi"/>
                <w:color w:val="auto"/>
                <w:sz w:val="24"/>
                <w:szCs w:val="24"/>
              </w:rPr>
              <w:t xml:space="preserve"> L, Launay O, Machado A, </w:t>
            </w:r>
            <w:proofErr w:type="spellStart"/>
            <w:r w:rsidRPr="005D7F33">
              <w:rPr>
                <w:rFonts w:asciiTheme="majorBidi" w:hAnsiTheme="majorBidi" w:cstheme="majorBidi"/>
                <w:color w:val="auto"/>
                <w:sz w:val="24"/>
                <w:szCs w:val="24"/>
              </w:rPr>
              <w:t>Burgui</w:t>
            </w:r>
            <w:proofErr w:type="spellEnd"/>
            <w:r w:rsidRPr="005D7F33">
              <w:rPr>
                <w:rFonts w:asciiTheme="majorBidi" w:hAnsiTheme="majorBidi" w:cstheme="majorBidi"/>
                <w:color w:val="auto"/>
                <w:sz w:val="24"/>
                <w:szCs w:val="24"/>
              </w:rPr>
              <w:t xml:space="preserve"> C, </w:t>
            </w:r>
            <w:proofErr w:type="spellStart"/>
            <w:r w:rsidRPr="005D7F33">
              <w:rPr>
                <w:rFonts w:asciiTheme="majorBidi" w:hAnsiTheme="majorBidi" w:cstheme="majorBidi"/>
                <w:color w:val="auto"/>
                <w:sz w:val="24"/>
                <w:szCs w:val="24"/>
              </w:rPr>
              <w:t>Vaikutyte</w:t>
            </w:r>
            <w:proofErr w:type="spellEnd"/>
            <w:r w:rsidRPr="005D7F33">
              <w:rPr>
                <w:rFonts w:asciiTheme="majorBidi" w:hAnsiTheme="majorBidi" w:cstheme="majorBidi"/>
                <w:color w:val="auto"/>
                <w:sz w:val="24"/>
                <w:szCs w:val="24"/>
              </w:rPr>
              <w:t xml:space="preserve"> R, Niessen FA, Loghin II, Husa P, </w:t>
            </w:r>
            <w:proofErr w:type="spellStart"/>
            <w:r w:rsidRPr="005D7F33">
              <w:rPr>
                <w:rFonts w:asciiTheme="majorBidi" w:hAnsiTheme="majorBidi" w:cstheme="majorBidi"/>
                <w:color w:val="auto"/>
                <w:sz w:val="24"/>
                <w:szCs w:val="24"/>
              </w:rPr>
              <w:t>Aouali</w:t>
            </w:r>
            <w:proofErr w:type="spellEnd"/>
            <w:r w:rsidRPr="005D7F33">
              <w:rPr>
                <w:rFonts w:asciiTheme="majorBidi" w:hAnsiTheme="majorBidi" w:cstheme="majorBidi"/>
                <w:color w:val="auto"/>
                <w:sz w:val="24"/>
                <w:szCs w:val="24"/>
              </w:rPr>
              <w:t xml:space="preserve"> N, </w:t>
            </w:r>
            <w:proofErr w:type="spellStart"/>
            <w:r w:rsidRPr="005D7F33">
              <w:rPr>
                <w:rFonts w:asciiTheme="majorBidi" w:hAnsiTheme="majorBidi" w:cstheme="majorBidi"/>
                <w:color w:val="auto"/>
                <w:sz w:val="24"/>
                <w:szCs w:val="24"/>
              </w:rPr>
              <w:t>Panagiotakopoulos</w:t>
            </w:r>
            <w:proofErr w:type="spellEnd"/>
            <w:r w:rsidRPr="005D7F33">
              <w:rPr>
                <w:rFonts w:asciiTheme="majorBidi" w:hAnsiTheme="majorBidi" w:cstheme="majorBidi"/>
                <w:color w:val="auto"/>
                <w:sz w:val="24"/>
                <w:szCs w:val="24"/>
              </w:rPr>
              <w:t xml:space="preserve"> G, Tolksdorf K, Horváth JK, Howard J, Pozo F, Gallardo V, </w:t>
            </w:r>
            <w:proofErr w:type="spellStart"/>
            <w:r w:rsidRPr="005D7F33">
              <w:rPr>
                <w:rFonts w:asciiTheme="majorBidi" w:hAnsiTheme="majorBidi" w:cstheme="majorBidi"/>
                <w:color w:val="auto"/>
                <w:sz w:val="24"/>
                <w:szCs w:val="24"/>
              </w:rPr>
              <w:t>Nonković</w:t>
            </w:r>
            <w:proofErr w:type="spellEnd"/>
            <w:r w:rsidRPr="005D7F33">
              <w:rPr>
                <w:rFonts w:asciiTheme="majorBidi" w:hAnsiTheme="majorBidi" w:cstheme="majorBidi"/>
                <w:color w:val="auto"/>
                <w:sz w:val="24"/>
                <w:szCs w:val="24"/>
              </w:rPr>
              <w:t xml:space="preserve"> D, </w:t>
            </w:r>
            <w:proofErr w:type="spellStart"/>
            <w:r w:rsidRPr="005D7F33">
              <w:rPr>
                <w:rFonts w:asciiTheme="majorBidi" w:hAnsiTheme="majorBidi" w:cstheme="majorBidi"/>
                <w:color w:val="auto"/>
                <w:sz w:val="24"/>
                <w:szCs w:val="24"/>
              </w:rPr>
              <w:t>Džiugytė</w:t>
            </w:r>
            <w:proofErr w:type="spellEnd"/>
            <w:r w:rsidRPr="005D7F33">
              <w:rPr>
                <w:rFonts w:asciiTheme="majorBidi" w:hAnsiTheme="majorBidi" w:cstheme="majorBidi"/>
                <w:color w:val="auto"/>
                <w:sz w:val="24"/>
                <w:szCs w:val="24"/>
              </w:rPr>
              <w:t xml:space="preserve"> A, Bossuyt N, </w:t>
            </w:r>
            <w:proofErr w:type="spellStart"/>
            <w:r w:rsidRPr="005D7F33">
              <w:rPr>
                <w:rFonts w:asciiTheme="majorBidi" w:hAnsiTheme="majorBidi" w:cstheme="majorBidi"/>
                <w:color w:val="auto"/>
                <w:sz w:val="24"/>
                <w:szCs w:val="24"/>
              </w:rPr>
              <w:t>Demuyser</w:t>
            </w:r>
            <w:proofErr w:type="spellEnd"/>
            <w:r w:rsidRPr="005D7F33">
              <w:rPr>
                <w:rFonts w:asciiTheme="majorBidi" w:hAnsiTheme="majorBidi" w:cstheme="majorBidi"/>
                <w:color w:val="auto"/>
                <w:sz w:val="24"/>
                <w:szCs w:val="24"/>
              </w:rPr>
              <w:t xml:space="preserve"> T, Duffy R, Luong Nguyen </w:t>
            </w:r>
            <w:r w:rsidRPr="005D7F33">
              <w:rPr>
                <w:rFonts w:asciiTheme="majorBidi" w:hAnsiTheme="majorBidi" w:cstheme="majorBidi"/>
                <w:color w:val="auto"/>
                <w:sz w:val="24"/>
                <w:szCs w:val="24"/>
              </w:rPr>
              <w:lastRenderedPageBreak/>
              <w:t xml:space="preserve">LB, </w:t>
            </w:r>
            <w:proofErr w:type="spellStart"/>
            <w:r w:rsidRPr="005D7F33">
              <w:rPr>
                <w:rFonts w:asciiTheme="majorBidi" w:hAnsiTheme="majorBidi" w:cstheme="majorBidi"/>
                <w:color w:val="auto"/>
                <w:sz w:val="24"/>
                <w:szCs w:val="24"/>
              </w:rPr>
              <w:t>Kislaya</w:t>
            </w:r>
            <w:proofErr w:type="spellEnd"/>
            <w:r w:rsidRPr="005D7F33">
              <w:rPr>
                <w:rFonts w:asciiTheme="majorBidi" w:hAnsiTheme="majorBidi" w:cstheme="majorBidi"/>
                <w:color w:val="auto"/>
                <w:sz w:val="24"/>
                <w:szCs w:val="24"/>
              </w:rPr>
              <w:t xml:space="preserve"> I, Martínez-Baz I, </w:t>
            </w:r>
            <w:proofErr w:type="spellStart"/>
            <w:r w:rsidRPr="005D7F33">
              <w:rPr>
                <w:rFonts w:asciiTheme="majorBidi" w:hAnsiTheme="majorBidi" w:cstheme="majorBidi"/>
                <w:color w:val="auto"/>
                <w:sz w:val="24"/>
                <w:szCs w:val="24"/>
              </w:rPr>
              <w:t>Gefenaite</w:t>
            </w:r>
            <w:proofErr w:type="spellEnd"/>
            <w:r w:rsidRPr="005D7F33">
              <w:rPr>
                <w:rFonts w:asciiTheme="majorBidi" w:hAnsiTheme="majorBidi" w:cstheme="majorBidi"/>
                <w:color w:val="auto"/>
                <w:sz w:val="24"/>
                <w:szCs w:val="24"/>
              </w:rPr>
              <w:t xml:space="preserve"> G, Knol MJ, Popescu C, Součková L, Simon M, </w:t>
            </w:r>
            <w:proofErr w:type="spellStart"/>
            <w:r w:rsidRPr="005D7F33">
              <w:rPr>
                <w:rFonts w:asciiTheme="majorBidi" w:hAnsiTheme="majorBidi" w:cstheme="majorBidi"/>
                <w:color w:val="auto"/>
                <w:sz w:val="24"/>
                <w:szCs w:val="24"/>
              </w:rPr>
              <w:t>Michelaki</w:t>
            </w:r>
            <w:proofErr w:type="spellEnd"/>
            <w:r w:rsidRPr="005D7F33">
              <w:rPr>
                <w:rFonts w:asciiTheme="majorBidi" w:hAnsiTheme="majorBidi" w:cstheme="majorBidi"/>
                <w:color w:val="auto"/>
                <w:sz w:val="24"/>
                <w:szCs w:val="24"/>
              </w:rPr>
              <w:t xml:space="preserve"> S, Reiche J, Ferenczi A, Delgado-Sanz C, Lovrić </w:t>
            </w:r>
            <w:proofErr w:type="spellStart"/>
            <w:r w:rsidRPr="005D7F33">
              <w:rPr>
                <w:rFonts w:asciiTheme="majorBidi" w:hAnsiTheme="majorBidi" w:cstheme="majorBidi"/>
                <w:color w:val="auto"/>
                <w:sz w:val="24"/>
                <w:szCs w:val="24"/>
              </w:rPr>
              <w:t>Makarić</w:t>
            </w:r>
            <w:proofErr w:type="spellEnd"/>
            <w:r w:rsidRPr="005D7F33">
              <w:rPr>
                <w:rFonts w:asciiTheme="majorBidi" w:hAnsiTheme="majorBidi" w:cstheme="majorBidi"/>
                <w:color w:val="auto"/>
                <w:sz w:val="24"/>
                <w:szCs w:val="24"/>
              </w:rPr>
              <w:t xml:space="preserve"> Z, Cauchi JP, </w:t>
            </w:r>
            <w:proofErr w:type="spellStart"/>
            <w:r w:rsidRPr="005D7F33">
              <w:rPr>
                <w:rFonts w:asciiTheme="majorBidi" w:hAnsiTheme="majorBidi" w:cstheme="majorBidi"/>
                <w:color w:val="auto"/>
                <w:sz w:val="24"/>
                <w:szCs w:val="24"/>
              </w:rPr>
              <w:t>Barbezange</w:t>
            </w:r>
            <w:proofErr w:type="spellEnd"/>
            <w:r w:rsidRPr="005D7F33">
              <w:rPr>
                <w:rFonts w:asciiTheme="majorBidi" w:hAnsiTheme="majorBidi" w:cstheme="majorBidi"/>
                <w:color w:val="auto"/>
                <w:sz w:val="24"/>
                <w:szCs w:val="24"/>
              </w:rPr>
              <w:t xml:space="preserve"> C, Van </w:t>
            </w:r>
            <w:proofErr w:type="spellStart"/>
            <w:r w:rsidRPr="005D7F33">
              <w:rPr>
                <w:rFonts w:asciiTheme="majorBidi" w:hAnsiTheme="majorBidi" w:cstheme="majorBidi"/>
                <w:color w:val="auto"/>
                <w:sz w:val="24"/>
                <w:szCs w:val="24"/>
              </w:rPr>
              <w:t>Nedervelde</w:t>
            </w:r>
            <w:proofErr w:type="spellEnd"/>
            <w:r w:rsidRPr="005D7F33">
              <w:rPr>
                <w:rFonts w:asciiTheme="majorBidi" w:hAnsiTheme="majorBidi" w:cstheme="majorBidi"/>
                <w:color w:val="auto"/>
                <w:sz w:val="24"/>
                <w:szCs w:val="24"/>
              </w:rPr>
              <w:t xml:space="preserve"> E, O’Donnell J, </w:t>
            </w:r>
            <w:proofErr w:type="spellStart"/>
            <w:r w:rsidRPr="005D7F33">
              <w:rPr>
                <w:rFonts w:asciiTheme="majorBidi" w:hAnsiTheme="majorBidi" w:cstheme="majorBidi"/>
                <w:color w:val="auto"/>
                <w:sz w:val="24"/>
                <w:szCs w:val="24"/>
              </w:rPr>
              <w:t>Durier</w:t>
            </w:r>
            <w:proofErr w:type="spellEnd"/>
            <w:r w:rsidRPr="005D7F33">
              <w:rPr>
                <w:rFonts w:asciiTheme="majorBidi" w:hAnsiTheme="majorBidi" w:cstheme="majorBidi"/>
                <w:color w:val="auto"/>
                <w:sz w:val="24"/>
                <w:szCs w:val="24"/>
              </w:rPr>
              <w:t xml:space="preserve"> C, Guiomar R, Castilla J, </w:t>
            </w:r>
            <w:proofErr w:type="spellStart"/>
            <w:r w:rsidRPr="005D7F33">
              <w:rPr>
                <w:rFonts w:asciiTheme="majorBidi" w:hAnsiTheme="majorBidi" w:cstheme="majorBidi"/>
                <w:color w:val="auto"/>
                <w:sz w:val="24"/>
                <w:szCs w:val="24"/>
              </w:rPr>
              <w:t>Jonikaite</w:t>
            </w:r>
            <w:proofErr w:type="spellEnd"/>
            <w:r w:rsidRPr="005D7F33">
              <w:rPr>
                <w:rFonts w:asciiTheme="majorBidi" w:hAnsiTheme="majorBidi" w:cstheme="majorBidi"/>
                <w:color w:val="auto"/>
                <w:sz w:val="24"/>
                <w:szCs w:val="24"/>
              </w:rPr>
              <w:t xml:space="preserve"> I, </w:t>
            </w:r>
            <w:proofErr w:type="spellStart"/>
            <w:r w:rsidRPr="005D7F33">
              <w:rPr>
                <w:rFonts w:asciiTheme="majorBidi" w:hAnsiTheme="majorBidi" w:cstheme="majorBidi"/>
                <w:color w:val="auto"/>
                <w:sz w:val="24"/>
                <w:szCs w:val="24"/>
              </w:rPr>
              <w:t>Bruijning</w:t>
            </w:r>
            <w:proofErr w:type="spellEnd"/>
            <w:r w:rsidRPr="005D7F33">
              <w:rPr>
                <w:rFonts w:asciiTheme="majorBidi" w:hAnsiTheme="majorBidi" w:cstheme="majorBidi"/>
                <w:color w:val="auto"/>
                <w:sz w:val="24"/>
                <w:szCs w:val="24"/>
              </w:rPr>
              <w:t xml:space="preserve">-Verhagen PCJL, Lazar M, </w:t>
            </w:r>
            <w:proofErr w:type="spellStart"/>
            <w:r w:rsidRPr="005D7F33">
              <w:rPr>
                <w:rFonts w:asciiTheme="majorBidi" w:hAnsiTheme="majorBidi" w:cstheme="majorBidi"/>
                <w:color w:val="auto"/>
                <w:sz w:val="24"/>
                <w:szCs w:val="24"/>
              </w:rPr>
              <w:t>Demlová</w:t>
            </w:r>
            <w:proofErr w:type="spellEnd"/>
            <w:r w:rsidRPr="005D7F33">
              <w:rPr>
                <w:rFonts w:asciiTheme="majorBidi" w:hAnsiTheme="majorBidi" w:cstheme="majorBidi"/>
                <w:color w:val="auto"/>
                <w:sz w:val="24"/>
                <w:szCs w:val="24"/>
              </w:rPr>
              <w:t xml:space="preserve"> R, Wirtz G, </w:t>
            </w:r>
            <w:proofErr w:type="spellStart"/>
            <w:r w:rsidRPr="005D7F33">
              <w:rPr>
                <w:rFonts w:asciiTheme="majorBidi" w:hAnsiTheme="majorBidi" w:cstheme="majorBidi"/>
                <w:color w:val="auto"/>
                <w:sz w:val="24"/>
                <w:szCs w:val="24"/>
              </w:rPr>
              <w:t>Amerali</w:t>
            </w:r>
            <w:proofErr w:type="spellEnd"/>
            <w:r w:rsidRPr="005D7F33">
              <w:rPr>
                <w:rFonts w:asciiTheme="majorBidi" w:hAnsiTheme="majorBidi" w:cstheme="majorBidi"/>
                <w:color w:val="auto"/>
                <w:sz w:val="24"/>
                <w:szCs w:val="24"/>
              </w:rPr>
              <w:t xml:space="preserve"> M, </w:t>
            </w:r>
            <w:proofErr w:type="spellStart"/>
            <w:r w:rsidRPr="005D7F33">
              <w:rPr>
                <w:rFonts w:asciiTheme="majorBidi" w:hAnsiTheme="majorBidi" w:cstheme="majorBidi"/>
                <w:color w:val="auto"/>
                <w:sz w:val="24"/>
                <w:szCs w:val="24"/>
              </w:rPr>
              <w:t>Dürrwald</w:t>
            </w:r>
            <w:proofErr w:type="spellEnd"/>
            <w:r w:rsidRPr="005D7F33">
              <w:rPr>
                <w:rFonts w:asciiTheme="majorBidi" w:hAnsiTheme="majorBidi" w:cstheme="majorBidi"/>
                <w:color w:val="auto"/>
                <w:sz w:val="24"/>
                <w:szCs w:val="24"/>
              </w:rPr>
              <w:t xml:space="preserve"> R, </w:t>
            </w:r>
            <w:proofErr w:type="spellStart"/>
            <w:r w:rsidRPr="005D7F33">
              <w:rPr>
                <w:rFonts w:asciiTheme="majorBidi" w:hAnsiTheme="majorBidi" w:cstheme="majorBidi"/>
                <w:color w:val="auto"/>
                <w:sz w:val="24"/>
                <w:szCs w:val="24"/>
              </w:rPr>
              <w:t>Kunstár</w:t>
            </w:r>
            <w:proofErr w:type="spellEnd"/>
            <w:r w:rsidRPr="005D7F33">
              <w:rPr>
                <w:rFonts w:asciiTheme="majorBidi" w:hAnsiTheme="majorBidi" w:cstheme="majorBidi"/>
                <w:color w:val="auto"/>
                <w:sz w:val="24"/>
                <w:szCs w:val="24"/>
              </w:rPr>
              <w:t xml:space="preserve"> MP, Kissling E, Bacci S, Valenciano M, I-MOVE-COVID-19 hospital study team, VEBIS hospital study team. Vaccine effectiveness against COVID-19 hospitalisation in adults (≥20 years) during Omicron-dominant circulation: I-MOVE-COVID-19 and VEBIS SARI VE networks, Europe, 2021 to 2022. Euro </w:t>
            </w:r>
            <w:proofErr w:type="spellStart"/>
            <w:r w:rsidRPr="005D7F33">
              <w:rPr>
                <w:rFonts w:asciiTheme="majorBidi" w:hAnsiTheme="majorBidi" w:cstheme="majorBidi"/>
                <w:color w:val="auto"/>
                <w:sz w:val="24"/>
                <w:szCs w:val="24"/>
              </w:rPr>
              <w:t>Surveill</w:t>
            </w:r>
            <w:proofErr w:type="spellEnd"/>
            <w:r w:rsidRPr="005D7F33">
              <w:rPr>
                <w:rFonts w:asciiTheme="majorBidi" w:hAnsiTheme="majorBidi" w:cstheme="majorBidi"/>
                <w:color w:val="auto"/>
                <w:sz w:val="24"/>
                <w:szCs w:val="24"/>
              </w:rPr>
              <w:t>. 2023;28(47):2300187. doi:10.2807/1560-7917.ES.2023.28.47.2300187.</w:t>
            </w:r>
          </w:p>
        </w:tc>
        <w:tc>
          <w:tcPr>
            <w:tcW w:w="5938" w:type="dxa"/>
          </w:tcPr>
          <w:p w14:paraId="44C75AA0" w14:textId="7BCF002F" w:rsidR="009405C7" w:rsidRPr="005D7F33" w:rsidRDefault="009405C7" w:rsidP="009405C7">
            <w:pPr>
              <w:pStyle w:val="MDPI31text"/>
              <w:ind w:left="0" w:firstLine="0"/>
              <w:rPr>
                <w:rFonts w:asciiTheme="majorBidi" w:hAnsiTheme="majorBidi" w:cstheme="majorBidi"/>
                <w:color w:val="auto"/>
                <w:sz w:val="24"/>
                <w:szCs w:val="24"/>
              </w:rPr>
            </w:pPr>
            <w:r w:rsidRPr="005D7F33">
              <w:rPr>
                <w:rFonts w:asciiTheme="majorBidi" w:hAnsiTheme="majorBidi" w:cstheme="majorBidi"/>
                <w:color w:val="auto"/>
                <w:sz w:val="24"/>
                <w:szCs w:val="24"/>
              </w:rPr>
              <w:lastRenderedPageBreak/>
              <w:t xml:space="preserve">Outside the prespecified review scope. The study was conducted during early Omicron circulation (December 2021–July 2022), primarily covering BA.1 and BA.2 with limited BA.4/BA.5 data, and evaluates vaccine effectiveness of ancestral (non-variant-adapted) primary series and first booster doses. It predates the updated/variant-adapted vaccine era and does not provide </w:t>
            </w:r>
            <w:r w:rsidRPr="005D7F33">
              <w:rPr>
                <w:rFonts w:asciiTheme="majorBidi" w:hAnsiTheme="majorBidi" w:cstheme="majorBidi"/>
                <w:color w:val="auto"/>
                <w:sz w:val="24"/>
                <w:szCs w:val="24"/>
              </w:rPr>
              <w:lastRenderedPageBreak/>
              <w:t>effectiveness estimates for later Omicron subvariants of interest (XBB, JN.1, or KP.3) that are the focus of this review.</w:t>
            </w:r>
          </w:p>
        </w:tc>
      </w:tr>
      <w:tr w:rsidR="009405C7" w14:paraId="08350A17" w14:textId="77777777" w:rsidTr="00B20255">
        <w:tc>
          <w:tcPr>
            <w:tcW w:w="5403" w:type="dxa"/>
          </w:tcPr>
          <w:p w14:paraId="40AE7F7E" w14:textId="63B51257" w:rsidR="009405C7" w:rsidRPr="00E76D06" w:rsidRDefault="00D556A6" w:rsidP="009405C7">
            <w:pPr>
              <w:pStyle w:val="MDPI31text"/>
              <w:ind w:left="0" w:firstLine="0"/>
              <w:rPr>
                <w:rFonts w:asciiTheme="majorBidi" w:hAnsiTheme="majorBidi" w:cstheme="majorBidi"/>
                <w:color w:val="auto"/>
                <w:sz w:val="24"/>
                <w:szCs w:val="24"/>
              </w:rPr>
            </w:pPr>
            <w:proofErr w:type="spellStart"/>
            <w:r w:rsidRPr="00E76D06">
              <w:rPr>
                <w:rFonts w:asciiTheme="majorBidi" w:hAnsiTheme="majorBidi" w:cstheme="majorBidi"/>
                <w:color w:val="auto"/>
                <w:sz w:val="24"/>
                <w:szCs w:val="24"/>
              </w:rPr>
              <w:lastRenderedPageBreak/>
              <w:t>Rosolen</w:t>
            </w:r>
            <w:proofErr w:type="spellEnd"/>
            <w:r w:rsidRPr="00E76D06">
              <w:rPr>
                <w:rFonts w:asciiTheme="majorBidi" w:hAnsiTheme="majorBidi" w:cstheme="majorBidi"/>
                <w:color w:val="auto"/>
                <w:sz w:val="24"/>
                <w:szCs w:val="24"/>
              </w:rPr>
              <w:t xml:space="preserve"> V, </w:t>
            </w:r>
            <w:proofErr w:type="spellStart"/>
            <w:r w:rsidRPr="00E76D06">
              <w:rPr>
                <w:rFonts w:asciiTheme="majorBidi" w:hAnsiTheme="majorBidi" w:cstheme="majorBidi"/>
                <w:color w:val="auto"/>
                <w:sz w:val="24"/>
                <w:szCs w:val="24"/>
              </w:rPr>
              <w:t>Turoldo</w:t>
            </w:r>
            <w:proofErr w:type="spellEnd"/>
            <w:r w:rsidRPr="00E76D06">
              <w:rPr>
                <w:rFonts w:asciiTheme="majorBidi" w:hAnsiTheme="majorBidi" w:cstheme="majorBidi"/>
                <w:color w:val="auto"/>
                <w:sz w:val="24"/>
                <w:szCs w:val="24"/>
              </w:rPr>
              <w:t xml:space="preserve"> F, </w:t>
            </w:r>
            <w:proofErr w:type="spellStart"/>
            <w:r w:rsidRPr="00E76D06">
              <w:rPr>
                <w:rFonts w:asciiTheme="majorBidi" w:hAnsiTheme="majorBidi" w:cstheme="majorBidi"/>
                <w:color w:val="auto"/>
                <w:sz w:val="24"/>
                <w:szCs w:val="24"/>
              </w:rPr>
              <w:t>Zamaro</w:t>
            </w:r>
            <w:proofErr w:type="spellEnd"/>
            <w:r w:rsidRPr="00E76D06">
              <w:rPr>
                <w:rFonts w:asciiTheme="majorBidi" w:hAnsiTheme="majorBidi" w:cstheme="majorBidi"/>
                <w:color w:val="auto"/>
                <w:sz w:val="24"/>
                <w:szCs w:val="24"/>
              </w:rPr>
              <w:t xml:space="preserve"> G, Del Bianco F, Pezzotti P, Castriotta L, Barbone F. COVID-19 vaccination effectiveness in the population of Friuli Venezia Giulia, North-East Italy: control of bias associated with divergent compliance to policies in a test-negative case–control study. BMC Public Health. 2023;23:2476. doi:10.1186/s12889-023-17244-9.</w:t>
            </w:r>
          </w:p>
        </w:tc>
        <w:tc>
          <w:tcPr>
            <w:tcW w:w="5938" w:type="dxa"/>
          </w:tcPr>
          <w:p w14:paraId="015DD806" w14:textId="3B17CF11" w:rsidR="009405C7" w:rsidRPr="00E76D06" w:rsidRDefault="009405C7" w:rsidP="009405C7">
            <w:pPr>
              <w:pStyle w:val="MDPI31text"/>
              <w:ind w:left="0" w:firstLine="0"/>
              <w:rPr>
                <w:rFonts w:asciiTheme="majorBidi" w:hAnsiTheme="majorBidi" w:cstheme="majorBidi"/>
                <w:color w:val="auto"/>
                <w:sz w:val="24"/>
                <w:szCs w:val="24"/>
              </w:rPr>
            </w:pPr>
            <w:r w:rsidRPr="00E76D06">
              <w:rPr>
                <w:rFonts w:asciiTheme="majorBidi" w:hAnsiTheme="majorBidi" w:cstheme="majorBidi"/>
                <w:color w:val="auto"/>
                <w:sz w:val="24"/>
                <w:szCs w:val="24"/>
              </w:rPr>
              <w:t>Outside the prespecified review scope. This test-negative case–control study evaluates the effectiveness of ancestral COVID-19 vaccine schedules (primary series and early booster doses) during Alpha, Delta, and early Omicron circulation (February 2021–March 2022), with a primary focus on methodological bias related to differential testing. The study does not assess late-Omicron sub-lineages (e.g., BA.4/BA.5, XBB, JN.1, KP) or the effectiveness of updated, variant-adapted COVID-19 vaccines, which are the focus of this review.</w:t>
            </w:r>
          </w:p>
        </w:tc>
      </w:tr>
      <w:tr w:rsidR="009405C7" w14:paraId="17176B97" w14:textId="77777777" w:rsidTr="00B20255">
        <w:tc>
          <w:tcPr>
            <w:tcW w:w="5403" w:type="dxa"/>
          </w:tcPr>
          <w:p w14:paraId="75D0D8C3" w14:textId="0FE6B262" w:rsidR="009405C7" w:rsidRPr="00E76D06" w:rsidRDefault="00E76D06" w:rsidP="009405C7">
            <w:pPr>
              <w:pStyle w:val="MDPI31text"/>
              <w:ind w:left="0" w:firstLine="0"/>
              <w:rPr>
                <w:rFonts w:asciiTheme="majorBidi" w:hAnsiTheme="majorBidi" w:cstheme="majorBidi"/>
                <w:color w:val="auto"/>
                <w:sz w:val="24"/>
                <w:szCs w:val="24"/>
              </w:rPr>
            </w:pPr>
            <w:proofErr w:type="spellStart"/>
            <w:r w:rsidRPr="00E76D06">
              <w:rPr>
                <w:rFonts w:asciiTheme="majorBidi" w:hAnsiTheme="majorBidi" w:cstheme="majorBidi"/>
                <w:color w:val="auto"/>
                <w:sz w:val="24"/>
                <w:szCs w:val="24"/>
              </w:rPr>
              <w:t>Rovida</w:t>
            </w:r>
            <w:proofErr w:type="spellEnd"/>
            <w:r w:rsidRPr="00E76D06">
              <w:rPr>
                <w:rFonts w:asciiTheme="majorBidi" w:hAnsiTheme="majorBidi" w:cstheme="majorBidi"/>
                <w:color w:val="auto"/>
                <w:sz w:val="24"/>
                <w:szCs w:val="24"/>
              </w:rPr>
              <w:t xml:space="preserve"> F, Esposito GL, </w:t>
            </w:r>
            <w:proofErr w:type="spellStart"/>
            <w:r w:rsidRPr="00E76D06">
              <w:rPr>
                <w:rFonts w:asciiTheme="majorBidi" w:hAnsiTheme="majorBidi" w:cstheme="majorBidi"/>
                <w:color w:val="auto"/>
                <w:sz w:val="24"/>
                <w:szCs w:val="24"/>
              </w:rPr>
              <w:t>Rissone</w:t>
            </w:r>
            <w:proofErr w:type="spellEnd"/>
            <w:r w:rsidRPr="00E76D06">
              <w:rPr>
                <w:rFonts w:asciiTheme="majorBidi" w:hAnsiTheme="majorBidi" w:cstheme="majorBidi"/>
                <w:color w:val="auto"/>
                <w:sz w:val="24"/>
                <w:szCs w:val="24"/>
              </w:rPr>
              <w:t xml:space="preserve"> M, Novelli V, </w:t>
            </w:r>
            <w:proofErr w:type="spellStart"/>
            <w:r w:rsidRPr="00E76D06">
              <w:rPr>
                <w:rFonts w:asciiTheme="majorBidi" w:hAnsiTheme="majorBidi" w:cstheme="majorBidi"/>
                <w:color w:val="auto"/>
                <w:sz w:val="24"/>
                <w:szCs w:val="24"/>
              </w:rPr>
              <w:t>Cutti</w:t>
            </w:r>
            <w:proofErr w:type="spellEnd"/>
            <w:r w:rsidRPr="00E76D06">
              <w:rPr>
                <w:rFonts w:asciiTheme="majorBidi" w:hAnsiTheme="majorBidi" w:cstheme="majorBidi"/>
                <w:color w:val="auto"/>
                <w:sz w:val="24"/>
                <w:szCs w:val="24"/>
              </w:rPr>
              <w:t xml:space="preserve"> S, Muzzi A, Rona C, Bertoli E, </w:t>
            </w:r>
            <w:proofErr w:type="spellStart"/>
            <w:r w:rsidRPr="00E76D06">
              <w:rPr>
                <w:rFonts w:asciiTheme="majorBidi" w:hAnsiTheme="majorBidi" w:cstheme="majorBidi"/>
                <w:color w:val="auto"/>
                <w:sz w:val="24"/>
                <w:szCs w:val="24"/>
              </w:rPr>
              <w:t>Daglio</w:t>
            </w:r>
            <w:proofErr w:type="spellEnd"/>
            <w:r w:rsidRPr="00E76D06">
              <w:rPr>
                <w:rFonts w:asciiTheme="majorBidi" w:hAnsiTheme="majorBidi" w:cstheme="majorBidi"/>
                <w:color w:val="auto"/>
                <w:sz w:val="24"/>
                <w:szCs w:val="24"/>
              </w:rPr>
              <w:t xml:space="preserve"> M, </w:t>
            </w:r>
            <w:proofErr w:type="spellStart"/>
            <w:r w:rsidRPr="00E76D06">
              <w:rPr>
                <w:rFonts w:asciiTheme="majorBidi" w:hAnsiTheme="majorBidi" w:cstheme="majorBidi"/>
                <w:color w:val="auto"/>
                <w:sz w:val="24"/>
                <w:szCs w:val="24"/>
              </w:rPr>
              <w:t>Piralla</w:t>
            </w:r>
            <w:proofErr w:type="spellEnd"/>
            <w:r w:rsidRPr="00E76D06">
              <w:rPr>
                <w:rFonts w:asciiTheme="majorBidi" w:hAnsiTheme="majorBidi" w:cstheme="majorBidi"/>
                <w:color w:val="auto"/>
                <w:sz w:val="24"/>
                <w:szCs w:val="24"/>
              </w:rPr>
              <w:t xml:space="preserve"> A, Paolucci S, Campanini G, Ferrari G, Giardina F, </w:t>
            </w:r>
            <w:proofErr w:type="spellStart"/>
            <w:r w:rsidRPr="00E76D06">
              <w:rPr>
                <w:rFonts w:asciiTheme="majorBidi" w:hAnsiTheme="majorBidi" w:cstheme="majorBidi"/>
                <w:color w:val="auto"/>
                <w:sz w:val="24"/>
                <w:szCs w:val="24"/>
              </w:rPr>
              <w:t>Zavaglio</w:t>
            </w:r>
            <w:proofErr w:type="spellEnd"/>
            <w:r w:rsidRPr="00E76D06">
              <w:rPr>
                <w:rFonts w:asciiTheme="majorBidi" w:hAnsiTheme="majorBidi" w:cstheme="majorBidi"/>
                <w:color w:val="auto"/>
                <w:sz w:val="24"/>
                <w:szCs w:val="24"/>
              </w:rPr>
              <w:t xml:space="preserve"> F, </w:t>
            </w:r>
            <w:proofErr w:type="spellStart"/>
            <w:r w:rsidRPr="00E76D06">
              <w:rPr>
                <w:rFonts w:asciiTheme="majorBidi" w:hAnsiTheme="majorBidi" w:cstheme="majorBidi"/>
                <w:color w:val="auto"/>
                <w:sz w:val="24"/>
                <w:szCs w:val="24"/>
              </w:rPr>
              <w:t>Lilleri</w:t>
            </w:r>
            <w:proofErr w:type="spellEnd"/>
            <w:r w:rsidRPr="00E76D06">
              <w:rPr>
                <w:rFonts w:asciiTheme="majorBidi" w:hAnsiTheme="majorBidi" w:cstheme="majorBidi"/>
                <w:color w:val="auto"/>
                <w:sz w:val="24"/>
                <w:szCs w:val="24"/>
              </w:rPr>
              <w:t xml:space="preserve"> D, </w:t>
            </w:r>
            <w:proofErr w:type="spellStart"/>
            <w:r w:rsidRPr="00E76D06">
              <w:rPr>
                <w:rFonts w:asciiTheme="majorBidi" w:hAnsiTheme="majorBidi" w:cstheme="majorBidi"/>
                <w:color w:val="auto"/>
                <w:sz w:val="24"/>
                <w:szCs w:val="24"/>
              </w:rPr>
              <w:t>Grugnetti</w:t>
            </w:r>
            <w:proofErr w:type="spellEnd"/>
            <w:r w:rsidRPr="00E76D06">
              <w:rPr>
                <w:rFonts w:asciiTheme="majorBidi" w:hAnsiTheme="majorBidi" w:cstheme="majorBidi"/>
                <w:color w:val="auto"/>
                <w:sz w:val="24"/>
                <w:szCs w:val="24"/>
              </w:rPr>
              <w:t xml:space="preserve"> AM, </w:t>
            </w:r>
            <w:proofErr w:type="spellStart"/>
            <w:r w:rsidRPr="00E76D06">
              <w:rPr>
                <w:rFonts w:asciiTheme="majorBidi" w:hAnsiTheme="majorBidi" w:cstheme="majorBidi"/>
                <w:color w:val="auto"/>
                <w:sz w:val="24"/>
                <w:szCs w:val="24"/>
              </w:rPr>
              <w:t>Grugnetti</w:t>
            </w:r>
            <w:proofErr w:type="spellEnd"/>
            <w:r w:rsidRPr="00E76D06">
              <w:rPr>
                <w:rFonts w:asciiTheme="majorBidi" w:hAnsiTheme="majorBidi" w:cstheme="majorBidi"/>
                <w:color w:val="auto"/>
                <w:sz w:val="24"/>
                <w:szCs w:val="24"/>
              </w:rPr>
              <w:t xml:space="preserve"> G, Odone A, Marena C, </w:t>
            </w:r>
            <w:proofErr w:type="spellStart"/>
            <w:r w:rsidRPr="00E76D06">
              <w:rPr>
                <w:rFonts w:asciiTheme="majorBidi" w:hAnsiTheme="majorBidi" w:cstheme="majorBidi"/>
                <w:color w:val="auto"/>
                <w:sz w:val="24"/>
                <w:szCs w:val="24"/>
              </w:rPr>
              <w:t>Baldanti</w:t>
            </w:r>
            <w:proofErr w:type="spellEnd"/>
            <w:r w:rsidRPr="00E76D06">
              <w:rPr>
                <w:rFonts w:asciiTheme="majorBidi" w:hAnsiTheme="majorBidi" w:cstheme="majorBidi"/>
                <w:color w:val="auto"/>
                <w:sz w:val="24"/>
                <w:szCs w:val="24"/>
              </w:rPr>
              <w:t xml:space="preserve"> F. Characteristics and outcomes of vaccinated and nonvaccinated patients hospitalized in a single Italian hub for COVID-19 during the Delta and Omicron waves in Northern Italy. Int J Infect Dis. 2022;122:420–426. doi:10.1016/j.ijid.2022.06.028.</w:t>
            </w:r>
          </w:p>
        </w:tc>
        <w:tc>
          <w:tcPr>
            <w:tcW w:w="5938" w:type="dxa"/>
          </w:tcPr>
          <w:p w14:paraId="6818B653" w14:textId="19FE417E" w:rsidR="009405C7" w:rsidRPr="00E76D06" w:rsidRDefault="009405C7" w:rsidP="009405C7">
            <w:pPr>
              <w:pStyle w:val="MDPI31text"/>
              <w:ind w:left="0" w:firstLine="0"/>
              <w:rPr>
                <w:rFonts w:asciiTheme="majorBidi" w:hAnsiTheme="majorBidi" w:cstheme="majorBidi"/>
                <w:color w:val="auto"/>
                <w:sz w:val="24"/>
                <w:szCs w:val="24"/>
              </w:rPr>
            </w:pPr>
            <w:r w:rsidRPr="00E76D06">
              <w:rPr>
                <w:rFonts w:asciiTheme="majorBidi" w:hAnsiTheme="majorBidi" w:cstheme="majorBidi"/>
                <w:color w:val="auto"/>
                <w:sz w:val="24"/>
                <w:szCs w:val="24"/>
              </w:rPr>
              <w:t xml:space="preserve">Outside the prespecified review scope. This single-centre Italian study compared vaccinated and nonvaccinated patients already </w:t>
            </w:r>
            <w:r w:rsidR="000C0C3F" w:rsidRPr="00E76D06">
              <w:rPr>
                <w:rFonts w:asciiTheme="majorBidi" w:hAnsiTheme="majorBidi" w:cstheme="majorBidi"/>
                <w:color w:val="auto"/>
                <w:sz w:val="24"/>
                <w:szCs w:val="24"/>
              </w:rPr>
              <w:t>hospitalized</w:t>
            </w:r>
            <w:r w:rsidRPr="00E76D06">
              <w:rPr>
                <w:rFonts w:asciiTheme="majorBidi" w:hAnsiTheme="majorBidi" w:cstheme="majorBidi"/>
                <w:color w:val="auto"/>
                <w:sz w:val="24"/>
                <w:szCs w:val="24"/>
              </w:rPr>
              <w:t xml:space="preserve"> with COVID-19 during Delta and Omicron waves. The analysis is restricted to </w:t>
            </w:r>
            <w:r w:rsidR="000C0C3F" w:rsidRPr="00E76D06">
              <w:rPr>
                <w:rFonts w:asciiTheme="majorBidi" w:hAnsiTheme="majorBidi" w:cstheme="majorBidi"/>
                <w:color w:val="auto"/>
                <w:sz w:val="24"/>
                <w:szCs w:val="24"/>
              </w:rPr>
              <w:t>hospitalized</w:t>
            </w:r>
            <w:r w:rsidRPr="00E76D06">
              <w:rPr>
                <w:rFonts w:asciiTheme="majorBidi" w:hAnsiTheme="majorBidi" w:cstheme="majorBidi"/>
                <w:color w:val="auto"/>
                <w:sz w:val="24"/>
                <w:szCs w:val="24"/>
              </w:rPr>
              <w:t xml:space="preserve"> cases only, lacks a population-based denominator, and does not estimate vaccine effectiveness (VE or </w:t>
            </w:r>
            <w:proofErr w:type="spellStart"/>
            <w:r w:rsidRPr="00E76D06">
              <w:rPr>
                <w:rFonts w:asciiTheme="majorBidi" w:hAnsiTheme="majorBidi" w:cstheme="majorBidi"/>
                <w:color w:val="auto"/>
                <w:sz w:val="24"/>
                <w:szCs w:val="24"/>
              </w:rPr>
              <w:t>rVE</w:t>
            </w:r>
            <w:proofErr w:type="spellEnd"/>
            <w:r w:rsidRPr="00E76D06">
              <w:rPr>
                <w:rFonts w:asciiTheme="majorBidi" w:hAnsiTheme="majorBidi" w:cstheme="majorBidi"/>
                <w:color w:val="auto"/>
                <w:sz w:val="24"/>
                <w:szCs w:val="24"/>
              </w:rPr>
              <w:t>) against hospitali</w:t>
            </w:r>
            <w:r w:rsidR="00F10ED1" w:rsidRPr="00E76D06">
              <w:rPr>
                <w:rFonts w:asciiTheme="majorBidi" w:hAnsiTheme="majorBidi" w:cstheme="majorBidi"/>
                <w:color w:val="auto"/>
                <w:sz w:val="24"/>
                <w:szCs w:val="24"/>
              </w:rPr>
              <w:t>z</w:t>
            </w:r>
            <w:r w:rsidRPr="00E76D06">
              <w:rPr>
                <w:rFonts w:asciiTheme="majorBidi" w:hAnsiTheme="majorBidi" w:cstheme="majorBidi"/>
                <w:color w:val="auto"/>
                <w:sz w:val="24"/>
                <w:szCs w:val="24"/>
              </w:rPr>
              <w:t>ation, severe disease, or death. Consequently, the findings represent descriptive comparisons of disease severity conditional on hospitali</w:t>
            </w:r>
            <w:r w:rsidR="00F10ED1" w:rsidRPr="00E76D06">
              <w:rPr>
                <w:rFonts w:asciiTheme="majorBidi" w:hAnsiTheme="majorBidi" w:cstheme="majorBidi"/>
                <w:color w:val="auto"/>
                <w:sz w:val="24"/>
                <w:szCs w:val="24"/>
              </w:rPr>
              <w:t>z</w:t>
            </w:r>
            <w:r w:rsidRPr="00E76D06">
              <w:rPr>
                <w:rFonts w:asciiTheme="majorBidi" w:hAnsiTheme="majorBidi" w:cstheme="majorBidi"/>
                <w:color w:val="auto"/>
                <w:sz w:val="24"/>
                <w:szCs w:val="24"/>
              </w:rPr>
              <w:t>ation and are not directly comparable with population-based vaccine effectiveness studies included in this review.</w:t>
            </w:r>
          </w:p>
        </w:tc>
      </w:tr>
      <w:tr w:rsidR="009405C7" w14:paraId="4F89BD5E" w14:textId="77777777" w:rsidTr="00B20255">
        <w:tc>
          <w:tcPr>
            <w:tcW w:w="5403" w:type="dxa"/>
          </w:tcPr>
          <w:p w14:paraId="788746BC" w14:textId="6B9A2643" w:rsidR="009405C7" w:rsidRPr="00E76D06" w:rsidRDefault="00E76D06" w:rsidP="009405C7">
            <w:pPr>
              <w:pStyle w:val="MDPI31text"/>
              <w:ind w:left="0" w:firstLine="0"/>
              <w:rPr>
                <w:rFonts w:asciiTheme="majorBidi" w:hAnsiTheme="majorBidi" w:cstheme="majorBidi"/>
                <w:color w:val="auto"/>
                <w:sz w:val="24"/>
                <w:szCs w:val="24"/>
              </w:rPr>
            </w:pPr>
            <w:r w:rsidRPr="00080359">
              <w:rPr>
                <w:rFonts w:asciiTheme="majorBidi" w:hAnsiTheme="majorBidi" w:cstheme="majorBidi"/>
                <w:color w:val="auto"/>
                <w:sz w:val="24"/>
                <w:szCs w:val="24"/>
                <w:lang w:val="en-AU"/>
              </w:rPr>
              <w:t xml:space="preserve">Runge M, Karimian Z, </w:t>
            </w:r>
            <w:proofErr w:type="spellStart"/>
            <w:r w:rsidRPr="00080359">
              <w:rPr>
                <w:rFonts w:asciiTheme="majorBidi" w:hAnsiTheme="majorBidi" w:cstheme="majorBidi"/>
                <w:color w:val="auto"/>
                <w:sz w:val="24"/>
                <w:szCs w:val="24"/>
                <w:lang w:val="en-AU"/>
              </w:rPr>
              <w:t>Kheirandish</w:t>
            </w:r>
            <w:proofErr w:type="spellEnd"/>
            <w:r w:rsidRPr="00080359">
              <w:rPr>
                <w:rFonts w:asciiTheme="majorBidi" w:hAnsiTheme="majorBidi" w:cstheme="majorBidi"/>
                <w:color w:val="auto"/>
                <w:sz w:val="24"/>
                <w:szCs w:val="24"/>
                <w:lang w:val="en-AU"/>
              </w:rPr>
              <w:t xml:space="preserve"> M, Borghi G, </w:t>
            </w:r>
            <w:proofErr w:type="spellStart"/>
            <w:r w:rsidRPr="00080359">
              <w:rPr>
                <w:rFonts w:asciiTheme="majorBidi" w:hAnsiTheme="majorBidi" w:cstheme="majorBidi"/>
                <w:color w:val="auto"/>
                <w:sz w:val="24"/>
                <w:szCs w:val="24"/>
                <w:lang w:val="en-AU"/>
              </w:rPr>
              <w:t>Wodniak</w:t>
            </w:r>
            <w:proofErr w:type="spellEnd"/>
            <w:r w:rsidRPr="00080359">
              <w:rPr>
                <w:rFonts w:asciiTheme="majorBidi" w:hAnsiTheme="majorBidi" w:cstheme="majorBidi"/>
                <w:color w:val="auto"/>
                <w:sz w:val="24"/>
                <w:szCs w:val="24"/>
                <w:lang w:val="en-AU"/>
              </w:rPr>
              <w:t xml:space="preserve"> N, Fahmy K, Mantel C, Cherian T, Said ZNA, Najafi F, </w:t>
            </w:r>
            <w:proofErr w:type="spellStart"/>
            <w:r w:rsidRPr="00080359">
              <w:rPr>
                <w:rFonts w:asciiTheme="majorBidi" w:hAnsiTheme="majorBidi" w:cstheme="majorBidi"/>
                <w:color w:val="auto"/>
                <w:sz w:val="24"/>
                <w:szCs w:val="24"/>
                <w:lang w:val="en-AU"/>
              </w:rPr>
              <w:t>Thneibat</w:t>
            </w:r>
            <w:proofErr w:type="spellEnd"/>
            <w:r w:rsidRPr="00080359">
              <w:rPr>
                <w:rFonts w:asciiTheme="majorBidi" w:hAnsiTheme="majorBidi" w:cstheme="majorBidi"/>
                <w:color w:val="auto"/>
                <w:sz w:val="24"/>
                <w:szCs w:val="24"/>
                <w:lang w:val="en-AU"/>
              </w:rPr>
              <w:t xml:space="preserve"> F, Ul-Haq Z, Fazid S, Salama II, Khosravi Shadmani F, </w:t>
            </w:r>
            <w:proofErr w:type="spellStart"/>
            <w:r w:rsidRPr="00080359">
              <w:rPr>
                <w:rFonts w:asciiTheme="majorBidi" w:hAnsiTheme="majorBidi" w:cstheme="majorBidi"/>
                <w:color w:val="auto"/>
                <w:sz w:val="24"/>
                <w:szCs w:val="24"/>
                <w:lang w:val="en-AU"/>
              </w:rPr>
              <w:t>Alrawashdeh</w:t>
            </w:r>
            <w:proofErr w:type="spellEnd"/>
            <w:r w:rsidRPr="00080359">
              <w:rPr>
                <w:rFonts w:asciiTheme="majorBidi" w:hAnsiTheme="majorBidi" w:cstheme="majorBidi"/>
                <w:color w:val="auto"/>
                <w:sz w:val="24"/>
                <w:szCs w:val="24"/>
                <w:lang w:val="en-AU"/>
              </w:rPr>
              <w:t xml:space="preserve"> A, </w:t>
            </w:r>
            <w:proofErr w:type="spellStart"/>
            <w:r w:rsidRPr="00080359">
              <w:rPr>
                <w:rFonts w:asciiTheme="majorBidi" w:hAnsiTheme="majorBidi" w:cstheme="majorBidi"/>
                <w:color w:val="auto"/>
                <w:sz w:val="24"/>
                <w:szCs w:val="24"/>
                <w:lang w:val="en-AU"/>
              </w:rPr>
              <w:t>Sirous</w:t>
            </w:r>
            <w:proofErr w:type="spellEnd"/>
            <w:r w:rsidRPr="00080359">
              <w:rPr>
                <w:rFonts w:asciiTheme="majorBidi" w:hAnsiTheme="majorBidi" w:cstheme="majorBidi"/>
                <w:color w:val="auto"/>
                <w:sz w:val="24"/>
                <w:szCs w:val="24"/>
                <w:lang w:val="en-AU"/>
              </w:rPr>
              <w:t xml:space="preserve"> S, Bellizzi S, Ahmed A, Lukwiya M, Rashidian A, on behalf of the Consortium of Authors. COVID-19 vaccine effectiveness against symptomatic and severe outcomes during the Omicron period in four countries in the Eastern Mediterranean Region. </w:t>
            </w:r>
            <w:proofErr w:type="spellStart"/>
            <w:r w:rsidRPr="00E76D06">
              <w:rPr>
                <w:rFonts w:asciiTheme="majorBidi" w:hAnsiTheme="majorBidi" w:cstheme="majorBidi"/>
                <w:color w:val="auto"/>
                <w:sz w:val="24"/>
                <w:szCs w:val="24"/>
                <w:lang w:val="nb-NO"/>
              </w:rPr>
              <w:t>Vaccines</w:t>
            </w:r>
            <w:proofErr w:type="spellEnd"/>
            <w:r w:rsidRPr="00E76D06">
              <w:rPr>
                <w:rFonts w:asciiTheme="majorBidi" w:hAnsiTheme="majorBidi" w:cstheme="majorBidi"/>
                <w:color w:val="auto"/>
                <w:sz w:val="24"/>
                <w:szCs w:val="24"/>
                <w:lang w:val="nb-NO"/>
              </w:rPr>
              <w:t xml:space="preserve"> (Basel). 2024;12(8):906. doi:10.3390/vaccines12080906.</w:t>
            </w:r>
          </w:p>
        </w:tc>
        <w:tc>
          <w:tcPr>
            <w:tcW w:w="5938" w:type="dxa"/>
          </w:tcPr>
          <w:p w14:paraId="78B1940D" w14:textId="6BA64206" w:rsidR="009405C7" w:rsidRPr="00E76D06" w:rsidRDefault="009405C7" w:rsidP="009405C7">
            <w:pPr>
              <w:pStyle w:val="MDPI31text"/>
              <w:ind w:left="0" w:firstLine="0"/>
              <w:rPr>
                <w:rFonts w:asciiTheme="majorBidi" w:hAnsiTheme="majorBidi" w:cstheme="majorBidi"/>
                <w:color w:val="auto"/>
                <w:sz w:val="24"/>
                <w:szCs w:val="24"/>
              </w:rPr>
            </w:pPr>
            <w:r w:rsidRPr="00E76D06">
              <w:rPr>
                <w:rFonts w:asciiTheme="majorBidi" w:hAnsiTheme="majorBidi" w:cstheme="majorBidi"/>
                <w:color w:val="auto"/>
                <w:sz w:val="24"/>
                <w:szCs w:val="24"/>
              </w:rPr>
              <w:t>Outside the prespecified review scope. This multi-country pooled analysis evaluates ancestral (non–variant-adapted) COVID-19 vaccines during a broadly defined Omicron-dominant period and was primarily designed as a methodological and capacity-building exercise. It does not assess updated/variant-adapted vaccines or provide effectiveness estimates for later Omicron subvariants (BA.5, XBB, JN.1, KP.3) that are the focus of this review.</w:t>
            </w:r>
          </w:p>
        </w:tc>
      </w:tr>
      <w:tr w:rsidR="009405C7" w14:paraId="6607518E" w14:textId="77777777" w:rsidTr="00B20255">
        <w:tc>
          <w:tcPr>
            <w:tcW w:w="5403" w:type="dxa"/>
          </w:tcPr>
          <w:p w14:paraId="7232A8B8" w14:textId="70F46E37" w:rsidR="009405C7" w:rsidRPr="007A136F" w:rsidRDefault="00C90DAE" w:rsidP="009405C7">
            <w:pPr>
              <w:pStyle w:val="MDPI31text"/>
              <w:ind w:left="0" w:firstLine="0"/>
              <w:rPr>
                <w:rFonts w:asciiTheme="majorBidi" w:hAnsiTheme="majorBidi" w:cstheme="majorBidi"/>
                <w:color w:val="auto"/>
                <w:sz w:val="24"/>
                <w:szCs w:val="24"/>
              </w:rPr>
            </w:pPr>
            <w:r w:rsidRPr="007A136F">
              <w:rPr>
                <w:rFonts w:asciiTheme="majorBidi" w:hAnsiTheme="majorBidi" w:cstheme="majorBidi"/>
                <w:color w:val="auto"/>
                <w:sz w:val="24"/>
                <w:szCs w:val="24"/>
                <w:lang w:val="en-AU"/>
              </w:rPr>
              <w:lastRenderedPageBreak/>
              <w:t xml:space="preserve">Russo AG, Murtas R, Tunesi S, Decarli A, Bergamaschi W. Boosters and time since last anti-COVID-19 vaccine dose: lead public health choices by real-time epidemiological assessment. </w:t>
            </w:r>
            <w:proofErr w:type="spellStart"/>
            <w:r w:rsidRPr="007A136F">
              <w:rPr>
                <w:rFonts w:asciiTheme="majorBidi" w:hAnsiTheme="majorBidi" w:cstheme="majorBidi"/>
                <w:color w:val="auto"/>
                <w:sz w:val="24"/>
                <w:szCs w:val="24"/>
                <w:lang w:val="nb-NO"/>
              </w:rPr>
              <w:t>Epidemiol</w:t>
            </w:r>
            <w:proofErr w:type="spellEnd"/>
            <w:r w:rsidRPr="007A136F">
              <w:rPr>
                <w:rFonts w:asciiTheme="majorBidi" w:hAnsiTheme="majorBidi" w:cstheme="majorBidi"/>
                <w:color w:val="auto"/>
                <w:sz w:val="24"/>
                <w:szCs w:val="24"/>
                <w:lang w:val="nb-NO"/>
              </w:rPr>
              <w:t xml:space="preserve"> </w:t>
            </w:r>
            <w:proofErr w:type="spellStart"/>
            <w:r w:rsidRPr="007A136F">
              <w:rPr>
                <w:rFonts w:asciiTheme="majorBidi" w:hAnsiTheme="majorBidi" w:cstheme="majorBidi"/>
                <w:color w:val="auto"/>
                <w:sz w:val="24"/>
                <w:szCs w:val="24"/>
                <w:lang w:val="nb-NO"/>
              </w:rPr>
              <w:t>Prev</w:t>
            </w:r>
            <w:proofErr w:type="spellEnd"/>
            <w:r w:rsidRPr="007A136F">
              <w:rPr>
                <w:rFonts w:asciiTheme="majorBidi" w:hAnsiTheme="majorBidi" w:cstheme="majorBidi"/>
                <w:color w:val="auto"/>
                <w:sz w:val="24"/>
                <w:szCs w:val="24"/>
                <w:lang w:val="nb-NO"/>
              </w:rPr>
              <w:t>. 2022;46(1-2):34–46. doi:10.19191/EP22.1-2.A001.001.</w:t>
            </w:r>
          </w:p>
        </w:tc>
        <w:tc>
          <w:tcPr>
            <w:tcW w:w="5938" w:type="dxa"/>
          </w:tcPr>
          <w:p w14:paraId="1C7F986D" w14:textId="6C64BBA7" w:rsidR="009405C7" w:rsidRPr="007A136F" w:rsidRDefault="009405C7" w:rsidP="009405C7">
            <w:pPr>
              <w:pStyle w:val="MDPI31text"/>
              <w:ind w:left="0" w:firstLine="0"/>
              <w:rPr>
                <w:rFonts w:asciiTheme="majorBidi" w:hAnsiTheme="majorBidi" w:cstheme="majorBidi"/>
                <w:color w:val="auto"/>
                <w:sz w:val="24"/>
                <w:szCs w:val="24"/>
              </w:rPr>
            </w:pPr>
            <w:r w:rsidRPr="007A136F">
              <w:rPr>
                <w:rFonts w:asciiTheme="majorBidi" w:hAnsiTheme="majorBidi" w:cstheme="majorBidi"/>
                <w:color w:val="auto"/>
                <w:sz w:val="24"/>
                <w:szCs w:val="24"/>
              </w:rPr>
              <w:t>Outside the prespecified review scope. This population-based study evaluates primary and early booster doses of ancestral COVID-19 vaccines and time since last vaccination during late 2021 (pre-/early Omicron BA.1) circulation. The study does not assess late-Omicron sub-lineages (e.g., BA.4/BA.5, XBB, JN.1, KP) or the effectiveness of updated, variant-adapted COVID-19 vaccines, which are the focus of this review.</w:t>
            </w:r>
          </w:p>
        </w:tc>
      </w:tr>
      <w:tr w:rsidR="009405C7" w14:paraId="5B664594" w14:textId="77777777" w:rsidTr="00B20255">
        <w:tc>
          <w:tcPr>
            <w:tcW w:w="5403" w:type="dxa"/>
          </w:tcPr>
          <w:p w14:paraId="41D0AB1F" w14:textId="1981420E" w:rsidR="009405C7" w:rsidRPr="0034414C" w:rsidRDefault="00710474" w:rsidP="009405C7">
            <w:pPr>
              <w:pStyle w:val="MDPI31text"/>
              <w:ind w:left="0" w:firstLine="0"/>
              <w:rPr>
                <w:rFonts w:asciiTheme="majorBidi" w:hAnsiTheme="majorBidi" w:cstheme="majorBidi"/>
                <w:color w:val="auto"/>
                <w:sz w:val="24"/>
                <w:szCs w:val="24"/>
              </w:rPr>
            </w:pPr>
            <w:proofErr w:type="spellStart"/>
            <w:r w:rsidRPr="0034414C">
              <w:rPr>
                <w:rFonts w:asciiTheme="majorBidi" w:hAnsiTheme="majorBidi" w:cstheme="majorBidi"/>
                <w:color w:val="auto"/>
                <w:sz w:val="24"/>
                <w:szCs w:val="24"/>
              </w:rPr>
              <w:t>Rzymski</w:t>
            </w:r>
            <w:proofErr w:type="spellEnd"/>
            <w:r w:rsidRPr="0034414C">
              <w:rPr>
                <w:rFonts w:asciiTheme="majorBidi" w:hAnsiTheme="majorBidi" w:cstheme="majorBidi"/>
                <w:color w:val="auto"/>
                <w:sz w:val="24"/>
                <w:szCs w:val="24"/>
              </w:rPr>
              <w:t xml:space="preserve"> P, </w:t>
            </w:r>
            <w:proofErr w:type="spellStart"/>
            <w:r w:rsidRPr="0034414C">
              <w:rPr>
                <w:rFonts w:asciiTheme="majorBidi" w:hAnsiTheme="majorBidi" w:cstheme="majorBidi"/>
                <w:color w:val="auto"/>
                <w:sz w:val="24"/>
                <w:szCs w:val="24"/>
              </w:rPr>
              <w:t>Kasianchuk</w:t>
            </w:r>
            <w:proofErr w:type="spellEnd"/>
            <w:r w:rsidRPr="0034414C">
              <w:rPr>
                <w:rFonts w:asciiTheme="majorBidi" w:hAnsiTheme="majorBidi" w:cstheme="majorBidi"/>
                <w:color w:val="auto"/>
                <w:sz w:val="24"/>
                <w:szCs w:val="24"/>
              </w:rPr>
              <w:t xml:space="preserve"> N, Sikora D, </w:t>
            </w:r>
            <w:proofErr w:type="spellStart"/>
            <w:r w:rsidRPr="0034414C">
              <w:rPr>
                <w:rFonts w:asciiTheme="majorBidi" w:hAnsiTheme="majorBidi" w:cstheme="majorBidi"/>
                <w:color w:val="auto"/>
                <w:sz w:val="24"/>
                <w:szCs w:val="24"/>
              </w:rPr>
              <w:t>Poniedziałek</w:t>
            </w:r>
            <w:proofErr w:type="spellEnd"/>
            <w:r w:rsidRPr="0034414C">
              <w:rPr>
                <w:rFonts w:asciiTheme="majorBidi" w:hAnsiTheme="majorBidi" w:cstheme="majorBidi"/>
                <w:color w:val="auto"/>
                <w:sz w:val="24"/>
                <w:szCs w:val="24"/>
              </w:rPr>
              <w:t xml:space="preserve"> B. COVID-19 vaccinations and rates of infections, hospitalizations, ICU admissions, and deaths in Europe during the SARS-CoV-2 Omicron wave in the first quarter of 2022. Journal of Medical Virology. 2022;94(12):5711-5718. doi:10.1002/jmv.28131.</w:t>
            </w:r>
          </w:p>
        </w:tc>
        <w:tc>
          <w:tcPr>
            <w:tcW w:w="5938" w:type="dxa"/>
          </w:tcPr>
          <w:p w14:paraId="7D41ABBC" w14:textId="2F060A5B" w:rsidR="009405C7" w:rsidRPr="0034414C" w:rsidRDefault="009405C7" w:rsidP="009405C7">
            <w:pPr>
              <w:pStyle w:val="MDPI31text"/>
              <w:ind w:left="0" w:firstLine="0"/>
              <w:rPr>
                <w:rFonts w:asciiTheme="majorBidi" w:hAnsiTheme="majorBidi" w:cstheme="majorBidi"/>
                <w:color w:val="auto"/>
                <w:sz w:val="24"/>
                <w:szCs w:val="24"/>
              </w:rPr>
            </w:pPr>
            <w:r w:rsidRPr="0034414C">
              <w:rPr>
                <w:rFonts w:asciiTheme="majorBidi" w:hAnsiTheme="majorBidi" w:cstheme="majorBidi"/>
                <w:color w:val="auto"/>
                <w:sz w:val="24"/>
                <w:szCs w:val="24"/>
              </w:rPr>
              <w:t>Outside the prespecified review scope. This study is an ecological, country-level correlation analysis using aggregated European Economic Area data to assess associations between vaccination coverage and population-level rates of infection, hospitali</w:t>
            </w:r>
            <w:r w:rsidR="0004402C" w:rsidRPr="0034414C">
              <w:rPr>
                <w:rFonts w:asciiTheme="majorBidi" w:hAnsiTheme="majorBidi" w:cstheme="majorBidi"/>
                <w:color w:val="auto"/>
                <w:sz w:val="24"/>
                <w:szCs w:val="24"/>
              </w:rPr>
              <w:t>z</w:t>
            </w:r>
            <w:r w:rsidRPr="0034414C">
              <w:rPr>
                <w:rFonts w:asciiTheme="majorBidi" w:hAnsiTheme="majorBidi" w:cstheme="majorBidi"/>
                <w:color w:val="auto"/>
                <w:sz w:val="24"/>
                <w:szCs w:val="24"/>
              </w:rPr>
              <w:t xml:space="preserve">ation, ICU admission, and death during the Omicron wave. The study does not use individual-level data and does not estimate vaccine effectiveness (VE or </w:t>
            </w:r>
            <w:proofErr w:type="spellStart"/>
            <w:r w:rsidRPr="0034414C">
              <w:rPr>
                <w:rFonts w:asciiTheme="majorBidi" w:hAnsiTheme="majorBidi" w:cstheme="majorBidi"/>
                <w:color w:val="auto"/>
                <w:sz w:val="24"/>
                <w:szCs w:val="24"/>
              </w:rPr>
              <w:t>rVE</w:t>
            </w:r>
            <w:proofErr w:type="spellEnd"/>
            <w:r w:rsidRPr="0034414C">
              <w:rPr>
                <w:rFonts w:asciiTheme="majorBidi" w:hAnsiTheme="majorBidi" w:cstheme="majorBidi"/>
                <w:color w:val="auto"/>
                <w:sz w:val="24"/>
                <w:szCs w:val="24"/>
              </w:rPr>
              <w:t>) using cohort, case–control, or test-negative designs. Consequently, the findings are subject to ecological fallacy and are not directly comparable with the individual-level vaccine effectiveness estimates synthesised in this review.</w:t>
            </w:r>
          </w:p>
        </w:tc>
      </w:tr>
      <w:tr w:rsidR="009405C7" w14:paraId="401BF53B" w14:textId="77777777" w:rsidTr="00B20255">
        <w:tc>
          <w:tcPr>
            <w:tcW w:w="5403" w:type="dxa"/>
          </w:tcPr>
          <w:p w14:paraId="7D882963" w14:textId="28A18D0B" w:rsidR="009405C7" w:rsidRPr="0034414C" w:rsidRDefault="0034414C" w:rsidP="009405C7">
            <w:pPr>
              <w:pStyle w:val="MDPI31text"/>
              <w:ind w:left="0" w:firstLine="0"/>
              <w:rPr>
                <w:rFonts w:asciiTheme="majorBidi" w:hAnsiTheme="majorBidi" w:cstheme="majorBidi"/>
                <w:color w:val="auto"/>
                <w:sz w:val="24"/>
                <w:szCs w:val="24"/>
              </w:rPr>
            </w:pPr>
            <w:r w:rsidRPr="0034414C">
              <w:rPr>
                <w:rFonts w:asciiTheme="majorBidi" w:hAnsiTheme="majorBidi" w:cstheme="majorBidi"/>
                <w:color w:val="auto"/>
                <w:sz w:val="24"/>
                <w:szCs w:val="24"/>
                <w:lang w:val="en-GB"/>
              </w:rPr>
              <w:t xml:space="preserve">Santos CVB, Valiati NCM, Noronha TG, Porto VBG, Pacheco AG, Freitas LP, Coelho FC, Gomes MFC, Bastos LS, Cruz OG, Lana RM, Luz PM, Carvalho LMF, Werneck GL, </w:t>
            </w:r>
            <w:proofErr w:type="spellStart"/>
            <w:r w:rsidRPr="0034414C">
              <w:rPr>
                <w:rFonts w:asciiTheme="majorBidi" w:hAnsiTheme="majorBidi" w:cstheme="majorBidi"/>
                <w:color w:val="auto"/>
                <w:sz w:val="24"/>
                <w:szCs w:val="24"/>
                <w:lang w:val="en-GB"/>
              </w:rPr>
              <w:t>Struchiner</w:t>
            </w:r>
            <w:proofErr w:type="spellEnd"/>
            <w:r w:rsidRPr="0034414C">
              <w:rPr>
                <w:rFonts w:asciiTheme="majorBidi" w:hAnsiTheme="majorBidi" w:cstheme="majorBidi"/>
                <w:color w:val="auto"/>
                <w:sz w:val="24"/>
                <w:szCs w:val="24"/>
                <w:lang w:val="en-GB"/>
              </w:rPr>
              <w:t xml:space="preserve"> CJ, Villela DAM. </w:t>
            </w:r>
            <w:r w:rsidRPr="0034414C">
              <w:rPr>
                <w:rFonts w:asciiTheme="majorBidi" w:hAnsiTheme="majorBidi" w:cstheme="majorBidi"/>
                <w:color w:val="auto"/>
                <w:sz w:val="24"/>
                <w:szCs w:val="24"/>
                <w:lang w:val="en-AU"/>
              </w:rPr>
              <w:t xml:space="preserve">The effectiveness of COVID-19 vaccines against severe cases and deaths in Brazil from 2021 to 2022: a registry-based study. </w:t>
            </w:r>
            <w:r w:rsidRPr="0034414C">
              <w:rPr>
                <w:rFonts w:asciiTheme="majorBidi" w:hAnsiTheme="majorBidi" w:cstheme="majorBidi"/>
                <w:color w:val="auto"/>
                <w:sz w:val="24"/>
                <w:szCs w:val="24"/>
                <w:lang w:val="nb-NO"/>
              </w:rPr>
              <w:t xml:space="preserve">The </w:t>
            </w:r>
            <w:proofErr w:type="spellStart"/>
            <w:r w:rsidRPr="0034414C">
              <w:rPr>
                <w:rFonts w:asciiTheme="majorBidi" w:hAnsiTheme="majorBidi" w:cstheme="majorBidi"/>
                <w:color w:val="auto"/>
                <w:sz w:val="24"/>
                <w:szCs w:val="24"/>
                <w:lang w:val="nb-NO"/>
              </w:rPr>
              <w:t>Lancet</w:t>
            </w:r>
            <w:proofErr w:type="spellEnd"/>
            <w:r w:rsidRPr="0034414C">
              <w:rPr>
                <w:rFonts w:asciiTheme="majorBidi" w:hAnsiTheme="majorBidi" w:cstheme="majorBidi"/>
                <w:color w:val="auto"/>
                <w:sz w:val="24"/>
                <w:szCs w:val="24"/>
                <w:lang w:val="nb-NO"/>
              </w:rPr>
              <w:t xml:space="preserve"> Regional Health – Americas. 2023;20:100465. doi:10.1016/j.lana.2023.100465.</w:t>
            </w:r>
          </w:p>
        </w:tc>
        <w:tc>
          <w:tcPr>
            <w:tcW w:w="5938" w:type="dxa"/>
          </w:tcPr>
          <w:p w14:paraId="6BA8A702" w14:textId="0B442F19" w:rsidR="009405C7" w:rsidRPr="0034414C" w:rsidRDefault="009405C7" w:rsidP="009405C7">
            <w:pPr>
              <w:pStyle w:val="MDPI31text"/>
              <w:ind w:left="0" w:firstLine="0"/>
              <w:rPr>
                <w:rFonts w:asciiTheme="majorBidi" w:hAnsiTheme="majorBidi" w:cstheme="majorBidi"/>
                <w:color w:val="auto"/>
                <w:sz w:val="24"/>
                <w:szCs w:val="24"/>
              </w:rPr>
            </w:pPr>
            <w:r w:rsidRPr="0034414C">
              <w:rPr>
                <w:rFonts w:asciiTheme="majorBidi" w:hAnsiTheme="majorBidi" w:cstheme="majorBidi"/>
                <w:color w:val="auto"/>
                <w:sz w:val="24"/>
                <w:szCs w:val="24"/>
              </w:rPr>
              <w:t>Outside the prespecified review scope. This nationwide registry-based cohort study evaluates the effectiveness of ancestral and inactivated COVID-19 vaccines (CoronaVac, ChAdOx1 nCoV-19, BNT162b2, Ad26.COV2.S) and early booster doses during Gamma, Delta, and early Omicron (BA.1) circulation (2021–early 2022). The study does not assess late-Omicron sub-lineages (e.g., BA.4/BA.5, XBB, JN.1, KP) or the effectiveness of updated, variant-adapted COVID-19 vaccines, which are the focus of this review.</w:t>
            </w:r>
          </w:p>
        </w:tc>
      </w:tr>
      <w:tr w:rsidR="009405C7" w14:paraId="692025D6" w14:textId="77777777" w:rsidTr="00B20255">
        <w:tc>
          <w:tcPr>
            <w:tcW w:w="5403" w:type="dxa"/>
          </w:tcPr>
          <w:p w14:paraId="0B9BBBDE" w14:textId="20BD1B8D" w:rsidR="009405C7" w:rsidRPr="0034414C" w:rsidRDefault="0034414C" w:rsidP="009405C7">
            <w:pPr>
              <w:pStyle w:val="MDPI31text"/>
              <w:ind w:left="0" w:firstLine="0"/>
              <w:rPr>
                <w:rFonts w:asciiTheme="majorBidi" w:hAnsiTheme="majorBidi" w:cstheme="majorBidi"/>
                <w:color w:val="auto"/>
                <w:sz w:val="24"/>
                <w:szCs w:val="24"/>
              </w:rPr>
            </w:pPr>
            <w:r w:rsidRPr="0034414C">
              <w:rPr>
                <w:rFonts w:asciiTheme="majorBidi" w:hAnsiTheme="majorBidi" w:cstheme="majorBidi"/>
                <w:color w:val="auto"/>
                <w:sz w:val="24"/>
                <w:szCs w:val="24"/>
              </w:rPr>
              <w:t xml:space="preserve">Savulescu C, Prats-Uribe A, Brolin K, </w:t>
            </w:r>
            <w:proofErr w:type="spellStart"/>
            <w:r w:rsidRPr="0034414C">
              <w:rPr>
                <w:rFonts w:asciiTheme="majorBidi" w:hAnsiTheme="majorBidi" w:cstheme="majorBidi"/>
                <w:color w:val="auto"/>
                <w:sz w:val="24"/>
                <w:szCs w:val="24"/>
              </w:rPr>
              <w:t>Uusküla</w:t>
            </w:r>
            <w:proofErr w:type="spellEnd"/>
            <w:r w:rsidRPr="0034414C">
              <w:rPr>
                <w:rFonts w:asciiTheme="majorBidi" w:hAnsiTheme="majorBidi" w:cstheme="majorBidi"/>
                <w:color w:val="auto"/>
                <w:sz w:val="24"/>
                <w:szCs w:val="24"/>
              </w:rPr>
              <w:t xml:space="preserve"> A, Bergin C, Fleming C, Murri R, Zvirbulis V, </w:t>
            </w:r>
            <w:proofErr w:type="spellStart"/>
            <w:r w:rsidRPr="0034414C">
              <w:rPr>
                <w:rFonts w:asciiTheme="majorBidi" w:hAnsiTheme="majorBidi" w:cstheme="majorBidi"/>
                <w:color w:val="auto"/>
                <w:sz w:val="24"/>
                <w:szCs w:val="24"/>
              </w:rPr>
              <w:t>Zavadska</w:t>
            </w:r>
            <w:proofErr w:type="spellEnd"/>
            <w:r w:rsidRPr="0034414C">
              <w:rPr>
                <w:rFonts w:asciiTheme="majorBidi" w:hAnsiTheme="majorBidi" w:cstheme="majorBidi"/>
                <w:color w:val="auto"/>
                <w:sz w:val="24"/>
                <w:szCs w:val="24"/>
              </w:rPr>
              <w:t xml:space="preserve"> D, Gaio V, Popescu CP, </w:t>
            </w:r>
            <w:proofErr w:type="spellStart"/>
            <w:r w:rsidRPr="0034414C">
              <w:rPr>
                <w:rFonts w:asciiTheme="majorBidi" w:hAnsiTheme="majorBidi" w:cstheme="majorBidi"/>
                <w:color w:val="auto"/>
                <w:sz w:val="24"/>
                <w:szCs w:val="24"/>
              </w:rPr>
              <w:t>Hrisca</w:t>
            </w:r>
            <w:proofErr w:type="spellEnd"/>
            <w:r w:rsidRPr="0034414C">
              <w:rPr>
                <w:rFonts w:asciiTheme="majorBidi" w:hAnsiTheme="majorBidi" w:cstheme="majorBidi"/>
                <w:color w:val="auto"/>
                <w:sz w:val="24"/>
                <w:szCs w:val="24"/>
              </w:rPr>
              <w:t xml:space="preserve"> R, Cisneros M, Latorre-Millán M, </w:t>
            </w:r>
            <w:proofErr w:type="spellStart"/>
            <w:r w:rsidRPr="0034414C">
              <w:rPr>
                <w:rFonts w:asciiTheme="majorBidi" w:hAnsiTheme="majorBidi" w:cstheme="majorBidi"/>
                <w:color w:val="auto"/>
                <w:sz w:val="24"/>
                <w:szCs w:val="24"/>
              </w:rPr>
              <w:t>Lohur</w:t>
            </w:r>
            <w:proofErr w:type="spellEnd"/>
            <w:r w:rsidRPr="0034414C">
              <w:rPr>
                <w:rFonts w:asciiTheme="majorBidi" w:hAnsiTheme="majorBidi" w:cstheme="majorBidi"/>
                <w:color w:val="auto"/>
                <w:sz w:val="24"/>
                <w:szCs w:val="24"/>
              </w:rPr>
              <w:t xml:space="preserve"> L, McGrath J, Ferguson L, De Gaetano Donati K, </w:t>
            </w:r>
            <w:proofErr w:type="spellStart"/>
            <w:r w:rsidRPr="0034414C">
              <w:rPr>
                <w:rFonts w:asciiTheme="majorBidi" w:hAnsiTheme="majorBidi" w:cstheme="majorBidi"/>
                <w:color w:val="auto"/>
                <w:sz w:val="24"/>
                <w:szCs w:val="24"/>
              </w:rPr>
              <w:t>Abolina</w:t>
            </w:r>
            <w:proofErr w:type="spellEnd"/>
            <w:r w:rsidRPr="0034414C">
              <w:rPr>
                <w:rFonts w:asciiTheme="majorBidi" w:hAnsiTheme="majorBidi" w:cstheme="majorBidi"/>
                <w:color w:val="auto"/>
                <w:sz w:val="24"/>
                <w:szCs w:val="24"/>
              </w:rPr>
              <w:t xml:space="preserve"> I, </w:t>
            </w:r>
            <w:proofErr w:type="spellStart"/>
            <w:r w:rsidRPr="0034414C">
              <w:rPr>
                <w:rFonts w:asciiTheme="majorBidi" w:hAnsiTheme="majorBidi" w:cstheme="majorBidi"/>
                <w:color w:val="auto"/>
                <w:sz w:val="24"/>
                <w:szCs w:val="24"/>
              </w:rPr>
              <w:t>Gravele</w:t>
            </w:r>
            <w:proofErr w:type="spellEnd"/>
            <w:r w:rsidRPr="0034414C">
              <w:rPr>
                <w:rFonts w:asciiTheme="majorBidi" w:hAnsiTheme="majorBidi" w:cstheme="majorBidi"/>
                <w:color w:val="auto"/>
                <w:sz w:val="24"/>
                <w:szCs w:val="24"/>
              </w:rPr>
              <w:t xml:space="preserve"> D, Machado A, Florescu SA, Lazar M, </w:t>
            </w:r>
            <w:proofErr w:type="spellStart"/>
            <w:r w:rsidRPr="0034414C">
              <w:rPr>
                <w:rFonts w:asciiTheme="majorBidi" w:hAnsiTheme="majorBidi" w:cstheme="majorBidi"/>
                <w:color w:val="auto"/>
                <w:sz w:val="24"/>
                <w:szCs w:val="24"/>
              </w:rPr>
              <w:t>Subirats</w:t>
            </w:r>
            <w:proofErr w:type="spellEnd"/>
            <w:r w:rsidRPr="0034414C">
              <w:rPr>
                <w:rFonts w:asciiTheme="majorBidi" w:hAnsiTheme="majorBidi" w:cstheme="majorBidi"/>
                <w:color w:val="auto"/>
                <w:sz w:val="24"/>
                <w:szCs w:val="24"/>
              </w:rPr>
              <w:t xml:space="preserve"> P, </w:t>
            </w:r>
            <w:proofErr w:type="spellStart"/>
            <w:r w:rsidRPr="0034414C">
              <w:rPr>
                <w:rFonts w:asciiTheme="majorBidi" w:hAnsiTheme="majorBidi" w:cstheme="majorBidi"/>
                <w:color w:val="auto"/>
                <w:sz w:val="24"/>
                <w:szCs w:val="24"/>
              </w:rPr>
              <w:t>Clusa</w:t>
            </w:r>
            <w:proofErr w:type="spellEnd"/>
            <w:r w:rsidRPr="0034414C">
              <w:rPr>
                <w:rFonts w:asciiTheme="majorBidi" w:hAnsiTheme="majorBidi" w:cstheme="majorBidi"/>
                <w:color w:val="auto"/>
                <w:sz w:val="24"/>
                <w:szCs w:val="24"/>
              </w:rPr>
              <w:t xml:space="preserve"> Cuesta L, Sui J, Kenny C, Santangelo R, </w:t>
            </w:r>
            <w:proofErr w:type="spellStart"/>
            <w:r w:rsidRPr="0034414C">
              <w:rPr>
                <w:rFonts w:asciiTheme="majorBidi" w:hAnsiTheme="majorBidi" w:cstheme="majorBidi"/>
                <w:color w:val="auto"/>
                <w:sz w:val="24"/>
                <w:szCs w:val="24"/>
              </w:rPr>
              <w:t>Krievins</w:t>
            </w:r>
            <w:proofErr w:type="spellEnd"/>
            <w:r w:rsidRPr="0034414C">
              <w:rPr>
                <w:rFonts w:asciiTheme="majorBidi" w:hAnsiTheme="majorBidi" w:cstheme="majorBidi"/>
                <w:color w:val="auto"/>
                <w:sz w:val="24"/>
                <w:szCs w:val="24"/>
              </w:rPr>
              <w:t xml:space="preserve"> D, </w:t>
            </w:r>
            <w:proofErr w:type="spellStart"/>
            <w:r w:rsidRPr="0034414C">
              <w:rPr>
                <w:rFonts w:asciiTheme="majorBidi" w:hAnsiTheme="majorBidi" w:cstheme="majorBidi"/>
                <w:color w:val="auto"/>
                <w:sz w:val="24"/>
                <w:szCs w:val="24"/>
              </w:rPr>
              <w:t>Barzdina</w:t>
            </w:r>
            <w:proofErr w:type="spellEnd"/>
            <w:r w:rsidRPr="0034414C">
              <w:rPr>
                <w:rFonts w:asciiTheme="majorBidi" w:hAnsiTheme="majorBidi" w:cstheme="majorBidi"/>
                <w:color w:val="auto"/>
                <w:sz w:val="24"/>
                <w:szCs w:val="24"/>
              </w:rPr>
              <w:t xml:space="preserve"> EA, </w:t>
            </w:r>
            <w:proofErr w:type="spellStart"/>
            <w:r w:rsidRPr="0034414C">
              <w:rPr>
                <w:rFonts w:asciiTheme="majorBidi" w:hAnsiTheme="majorBidi" w:cstheme="majorBidi"/>
                <w:color w:val="auto"/>
                <w:sz w:val="24"/>
                <w:szCs w:val="24"/>
              </w:rPr>
              <w:t>Valadas</w:t>
            </w:r>
            <w:proofErr w:type="spellEnd"/>
            <w:r w:rsidRPr="0034414C">
              <w:rPr>
                <w:rFonts w:asciiTheme="majorBidi" w:hAnsiTheme="majorBidi" w:cstheme="majorBidi"/>
                <w:color w:val="auto"/>
                <w:sz w:val="24"/>
                <w:szCs w:val="24"/>
              </w:rPr>
              <w:t xml:space="preserve"> Henriques C, Kosa AG, Pohrib SM, Muñoz-Almagro C, Milagro A, Bacci S, Nardone A, VEBIS HCW VE study group. Effectiveness of the autumn 2023 COVID-19 vaccine dose in hospital-based healthcare workers: results of the VEBIS healthcare worker vaccine effectiveness cohort study, seven European countries, season 2023/24. Eurosurveillance. 2024;29(44):2400680. doi:10.2807/1560-7917.ES.2024.29.44.2400680.</w:t>
            </w:r>
          </w:p>
        </w:tc>
        <w:tc>
          <w:tcPr>
            <w:tcW w:w="5938" w:type="dxa"/>
          </w:tcPr>
          <w:p w14:paraId="7082E88C" w14:textId="59A6CA44" w:rsidR="009405C7" w:rsidRPr="0034414C" w:rsidRDefault="009405C7" w:rsidP="009405C7">
            <w:pPr>
              <w:pStyle w:val="MDPI31text"/>
              <w:ind w:left="0" w:firstLine="0"/>
              <w:rPr>
                <w:rFonts w:asciiTheme="majorBidi" w:hAnsiTheme="majorBidi" w:cstheme="majorBidi"/>
                <w:color w:val="auto"/>
                <w:sz w:val="24"/>
                <w:szCs w:val="24"/>
              </w:rPr>
            </w:pPr>
            <w:r w:rsidRPr="0034414C">
              <w:rPr>
                <w:rFonts w:asciiTheme="majorBidi" w:hAnsiTheme="majorBidi" w:cstheme="majorBidi"/>
                <w:color w:val="auto"/>
                <w:sz w:val="24"/>
                <w:szCs w:val="24"/>
              </w:rPr>
              <w:t xml:space="preserve">Outside the prespecified review scope. This prospective </w:t>
            </w:r>
            <w:r w:rsidR="000244C3" w:rsidRPr="0034414C">
              <w:rPr>
                <w:rFonts w:asciiTheme="majorBidi" w:hAnsiTheme="majorBidi" w:cstheme="majorBidi"/>
                <w:color w:val="auto"/>
                <w:sz w:val="24"/>
                <w:szCs w:val="24"/>
              </w:rPr>
              <w:t>multicenter</w:t>
            </w:r>
            <w:r w:rsidRPr="0034414C">
              <w:rPr>
                <w:rFonts w:asciiTheme="majorBidi" w:hAnsiTheme="majorBidi" w:cstheme="majorBidi"/>
                <w:color w:val="auto"/>
                <w:sz w:val="24"/>
                <w:szCs w:val="24"/>
              </w:rPr>
              <w:t xml:space="preserve"> cohort study among hospital-based healthcare workers evaluated the effectiveness of the autumn 2023 COVID-19 vaccine dose against laboratory-confirmed SARS-CoV-2 infection (overall, symptomatic, and asymptomatic) only. The study did not assess vaccine effectiveness against hospitali</w:t>
            </w:r>
            <w:r w:rsidR="0004402C" w:rsidRPr="0034414C">
              <w:rPr>
                <w:rFonts w:asciiTheme="majorBidi" w:hAnsiTheme="majorBidi" w:cstheme="majorBidi"/>
                <w:color w:val="auto"/>
                <w:sz w:val="24"/>
                <w:szCs w:val="24"/>
              </w:rPr>
              <w:t>z</w:t>
            </w:r>
            <w:r w:rsidRPr="0034414C">
              <w:rPr>
                <w:rFonts w:asciiTheme="majorBidi" w:hAnsiTheme="majorBidi" w:cstheme="majorBidi"/>
                <w:color w:val="auto"/>
                <w:sz w:val="24"/>
                <w:szCs w:val="24"/>
              </w:rPr>
              <w:t>ation, severe or critical disease, ICU admission, or mortality, and therefore provides no extractable effectiveness estimates for severe outcomes relevant to this review.</w:t>
            </w:r>
          </w:p>
        </w:tc>
      </w:tr>
      <w:tr w:rsidR="009405C7" w14:paraId="066745BA" w14:textId="77777777" w:rsidTr="00B20255">
        <w:tc>
          <w:tcPr>
            <w:tcW w:w="5403" w:type="dxa"/>
          </w:tcPr>
          <w:p w14:paraId="11588100" w14:textId="1CB3FE8F" w:rsidR="009405C7" w:rsidRPr="0034414C" w:rsidRDefault="0034414C" w:rsidP="009405C7">
            <w:pPr>
              <w:pStyle w:val="MDPI31text"/>
              <w:ind w:left="0" w:firstLine="0"/>
              <w:rPr>
                <w:rFonts w:asciiTheme="majorBidi" w:hAnsiTheme="majorBidi" w:cstheme="majorBidi"/>
                <w:color w:val="auto"/>
                <w:sz w:val="24"/>
                <w:szCs w:val="24"/>
              </w:rPr>
            </w:pPr>
            <w:r w:rsidRPr="0034414C">
              <w:rPr>
                <w:rFonts w:asciiTheme="majorBidi" w:hAnsiTheme="majorBidi" w:cstheme="majorBidi"/>
                <w:color w:val="auto"/>
                <w:sz w:val="24"/>
                <w:szCs w:val="24"/>
              </w:rPr>
              <w:t xml:space="preserve">Schreiber M, Ocampo VLS, Zhang A, Dusko A, Hall EW. Effectiveness of a mRNA vaccine booster dose against COVID-19 among Oregon health care personnel, January 2021 to June 2023. American </w:t>
            </w:r>
            <w:r w:rsidRPr="0034414C">
              <w:rPr>
                <w:rFonts w:asciiTheme="majorBidi" w:hAnsiTheme="majorBidi" w:cstheme="majorBidi"/>
                <w:color w:val="auto"/>
                <w:sz w:val="24"/>
                <w:szCs w:val="24"/>
              </w:rPr>
              <w:lastRenderedPageBreak/>
              <w:t>Journal of Infection Control. 2025;53(10):1282-1291. doi:10.1016/j.ajic.2025.08.022.</w:t>
            </w:r>
          </w:p>
        </w:tc>
        <w:tc>
          <w:tcPr>
            <w:tcW w:w="5938" w:type="dxa"/>
          </w:tcPr>
          <w:p w14:paraId="0B5992F4" w14:textId="54895703" w:rsidR="009405C7" w:rsidRPr="0034414C" w:rsidRDefault="009405C7" w:rsidP="009405C7">
            <w:pPr>
              <w:pStyle w:val="MDPI31text"/>
              <w:ind w:left="0" w:firstLine="0"/>
              <w:rPr>
                <w:rFonts w:asciiTheme="majorBidi" w:hAnsiTheme="majorBidi" w:cstheme="majorBidi"/>
                <w:color w:val="auto"/>
                <w:sz w:val="24"/>
                <w:szCs w:val="24"/>
              </w:rPr>
            </w:pPr>
            <w:r w:rsidRPr="0034414C">
              <w:rPr>
                <w:rFonts w:asciiTheme="majorBidi" w:hAnsiTheme="majorBidi" w:cstheme="majorBidi"/>
                <w:color w:val="auto"/>
                <w:sz w:val="24"/>
                <w:szCs w:val="24"/>
              </w:rPr>
              <w:lastRenderedPageBreak/>
              <w:t>Outside the prespecified review scope. The study evaluates vaccine effectiveness against SARS-CoV-2 infection only among health care personnel and does not report effectiveness for severe clinical outcomes (hospitali</w:t>
            </w:r>
            <w:r w:rsidR="0004402C" w:rsidRPr="0034414C">
              <w:rPr>
                <w:rFonts w:asciiTheme="majorBidi" w:hAnsiTheme="majorBidi" w:cstheme="majorBidi"/>
                <w:color w:val="auto"/>
                <w:sz w:val="24"/>
                <w:szCs w:val="24"/>
              </w:rPr>
              <w:t>z</w:t>
            </w:r>
            <w:r w:rsidRPr="0034414C">
              <w:rPr>
                <w:rFonts w:asciiTheme="majorBidi" w:hAnsiTheme="majorBidi" w:cstheme="majorBidi"/>
                <w:color w:val="auto"/>
                <w:sz w:val="24"/>
                <w:szCs w:val="24"/>
              </w:rPr>
              <w:t xml:space="preserve">ation, </w:t>
            </w:r>
            <w:r w:rsidRPr="0034414C">
              <w:rPr>
                <w:rFonts w:asciiTheme="majorBidi" w:hAnsiTheme="majorBidi" w:cstheme="majorBidi"/>
                <w:color w:val="auto"/>
                <w:sz w:val="24"/>
                <w:szCs w:val="24"/>
              </w:rPr>
              <w:lastRenderedPageBreak/>
              <w:t>ICU admission, or death). In addition, it assesses monovalent mRNA booster vaccines rather than variant-adapted (bivalent or updated) formulations that are the focus of this review.</w:t>
            </w:r>
          </w:p>
        </w:tc>
      </w:tr>
      <w:tr w:rsidR="009405C7" w14:paraId="04901B7B" w14:textId="77777777" w:rsidTr="00B20255">
        <w:tc>
          <w:tcPr>
            <w:tcW w:w="5403" w:type="dxa"/>
          </w:tcPr>
          <w:p w14:paraId="42EAB50E" w14:textId="38EC00DC" w:rsidR="009405C7" w:rsidRPr="0034414C" w:rsidRDefault="0034414C" w:rsidP="009405C7">
            <w:pPr>
              <w:pStyle w:val="MDPI31text"/>
              <w:ind w:left="0" w:firstLine="0"/>
              <w:rPr>
                <w:rFonts w:asciiTheme="majorBidi" w:hAnsiTheme="majorBidi" w:cstheme="majorBidi"/>
                <w:color w:val="auto"/>
                <w:sz w:val="24"/>
                <w:szCs w:val="24"/>
              </w:rPr>
            </w:pPr>
            <w:proofErr w:type="spellStart"/>
            <w:r w:rsidRPr="0034414C">
              <w:rPr>
                <w:rFonts w:asciiTheme="majorBidi" w:hAnsiTheme="majorBidi" w:cstheme="majorBidi"/>
                <w:color w:val="auto"/>
                <w:sz w:val="24"/>
                <w:szCs w:val="24"/>
              </w:rPr>
              <w:lastRenderedPageBreak/>
              <w:t>Semenzato</w:t>
            </w:r>
            <w:proofErr w:type="spellEnd"/>
            <w:r w:rsidRPr="0034414C">
              <w:rPr>
                <w:rFonts w:asciiTheme="majorBidi" w:hAnsiTheme="majorBidi" w:cstheme="majorBidi"/>
                <w:color w:val="auto"/>
                <w:sz w:val="24"/>
                <w:szCs w:val="24"/>
              </w:rPr>
              <w:t xml:space="preserve"> L, Botton J, Le Vu S, </w:t>
            </w:r>
            <w:proofErr w:type="spellStart"/>
            <w:r w:rsidRPr="0034414C">
              <w:rPr>
                <w:rFonts w:asciiTheme="majorBidi" w:hAnsiTheme="majorBidi" w:cstheme="majorBidi"/>
                <w:color w:val="auto"/>
                <w:sz w:val="24"/>
                <w:szCs w:val="24"/>
              </w:rPr>
              <w:t>Jabagi</w:t>
            </w:r>
            <w:proofErr w:type="spellEnd"/>
            <w:r w:rsidRPr="0034414C">
              <w:rPr>
                <w:rFonts w:asciiTheme="majorBidi" w:hAnsiTheme="majorBidi" w:cstheme="majorBidi"/>
                <w:color w:val="auto"/>
                <w:sz w:val="24"/>
                <w:szCs w:val="24"/>
              </w:rPr>
              <w:t xml:space="preserve"> M-J, </w:t>
            </w:r>
            <w:proofErr w:type="spellStart"/>
            <w:r w:rsidRPr="0034414C">
              <w:rPr>
                <w:rFonts w:asciiTheme="majorBidi" w:hAnsiTheme="majorBidi" w:cstheme="majorBidi"/>
                <w:color w:val="auto"/>
                <w:sz w:val="24"/>
                <w:szCs w:val="24"/>
              </w:rPr>
              <w:t>Cuenot</w:t>
            </w:r>
            <w:proofErr w:type="spellEnd"/>
            <w:r w:rsidRPr="0034414C">
              <w:rPr>
                <w:rFonts w:asciiTheme="majorBidi" w:hAnsiTheme="majorBidi" w:cstheme="majorBidi"/>
                <w:color w:val="auto"/>
                <w:sz w:val="24"/>
                <w:szCs w:val="24"/>
              </w:rPr>
              <w:t xml:space="preserve"> F, Drouin J, Dray-Spira R, Weill A, Zureik M. Protection of COVID-19 vaccination against hospitalization during the era of Omicron BA.4 and BA.5 predominance: a nationwide case–control study based on the French National Health Data System. Open Forum Infectious Diseases. 2023;10(10):ofad460. doi:10.1093/</w:t>
            </w:r>
            <w:proofErr w:type="spellStart"/>
            <w:r w:rsidRPr="0034414C">
              <w:rPr>
                <w:rFonts w:asciiTheme="majorBidi" w:hAnsiTheme="majorBidi" w:cstheme="majorBidi"/>
                <w:color w:val="auto"/>
                <w:sz w:val="24"/>
                <w:szCs w:val="24"/>
              </w:rPr>
              <w:t>ofid</w:t>
            </w:r>
            <w:proofErr w:type="spellEnd"/>
            <w:r w:rsidRPr="0034414C">
              <w:rPr>
                <w:rFonts w:asciiTheme="majorBidi" w:hAnsiTheme="majorBidi" w:cstheme="majorBidi"/>
                <w:color w:val="auto"/>
                <w:sz w:val="24"/>
                <w:szCs w:val="24"/>
              </w:rPr>
              <w:t>/ofad460.</w:t>
            </w:r>
          </w:p>
        </w:tc>
        <w:tc>
          <w:tcPr>
            <w:tcW w:w="5938" w:type="dxa"/>
          </w:tcPr>
          <w:p w14:paraId="4130B4AD" w14:textId="053B2EB4" w:rsidR="009405C7" w:rsidRPr="0034414C" w:rsidRDefault="009405C7" w:rsidP="009405C7">
            <w:pPr>
              <w:pStyle w:val="MDPI31text"/>
              <w:ind w:left="0" w:firstLine="0"/>
              <w:rPr>
                <w:rFonts w:asciiTheme="majorBidi" w:hAnsiTheme="majorBidi" w:cstheme="majorBidi"/>
                <w:color w:val="auto"/>
                <w:sz w:val="24"/>
                <w:szCs w:val="24"/>
              </w:rPr>
            </w:pPr>
            <w:r w:rsidRPr="0034414C">
              <w:rPr>
                <w:rFonts w:asciiTheme="majorBidi" w:hAnsiTheme="majorBidi" w:cstheme="majorBidi"/>
                <w:color w:val="auto"/>
                <w:sz w:val="24"/>
                <w:szCs w:val="24"/>
              </w:rPr>
              <w:t>Outside the prespecified review scope. This nationwide case–control study evaluates the effectiveness and durability of ancestral mRNA COVID-19 vaccines and early booster doses during early Omicron BA.4/BA.5 predominance (June–October 2022). The study does not assess late-Omicron sub-lineages (e.g., XBB, JN.1, KP) or the effectiveness of updated, variant-adapted COVID-19 vaccines, which are the focus of this review.</w:t>
            </w:r>
          </w:p>
        </w:tc>
      </w:tr>
      <w:tr w:rsidR="009405C7" w14:paraId="5FE3F7E0" w14:textId="77777777" w:rsidTr="00B20255">
        <w:tc>
          <w:tcPr>
            <w:tcW w:w="5403" w:type="dxa"/>
          </w:tcPr>
          <w:p w14:paraId="277AEDDD" w14:textId="6C0AA8BC" w:rsidR="009405C7" w:rsidRPr="0050585F" w:rsidRDefault="0050585F" w:rsidP="009405C7">
            <w:pPr>
              <w:pStyle w:val="MDPI31text"/>
              <w:ind w:left="0" w:firstLine="0"/>
              <w:rPr>
                <w:rFonts w:asciiTheme="majorBidi" w:hAnsiTheme="majorBidi" w:cstheme="majorBidi"/>
                <w:color w:val="auto"/>
                <w:sz w:val="24"/>
                <w:szCs w:val="24"/>
              </w:rPr>
            </w:pPr>
            <w:proofErr w:type="spellStart"/>
            <w:r w:rsidRPr="0050585F">
              <w:rPr>
                <w:rFonts w:asciiTheme="majorBidi" w:hAnsiTheme="majorBidi" w:cstheme="majorBidi"/>
                <w:color w:val="auto"/>
                <w:sz w:val="24"/>
                <w:szCs w:val="24"/>
              </w:rPr>
              <w:t>Sentís</w:t>
            </w:r>
            <w:proofErr w:type="spellEnd"/>
            <w:r w:rsidRPr="0050585F">
              <w:rPr>
                <w:rFonts w:asciiTheme="majorBidi" w:hAnsiTheme="majorBidi" w:cstheme="majorBidi"/>
                <w:color w:val="auto"/>
                <w:sz w:val="24"/>
                <w:szCs w:val="24"/>
              </w:rPr>
              <w:t xml:space="preserve"> A, </w:t>
            </w:r>
            <w:proofErr w:type="spellStart"/>
            <w:r w:rsidRPr="0050585F">
              <w:rPr>
                <w:rFonts w:asciiTheme="majorBidi" w:hAnsiTheme="majorBidi" w:cstheme="majorBidi"/>
                <w:color w:val="auto"/>
                <w:sz w:val="24"/>
                <w:szCs w:val="24"/>
              </w:rPr>
              <w:t>Kislaya</w:t>
            </w:r>
            <w:proofErr w:type="spellEnd"/>
            <w:r w:rsidRPr="0050585F">
              <w:rPr>
                <w:rFonts w:asciiTheme="majorBidi" w:hAnsiTheme="majorBidi" w:cstheme="majorBidi"/>
                <w:color w:val="auto"/>
                <w:sz w:val="24"/>
                <w:szCs w:val="24"/>
              </w:rPr>
              <w:t xml:space="preserve"> I, Nicolay N, </w:t>
            </w:r>
            <w:proofErr w:type="spellStart"/>
            <w:r w:rsidRPr="0050585F">
              <w:rPr>
                <w:rFonts w:asciiTheme="majorBidi" w:hAnsiTheme="majorBidi" w:cstheme="majorBidi"/>
                <w:color w:val="auto"/>
                <w:sz w:val="24"/>
                <w:szCs w:val="24"/>
              </w:rPr>
              <w:t>Meijerink</w:t>
            </w:r>
            <w:proofErr w:type="spellEnd"/>
            <w:r w:rsidRPr="0050585F">
              <w:rPr>
                <w:rFonts w:asciiTheme="majorBidi" w:hAnsiTheme="majorBidi" w:cstheme="majorBidi"/>
                <w:color w:val="auto"/>
                <w:sz w:val="24"/>
                <w:szCs w:val="24"/>
              </w:rPr>
              <w:t xml:space="preserve"> H, </w:t>
            </w:r>
            <w:proofErr w:type="spellStart"/>
            <w:r w:rsidRPr="0050585F">
              <w:rPr>
                <w:rFonts w:asciiTheme="majorBidi" w:hAnsiTheme="majorBidi" w:cstheme="majorBidi"/>
                <w:color w:val="auto"/>
                <w:sz w:val="24"/>
                <w:szCs w:val="24"/>
              </w:rPr>
              <w:t>Starrfelt</w:t>
            </w:r>
            <w:proofErr w:type="spellEnd"/>
            <w:r w:rsidRPr="0050585F">
              <w:rPr>
                <w:rFonts w:asciiTheme="majorBidi" w:hAnsiTheme="majorBidi" w:cstheme="majorBidi"/>
                <w:color w:val="auto"/>
                <w:sz w:val="24"/>
                <w:szCs w:val="24"/>
              </w:rPr>
              <w:t xml:space="preserve"> J, Martínez-Baz I, Castilla J, Nielsen KF, Hansen CH, Emborg H-D, Nardone A, Derrough T, Valenciano M, Nunes B, Monge S, VEBIS-Lot4 working group. Estimation of COVID-19 vaccine effectiveness against hospitalisation in individuals aged ≥65 years using electronic health registries; a pilot study in four EU/EEA countries, October 2021 to March 2022. Eurosurveillance. 2022;27(30):2200551. doi:10.2807/1560-7917.ES.2022.27.30.2200551.</w:t>
            </w:r>
          </w:p>
        </w:tc>
        <w:tc>
          <w:tcPr>
            <w:tcW w:w="5938" w:type="dxa"/>
          </w:tcPr>
          <w:p w14:paraId="32040942" w14:textId="3FCF31C1" w:rsidR="009405C7" w:rsidRPr="0050585F" w:rsidRDefault="009405C7" w:rsidP="009405C7">
            <w:pPr>
              <w:pStyle w:val="MDPI31text"/>
              <w:ind w:left="0" w:firstLine="0"/>
              <w:rPr>
                <w:rFonts w:asciiTheme="majorBidi" w:hAnsiTheme="majorBidi" w:cstheme="majorBidi"/>
                <w:color w:val="auto"/>
                <w:sz w:val="24"/>
                <w:szCs w:val="24"/>
              </w:rPr>
            </w:pPr>
            <w:r w:rsidRPr="0050585F">
              <w:rPr>
                <w:rFonts w:asciiTheme="majorBidi" w:hAnsiTheme="majorBidi" w:cstheme="majorBidi"/>
                <w:color w:val="auto"/>
                <w:sz w:val="24"/>
                <w:szCs w:val="24"/>
              </w:rPr>
              <w:t>Outside the prespecified review scope. This multicountry pilot study evaluates the effectiveness of ancestral COVID-19 vaccine primary series and first booster doses during pre-Omicron and early Omicron circulation (October 2021–March 2022). The study does not assess late-Omicron sub-lineages (e.g., BA.4/BA.5, XBB, JN.1, KP) or the effectiveness of updated, variant-adapted COVID-19 vaccines, which are the focus of this review.</w:t>
            </w:r>
          </w:p>
        </w:tc>
      </w:tr>
      <w:tr w:rsidR="009405C7" w14:paraId="1491D415" w14:textId="77777777" w:rsidTr="00B20255">
        <w:tc>
          <w:tcPr>
            <w:tcW w:w="5403" w:type="dxa"/>
          </w:tcPr>
          <w:p w14:paraId="47A9307B" w14:textId="0AE01BDD" w:rsidR="009405C7" w:rsidRPr="0050585F" w:rsidRDefault="0050585F" w:rsidP="009405C7">
            <w:pPr>
              <w:pStyle w:val="MDPI31text"/>
              <w:ind w:left="0" w:firstLine="0"/>
              <w:rPr>
                <w:rFonts w:asciiTheme="majorBidi" w:hAnsiTheme="majorBidi" w:cstheme="majorBidi"/>
                <w:color w:val="auto"/>
                <w:sz w:val="24"/>
                <w:szCs w:val="24"/>
              </w:rPr>
            </w:pPr>
            <w:r w:rsidRPr="0050585F">
              <w:rPr>
                <w:rFonts w:asciiTheme="majorBidi" w:hAnsiTheme="majorBidi" w:cstheme="majorBidi"/>
                <w:color w:val="auto"/>
                <w:sz w:val="24"/>
                <w:szCs w:val="24"/>
                <w:lang w:val="en-GB"/>
              </w:rPr>
              <w:t xml:space="preserve">Serrano-Ortiz Á, Romero-Cabrera JL, Monserrat Villatoro J, Cordero-Ramos J, Ruiz-Montero R, </w:t>
            </w:r>
            <w:proofErr w:type="spellStart"/>
            <w:r w:rsidRPr="0050585F">
              <w:rPr>
                <w:rFonts w:asciiTheme="majorBidi" w:hAnsiTheme="majorBidi" w:cstheme="majorBidi"/>
                <w:color w:val="auto"/>
                <w:sz w:val="24"/>
                <w:szCs w:val="24"/>
                <w:lang w:val="en-GB"/>
              </w:rPr>
              <w:t>Ritoré</w:t>
            </w:r>
            <w:proofErr w:type="spellEnd"/>
            <w:r w:rsidRPr="0050585F">
              <w:rPr>
                <w:rFonts w:asciiTheme="majorBidi" w:hAnsiTheme="majorBidi" w:cstheme="majorBidi"/>
                <w:color w:val="auto"/>
                <w:sz w:val="24"/>
                <w:szCs w:val="24"/>
                <w:lang w:val="en-GB"/>
              </w:rPr>
              <w:t xml:space="preserve"> Á, Dopazo J, del Diego Salas J, García Sánchez V, Salcedo-Leal I, Armengol de la Hoz MA, </w:t>
            </w:r>
            <w:proofErr w:type="spellStart"/>
            <w:r w:rsidRPr="0050585F">
              <w:rPr>
                <w:rFonts w:asciiTheme="majorBidi" w:hAnsiTheme="majorBidi" w:cstheme="majorBidi"/>
                <w:color w:val="auto"/>
                <w:sz w:val="24"/>
                <w:szCs w:val="24"/>
                <w:lang w:val="en-GB"/>
              </w:rPr>
              <w:t>Túnez</w:t>
            </w:r>
            <w:proofErr w:type="spellEnd"/>
            <w:r w:rsidRPr="0050585F">
              <w:rPr>
                <w:rFonts w:asciiTheme="majorBidi" w:hAnsiTheme="majorBidi" w:cstheme="majorBidi"/>
                <w:color w:val="auto"/>
                <w:sz w:val="24"/>
                <w:szCs w:val="24"/>
                <w:lang w:val="en-GB"/>
              </w:rPr>
              <w:t xml:space="preserve"> I, Guzmán MA. </w:t>
            </w:r>
            <w:r w:rsidRPr="0050585F">
              <w:rPr>
                <w:rFonts w:asciiTheme="majorBidi" w:hAnsiTheme="majorBidi" w:cstheme="majorBidi"/>
                <w:color w:val="auto"/>
                <w:sz w:val="24"/>
                <w:szCs w:val="24"/>
                <w:lang w:val="en-AU"/>
              </w:rPr>
              <w:t xml:space="preserve">Assessing COVID-19 vaccine effectiveness and risk factors for severe outcomes through machine learning techniques: a real-world data study in Andalusia, Spain. </w:t>
            </w:r>
            <w:r w:rsidRPr="0050585F">
              <w:rPr>
                <w:rFonts w:asciiTheme="majorBidi" w:hAnsiTheme="majorBidi" w:cstheme="majorBidi"/>
                <w:color w:val="auto"/>
                <w:sz w:val="24"/>
                <w:szCs w:val="24"/>
                <w:lang w:val="nb-NO"/>
              </w:rPr>
              <w:t xml:space="preserve">Journal </w:t>
            </w:r>
            <w:proofErr w:type="spellStart"/>
            <w:r w:rsidRPr="0050585F">
              <w:rPr>
                <w:rFonts w:asciiTheme="majorBidi" w:hAnsiTheme="majorBidi" w:cstheme="majorBidi"/>
                <w:color w:val="auto"/>
                <w:sz w:val="24"/>
                <w:szCs w:val="24"/>
                <w:lang w:val="nb-NO"/>
              </w:rPr>
              <w:t>of</w:t>
            </w:r>
            <w:proofErr w:type="spellEnd"/>
            <w:r w:rsidRPr="0050585F">
              <w:rPr>
                <w:rFonts w:asciiTheme="majorBidi" w:hAnsiTheme="majorBidi" w:cstheme="majorBidi"/>
                <w:color w:val="auto"/>
                <w:sz w:val="24"/>
                <w:szCs w:val="24"/>
                <w:lang w:val="nb-NO"/>
              </w:rPr>
              <w:t xml:space="preserve"> </w:t>
            </w:r>
            <w:proofErr w:type="spellStart"/>
            <w:r w:rsidRPr="0050585F">
              <w:rPr>
                <w:rFonts w:asciiTheme="majorBidi" w:hAnsiTheme="majorBidi" w:cstheme="majorBidi"/>
                <w:color w:val="auto"/>
                <w:sz w:val="24"/>
                <w:szCs w:val="24"/>
                <w:lang w:val="nb-NO"/>
              </w:rPr>
              <w:t>Epidemiology</w:t>
            </w:r>
            <w:proofErr w:type="spellEnd"/>
            <w:r w:rsidRPr="0050585F">
              <w:rPr>
                <w:rFonts w:asciiTheme="majorBidi" w:hAnsiTheme="majorBidi" w:cstheme="majorBidi"/>
                <w:color w:val="auto"/>
                <w:sz w:val="24"/>
                <w:szCs w:val="24"/>
                <w:lang w:val="nb-NO"/>
              </w:rPr>
              <w:t xml:space="preserve"> and Global Health. 2024;14:1504–1517. doi:10.1007/s44197-024-00298-2.</w:t>
            </w:r>
          </w:p>
        </w:tc>
        <w:tc>
          <w:tcPr>
            <w:tcW w:w="5938" w:type="dxa"/>
          </w:tcPr>
          <w:p w14:paraId="40B5ABEF" w14:textId="77777777" w:rsidR="009405C7" w:rsidRPr="0050585F" w:rsidRDefault="009405C7" w:rsidP="009405C7">
            <w:pPr>
              <w:pStyle w:val="MDPI31text"/>
              <w:ind w:left="0" w:firstLine="0"/>
              <w:rPr>
                <w:rFonts w:asciiTheme="majorBidi" w:hAnsiTheme="majorBidi" w:cstheme="majorBidi"/>
                <w:color w:val="auto"/>
                <w:sz w:val="24"/>
                <w:szCs w:val="24"/>
              </w:rPr>
            </w:pPr>
            <w:r w:rsidRPr="0050585F">
              <w:rPr>
                <w:rFonts w:asciiTheme="majorBidi" w:hAnsiTheme="majorBidi" w:cstheme="majorBidi"/>
                <w:color w:val="auto"/>
                <w:sz w:val="24"/>
                <w:szCs w:val="24"/>
              </w:rPr>
              <w:t xml:space="preserve">Outside the prespecified review scope. This study primarily applies machine-learning (generalized additive) models to identify risk factors and reports odds ratios for hospital admission, ICU admission, and 30-day mortality among RT-PCR–confirmed cases, rather than population-based absolute or relative vaccine effectiveness (VE or </w:t>
            </w:r>
            <w:proofErr w:type="spellStart"/>
            <w:r w:rsidRPr="0050585F">
              <w:rPr>
                <w:rFonts w:asciiTheme="majorBidi" w:hAnsiTheme="majorBidi" w:cstheme="majorBidi"/>
                <w:color w:val="auto"/>
                <w:sz w:val="24"/>
                <w:szCs w:val="24"/>
              </w:rPr>
              <w:t>rVE</w:t>
            </w:r>
            <w:proofErr w:type="spellEnd"/>
            <w:r w:rsidRPr="0050585F">
              <w:rPr>
                <w:rFonts w:asciiTheme="majorBidi" w:hAnsiTheme="majorBidi" w:cstheme="majorBidi"/>
                <w:color w:val="auto"/>
                <w:sz w:val="24"/>
                <w:szCs w:val="24"/>
              </w:rPr>
              <w:t>) estimates derived from standard cohort or test-negative designs. The effect measures and analytic framework are therefore not directly comparable with those synthesized in this review.</w:t>
            </w:r>
          </w:p>
        </w:tc>
      </w:tr>
      <w:tr w:rsidR="009405C7" w14:paraId="1C20881C" w14:textId="77777777" w:rsidTr="00B20255">
        <w:tc>
          <w:tcPr>
            <w:tcW w:w="5403" w:type="dxa"/>
          </w:tcPr>
          <w:p w14:paraId="3981DE74" w14:textId="61BDD43C" w:rsidR="009405C7" w:rsidRPr="00B217E0" w:rsidRDefault="00B217E0" w:rsidP="009405C7">
            <w:pPr>
              <w:pStyle w:val="MDPI31text"/>
              <w:ind w:left="0" w:firstLine="0"/>
              <w:rPr>
                <w:rFonts w:asciiTheme="majorBidi" w:hAnsiTheme="majorBidi" w:cstheme="majorBidi"/>
                <w:color w:val="auto"/>
                <w:sz w:val="24"/>
                <w:szCs w:val="24"/>
              </w:rPr>
            </w:pPr>
            <w:r w:rsidRPr="00B217E0">
              <w:rPr>
                <w:rFonts w:asciiTheme="majorBidi" w:hAnsiTheme="majorBidi" w:cstheme="majorBidi"/>
                <w:color w:val="auto"/>
                <w:sz w:val="24"/>
                <w:szCs w:val="24"/>
              </w:rPr>
              <w:t xml:space="preserve">Sharma A, Oda G, </w:t>
            </w:r>
            <w:proofErr w:type="spellStart"/>
            <w:r w:rsidRPr="00B217E0">
              <w:rPr>
                <w:rFonts w:asciiTheme="majorBidi" w:hAnsiTheme="majorBidi" w:cstheme="majorBidi"/>
                <w:color w:val="auto"/>
                <w:sz w:val="24"/>
                <w:szCs w:val="24"/>
              </w:rPr>
              <w:t>Holodniy</w:t>
            </w:r>
            <w:proofErr w:type="spellEnd"/>
            <w:r w:rsidRPr="00B217E0">
              <w:rPr>
                <w:rFonts w:asciiTheme="majorBidi" w:hAnsiTheme="majorBidi" w:cstheme="majorBidi"/>
                <w:color w:val="auto"/>
                <w:sz w:val="24"/>
                <w:szCs w:val="24"/>
              </w:rPr>
              <w:t xml:space="preserve"> M. Effectiveness of messenger RNA–based vaccines during the emergence of the severe acute respiratory syndrome coronavirus 2 Omicron variant. Clinical Infectious Diseases. 2022;75(12):2186–2192. doi:10.1093/</w:t>
            </w:r>
            <w:proofErr w:type="spellStart"/>
            <w:r w:rsidRPr="00B217E0">
              <w:rPr>
                <w:rFonts w:asciiTheme="majorBidi" w:hAnsiTheme="majorBidi" w:cstheme="majorBidi"/>
                <w:color w:val="auto"/>
                <w:sz w:val="24"/>
                <w:szCs w:val="24"/>
              </w:rPr>
              <w:t>cid</w:t>
            </w:r>
            <w:proofErr w:type="spellEnd"/>
            <w:r w:rsidRPr="00B217E0">
              <w:rPr>
                <w:rFonts w:asciiTheme="majorBidi" w:hAnsiTheme="majorBidi" w:cstheme="majorBidi"/>
                <w:color w:val="auto"/>
                <w:sz w:val="24"/>
                <w:szCs w:val="24"/>
              </w:rPr>
              <w:t>/ciac325.</w:t>
            </w:r>
          </w:p>
        </w:tc>
        <w:tc>
          <w:tcPr>
            <w:tcW w:w="5938" w:type="dxa"/>
          </w:tcPr>
          <w:p w14:paraId="463FE427" w14:textId="5F5F80E9" w:rsidR="009405C7" w:rsidRPr="00B217E0" w:rsidRDefault="009405C7" w:rsidP="009405C7">
            <w:pPr>
              <w:pStyle w:val="MDPI31text"/>
              <w:ind w:left="0" w:firstLine="0"/>
              <w:rPr>
                <w:rFonts w:asciiTheme="majorBidi" w:hAnsiTheme="majorBidi" w:cstheme="majorBidi"/>
                <w:color w:val="auto"/>
                <w:sz w:val="24"/>
                <w:szCs w:val="24"/>
              </w:rPr>
            </w:pPr>
            <w:r w:rsidRPr="00B217E0">
              <w:rPr>
                <w:rFonts w:asciiTheme="majorBidi" w:hAnsiTheme="majorBidi" w:cstheme="majorBidi"/>
                <w:color w:val="auto"/>
                <w:sz w:val="24"/>
                <w:szCs w:val="24"/>
              </w:rPr>
              <w:t>Outside the prespecified review scope. This study evaluates ancestral (non–variant-adapted) mRNA vaccines and third-dose boosters during early Omicron emergence (December 2021–March 2022) and does not provide effectiveness estimates for later Omicron subvariants (BA.5, XBB,</w:t>
            </w:r>
            <w:r w:rsidR="00FA0D7D" w:rsidRPr="00B217E0">
              <w:rPr>
                <w:rFonts w:asciiTheme="majorBidi" w:hAnsiTheme="majorBidi" w:cstheme="majorBidi"/>
                <w:color w:val="auto"/>
                <w:sz w:val="24"/>
                <w:szCs w:val="24"/>
              </w:rPr>
              <w:t xml:space="preserve"> </w:t>
            </w:r>
            <w:r w:rsidRPr="00B217E0">
              <w:rPr>
                <w:rFonts w:asciiTheme="majorBidi" w:hAnsiTheme="majorBidi" w:cstheme="majorBidi"/>
                <w:color w:val="auto"/>
                <w:sz w:val="24"/>
                <w:szCs w:val="24"/>
              </w:rPr>
              <w:t>JN.1, KP.3) or for updated/variant-adapted vaccines that are the focus of this review.</w:t>
            </w:r>
          </w:p>
        </w:tc>
      </w:tr>
      <w:tr w:rsidR="009405C7" w14:paraId="33802F51" w14:textId="77777777" w:rsidTr="00B20255">
        <w:tc>
          <w:tcPr>
            <w:tcW w:w="5403" w:type="dxa"/>
          </w:tcPr>
          <w:p w14:paraId="271248C7" w14:textId="70337FEE" w:rsidR="009405C7" w:rsidRPr="00B217E0" w:rsidRDefault="00B217E0" w:rsidP="009405C7">
            <w:pPr>
              <w:pStyle w:val="MDPI31text"/>
              <w:ind w:left="0" w:firstLine="0"/>
              <w:rPr>
                <w:rFonts w:asciiTheme="majorBidi" w:hAnsiTheme="majorBidi" w:cstheme="majorBidi"/>
                <w:color w:val="auto"/>
                <w:sz w:val="24"/>
                <w:szCs w:val="24"/>
              </w:rPr>
            </w:pPr>
            <w:r w:rsidRPr="00B217E0">
              <w:rPr>
                <w:rFonts w:asciiTheme="majorBidi" w:hAnsiTheme="majorBidi" w:cstheme="majorBidi"/>
                <w:color w:val="auto"/>
                <w:sz w:val="24"/>
                <w:szCs w:val="24"/>
              </w:rPr>
              <w:t>Sheikh A, Kerr S, Woolhouse M, McMenamin J, Robertson C, EAVE II Collaborators. Severity of omicron variant of concern and effectiveness of vaccine boosters against symptomatic disease in Scotland (EAVE II): a national cohort study with nested test-negative design. The Lancet Infectious Diseases. 2022;22(7):959–966. doi:10.1016/S1473-3099(22)00141-4.</w:t>
            </w:r>
          </w:p>
        </w:tc>
        <w:tc>
          <w:tcPr>
            <w:tcW w:w="5938" w:type="dxa"/>
          </w:tcPr>
          <w:p w14:paraId="037ED363" w14:textId="77777777" w:rsidR="009405C7" w:rsidRPr="00B217E0" w:rsidRDefault="009405C7" w:rsidP="009405C7">
            <w:pPr>
              <w:pStyle w:val="MDPI31text"/>
              <w:ind w:left="0" w:firstLine="0"/>
              <w:rPr>
                <w:rFonts w:asciiTheme="majorBidi" w:hAnsiTheme="majorBidi" w:cstheme="majorBidi"/>
                <w:color w:val="auto"/>
                <w:sz w:val="24"/>
                <w:szCs w:val="24"/>
              </w:rPr>
            </w:pPr>
            <w:r w:rsidRPr="00B217E0">
              <w:rPr>
                <w:rFonts w:asciiTheme="majorBidi" w:hAnsiTheme="majorBidi" w:cstheme="majorBidi"/>
                <w:color w:val="auto"/>
                <w:sz w:val="24"/>
                <w:szCs w:val="24"/>
              </w:rPr>
              <w:t xml:space="preserve">Outside the prespecified review scope. This study was conducted during the early emergence of Omicron (BA.1) in November–December 2021 and evaluates primary-series and early booster doses of ancestral-strain vaccines, estimating booster effectiveness relative to ≥25 weeks after the second dose. The analysis predates the introduction of updated or variant-adapted vaccines (e.g., BA.4/BA.5, XBB.1.5, JN.1) and reports effect measures that are not directly comparable with the absolute or standardized </w:t>
            </w:r>
            <w:r w:rsidRPr="00B217E0">
              <w:rPr>
                <w:rFonts w:asciiTheme="majorBidi" w:hAnsiTheme="majorBidi" w:cstheme="majorBidi"/>
                <w:color w:val="auto"/>
                <w:sz w:val="24"/>
                <w:szCs w:val="24"/>
              </w:rPr>
              <w:lastRenderedPageBreak/>
              <w:t>relative vaccine effectiveness metrics synthesized in this review.</w:t>
            </w:r>
          </w:p>
        </w:tc>
      </w:tr>
      <w:tr w:rsidR="009405C7" w14:paraId="0530C2C5" w14:textId="77777777" w:rsidTr="00B20255">
        <w:tc>
          <w:tcPr>
            <w:tcW w:w="5403" w:type="dxa"/>
          </w:tcPr>
          <w:p w14:paraId="57A412A9" w14:textId="2D318E78" w:rsidR="009405C7" w:rsidRPr="00B217E0" w:rsidRDefault="00B217E0" w:rsidP="009405C7">
            <w:pPr>
              <w:pStyle w:val="MDPI31text"/>
              <w:ind w:left="0" w:firstLine="0"/>
              <w:rPr>
                <w:rFonts w:asciiTheme="majorBidi" w:hAnsiTheme="majorBidi" w:cstheme="majorBidi"/>
                <w:color w:val="auto"/>
                <w:sz w:val="24"/>
                <w:szCs w:val="24"/>
              </w:rPr>
            </w:pPr>
            <w:proofErr w:type="spellStart"/>
            <w:r w:rsidRPr="00B217E0">
              <w:rPr>
                <w:rFonts w:asciiTheme="majorBidi" w:hAnsiTheme="majorBidi" w:cstheme="majorBidi"/>
                <w:color w:val="auto"/>
                <w:sz w:val="24"/>
                <w:szCs w:val="24"/>
                <w:lang w:val="en-GB"/>
              </w:rPr>
              <w:lastRenderedPageBreak/>
              <w:t>Shkoda</w:t>
            </w:r>
            <w:proofErr w:type="spellEnd"/>
            <w:r w:rsidRPr="00B217E0">
              <w:rPr>
                <w:rFonts w:asciiTheme="majorBidi" w:hAnsiTheme="majorBidi" w:cstheme="majorBidi"/>
                <w:color w:val="auto"/>
                <w:sz w:val="24"/>
                <w:szCs w:val="24"/>
                <w:lang w:val="en-GB"/>
              </w:rPr>
              <w:t xml:space="preserve"> AS, Gushchin VA, </w:t>
            </w:r>
            <w:proofErr w:type="spellStart"/>
            <w:r w:rsidRPr="00B217E0">
              <w:rPr>
                <w:rFonts w:asciiTheme="majorBidi" w:hAnsiTheme="majorBidi" w:cstheme="majorBidi"/>
                <w:color w:val="auto"/>
                <w:sz w:val="24"/>
                <w:szCs w:val="24"/>
                <w:lang w:val="en-GB"/>
              </w:rPr>
              <w:t>Ogarkova</w:t>
            </w:r>
            <w:proofErr w:type="spellEnd"/>
            <w:r w:rsidRPr="00B217E0">
              <w:rPr>
                <w:rFonts w:asciiTheme="majorBidi" w:hAnsiTheme="majorBidi" w:cstheme="majorBidi"/>
                <w:color w:val="auto"/>
                <w:sz w:val="24"/>
                <w:szCs w:val="24"/>
                <w:lang w:val="en-GB"/>
              </w:rPr>
              <w:t xml:space="preserve"> DA, </w:t>
            </w:r>
            <w:proofErr w:type="spellStart"/>
            <w:r w:rsidRPr="00B217E0">
              <w:rPr>
                <w:rFonts w:asciiTheme="majorBidi" w:hAnsiTheme="majorBidi" w:cstheme="majorBidi"/>
                <w:color w:val="auto"/>
                <w:sz w:val="24"/>
                <w:szCs w:val="24"/>
                <w:lang w:val="en-GB"/>
              </w:rPr>
              <w:t>Stavitskaya</w:t>
            </w:r>
            <w:proofErr w:type="spellEnd"/>
            <w:r w:rsidRPr="00B217E0">
              <w:rPr>
                <w:rFonts w:asciiTheme="majorBidi" w:hAnsiTheme="majorBidi" w:cstheme="majorBidi"/>
                <w:color w:val="auto"/>
                <w:sz w:val="24"/>
                <w:szCs w:val="24"/>
                <w:lang w:val="en-GB"/>
              </w:rPr>
              <w:t xml:space="preserve"> SV, Orlova OE, Kuznetsova NA, </w:t>
            </w:r>
            <w:proofErr w:type="spellStart"/>
            <w:r w:rsidRPr="00B217E0">
              <w:rPr>
                <w:rFonts w:asciiTheme="majorBidi" w:hAnsiTheme="majorBidi" w:cstheme="majorBidi"/>
                <w:color w:val="auto"/>
                <w:sz w:val="24"/>
                <w:szCs w:val="24"/>
                <w:lang w:val="en-GB"/>
              </w:rPr>
              <w:t>Keruntu</w:t>
            </w:r>
            <w:proofErr w:type="spellEnd"/>
            <w:r w:rsidRPr="00B217E0">
              <w:rPr>
                <w:rFonts w:asciiTheme="majorBidi" w:hAnsiTheme="majorBidi" w:cstheme="majorBidi"/>
                <w:color w:val="auto"/>
                <w:sz w:val="24"/>
                <w:szCs w:val="24"/>
                <w:lang w:val="en-GB"/>
              </w:rPr>
              <w:t xml:space="preserve"> EN, </w:t>
            </w:r>
            <w:proofErr w:type="spellStart"/>
            <w:r w:rsidRPr="00B217E0">
              <w:rPr>
                <w:rFonts w:asciiTheme="majorBidi" w:hAnsiTheme="majorBidi" w:cstheme="majorBidi"/>
                <w:color w:val="auto"/>
                <w:sz w:val="24"/>
                <w:szCs w:val="24"/>
                <w:lang w:val="en-GB"/>
              </w:rPr>
              <w:t>Pochtovyi</w:t>
            </w:r>
            <w:proofErr w:type="spellEnd"/>
            <w:r w:rsidRPr="00B217E0">
              <w:rPr>
                <w:rFonts w:asciiTheme="majorBidi" w:hAnsiTheme="majorBidi" w:cstheme="majorBidi"/>
                <w:color w:val="auto"/>
                <w:sz w:val="24"/>
                <w:szCs w:val="24"/>
                <w:lang w:val="en-GB"/>
              </w:rPr>
              <w:t xml:space="preserve"> AA, </w:t>
            </w:r>
            <w:proofErr w:type="spellStart"/>
            <w:r w:rsidRPr="00B217E0">
              <w:rPr>
                <w:rFonts w:asciiTheme="majorBidi" w:hAnsiTheme="majorBidi" w:cstheme="majorBidi"/>
                <w:color w:val="auto"/>
                <w:sz w:val="24"/>
                <w:szCs w:val="24"/>
                <w:lang w:val="en-GB"/>
              </w:rPr>
              <w:t>Pukhov</w:t>
            </w:r>
            <w:proofErr w:type="spellEnd"/>
            <w:r w:rsidRPr="00B217E0">
              <w:rPr>
                <w:rFonts w:asciiTheme="majorBidi" w:hAnsiTheme="majorBidi" w:cstheme="majorBidi"/>
                <w:color w:val="auto"/>
                <w:sz w:val="24"/>
                <w:szCs w:val="24"/>
                <w:lang w:val="en-GB"/>
              </w:rPr>
              <w:t xml:space="preserve"> AV, </w:t>
            </w:r>
            <w:proofErr w:type="spellStart"/>
            <w:r w:rsidRPr="00B217E0">
              <w:rPr>
                <w:rFonts w:asciiTheme="majorBidi" w:hAnsiTheme="majorBidi" w:cstheme="majorBidi"/>
                <w:color w:val="auto"/>
                <w:sz w:val="24"/>
                <w:szCs w:val="24"/>
                <w:lang w:val="en-GB"/>
              </w:rPr>
              <w:t>Kleymenov</w:t>
            </w:r>
            <w:proofErr w:type="spellEnd"/>
            <w:r w:rsidRPr="00B217E0">
              <w:rPr>
                <w:rFonts w:asciiTheme="majorBidi" w:hAnsiTheme="majorBidi" w:cstheme="majorBidi"/>
                <w:color w:val="auto"/>
                <w:sz w:val="24"/>
                <w:szCs w:val="24"/>
                <w:lang w:val="en-GB"/>
              </w:rPr>
              <w:t xml:space="preserve"> DA, et al. </w:t>
            </w:r>
            <w:r w:rsidRPr="00B217E0">
              <w:rPr>
                <w:rFonts w:asciiTheme="majorBidi" w:hAnsiTheme="majorBidi" w:cstheme="majorBidi"/>
                <w:color w:val="auto"/>
                <w:sz w:val="24"/>
                <w:szCs w:val="24"/>
                <w:lang w:val="en-AU"/>
              </w:rPr>
              <w:t xml:space="preserve">Sputnik V effectiveness against hospitalization with COVID-19 during Omicron dominance. </w:t>
            </w:r>
            <w:proofErr w:type="spellStart"/>
            <w:r w:rsidRPr="00B217E0">
              <w:rPr>
                <w:rFonts w:asciiTheme="majorBidi" w:hAnsiTheme="majorBidi" w:cstheme="majorBidi"/>
                <w:color w:val="auto"/>
                <w:sz w:val="24"/>
                <w:szCs w:val="24"/>
                <w:lang w:val="nb-NO"/>
              </w:rPr>
              <w:t>Vaccines</w:t>
            </w:r>
            <w:proofErr w:type="spellEnd"/>
            <w:r w:rsidRPr="00B217E0">
              <w:rPr>
                <w:rFonts w:asciiTheme="majorBidi" w:hAnsiTheme="majorBidi" w:cstheme="majorBidi"/>
                <w:color w:val="auto"/>
                <w:sz w:val="24"/>
                <w:szCs w:val="24"/>
                <w:lang w:val="nb-NO"/>
              </w:rPr>
              <w:t>. 2022;10(6):938. doi:10.3390/vaccines10060938.</w:t>
            </w:r>
          </w:p>
        </w:tc>
        <w:tc>
          <w:tcPr>
            <w:tcW w:w="5938" w:type="dxa"/>
          </w:tcPr>
          <w:p w14:paraId="4C6CCE3C" w14:textId="3D9C308A" w:rsidR="009405C7" w:rsidRPr="00B217E0" w:rsidRDefault="009405C7" w:rsidP="009405C7">
            <w:pPr>
              <w:pStyle w:val="MDPI31text"/>
              <w:ind w:left="0" w:firstLine="0"/>
              <w:rPr>
                <w:rFonts w:asciiTheme="majorBidi" w:hAnsiTheme="majorBidi" w:cstheme="majorBidi"/>
                <w:color w:val="auto"/>
                <w:sz w:val="24"/>
                <w:szCs w:val="24"/>
              </w:rPr>
            </w:pPr>
            <w:r w:rsidRPr="00B217E0">
              <w:rPr>
                <w:rFonts w:asciiTheme="majorBidi" w:hAnsiTheme="majorBidi" w:cstheme="majorBidi"/>
                <w:color w:val="auto"/>
                <w:sz w:val="24"/>
                <w:szCs w:val="24"/>
              </w:rPr>
              <w:t>Outside the prespecified review scope. This study evaluates ancestral (non–variant-adapted) Sputnik V/Sputnik Light vaccines during early Omicron predominance (mainly BA.1/BA.1.1) and does not provide effectiveness estimates for later Omicron subvariants (BA.5, XBB,</w:t>
            </w:r>
            <w:r w:rsidR="00FA0D7D" w:rsidRPr="00B217E0">
              <w:rPr>
                <w:rFonts w:asciiTheme="majorBidi" w:hAnsiTheme="majorBidi" w:cstheme="majorBidi"/>
                <w:color w:val="auto"/>
                <w:sz w:val="24"/>
                <w:szCs w:val="24"/>
              </w:rPr>
              <w:t xml:space="preserve"> </w:t>
            </w:r>
            <w:r w:rsidRPr="00B217E0">
              <w:rPr>
                <w:rFonts w:asciiTheme="majorBidi" w:hAnsiTheme="majorBidi" w:cstheme="majorBidi"/>
                <w:color w:val="auto"/>
                <w:sz w:val="24"/>
                <w:szCs w:val="24"/>
              </w:rPr>
              <w:t>JN.1, KP.3) or for updated/variant-adapted vaccines that are the focus of this review.</w:t>
            </w:r>
          </w:p>
        </w:tc>
      </w:tr>
      <w:tr w:rsidR="009405C7" w14:paraId="5B3150F6" w14:textId="77777777" w:rsidTr="00B20255">
        <w:tc>
          <w:tcPr>
            <w:tcW w:w="5403" w:type="dxa"/>
          </w:tcPr>
          <w:p w14:paraId="3AACB36B" w14:textId="3E47FFA6" w:rsidR="009405C7" w:rsidRPr="00081068" w:rsidRDefault="00081068" w:rsidP="009405C7">
            <w:pPr>
              <w:pStyle w:val="MDPI31text"/>
              <w:ind w:left="0" w:firstLine="0"/>
              <w:rPr>
                <w:rFonts w:asciiTheme="majorBidi" w:hAnsiTheme="majorBidi" w:cstheme="majorBidi"/>
                <w:color w:val="auto"/>
                <w:sz w:val="24"/>
                <w:szCs w:val="24"/>
              </w:rPr>
            </w:pPr>
            <w:r w:rsidRPr="00081068">
              <w:rPr>
                <w:rFonts w:asciiTheme="majorBidi" w:hAnsiTheme="majorBidi" w:cstheme="majorBidi"/>
                <w:color w:val="auto"/>
                <w:sz w:val="24"/>
                <w:szCs w:val="24"/>
              </w:rPr>
              <w:t>Shrestha NK, Burke PC, Nowacki AS, Simon JF, Hagen A, Gordon SM. Effectiveness of the coronavirus disease 2019 bivalent vaccine. Open Forum Infectious Diseases. 2023;10(6):ofad209. doi:10.1093/</w:t>
            </w:r>
            <w:proofErr w:type="spellStart"/>
            <w:r w:rsidRPr="00081068">
              <w:rPr>
                <w:rFonts w:asciiTheme="majorBidi" w:hAnsiTheme="majorBidi" w:cstheme="majorBidi"/>
                <w:color w:val="auto"/>
                <w:sz w:val="24"/>
                <w:szCs w:val="24"/>
              </w:rPr>
              <w:t>ofid</w:t>
            </w:r>
            <w:proofErr w:type="spellEnd"/>
            <w:r w:rsidRPr="00081068">
              <w:rPr>
                <w:rFonts w:asciiTheme="majorBidi" w:hAnsiTheme="majorBidi" w:cstheme="majorBidi"/>
                <w:color w:val="auto"/>
                <w:sz w:val="24"/>
                <w:szCs w:val="24"/>
              </w:rPr>
              <w:t>/ofad209.</w:t>
            </w:r>
          </w:p>
        </w:tc>
        <w:tc>
          <w:tcPr>
            <w:tcW w:w="5938" w:type="dxa"/>
          </w:tcPr>
          <w:p w14:paraId="0E6BDE06" w14:textId="18DB8A6D" w:rsidR="009405C7" w:rsidRPr="00081068" w:rsidRDefault="009405C7" w:rsidP="009405C7">
            <w:pPr>
              <w:pStyle w:val="MDPI31text"/>
              <w:ind w:left="0" w:firstLine="0"/>
              <w:rPr>
                <w:rFonts w:asciiTheme="majorBidi" w:hAnsiTheme="majorBidi" w:cstheme="majorBidi"/>
                <w:color w:val="auto"/>
                <w:sz w:val="24"/>
                <w:szCs w:val="24"/>
              </w:rPr>
            </w:pPr>
            <w:r w:rsidRPr="00081068">
              <w:rPr>
                <w:rFonts w:asciiTheme="majorBidi" w:hAnsiTheme="majorBidi" w:cstheme="majorBidi"/>
                <w:color w:val="auto"/>
                <w:sz w:val="24"/>
                <w:szCs w:val="24"/>
              </w:rPr>
              <w:t>Outside the prespecified review scope. This retrospective cohort study among working-age healthcare employees evaluated the effectiveness of bivalent COVID-19 vaccination against SARS-CoV-2 infection only, with no analysis of hospitali</w:t>
            </w:r>
            <w:r w:rsidR="0004402C" w:rsidRPr="00081068">
              <w:rPr>
                <w:rFonts w:asciiTheme="majorBidi" w:hAnsiTheme="majorBidi" w:cstheme="majorBidi"/>
                <w:color w:val="auto"/>
                <w:sz w:val="24"/>
                <w:szCs w:val="24"/>
              </w:rPr>
              <w:t>z</w:t>
            </w:r>
            <w:r w:rsidRPr="00081068">
              <w:rPr>
                <w:rFonts w:asciiTheme="majorBidi" w:hAnsiTheme="majorBidi" w:cstheme="majorBidi"/>
                <w:color w:val="auto"/>
                <w:sz w:val="24"/>
                <w:szCs w:val="24"/>
              </w:rPr>
              <w:t>ation, severe/critical disease, ICU admission, or mortality. Owing to the absence of extractable vaccine effectiveness estimates for severe outcomes and the highly selected occupational population, the study is not eligible for inclusion in this review.</w:t>
            </w:r>
          </w:p>
        </w:tc>
      </w:tr>
      <w:tr w:rsidR="009405C7" w14:paraId="693318B8" w14:textId="77777777" w:rsidTr="00B20255">
        <w:tc>
          <w:tcPr>
            <w:tcW w:w="5403" w:type="dxa"/>
          </w:tcPr>
          <w:p w14:paraId="0DFBE3D5" w14:textId="1D81545A" w:rsidR="009405C7" w:rsidRPr="00081068" w:rsidRDefault="00081068" w:rsidP="009405C7">
            <w:pPr>
              <w:pStyle w:val="MDPI31text"/>
              <w:ind w:left="0" w:firstLine="0"/>
              <w:rPr>
                <w:rFonts w:asciiTheme="majorBidi" w:hAnsiTheme="majorBidi" w:cstheme="majorBidi"/>
                <w:color w:val="auto"/>
                <w:sz w:val="24"/>
                <w:szCs w:val="24"/>
              </w:rPr>
            </w:pPr>
            <w:r w:rsidRPr="00081068">
              <w:rPr>
                <w:rFonts w:asciiTheme="majorBidi" w:hAnsiTheme="majorBidi" w:cstheme="majorBidi"/>
                <w:color w:val="auto"/>
                <w:sz w:val="24"/>
                <w:szCs w:val="24"/>
                <w:lang w:val="en-AU"/>
              </w:rPr>
              <w:t xml:space="preserve">Silva-Valencia J, Soto-Becerra P, Escobar-Agreda S, Fernandez-Navarro M, Elorreaga OA, Mayta-Tristán P, </w:t>
            </w:r>
            <w:proofErr w:type="spellStart"/>
            <w:r w:rsidRPr="00081068">
              <w:rPr>
                <w:rFonts w:asciiTheme="majorBidi" w:hAnsiTheme="majorBidi" w:cstheme="majorBidi"/>
                <w:color w:val="auto"/>
                <w:sz w:val="24"/>
                <w:szCs w:val="24"/>
                <w:lang w:val="en-AU"/>
              </w:rPr>
              <w:t>Mezones</w:t>
            </w:r>
            <w:proofErr w:type="spellEnd"/>
            <w:r w:rsidRPr="00081068">
              <w:rPr>
                <w:rFonts w:asciiTheme="majorBidi" w:hAnsiTheme="majorBidi" w:cstheme="majorBidi"/>
                <w:color w:val="auto"/>
                <w:sz w:val="24"/>
                <w:szCs w:val="24"/>
                <w:lang w:val="en-AU"/>
              </w:rPr>
              <w:t xml:space="preserve">-Holguin E, Solari L. Relative vaccine effectiveness of the booster dose of COVID-19 vaccine for preventing death in individuals with a primary regimen based on the BBIBP-CorV, ChAdOx1-S, or BNT162b2 vaccines during the Omicron wave in Peru. </w:t>
            </w:r>
            <w:proofErr w:type="spellStart"/>
            <w:r w:rsidRPr="00081068">
              <w:rPr>
                <w:rFonts w:asciiTheme="majorBidi" w:hAnsiTheme="majorBidi" w:cstheme="majorBidi"/>
                <w:color w:val="auto"/>
                <w:sz w:val="24"/>
                <w:szCs w:val="24"/>
                <w:lang w:val="nb-NO"/>
              </w:rPr>
              <w:t>Vaccine</w:t>
            </w:r>
            <w:proofErr w:type="spellEnd"/>
            <w:r w:rsidRPr="00081068">
              <w:rPr>
                <w:rFonts w:asciiTheme="majorBidi" w:hAnsiTheme="majorBidi" w:cstheme="majorBidi"/>
                <w:color w:val="auto"/>
                <w:sz w:val="24"/>
                <w:szCs w:val="24"/>
                <w:lang w:val="nb-NO"/>
              </w:rPr>
              <w:t>. 2022;40(45):6512–6519. doi:10.1016/j.vaccine.2022.09.066.</w:t>
            </w:r>
          </w:p>
        </w:tc>
        <w:tc>
          <w:tcPr>
            <w:tcW w:w="5938" w:type="dxa"/>
          </w:tcPr>
          <w:p w14:paraId="13601C87" w14:textId="6E3228F5" w:rsidR="009405C7" w:rsidRPr="00081068" w:rsidRDefault="009405C7" w:rsidP="009405C7">
            <w:pPr>
              <w:pStyle w:val="MDPI31text"/>
              <w:ind w:left="0" w:firstLine="0"/>
              <w:rPr>
                <w:rFonts w:asciiTheme="majorBidi" w:hAnsiTheme="majorBidi" w:cstheme="majorBidi"/>
                <w:color w:val="auto"/>
                <w:sz w:val="24"/>
                <w:szCs w:val="24"/>
              </w:rPr>
            </w:pPr>
            <w:r w:rsidRPr="00081068">
              <w:rPr>
                <w:rFonts w:asciiTheme="majorBidi" w:hAnsiTheme="majorBidi" w:cstheme="majorBidi"/>
                <w:color w:val="auto"/>
                <w:sz w:val="24"/>
                <w:szCs w:val="24"/>
              </w:rPr>
              <w:t>Outside the prespecified review scope. This nested case–control study evaluates the relative effectiveness of a third (booster) dose of ancestral COVID-19 vaccines, including inactivated (BBIBP-CorV) and viral-vector (ChAdOx1-S) platforms, during early Omicron circulation (December 2021–February 2022). The study does not assess late-Omicron sub-lineages (e.g., BA.4/BA.5, XBB, JN.1, KP) or the effectiveness of updated, variant-adapted COVID-19 vaccines, which are the focus of this review.</w:t>
            </w:r>
          </w:p>
        </w:tc>
      </w:tr>
      <w:tr w:rsidR="009405C7" w14:paraId="195C2356" w14:textId="77777777" w:rsidTr="00B20255">
        <w:tc>
          <w:tcPr>
            <w:tcW w:w="5403" w:type="dxa"/>
          </w:tcPr>
          <w:p w14:paraId="68483517" w14:textId="01EAC35F" w:rsidR="009405C7" w:rsidRPr="00DB49CE" w:rsidRDefault="00081068" w:rsidP="009405C7">
            <w:pPr>
              <w:pStyle w:val="MDPI31text"/>
              <w:ind w:left="0" w:firstLine="0"/>
              <w:rPr>
                <w:rFonts w:asciiTheme="majorBidi" w:hAnsiTheme="majorBidi" w:cstheme="majorBidi"/>
                <w:color w:val="auto"/>
                <w:sz w:val="24"/>
                <w:szCs w:val="24"/>
              </w:rPr>
            </w:pPr>
            <w:r w:rsidRPr="00DB49CE">
              <w:rPr>
                <w:rFonts w:asciiTheme="majorBidi" w:hAnsiTheme="majorBidi" w:cstheme="majorBidi"/>
                <w:color w:val="auto"/>
                <w:sz w:val="24"/>
                <w:szCs w:val="24"/>
              </w:rPr>
              <w:t>Smoll NR, Al Imam MH, Schulz C, Booy R, Khandaker G. The effectiveness of vaccination for preventing hospitalisation with COVID-19 in regional Queensland: a data linkage study. Medical Journal of Australia. 2023;219(4):162–165. doi:10.5694/mja2.52019.</w:t>
            </w:r>
          </w:p>
        </w:tc>
        <w:tc>
          <w:tcPr>
            <w:tcW w:w="5938" w:type="dxa"/>
          </w:tcPr>
          <w:p w14:paraId="3529A2ED" w14:textId="38B67992" w:rsidR="009405C7" w:rsidRPr="00DB49CE" w:rsidRDefault="009405C7" w:rsidP="009405C7">
            <w:pPr>
              <w:pStyle w:val="MDPI31text"/>
              <w:ind w:left="0" w:firstLine="0"/>
              <w:rPr>
                <w:rFonts w:asciiTheme="majorBidi" w:hAnsiTheme="majorBidi" w:cstheme="majorBidi"/>
                <w:color w:val="auto"/>
                <w:sz w:val="24"/>
                <w:szCs w:val="24"/>
              </w:rPr>
            </w:pPr>
            <w:r w:rsidRPr="00DB49CE">
              <w:rPr>
                <w:rFonts w:asciiTheme="majorBidi" w:hAnsiTheme="majorBidi" w:cstheme="majorBidi"/>
                <w:color w:val="auto"/>
                <w:sz w:val="24"/>
                <w:szCs w:val="24"/>
              </w:rPr>
              <w:t>Outside the prespecified review scope. This retrospective data-linkage study is restricted to PCR-confirmed SARS-CoV-2 cases and estimates vaccine protection against hospitali</w:t>
            </w:r>
            <w:r w:rsidR="0004402C" w:rsidRPr="00DB49CE">
              <w:rPr>
                <w:rFonts w:asciiTheme="majorBidi" w:hAnsiTheme="majorBidi" w:cstheme="majorBidi"/>
                <w:color w:val="auto"/>
                <w:sz w:val="24"/>
                <w:szCs w:val="24"/>
              </w:rPr>
              <w:t>z</w:t>
            </w:r>
            <w:r w:rsidRPr="00DB49CE">
              <w:rPr>
                <w:rFonts w:asciiTheme="majorBidi" w:hAnsiTheme="majorBidi" w:cstheme="majorBidi"/>
                <w:color w:val="auto"/>
                <w:sz w:val="24"/>
                <w:szCs w:val="24"/>
              </w:rPr>
              <w:t>ation among infected individuals, rather than population-level vaccine effectiveness against hospitali</w:t>
            </w:r>
            <w:r w:rsidR="0004402C" w:rsidRPr="00DB49CE">
              <w:rPr>
                <w:rFonts w:asciiTheme="majorBidi" w:hAnsiTheme="majorBidi" w:cstheme="majorBidi"/>
                <w:color w:val="auto"/>
                <w:sz w:val="24"/>
                <w:szCs w:val="24"/>
              </w:rPr>
              <w:t>z</w:t>
            </w:r>
            <w:r w:rsidRPr="00DB49CE">
              <w:rPr>
                <w:rFonts w:asciiTheme="majorBidi" w:hAnsiTheme="majorBidi" w:cstheme="majorBidi"/>
                <w:color w:val="auto"/>
                <w:sz w:val="24"/>
                <w:szCs w:val="24"/>
              </w:rPr>
              <w:t>ation using a defined at-risk denominator.</w:t>
            </w:r>
          </w:p>
        </w:tc>
      </w:tr>
      <w:tr w:rsidR="009405C7" w14:paraId="3083ABAE" w14:textId="77777777" w:rsidTr="00B20255">
        <w:tc>
          <w:tcPr>
            <w:tcW w:w="5403" w:type="dxa"/>
          </w:tcPr>
          <w:p w14:paraId="7EC4476C" w14:textId="13E61AEC" w:rsidR="009405C7" w:rsidRPr="00DB49CE" w:rsidRDefault="00DB49CE" w:rsidP="009405C7">
            <w:pPr>
              <w:pStyle w:val="MDPI31text"/>
              <w:ind w:left="0" w:firstLine="0"/>
              <w:rPr>
                <w:rFonts w:asciiTheme="majorBidi" w:hAnsiTheme="majorBidi" w:cstheme="majorBidi"/>
                <w:color w:val="auto"/>
                <w:sz w:val="24"/>
                <w:szCs w:val="24"/>
              </w:rPr>
            </w:pPr>
            <w:proofErr w:type="spellStart"/>
            <w:r w:rsidRPr="00DB49CE">
              <w:rPr>
                <w:rFonts w:asciiTheme="majorBidi" w:hAnsiTheme="majorBidi" w:cstheme="majorBidi"/>
                <w:color w:val="auto"/>
                <w:sz w:val="24"/>
                <w:szCs w:val="24"/>
              </w:rPr>
              <w:t>Spreco</w:t>
            </w:r>
            <w:proofErr w:type="spellEnd"/>
            <w:r w:rsidRPr="00DB49CE">
              <w:rPr>
                <w:rFonts w:asciiTheme="majorBidi" w:hAnsiTheme="majorBidi" w:cstheme="majorBidi"/>
                <w:color w:val="auto"/>
                <w:sz w:val="24"/>
                <w:szCs w:val="24"/>
              </w:rPr>
              <w:t xml:space="preserve"> A, Dahlström Ö, </w:t>
            </w:r>
            <w:proofErr w:type="spellStart"/>
            <w:r w:rsidRPr="00DB49CE">
              <w:rPr>
                <w:rFonts w:asciiTheme="majorBidi" w:hAnsiTheme="majorBidi" w:cstheme="majorBidi"/>
                <w:color w:val="auto"/>
                <w:sz w:val="24"/>
                <w:szCs w:val="24"/>
              </w:rPr>
              <w:t>Jöud</w:t>
            </w:r>
            <w:proofErr w:type="spellEnd"/>
            <w:r w:rsidRPr="00DB49CE">
              <w:rPr>
                <w:rFonts w:asciiTheme="majorBidi" w:hAnsiTheme="majorBidi" w:cstheme="majorBidi"/>
                <w:color w:val="auto"/>
                <w:sz w:val="24"/>
                <w:szCs w:val="24"/>
              </w:rPr>
              <w:t xml:space="preserve"> A, </w:t>
            </w:r>
            <w:proofErr w:type="spellStart"/>
            <w:r w:rsidRPr="00DB49CE">
              <w:rPr>
                <w:rFonts w:asciiTheme="majorBidi" w:hAnsiTheme="majorBidi" w:cstheme="majorBidi"/>
                <w:color w:val="auto"/>
                <w:sz w:val="24"/>
                <w:szCs w:val="24"/>
              </w:rPr>
              <w:t>Nordvall</w:t>
            </w:r>
            <w:proofErr w:type="spellEnd"/>
            <w:r w:rsidRPr="00DB49CE">
              <w:rPr>
                <w:rFonts w:asciiTheme="majorBidi" w:hAnsiTheme="majorBidi" w:cstheme="majorBidi"/>
                <w:color w:val="auto"/>
                <w:sz w:val="24"/>
                <w:szCs w:val="24"/>
              </w:rPr>
              <w:t xml:space="preserve"> D, Fagerström C, Blomqvist E, Gustafsson F, </w:t>
            </w:r>
            <w:proofErr w:type="spellStart"/>
            <w:r w:rsidRPr="00DB49CE">
              <w:rPr>
                <w:rFonts w:asciiTheme="majorBidi" w:hAnsiTheme="majorBidi" w:cstheme="majorBidi"/>
                <w:color w:val="auto"/>
                <w:sz w:val="24"/>
                <w:szCs w:val="24"/>
              </w:rPr>
              <w:t>Hinkula</w:t>
            </w:r>
            <w:proofErr w:type="spellEnd"/>
            <w:r w:rsidRPr="00DB49CE">
              <w:rPr>
                <w:rFonts w:asciiTheme="majorBidi" w:hAnsiTheme="majorBidi" w:cstheme="majorBidi"/>
                <w:color w:val="auto"/>
                <w:sz w:val="24"/>
                <w:szCs w:val="24"/>
              </w:rPr>
              <w:t xml:space="preserve"> J, Schön T, </w:t>
            </w:r>
            <w:proofErr w:type="spellStart"/>
            <w:r w:rsidRPr="00DB49CE">
              <w:rPr>
                <w:rFonts w:asciiTheme="majorBidi" w:hAnsiTheme="majorBidi" w:cstheme="majorBidi"/>
                <w:color w:val="auto"/>
                <w:sz w:val="24"/>
                <w:szCs w:val="24"/>
              </w:rPr>
              <w:t>Timpka</w:t>
            </w:r>
            <w:proofErr w:type="spellEnd"/>
            <w:r w:rsidRPr="00DB49CE">
              <w:rPr>
                <w:rFonts w:asciiTheme="majorBidi" w:hAnsiTheme="majorBidi" w:cstheme="majorBidi"/>
                <w:color w:val="auto"/>
                <w:sz w:val="24"/>
                <w:szCs w:val="24"/>
              </w:rPr>
              <w:t xml:space="preserve"> T. Effectiveness of the BNT162b2 mRNA vaccine compared with hybrid immunity in populations prioritized and non-prioritized for COVID-19 vaccination in 2021–2022: a naturalistic case-control study in Sweden. Vaccines. 2022;10(8):1273. doi:10.3390/vaccines10081273.</w:t>
            </w:r>
          </w:p>
        </w:tc>
        <w:tc>
          <w:tcPr>
            <w:tcW w:w="5938" w:type="dxa"/>
          </w:tcPr>
          <w:p w14:paraId="4AF4E861" w14:textId="3A2CEF07" w:rsidR="009405C7" w:rsidRPr="00DB49CE" w:rsidRDefault="009405C7" w:rsidP="009405C7">
            <w:pPr>
              <w:pStyle w:val="MDPI31text"/>
              <w:ind w:left="0" w:firstLine="0"/>
              <w:rPr>
                <w:rFonts w:asciiTheme="majorBidi" w:hAnsiTheme="majorBidi" w:cstheme="majorBidi"/>
                <w:color w:val="auto"/>
                <w:sz w:val="24"/>
                <w:szCs w:val="24"/>
              </w:rPr>
            </w:pPr>
            <w:r w:rsidRPr="00DB49CE">
              <w:rPr>
                <w:rFonts w:asciiTheme="majorBidi" w:hAnsiTheme="majorBidi" w:cstheme="majorBidi"/>
                <w:color w:val="auto"/>
                <w:sz w:val="24"/>
                <w:szCs w:val="24"/>
              </w:rPr>
              <w:t>Outside the prespecified review scope. This study evaluates ancestral (non–variant-adapted) BNT162b2 vaccination and hybrid immunity during Alpha/Delta and early Omicron (BA.1/BA.2) periods. It does not provide effectiveness estimates for later Omicron subvariants (BA.5, XBB,</w:t>
            </w:r>
            <w:r w:rsidR="00FA0D7D" w:rsidRPr="00DB49CE">
              <w:rPr>
                <w:rFonts w:asciiTheme="majorBidi" w:hAnsiTheme="majorBidi" w:cstheme="majorBidi"/>
                <w:color w:val="auto"/>
                <w:sz w:val="24"/>
                <w:szCs w:val="24"/>
              </w:rPr>
              <w:t xml:space="preserve"> </w:t>
            </w:r>
            <w:r w:rsidRPr="00DB49CE">
              <w:rPr>
                <w:rFonts w:asciiTheme="majorBidi" w:hAnsiTheme="majorBidi" w:cstheme="majorBidi"/>
                <w:color w:val="auto"/>
                <w:sz w:val="24"/>
                <w:szCs w:val="24"/>
              </w:rPr>
              <w:t>JN.1, KP.3) or for updated/variant-adapted vaccines that are the focus of this review.</w:t>
            </w:r>
          </w:p>
        </w:tc>
      </w:tr>
      <w:tr w:rsidR="009405C7" w14:paraId="3245B49D" w14:textId="77777777" w:rsidTr="00B20255">
        <w:tc>
          <w:tcPr>
            <w:tcW w:w="5403" w:type="dxa"/>
          </w:tcPr>
          <w:p w14:paraId="465DEEE7" w14:textId="173DE0E7" w:rsidR="009405C7" w:rsidRPr="00E763A6" w:rsidRDefault="00CA65DC" w:rsidP="009405C7">
            <w:pPr>
              <w:pStyle w:val="MDPI31text"/>
              <w:ind w:left="0" w:firstLine="0"/>
              <w:rPr>
                <w:rFonts w:asciiTheme="majorBidi" w:hAnsiTheme="majorBidi" w:cstheme="majorBidi"/>
                <w:color w:val="auto"/>
                <w:sz w:val="24"/>
                <w:szCs w:val="24"/>
              </w:rPr>
            </w:pPr>
            <w:proofErr w:type="spellStart"/>
            <w:r w:rsidRPr="00E763A6">
              <w:rPr>
                <w:rFonts w:asciiTheme="majorBidi" w:hAnsiTheme="majorBidi" w:cstheme="majorBidi"/>
                <w:color w:val="auto"/>
                <w:sz w:val="24"/>
                <w:szCs w:val="24"/>
              </w:rPr>
              <w:t>Sritipsukho</w:t>
            </w:r>
            <w:proofErr w:type="spellEnd"/>
            <w:r w:rsidRPr="00E763A6">
              <w:rPr>
                <w:rFonts w:asciiTheme="majorBidi" w:hAnsiTheme="majorBidi" w:cstheme="majorBidi"/>
                <w:color w:val="auto"/>
                <w:sz w:val="24"/>
                <w:szCs w:val="24"/>
              </w:rPr>
              <w:t xml:space="preserve"> P, </w:t>
            </w:r>
            <w:proofErr w:type="spellStart"/>
            <w:r w:rsidRPr="00E763A6">
              <w:rPr>
                <w:rFonts w:asciiTheme="majorBidi" w:hAnsiTheme="majorBidi" w:cstheme="majorBidi"/>
                <w:color w:val="auto"/>
                <w:sz w:val="24"/>
                <w:szCs w:val="24"/>
              </w:rPr>
              <w:t>Khawcharoenporn</w:t>
            </w:r>
            <w:proofErr w:type="spellEnd"/>
            <w:r w:rsidRPr="00E763A6">
              <w:rPr>
                <w:rFonts w:asciiTheme="majorBidi" w:hAnsiTheme="majorBidi" w:cstheme="majorBidi"/>
                <w:color w:val="auto"/>
                <w:sz w:val="24"/>
                <w:szCs w:val="24"/>
              </w:rPr>
              <w:t xml:space="preserve"> T, </w:t>
            </w:r>
            <w:proofErr w:type="spellStart"/>
            <w:r w:rsidRPr="00E763A6">
              <w:rPr>
                <w:rFonts w:asciiTheme="majorBidi" w:hAnsiTheme="majorBidi" w:cstheme="majorBidi"/>
                <w:color w:val="auto"/>
                <w:sz w:val="24"/>
                <w:szCs w:val="24"/>
              </w:rPr>
              <w:t>Siribumrungwong</w:t>
            </w:r>
            <w:proofErr w:type="spellEnd"/>
            <w:r w:rsidRPr="00E763A6">
              <w:rPr>
                <w:rFonts w:asciiTheme="majorBidi" w:hAnsiTheme="majorBidi" w:cstheme="majorBidi"/>
                <w:color w:val="auto"/>
                <w:sz w:val="24"/>
                <w:szCs w:val="24"/>
              </w:rPr>
              <w:t xml:space="preserve"> B, </w:t>
            </w:r>
            <w:proofErr w:type="spellStart"/>
            <w:r w:rsidRPr="00E763A6">
              <w:rPr>
                <w:rFonts w:asciiTheme="majorBidi" w:hAnsiTheme="majorBidi" w:cstheme="majorBidi"/>
                <w:color w:val="auto"/>
                <w:sz w:val="24"/>
                <w:szCs w:val="24"/>
              </w:rPr>
              <w:t>Damronglerd</w:t>
            </w:r>
            <w:proofErr w:type="spellEnd"/>
            <w:r w:rsidRPr="00E763A6">
              <w:rPr>
                <w:rFonts w:asciiTheme="majorBidi" w:hAnsiTheme="majorBidi" w:cstheme="majorBidi"/>
                <w:color w:val="auto"/>
                <w:sz w:val="24"/>
                <w:szCs w:val="24"/>
              </w:rPr>
              <w:t xml:space="preserve"> P, </w:t>
            </w:r>
            <w:proofErr w:type="spellStart"/>
            <w:r w:rsidRPr="00E763A6">
              <w:rPr>
                <w:rFonts w:asciiTheme="majorBidi" w:hAnsiTheme="majorBidi" w:cstheme="majorBidi"/>
                <w:color w:val="auto"/>
                <w:sz w:val="24"/>
                <w:szCs w:val="24"/>
              </w:rPr>
              <w:t>Suwantarat</w:t>
            </w:r>
            <w:proofErr w:type="spellEnd"/>
            <w:r w:rsidRPr="00E763A6">
              <w:rPr>
                <w:rFonts w:asciiTheme="majorBidi" w:hAnsiTheme="majorBidi" w:cstheme="majorBidi"/>
                <w:color w:val="auto"/>
                <w:sz w:val="24"/>
                <w:szCs w:val="24"/>
              </w:rPr>
              <w:t xml:space="preserve"> N, </w:t>
            </w:r>
            <w:proofErr w:type="spellStart"/>
            <w:r w:rsidRPr="00E763A6">
              <w:rPr>
                <w:rFonts w:asciiTheme="majorBidi" w:hAnsiTheme="majorBidi" w:cstheme="majorBidi"/>
                <w:color w:val="auto"/>
                <w:sz w:val="24"/>
                <w:szCs w:val="24"/>
              </w:rPr>
              <w:t>Satdhabudha</w:t>
            </w:r>
            <w:proofErr w:type="spellEnd"/>
            <w:r w:rsidRPr="00E763A6">
              <w:rPr>
                <w:rFonts w:asciiTheme="majorBidi" w:hAnsiTheme="majorBidi" w:cstheme="majorBidi"/>
                <w:color w:val="auto"/>
                <w:sz w:val="24"/>
                <w:szCs w:val="24"/>
              </w:rPr>
              <w:t xml:space="preserve"> A, </w:t>
            </w:r>
            <w:proofErr w:type="spellStart"/>
            <w:r w:rsidRPr="00E763A6">
              <w:rPr>
                <w:rFonts w:asciiTheme="majorBidi" w:hAnsiTheme="majorBidi" w:cstheme="majorBidi"/>
                <w:color w:val="auto"/>
                <w:sz w:val="24"/>
                <w:szCs w:val="24"/>
              </w:rPr>
              <w:t>Chaiyakulsil</w:t>
            </w:r>
            <w:proofErr w:type="spellEnd"/>
            <w:r w:rsidRPr="00E763A6">
              <w:rPr>
                <w:rFonts w:asciiTheme="majorBidi" w:hAnsiTheme="majorBidi" w:cstheme="majorBidi"/>
                <w:color w:val="auto"/>
                <w:sz w:val="24"/>
                <w:szCs w:val="24"/>
              </w:rPr>
              <w:t xml:space="preserve"> C, </w:t>
            </w:r>
            <w:proofErr w:type="spellStart"/>
            <w:r w:rsidRPr="00E763A6">
              <w:rPr>
                <w:rFonts w:asciiTheme="majorBidi" w:hAnsiTheme="majorBidi" w:cstheme="majorBidi"/>
                <w:color w:val="auto"/>
                <w:sz w:val="24"/>
                <w:szCs w:val="24"/>
              </w:rPr>
              <w:t>Sinlapamongkolkul</w:t>
            </w:r>
            <w:proofErr w:type="spellEnd"/>
            <w:r w:rsidRPr="00E763A6">
              <w:rPr>
                <w:rFonts w:asciiTheme="majorBidi" w:hAnsiTheme="majorBidi" w:cstheme="majorBidi"/>
                <w:color w:val="auto"/>
                <w:sz w:val="24"/>
                <w:szCs w:val="24"/>
              </w:rPr>
              <w:t xml:space="preserve"> P, </w:t>
            </w:r>
            <w:proofErr w:type="spellStart"/>
            <w:r w:rsidRPr="00E763A6">
              <w:rPr>
                <w:rFonts w:asciiTheme="majorBidi" w:hAnsiTheme="majorBidi" w:cstheme="majorBidi"/>
                <w:color w:val="auto"/>
                <w:sz w:val="24"/>
                <w:szCs w:val="24"/>
              </w:rPr>
              <w:t>Tangsathapornpong</w:t>
            </w:r>
            <w:proofErr w:type="spellEnd"/>
            <w:r w:rsidRPr="00E763A6">
              <w:rPr>
                <w:rFonts w:asciiTheme="majorBidi" w:hAnsiTheme="majorBidi" w:cstheme="majorBidi"/>
                <w:color w:val="auto"/>
                <w:sz w:val="24"/>
                <w:szCs w:val="24"/>
              </w:rPr>
              <w:t xml:space="preserve"> A, </w:t>
            </w:r>
            <w:proofErr w:type="spellStart"/>
            <w:r w:rsidRPr="00E763A6">
              <w:rPr>
                <w:rFonts w:asciiTheme="majorBidi" w:hAnsiTheme="majorBidi" w:cstheme="majorBidi"/>
                <w:color w:val="auto"/>
                <w:sz w:val="24"/>
                <w:szCs w:val="24"/>
              </w:rPr>
              <w:t>Bunjoungmanee</w:t>
            </w:r>
            <w:proofErr w:type="spellEnd"/>
            <w:r w:rsidRPr="00E763A6">
              <w:rPr>
                <w:rFonts w:asciiTheme="majorBidi" w:hAnsiTheme="majorBidi" w:cstheme="majorBidi"/>
                <w:color w:val="auto"/>
                <w:sz w:val="24"/>
                <w:szCs w:val="24"/>
              </w:rPr>
              <w:t xml:space="preserve"> P, et al. Real-life effectiveness of COVID-19 vaccine during the Omicron variant-dominant pandemic: how many booster doses do we need? Emerging Microbes &amp; </w:t>
            </w:r>
            <w:r w:rsidRPr="00E763A6">
              <w:rPr>
                <w:rFonts w:asciiTheme="majorBidi" w:hAnsiTheme="majorBidi" w:cstheme="majorBidi"/>
                <w:color w:val="auto"/>
                <w:sz w:val="24"/>
                <w:szCs w:val="24"/>
              </w:rPr>
              <w:lastRenderedPageBreak/>
              <w:t>Infections. 2023;12(1):2174779. doi:10.1080/22221751.2023.2174779.</w:t>
            </w:r>
          </w:p>
        </w:tc>
        <w:tc>
          <w:tcPr>
            <w:tcW w:w="5938" w:type="dxa"/>
          </w:tcPr>
          <w:p w14:paraId="1CA2F2B4" w14:textId="1DFA2AAC" w:rsidR="009405C7" w:rsidRPr="00E763A6" w:rsidRDefault="009405C7" w:rsidP="009405C7">
            <w:pPr>
              <w:pStyle w:val="MDPI31text"/>
              <w:ind w:left="0" w:firstLine="0"/>
              <w:rPr>
                <w:rFonts w:asciiTheme="majorBidi" w:hAnsiTheme="majorBidi" w:cstheme="majorBidi"/>
                <w:color w:val="auto"/>
                <w:sz w:val="24"/>
                <w:szCs w:val="24"/>
              </w:rPr>
            </w:pPr>
            <w:r w:rsidRPr="00E763A6">
              <w:rPr>
                <w:rFonts w:asciiTheme="majorBidi" w:hAnsiTheme="majorBidi" w:cstheme="majorBidi"/>
                <w:color w:val="auto"/>
                <w:sz w:val="24"/>
                <w:szCs w:val="24"/>
              </w:rPr>
              <w:lastRenderedPageBreak/>
              <w:t>Outside the prespecified review scope. This study was conducted during early Omicron predominance (BA.1/BA.2) and evaluates ancestral vaccine regimens and heterologous boosters. It does not provide effectiveness estimates for later Omicron subvariants (BA.5, XBB,</w:t>
            </w:r>
            <w:r w:rsidR="00FA0D7D" w:rsidRPr="00E763A6">
              <w:rPr>
                <w:rFonts w:asciiTheme="majorBidi" w:hAnsiTheme="majorBidi" w:cstheme="majorBidi"/>
                <w:color w:val="auto"/>
                <w:sz w:val="24"/>
                <w:szCs w:val="24"/>
              </w:rPr>
              <w:t xml:space="preserve"> </w:t>
            </w:r>
            <w:r w:rsidRPr="00E763A6">
              <w:rPr>
                <w:rFonts w:asciiTheme="majorBidi" w:hAnsiTheme="majorBidi" w:cstheme="majorBidi"/>
                <w:color w:val="auto"/>
                <w:sz w:val="24"/>
                <w:szCs w:val="24"/>
              </w:rPr>
              <w:t>JN.1, KP.3) or for updated/variant-adapted vaccines that are the focus of this review.</w:t>
            </w:r>
          </w:p>
        </w:tc>
      </w:tr>
      <w:tr w:rsidR="009405C7" w14:paraId="0DB8FE70" w14:textId="77777777" w:rsidTr="00B20255">
        <w:tc>
          <w:tcPr>
            <w:tcW w:w="5403" w:type="dxa"/>
          </w:tcPr>
          <w:p w14:paraId="372EC0FB" w14:textId="1E604745" w:rsidR="009405C7" w:rsidRPr="00092993" w:rsidRDefault="00E763A6" w:rsidP="009405C7">
            <w:pPr>
              <w:pStyle w:val="MDPI31text"/>
              <w:ind w:left="0" w:firstLine="0"/>
              <w:rPr>
                <w:rFonts w:asciiTheme="majorBidi" w:hAnsiTheme="majorBidi" w:cstheme="majorBidi"/>
                <w:color w:val="auto"/>
                <w:sz w:val="24"/>
                <w:szCs w:val="24"/>
              </w:rPr>
            </w:pPr>
            <w:proofErr w:type="spellStart"/>
            <w:r w:rsidRPr="00092993">
              <w:rPr>
                <w:rFonts w:asciiTheme="majorBidi" w:hAnsiTheme="majorBidi" w:cstheme="majorBidi"/>
                <w:color w:val="auto"/>
                <w:sz w:val="24"/>
                <w:szCs w:val="24"/>
              </w:rPr>
              <w:t>Starrfelt</w:t>
            </w:r>
            <w:proofErr w:type="spellEnd"/>
            <w:r w:rsidRPr="00092993">
              <w:rPr>
                <w:rFonts w:asciiTheme="majorBidi" w:hAnsiTheme="majorBidi" w:cstheme="majorBidi"/>
                <w:color w:val="auto"/>
                <w:sz w:val="24"/>
                <w:szCs w:val="24"/>
              </w:rPr>
              <w:t xml:space="preserve"> J, Danielsen AS, </w:t>
            </w:r>
            <w:proofErr w:type="spellStart"/>
            <w:r w:rsidRPr="00092993">
              <w:rPr>
                <w:rFonts w:asciiTheme="majorBidi" w:hAnsiTheme="majorBidi" w:cstheme="majorBidi"/>
                <w:color w:val="auto"/>
                <w:sz w:val="24"/>
                <w:szCs w:val="24"/>
              </w:rPr>
              <w:t>Buanes</w:t>
            </w:r>
            <w:proofErr w:type="spellEnd"/>
            <w:r w:rsidRPr="00092993">
              <w:rPr>
                <w:rFonts w:asciiTheme="majorBidi" w:hAnsiTheme="majorBidi" w:cstheme="majorBidi"/>
                <w:color w:val="auto"/>
                <w:sz w:val="24"/>
                <w:szCs w:val="24"/>
              </w:rPr>
              <w:t xml:space="preserve"> EA, Juvet LK, Lyngstad TM, </w:t>
            </w:r>
            <w:proofErr w:type="spellStart"/>
            <w:r w:rsidRPr="00092993">
              <w:rPr>
                <w:rFonts w:asciiTheme="majorBidi" w:hAnsiTheme="majorBidi" w:cstheme="majorBidi"/>
                <w:color w:val="auto"/>
                <w:sz w:val="24"/>
                <w:szCs w:val="24"/>
              </w:rPr>
              <w:t>Rø</w:t>
            </w:r>
            <w:proofErr w:type="spellEnd"/>
            <w:r w:rsidRPr="00092993">
              <w:rPr>
                <w:rFonts w:asciiTheme="majorBidi" w:hAnsiTheme="majorBidi" w:cstheme="majorBidi"/>
                <w:color w:val="auto"/>
                <w:sz w:val="24"/>
                <w:szCs w:val="24"/>
              </w:rPr>
              <w:t xml:space="preserve"> GØI, Veneti L, Watle SV, </w:t>
            </w:r>
            <w:proofErr w:type="spellStart"/>
            <w:r w:rsidRPr="00092993">
              <w:rPr>
                <w:rFonts w:asciiTheme="majorBidi" w:hAnsiTheme="majorBidi" w:cstheme="majorBidi"/>
                <w:color w:val="auto"/>
                <w:sz w:val="24"/>
                <w:szCs w:val="24"/>
              </w:rPr>
              <w:t>Meijerink</w:t>
            </w:r>
            <w:proofErr w:type="spellEnd"/>
            <w:r w:rsidRPr="00092993">
              <w:rPr>
                <w:rFonts w:asciiTheme="majorBidi" w:hAnsiTheme="majorBidi" w:cstheme="majorBidi"/>
                <w:color w:val="auto"/>
                <w:sz w:val="24"/>
                <w:szCs w:val="24"/>
              </w:rPr>
              <w:t xml:space="preserve"> H. Age- and product-dependent vaccine effectiveness against SARS-CoV-2 infection and hospitalisation among adults in Norway: a national cohort study. BMC Medicine. 2022;20:278. doi:10.1186/s12916-022-02480-4.</w:t>
            </w:r>
          </w:p>
        </w:tc>
        <w:tc>
          <w:tcPr>
            <w:tcW w:w="5938" w:type="dxa"/>
          </w:tcPr>
          <w:p w14:paraId="17AE1DC6" w14:textId="7716AEAE" w:rsidR="009405C7" w:rsidRPr="00092993" w:rsidRDefault="009405C7" w:rsidP="009405C7">
            <w:pPr>
              <w:pStyle w:val="MDPI31text"/>
              <w:ind w:left="0" w:firstLine="0"/>
              <w:rPr>
                <w:rFonts w:asciiTheme="majorBidi" w:hAnsiTheme="majorBidi" w:cstheme="majorBidi"/>
                <w:color w:val="auto"/>
                <w:sz w:val="24"/>
                <w:szCs w:val="24"/>
              </w:rPr>
            </w:pPr>
            <w:r w:rsidRPr="00092993">
              <w:rPr>
                <w:rFonts w:asciiTheme="majorBidi" w:hAnsiTheme="majorBidi" w:cstheme="majorBidi"/>
                <w:color w:val="auto"/>
                <w:sz w:val="24"/>
                <w:szCs w:val="24"/>
              </w:rPr>
              <w:t xml:space="preserve">Outside the prespecified review scope. This study was conducted during the Delta-variant–dominant period (July–November 2021) and evaluates ancestral-strain COVID-19 vaccines (Comirnaty, Spikevax, </w:t>
            </w:r>
            <w:proofErr w:type="spellStart"/>
            <w:r w:rsidRPr="00092993">
              <w:rPr>
                <w:rFonts w:asciiTheme="majorBidi" w:hAnsiTheme="majorBidi" w:cstheme="majorBidi"/>
                <w:color w:val="auto"/>
                <w:sz w:val="24"/>
                <w:szCs w:val="24"/>
              </w:rPr>
              <w:t>Vaxzevria</w:t>
            </w:r>
            <w:proofErr w:type="spellEnd"/>
            <w:r w:rsidRPr="00092993">
              <w:rPr>
                <w:rFonts w:asciiTheme="majorBidi" w:hAnsiTheme="majorBidi" w:cstheme="majorBidi"/>
                <w:color w:val="auto"/>
                <w:sz w:val="24"/>
                <w:szCs w:val="24"/>
              </w:rPr>
              <w:t>) prior to the emergence of Omicron and before the introduction of variant-adapted vaccines. As such, it does not provide vaccine-effectiveness estimates relevant to Omicron-era subvariants (e.g., BA.5, XBB, JN.1) or updated booster formulations that are the focus of this review.</w:t>
            </w:r>
          </w:p>
        </w:tc>
      </w:tr>
      <w:tr w:rsidR="009405C7" w14:paraId="47B7213F" w14:textId="77777777" w:rsidTr="00B20255">
        <w:tc>
          <w:tcPr>
            <w:tcW w:w="5403" w:type="dxa"/>
          </w:tcPr>
          <w:p w14:paraId="0D05C96F" w14:textId="70338965" w:rsidR="009405C7" w:rsidRPr="00092993" w:rsidRDefault="00E763A6" w:rsidP="009405C7">
            <w:pPr>
              <w:pStyle w:val="MDPI31text"/>
              <w:ind w:left="0" w:firstLine="0"/>
              <w:rPr>
                <w:rFonts w:asciiTheme="majorBidi" w:hAnsiTheme="majorBidi" w:cstheme="majorBidi"/>
                <w:color w:val="auto"/>
                <w:sz w:val="24"/>
                <w:szCs w:val="24"/>
              </w:rPr>
            </w:pPr>
            <w:r w:rsidRPr="00092993">
              <w:rPr>
                <w:rFonts w:asciiTheme="majorBidi" w:hAnsiTheme="majorBidi" w:cstheme="majorBidi"/>
                <w:color w:val="auto"/>
                <w:sz w:val="24"/>
                <w:szCs w:val="24"/>
              </w:rPr>
              <w:t xml:space="preserve">Stecher M, Bråthen Kristoffersen A, Lie K, Andersen SR, </w:t>
            </w:r>
            <w:proofErr w:type="spellStart"/>
            <w:r w:rsidRPr="00092993">
              <w:rPr>
                <w:rFonts w:asciiTheme="majorBidi" w:hAnsiTheme="majorBidi" w:cstheme="majorBidi"/>
                <w:color w:val="auto"/>
                <w:sz w:val="24"/>
                <w:szCs w:val="24"/>
              </w:rPr>
              <w:t>Meijerink</w:t>
            </w:r>
            <w:proofErr w:type="spellEnd"/>
            <w:r w:rsidRPr="00092993">
              <w:rPr>
                <w:rFonts w:asciiTheme="majorBidi" w:hAnsiTheme="majorBidi" w:cstheme="majorBidi"/>
                <w:color w:val="auto"/>
                <w:sz w:val="24"/>
                <w:szCs w:val="24"/>
              </w:rPr>
              <w:t xml:space="preserve"> H, </w:t>
            </w:r>
            <w:proofErr w:type="spellStart"/>
            <w:r w:rsidRPr="00092993">
              <w:rPr>
                <w:rFonts w:asciiTheme="majorBidi" w:hAnsiTheme="majorBidi" w:cstheme="majorBidi"/>
                <w:color w:val="auto"/>
                <w:sz w:val="24"/>
                <w:szCs w:val="24"/>
              </w:rPr>
              <w:t>Starrfelt</w:t>
            </w:r>
            <w:proofErr w:type="spellEnd"/>
            <w:r w:rsidRPr="00092993">
              <w:rPr>
                <w:rFonts w:asciiTheme="majorBidi" w:hAnsiTheme="majorBidi" w:cstheme="majorBidi"/>
                <w:color w:val="auto"/>
                <w:sz w:val="24"/>
                <w:szCs w:val="24"/>
              </w:rPr>
              <w:t xml:space="preserve"> J. Effectiveness and durability of a second COVID-19 booster against severe outcomes among older people in Norway: a population-based cohort study comparing mono- and bivalent booster doses. International Journal of Epidemiology. 2023;52(6):1716–1724. doi:10.1093/</w:t>
            </w:r>
            <w:proofErr w:type="spellStart"/>
            <w:r w:rsidRPr="00092993">
              <w:rPr>
                <w:rFonts w:asciiTheme="majorBidi" w:hAnsiTheme="majorBidi" w:cstheme="majorBidi"/>
                <w:color w:val="auto"/>
                <w:sz w:val="24"/>
                <w:szCs w:val="24"/>
              </w:rPr>
              <w:t>ije</w:t>
            </w:r>
            <w:proofErr w:type="spellEnd"/>
            <w:r w:rsidRPr="00092993">
              <w:rPr>
                <w:rFonts w:asciiTheme="majorBidi" w:hAnsiTheme="majorBidi" w:cstheme="majorBidi"/>
                <w:color w:val="auto"/>
                <w:sz w:val="24"/>
                <w:szCs w:val="24"/>
              </w:rPr>
              <w:t>/dyad114.</w:t>
            </w:r>
          </w:p>
        </w:tc>
        <w:tc>
          <w:tcPr>
            <w:tcW w:w="5938" w:type="dxa"/>
          </w:tcPr>
          <w:p w14:paraId="320D6A63" w14:textId="4D997EF8" w:rsidR="009405C7" w:rsidRPr="00092993" w:rsidRDefault="009405C7" w:rsidP="009405C7">
            <w:pPr>
              <w:pStyle w:val="MDPI31text"/>
              <w:ind w:left="0" w:firstLine="0"/>
              <w:rPr>
                <w:rFonts w:asciiTheme="majorBidi" w:hAnsiTheme="majorBidi" w:cstheme="majorBidi"/>
                <w:color w:val="auto"/>
                <w:sz w:val="24"/>
                <w:szCs w:val="24"/>
              </w:rPr>
            </w:pPr>
            <w:r w:rsidRPr="00092993">
              <w:rPr>
                <w:rFonts w:asciiTheme="majorBidi" w:hAnsiTheme="majorBidi" w:cstheme="majorBidi"/>
                <w:color w:val="auto"/>
                <w:sz w:val="24"/>
                <w:szCs w:val="24"/>
              </w:rPr>
              <w:t xml:space="preserve">Outside the prespecified review scope. This population-based cohort study evaluates the effectiveness and durability of a fourth dose of monovalent and early bivalent (BA.1 and </w:t>
            </w:r>
            <w:r w:rsidR="00D45FE0" w:rsidRPr="00092993">
              <w:rPr>
                <w:rFonts w:asciiTheme="majorBidi" w:hAnsiTheme="majorBidi" w:cstheme="majorBidi"/>
                <w:color w:val="auto"/>
                <w:sz w:val="24"/>
                <w:szCs w:val="24"/>
              </w:rPr>
              <w:t>BA.4/BA.5</w:t>
            </w:r>
            <w:r w:rsidRPr="00092993">
              <w:rPr>
                <w:rFonts w:asciiTheme="majorBidi" w:hAnsiTheme="majorBidi" w:cstheme="majorBidi"/>
                <w:color w:val="auto"/>
                <w:sz w:val="24"/>
                <w:szCs w:val="24"/>
              </w:rPr>
              <w:t>) COVID-19 vaccines during early Omicron circulation (July 2022–January 2023). The study does not assess late-Omicron sub-lineages (e.g., XBB,</w:t>
            </w:r>
            <w:r w:rsidR="00FA0D7D" w:rsidRPr="00092993">
              <w:rPr>
                <w:rFonts w:asciiTheme="majorBidi" w:hAnsiTheme="majorBidi" w:cstheme="majorBidi"/>
                <w:color w:val="auto"/>
                <w:sz w:val="24"/>
                <w:szCs w:val="24"/>
              </w:rPr>
              <w:t xml:space="preserve"> </w:t>
            </w:r>
            <w:r w:rsidRPr="00092993">
              <w:rPr>
                <w:rFonts w:asciiTheme="majorBidi" w:hAnsiTheme="majorBidi" w:cstheme="majorBidi"/>
                <w:color w:val="auto"/>
                <w:sz w:val="24"/>
                <w:szCs w:val="24"/>
              </w:rPr>
              <w:t>JN.1, KP) or the effectiveness of updated, variant-adapted COVID-19 vaccines, which are the focus of this review.</w:t>
            </w:r>
          </w:p>
        </w:tc>
      </w:tr>
      <w:tr w:rsidR="009405C7" w14:paraId="3792E7D0" w14:textId="77777777" w:rsidTr="00B20255">
        <w:tc>
          <w:tcPr>
            <w:tcW w:w="5403" w:type="dxa"/>
          </w:tcPr>
          <w:p w14:paraId="57833A16" w14:textId="2311F3E6" w:rsidR="009405C7" w:rsidRPr="00092993" w:rsidRDefault="00E763A6" w:rsidP="009405C7">
            <w:pPr>
              <w:pStyle w:val="MDPI31text"/>
              <w:ind w:left="0" w:firstLine="0"/>
              <w:rPr>
                <w:rFonts w:asciiTheme="majorBidi" w:hAnsiTheme="majorBidi" w:cstheme="majorBidi"/>
                <w:color w:val="auto"/>
                <w:sz w:val="24"/>
                <w:szCs w:val="24"/>
              </w:rPr>
            </w:pPr>
            <w:r w:rsidRPr="00092993">
              <w:rPr>
                <w:rFonts w:asciiTheme="majorBidi" w:hAnsiTheme="majorBidi" w:cstheme="majorBidi"/>
                <w:color w:val="auto"/>
                <w:sz w:val="24"/>
                <w:szCs w:val="24"/>
              </w:rPr>
              <w:t xml:space="preserve">Sternberg MR, Johnson A, King J, Ali AR, Linde L, </w:t>
            </w:r>
            <w:proofErr w:type="spellStart"/>
            <w:r w:rsidRPr="00092993">
              <w:rPr>
                <w:rFonts w:asciiTheme="majorBidi" w:hAnsiTheme="majorBidi" w:cstheme="majorBidi"/>
                <w:color w:val="auto"/>
                <w:sz w:val="24"/>
                <w:szCs w:val="24"/>
              </w:rPr>
              <w:t>Awofeso</w:t>
            </w:r>
            <w:proofErr w:type="spellEnd"/>
            <w:r w:rsidRPr="00092993">
              <w:rPr>
                <w:rFonts w:asciiTheme="majorBidi" w:hAnsiTheme="majorBidi" w:cstheme="majorBidi"/>
                <w:color w:val="auto"/>
                <w:sz w:val="24"/>
                <w:szCs w:val="24"/>
              </w:rPr>
              <w:t xml:space="preserve"> AO, et al. Application of a life table approach to assess duration of BNT162b2 vaccine-derived immunity by age using COVID-19 case surveillance data during the Omicron variant period. PLOS ONE. 2023;18(9):e0291678. doi:10.1371/journal.pone.0291678.</w:t>
            </w:r>
          </w:p>
        </w:tc>
        <w:tc>
          <w:tcPr>
            <w:tcW w:w="5938" w:type="dxa"/>
          </w:tcPr>
          <w:p w14:paraId="605853C7" w14:textId="77777777" w:rsidR="009405C7" w:rsidRPr="00092993" w:rsidRDefault="009405C7" w:rsidP="009405C7">
            <w:pPr>
              <w:pStyle w:val="MDPI31text"/>
              <w:ind w:left="0" w:firstLine="0"/>
              <w:rPr>
                <w:rFonts w:asciiTheme="majorBidi" w:hAnsiTheme="majorBidi" w:cstheme="majorBidi"/>
                <w:color w:val="auto"/>
                <w:sz w:val="24"/>
                <w:szCs w:val="24"/>
              </w:rPr>
            </w:pPr>
            <w:r w:rsidRPr="00092993">
              <w:rPr>
                <w:rFonts w:asciiTheme="majorBidi" w:hAnsiTheme="majorBidi" w:cstheme="majorBidi"/>
                <w:color w:val="auto"/>
                <w:sz w:val="24"/>
                <w:szCs w:val="24"/>
              </w:rPr>
              <w:t>Outside the prespecified review scope. This surveillance-based life-table analysis uses aggregated case data to assess waning protection against SARS-CoV-2 infection only and derives indirect hazard-based estimates, rather than reporting empirically derived vaccine-effectiveness estimates for hospitalization or severe outcomes using standard observational study designs.</w:t>
            </w:r>
          </w:p>
        </w:tc>
      </w:tr>
      <w:tr w:rsidR="009405C7" w14:paraId="4C4A633A" w14:textId="77777777" w:rsidTr="00B20255">
        <w:tc>
          <w:tcPr>
            <w:tcW w:w="5403" w:type="dxa"/>
          </w:tcPr>
          <w:p w14:paraId="19D3ED55" w14:textId="012A2256" w:rsidR="009405C7" w:rsidRPr="00F3629B" w:rsidRDefault="00092993" w:rsidP="009405C7">
            <w:pPr>
              <w:pStyle w:val="MDPI31text"/>
              <w:ind w:left="0" w:firstLine="0"/>
              <w:rPr>
                <w:rFonts w:asciiTheme="majorBidi" w:hAnsiTheme="majorBidi" w:cstheme="majorBidi"/>
                <w:color w:val="auto"/>
                <w:sz w:val="24"/>
                <w:szCs w:val="24"/>
              </w:rPr>
            </w:pPr>
            <w:r w:rsidRPr="00F3629B">
              <w:rPr>
                <w:rFonts w:asciiTheme="majorBidi" w:hAnsiTheme="majorBidi" w:cstheme="majorBidi"/>
                <w:color w:val="auto"/>
                <w:sz w:val="24"/>
                <w:szCs w:val="24"/>
              </w:rPr>
              <w:t>Stirrup O, Shrotri M, Adams NL, Krutikov M, Nacer-Laidi H, Azmi B, Palmer T, Fuller C, Irwin-Singer A, Baynton V, Tut G, Moss P, Hayward A, Copas A, Shallcross L. Clinical effectiveness of SARS-CoV-2 booster vaccination against Omicron infection in residents and staff of long-term care facilities (VIVALDI). Open Forum Infectious Diseases. 2022;10(1):ofac694. doi:10.1093/</w:t>
            </w:r>
            <w:proofErr w:type="spellStart"/>
            <w:r w:rsidRPr="00F3629B">
              <w:rPr>
                <w:rFonts w:asciiTheme="majorBidi" w:hAnsiTheme="majorBidi" w:cstheme="majorBidi"/>
                <w:color w:val="auto"/>
                <w:sz w:val="24"/>
                <w:szCs w:val="24"/>
              </w:rPr>
              <w:t>ofid</w:t>
            </w:r>
            <w:proofErr w:type="spellEnd"/>
            <w:r w:rsidRPr="00F3629B">
              <w:rPr>
                <w:rFonts w:asciiTheme="majorBidi" w:hAnsiTheme="majorBidi" w:cstheme="majorBidi"/>
                <w:color w:val="auto"/>
                <w:sz w:val="24"/>
                <w:szCs w:val="24"/>
              </w:rPr>
              <w:t>/ofac694.</w:t>
            </w:r>
          </w:p>
        </w:tc>
        <w:tc>
          <w:tcPr>
            <w:tcW w:w="5938" w:type="dxa"/>
          </w:tcPr>
          <w:p w14:paraId="72449664" w14:textId="30A875CC" w:rsidR="009405C7" w:rsidRPr="00F3629B" w:rsidRDefault="009405C7" w:rsidP="009405C7">
            <w:pPr>
              <w:pStyle w:val="MDPI31text"/>
              <w:ind w:left="0" w:firstLine="0"/>
              <w:rPr>
                <w:rFonts w:asciiTheme="majorBidi" w:hAnsiTheme="majorBidi" w:cstheme="majorBidi"/>
                <w:color w:val="auto"/>
                <w:sz w:val="24"/>
                <w:szCs w:val="24"/>
              </w:rPr>
            </w:pPr>
            <w:r w:rsidRPr="00F3629B">
              <w:rPr>
                <w:rFonts w:asciiTheme="majorBidi" w:hAnsiTheme="majorBidi" w:cstheme="majorBidi"/>
                <w:color w:val="auto"/>
                <w:sz w:val="24"/>
                <w:szCs w:val="24"/>
              </w:rPr>
              <w:t>Outside the prespecified review scope. This prospective cohort study evaluates the effectiveness of ancestral COVID-19 booster vaccination against SARS-CoV-2 infection, with secondary analyses of severe outcomes, during early Omicron BA.1 circulation (December 2021–March 2022) in long-term care facilities. The study does not assess late-Omicron sub-lineages (e.g., BA.4/BA.5, XBB, JN.1, KP) or the effectiveness of updated, variant-adapted COVID-19 vaccines, which are the focus of this review.</w:t>
            </w:r>
          </w:p>
        </w:tc>
      </w:tr>
      <w:tr w:rsidR="009405C7" w14:paraId="5FBE7132" w14:textId="77777777" w:rsidTr="00B20255">
        <w:tc>
          <w:tcPr>
            <w:tcW w:w="5403" w:type="dxa"/>
          </w:tcPr>
          <w:p w14:paraId="5CCD8D4C" w14:textId="3AF23D3C" w:rsidR="009405C7" w:rsidRPr="00F3629B" w:rsidRDefault="00BD5C36" w:rsidP="009405C7">
            <w:pPr>
              <w:pStyle w:val="MDPI31text"/>
              <w:ind w:left="0" w:firstLine="0"/>
              <w:rPr>
                <w:rFonts w:asciiTheme="majorBidi" w:hAnsiTheme="majorBidi" w:cstheme="majorBidi"/>
                <w:color w:val="auto"/>
                <w:sz w:val="24"/>
                <w:szCs w:val="24"/>
              </w:rPr>
            </w:pPr>
            <w:r w:rsidRPr="00F3629B">
              <w:rPr>
                <w:rFonts w:asciiTheme="majorBidi" w:hAnsiTheme="majorBidi" w:cstheme="majorBidi"/>
                <w:color w:val="auto"/>
                <w:sz w:val="24"/>
                <w:szCs w:val="24"/>
                <w:lang w:val="en-AU"/>
              </w:rPr>
              <w:t xml:space="preserve">Stoliaroff-Pepin A, Peine C, Herath T, Lachmann J, Hellenbrand W, </w:t>
            </w:r>
            <w:proofErr w:type="spellStart"/>
            <w:r w:rsidRPr="00F3629B">
              <w:rPr>
                <w:rFonts w:asciiTheme="majorBidi" w:hAnsiTheme="majorBidi" w:cstheme="majorBidi"/>
                <w:color w:val="auto"/>
                <w:sz w:val="24"/>
                <w:szCs w:val="24"/>
                <w:lang w:val="en-AU"/>
              </w:rPr>
              <w:t>Perriat</w:t>
            </w:r>
            <w:proofErr w:type="spellEnd"/>
            <w:r w:rsidRPr="00F3629B">
              <w:rPr>
                <w:rFonts w:asciiTheme="majorBidi" w:hAnsiTheme="majorBidi" w:cstheme="majorBidi"/>
                <w:color w:val="auto"/>
                <w:sz w:val="24"/>
                <w:szCs w:val="24"/>
                <w:lang w:val="en-AU"/>
              </w:rPr>
              <w:t xml:space="preserve"> D, </w:t>
            </w:r>
            <w:proofErr w:type="spellStart"/>
            <w:r w:rsidRPr="00F3629B">
              <w:rPr>
                <w:rFonts w:asciiTheme="majorBidi" w:hAnsiTheme="majorBidi" w:cstheme="majorBidi"/>
                <w:color w:val="auto"/>
                <w:sz w:val="24"/>
                <w:szCs w:val="24"/>
                <w:lang w:val="en-AU"/>
              </w:rPr>
              <w:t>Dörre</w:t>
            </w:r>
            <w:proofErr w:type="spellEnd"/>
            <w:r w:rsidRPr="00F3629B">
              <w:rPr>
                <w:rFonts w:asciiTheme="majorBidi" w:hAnsiTheme="majorBidi" w:cstheme="majorBidi"/>
                <w:color w:val="auto"/>
                <w:sz w:val="24"/>
                <w:szCs w:val="24"/>
                <w:lang w:val="en-AU"/>
              </w:rPr>
              <w:t xml:space="preserve"> A, Nitsche A, Michel J, </w:t>
            </w:r>
            <w:proofErr w:type="spellStart"/>
            <w:r w:rsidRPr="00F3629B">
              <w:rPr>
                <w:rFonts w:asciiTheme="majorBidi" w:hAnsiTheme="majorBidi" w:cstheme="majorBidi"/>
                <w:color w:val="auto"/>
                <w:sz w:val="24"/>
                <w:szCs w:val="24"/>
                <w:lang w:val="en-AU"/>
              </w:rPr>
              <w:t>Grossegesse</w:t>
            </w:r>
            <w:proofErr w:type="spellEnd"/>
            <w:r w:rsidRPr="00F3629B">
              <w:rPr>
                <w:rFonts w:asciiTheme="majorBidi" w:hAnsiTheme="majorBidi" w:cstheme="majorBidi"/>
                <w:color w:val="auto"/>
                <w:sz w:val="24"/>
                <w:szCs w:val="24"/>
                <w:lang w:val="en-AU"/>
              </w:rPr>
              <w:t xml:space="preserve"> M, et al. Vaccine effectiveness against severe COVID-19 during the Omicron wave in Germany: results from the </w:t>
            </w:r>
            <w:proofErr w:type="spellStart"/>
            <w:r w:rsidRPr="00F3629B">
              <w:rPr>
                <w:rFonts w:asciiTheme="majorBidi" w:hAnsiTheme="majorBidi" w:cstheme="majorBidi"/>
                <w:color w:val="auto"/>
                <w:sz w:val="24"/>
                <w:szCs w:val="24"/>
                <w:lang w:val="en-AU"/>
              </w:rPr>
              <w:t>COViK</w:t>
            </w:r>
            <w:proofErr w:type="spellEnd"/>
            <w:r w:rsidRPr="00F3629B">
              <w:rPr>
                <w:rFonts w:asciiTheme="majorBidi" w:hAnsiTheme="majorBidi" w:cstheme="majorBidi"/>
                <w:color w:val="auto"/>
                <w:sz w:val="24"/>
                <w:szCs w:val="24"/>
                <w:lang w:val="en-AU"/>
              </w:rPr>
              <w:t xml:space="preserve"> study. </w:t>
            </w:r>
            <w:proofErr w:type="spellStart"/>
            <w:r w:rsidRPr="00F3629B">
              <w:rPr>
                <w:rFonts w:asciiTheme="majorBidi" w:hAnsiTheme="majorBidi" w:cstheme="majorBidi"/>
                <w:color w:val="auto"/>
                <w:sz w:val="24"/>
                <w:szCs w:val="24"/>
                <w:lang w:val="nb-NO"/>
              </w:rPr>
              <w:t>Infection</w:t>
            </w:r>
            <w:proofErr w:type="spellEnd"/>
            <w:r w:rsidRPr="00F3629B">
              <w:rPr>
                <w:rFonts w:asciiTheme="majorBidi" w:hAnsiTheme="majorBidi" w:cstheme="majorBidi"/>
                <w:color w:val="auto"/>
                <w:sz w:val="24"/>
                <w:szCs w:val="24"/>
                <w:lang w:val="nb-NO"/>
              </w:rPr>
              <w:t>. 2023;51:1093–1102. doi:10.1007/s15010-023-02012-z.</w:t>
            </w:r>
          </w:p>
        </w:tc>
        <w:tc>
          <w:tcPr>
            <w:tcW w:w="5938" w:type="dxa"/>
          </w:tcPr>
          <w:p w14:paraId="54B285A8" w14:textId="52B49241" w:rsidR="009405C7" w:rsidRPr="00F3629B" w:rsidRDefault="009405C7" w:rsidP="009405C7">
            <w:pPr>
              <w:pStyle w:val="MDPI31text"/>
              <w:ind w:left="0" w:firstLine="0"/>
              <w:rPr>
                <w:rFonts w:asciiTheme="majorBidi" w:hAnsiTheme="majorBidi" w:cstheme="majorBidi"/>
                <w:color w:val="auto"/>
                <w:sz w:val="24"/>
                <w:szCs w:val="24"/>
              </w:rPr>
            </w:pPr>
            <w:r w:rsidRPr="00F3629B">
              <w:rPr>
                <w:rFonts w:asciiTheme="majorBidi" w:hAnsiTheme="majorBidi" w:cstheme="majorBidi"/>
                <w:color w:val="auto"/>
                <w:sz w:val="24"/>
                <w:szCs w:val="24"/>
              </w:rPr>
              <w:t>Outside the prespecified review scope. This prospective hospital-based case–control study evaluates the effectiveness of ancestral (non–variant-adapted) COVID-19 vaccine schedules (two, three, and four doses) during early Omicron circulation (BA.1–BA.5; December 2021–September 2022). The study does not assess late-Omicron sub-lineages (e.g., XBB, JN.1, KP) or the effectiveness of updated, variant-adapted COVID-19 vaccines, which are the focus of this review.</w:t>
            </w:r>
          </w:p>
        </w:tc>
      </w:tr>
      <w:tr w:rsidR="009405C7" w14:paraId="251A0F7E" w14:textId="77777777" w:rsidTr="00B20255">
        <w:tc>
          <w:tcPr>
            <w:tcW w:w="5403" w:type="dxa"/>
          </w:tcPr>
          <w:p w14:paraId="28096BF9" w14:textId="38A8DBA7" w:rsidR="009405C7" w:rsidRPr="00F3629B" w:rsidRDefault="00BD5C36" w:rsidP="009405C7">
            <w:pPr>
              <w:pStyle w:val="MDPI31text"/>
              <w:ind w:left="0" w:firstLine="0"/>
              <w:rPr>
                <w:rFonts w:asciiTheme="majorBidi" w:hAnsiTheme="majorBidi" w:cstheme="majorBidi"/>
                <w:color w:val="auto"/>
                <w:sz w:val="24"/>
                <w:szCs w:val="24"/>
              </w:rPr>
            </w:pPr>
            <w:r w:rsidRPr="00F3629B">
              <w:rPr>
                <w:rFonts w:asciiTheme="majorBidi" w:hAnsiTheme="majorBidi" w:cstheme="majorBidi"/>
                <w:color w:val="auto"/>
                <w:sz w:val="24"/>
                <w:szCs w:val="24"/>
                <w:lang w:val="en-GB"/>
              </w:rPr>
              <w:t xml:space="preserve">Stouten V, Van </w:t>
            </w:r>
            <w:proofErr w:type="spellStart"/>
            <w:r w:rsidRPr="00F3629B">
              <w:rPr>
                <w:rFonts w:asciiTheme="majorBidi" w:hAnsiTheme="majorBidi" w:cstheme="majorBidi"/>
                <w:color w:val="auto"/>
                <w:sz w:val="24"/>
                <w:szCs w:val="24"/>
                <w:lang w:val="en-GB"/>
              </w:rPr>
              <w:t>Evercooren</w:t>
            </w:r>
            <w:proofErr w:type="spellEnd"/>
            <w:r w:rsidRPr="00F3629B">
              <w:rPr>
                <w:rFonts w:asciiTheme="majorBidi" w:hAnsiTheme="majorBidi" w:cstheme="majorBidi"/>
                <w:color w:val="auto"/>
                <w:sz w:val="24"/>
                <w:szCs w:val="24"/>
                <w:lang w:val="en-GB"/>
              </w:rPr>
              <w:t xml:space="preserve"> I, </w:t>
            </w:r>
            <w:proofErr w:type="spellStart"/>
            <w:r w:rsidRPr="00F3629B">
              <w:rPr>
                <w:rFonts w:asciiTheme="majorBidi" w:hAnsiTheme="majorBidi" w:cstheme="majorBidi"/>
                <w:color w:val="auto"/>
                <w:sz w:val="24"/>
                <w:szCs w:val="24"/>
                <w:lang w:val="en-GB"/>
              </w:rPr>
              <w:t>Vernemmen</w:t>
            </w:r>
            <w:proofErr w:type="spellEnd"/>
            <w:r w:rsidRPr="00F3629B">
              <w:rPr>
                <w:rFonts w:asciiTheme="majorBidi" w:hAnsiTheme="majorBidi" w:cstheme="majorBidi"/>
                <w:color w:val="auto"/>
                <w:sz w:val="24"/>
                <w:szCs w:val="24"/>
                <w:lang w:val="en-GB"/>
              </w:rPr>
              <w:t xml:space="preserve"> C, </w:t>
            </w:r>
            <w:proofErr w:type="spellStart"/>
            <w:r w:rsidRPr="00F3629B">
              <w:rPr>
                <w:rFonts w:asciiTheme="majorBidi" w:hAnsiTheme="majorBidi" w:cstheme="majorBidi"/>
                <w:color w:val="auto"/>
                <w:sz w:val="24"/>
                <w:szCs w:val="24"/>
                <w:lang w:val="en-GB"/>
              </w:rPr>
              <w:t>Braeye</w:t>
            </w:r>
            <w:proofErr w:type="spellEnd"/>
            <w:r w:rsidRPr="00F3629B">
              <w:rPr>
                <w:rFonts w:asciiTheme="majorBidi" w:hAnsiTheme="majorBidi" w:cstheme="majorBidi"/>
                <w:color w:val="auto"/>
                <w:sz w:val="24"/>
                <w:szCs w:val="24"/>
                <w:lang w:val="en-GB"/>
              </w:rPr>
              <w:t xml:space="preserve"> T, </w:t>
            </w:r>
            <w:proofErr w:type="spellStart"/>
            <w:r w:rsidRPr="00F3629B">
              <w:rPr>
                <w:rFonts w:asciiTheme="majorBidi" w:hAnsiTheme="majorBidi" w:cstheme="majorBidi"/>
                <w:color w:val="auto"/>
                <w:sz w:val="24"/>
                <w:szCs w:val="24"/>
                <w:lang w:val="en-GB"/>
              </w:rPr>
              <w:t>Catteau</w:t>
            </w:r>
            <w:proofErr w:type="spellEnd"/>
            <w:r w:rsidRPr="00F3629B">
              <w:rPr>
                <w:rFonts w:asciiTheme="majorBidi" w:hAnsiTheme="majorBidi" w:cstheme="majorBidi"/>
                <w:color w:val="auto"/>
                <w:sz w:val="24"/>
                <w:szCs w:val="24"/>
                <w:lang w:val="en-GB"/>
              </w:rPr>
              <w:t xml:space="preserve"> L, </w:t>
            </w:r>
            <w:proofErr w:type="spellStart"/>
            <w:r w:rsidRPr="00F3629B">
              <w:rPr>
                <w:rFonts w:asciiTheme="majorBidi" w:hAnsiTheme="majorBidi" w:cstheme="majorBidi"/>
                <w:color w:val="auto"/>
                <w:sz w:val="24"/>
                <w:szCs w:val="24"/>
                <w:lang w:val="en-GB"/>
              </w:rPr>
              <w:t>Roelants</w:t>
            </w:r>
            <w:proofErr w:type="spellEnd"/>
            <w:r w:rsidRPr="00F3629B">
              <w:rPr>
                <w:rFonts w:asciiTheme="majorBidi" w:hAnsiTheme="majorBidi" w:cstheme="majorBidi"/>
                <w:color w:val="auto"/>
                <w:sz w:val="24"/>
                <w:szCs w:val="24"/>
                <w:lang w:val="en-GB"/>
              </w:rPr>
              <w:t xml:space="preserve"> M, </w:t>
            </w:r>
            <w:proofErr w:type="spellStart"/>
            <w:r w:rsidRPr="00F3629B">
              <w:rPr>
                <w:rFonts w:asciiTheme="majorBidi" w:hAnsiTheme="majorBidi" w:cstheme="majorBidi"/>
                <w:color w:val="auto"/>
                <w:sz w:val="24"/>
                <w:szCs w:val="24"/>
                <w:lang w:val="en-GB"/>
              </w:rPr>
              <w:t>Billuart</w:t>
            </w:r>
            <w:proofErr w:type="spellEnd"/>
            <w:r w:rsidRPr="00F3629B">
              <w:rPr>
                <w:rFonts w:asciiTheme="majorBidi" w:hAnsiTheme="majorBidi" w:cstheme="majorBidi"/>
                <w:color w:val="auto"/>
                <w:sz w:val="24"/>
                <w:szCs w:val="24"/>
                <w:lang w:val="en-GB"/>
              </w:rPr>
              <w:t xml:space="preserve"> M, Lamot T, Bustos Sierra N, Hammami N, Vermeiren E, Rosas A, Blot K, Schmelz AI, </w:t>
            </w:r>
            <w:proofErr w:type="spellStart"/>
            <w:r w:rsidRPr="00F3629B">
              <w:rPr>
                <w:rFonts w:asciiTheme="majorBidi" w:hAnsiTheme="majorBidi" w:cstheme="majorBidi"/>
                <w:color w:val="auto"/>
                <w:sz w:val="24"/>
                <w:szCs w:val="24"/>
                <w:lang w:val="en-GB"/>
              </w:rPr>
              <w:t>Nasiadka</w:t>
            </w:r>
            <w:proofErr w:type="spellEnd"/>
            <w:r w:rsidRPr="00F3629B">
              <w:rPr>
                <w:rFonts w:asciiTheme="majorBidi" w:hAnsiTheme="majorBidi" w:cstheme="majorBidi"/>
                <w:color w:val="auto"/>
                <w:sz w:val="24"/>
                <w:szCs w:val="24"/>
                <w:lang w:val="en-GB"/>
              </w:rPr>
              <w:t xml:space="preserve"> L, </w:t>
            </w:r>
            <w:proofErr w:type="spellStart"/>
            <w:r w:rsidRPr="00F3629B">
              <w:rPr>
                <w:rFonts w:asciiTheme="majorBidi" w:hAnsiTheme="majorBidi" w:cstheme="majorBidi"/>
                <w:color w:val="auto"/>
                <w:sz w:val="24"/>
                <w:szCs w:val="24"/>
                <w:lang w:val="en-GB"/>
              </w:rPr>
              <w:t>Nganda</w:t>
            </w:r>
            <w:proofErr w:type="spellEnd"/>
            <w:r w:rsidRPr="00F3629B">
              <w:rPr>
                <w:rFonts w:asciiTheme="majorBidi" w:hAnsiTheme="majorBidi" w:cstheme="majorBidi"/>
                <w:color w:val="auto"/>
                <w:sz w:val="24"/>
                <w:szCs w:val="24"/>
                <w:lang w:val="en-GB"/>
              </w:rPr>
              <w:t xml:space="preserve"> S, van </w:t>
            </w:r>
            <w:proofErr w:type="spellStart"/>
            <w:r w:rsidRPr="00F3629B">
              <w:rPr>
                <w:rFonts w:asciiTheme="majorBidi" w:hAnsiTheme="majorBidi" w:cstheme="majorBidi"/>
                <w:color w:val="auto"/>
                <w:sz w:val="24"/>
                <w:szCs w:val="24"/>
                <w:lang w:val="en-GB"/>
              </w:rPr>
              <w:t>Loenhout</w:t>
            </w:r>
            <w:proofErr w:type="spellEnd"/>
            <w:r w:rsidRPr="00F3629B">
              <w:rPr>
                <w:rFonts w:asciiTheme="majorBidi" w:hAnsiTheme="majorBidi" w:cstheme="majorBidi"/>
                <w:color w:val="auto"/>
                <w:sz w:val="24"/>
                <w:szCs w:val="24"/>
                <w:lang w:val="en-GB"/>
              </w:rPr>
              <w:t xml:space="preserve"> JAF. </w:t>
            </w:r>
            <w:r w:rsidRPr="00F3629B">
              <w:rPr>
                <w:rFonts w:asciiTheme="majorBidi" w:hAnsiTheme="majorBidi" w:cstheme="majorBidi"/>
                <w:color w:val="auto"/>
                <w:sz w:val="24"/>
                <w:szCs w:val="24"/>
                <w:lang w:val="en-AU"/>
              </w:rPr>
              <w:t xml:space="preserve">Averted mortality by COVID-19 vaccination in </w:t>
            </w:r>
            <w:r w:rsidRPr="00F3629B">
              <w:rPr>
                <w:rFonts w:asciiTheme="majorBidi" w:hAnsiTheme="majorBidi" w:cstheme="majorBidi"/>
                <w:color w:val="auto"/>
                <w:sz w:val="24"/>
                <w:szCs w:val="24"/>
                <w:lang w:val="en-AU"/>
              </w:rPr>
              <w:lastRenderedPageBreak/>
              <w:t xml:space="preserve">Belgium between 2021 and 2023. Vaccine. </w:t>
            </w:r>
            <w:r w:rsidRPr="00F3629B">
              <w:rPr>
                <w:rFonts w:asciiTheme="majorBidi" w:hAnsiTheme="majorBidi" w:cstheme="majorBidi"/>
                <w:color w:val="auto"/>
                <w:sz w:val="24"/>
                <w:szCs w:val="24"/>
                <w:lang w:val="nb-NO"/>
              </w:rPr>
              <w:t>2025;60:127290. doi:10.1016/j.vaccine.2025.127290.</w:t>
            </w:r>
          </w:p>
        </w:tc>
        <w:tc>
          <w:tcPr>
            <w:tcW w:w="5938" w:type="dxa"/>
          </w:tcPr>
          <w:p w14:paraId="0C7FFD03" w14:textId="77777777" w:rsidR="009405C7" w:rsidRPr="00F3629B" w:rsidRDefault="009405C7" w:rsidP="009405C7">
            <w:pPr>
              <w:pStyle w:val="MDPI31text"/>
              <w:ind w:left="0" w:firstLine="0"/>
              <w:rPr>
                <w:rFonts w:asciiTheme="majorBidi" w:hAnsiTheme="majorBidi" w:cstheme="majorBidi"/>
                <w:color w:val="auto"/>
                <w:sz w:val="24"/>
                <w:szCs w:val="24"/>
              </w:rPr>
            </w:pPr>
            <w:r w:rsidRPr="00F3629B">
              <w:rPr>
                <w:rFonts w:asciiTheme="majorBidi" w:hAnsiTheme="majorBidi" w:cstheme="majorBidi"/>
                <w:color w:val="auto"/>
                <w:sz w:val="24"/>
                <w:szCs w:val="24"/>
              </w:rPr>
              <w:lastRenderedPageBreak/>
              <w:t xml:space="preserve">Outside the prespecified review scope. This nationwide Belgian study primarily quantified the population-level number of COVID-19 deaths averted by vaccination by combining vaccine effectiveness against mortality with vaccine coverage and national mortality surveillance data. </w:t>
            </w:r>
            <w:r w:rsidRPr="00F3629B">
              <w:rPr>
                <w:rFonts w:asciiTheme="majorBidi" w:hAnsiTheme="majorBidi" w:cstheme="majorBidi"/>
                <w:color w:val="auto"/>
                <w:sz w:val="24"/>
                <w:szCs w:val="24"/>
              </w:rPr>
              <w:lastRenderedPageBreak/>
              <w:t>Vaccine effectiveness was estimated using a proxy definition of COVID-19 death and served as an input for impact modelling, rather than as the primary outcome of a standalone observational vaccine-effectiveness study. Consequently, the study does not provide directly comparable primary VE estimates suitable for synthesis in this review.</w:t>
            </w:r>
          </w:p>
        </w:tc>
      </w:tr>
      <w:tr w:rsidR="009405C7" w14:paraId="090F813C" w14:textId="77777777" w:rsidTr="00B20255">
        <w:tc>
          <w:tcPr>
            <w:tcW w:w="5403" w:type="dxa"/>
          </w:tcPr>
          <w:p w14:paraId="73D11F79" w14:textId="01804F7E" w:rsidR="009405C7" w:rsidRPr="000524BF" w:rsidRDefault="008F18BB" w:rsidP="009405C7">
            <w:pPr>
              <w:pStyle w:val="MDPI31text"/>
              <w:ind w:left="0" w:firstLine="0"/>
              <w:rPr>
                <w:rFonts w:asciiTheme="majorBidi" w:hAnsiTheme="majorBidi" w:cstheme="majorBidi"/>
                <w:color w:val="auto"/>
                <w:sz w:val="24"/>
                <w:szCs w:val="24"/>
              </w:rPr>
            </w:pPr>
            <w:r w:rsidRPr="000524BF">
              <w:rPr>
                <w:rFonts w:asciiTheme="majorBidi" w:hAnsiTheme="majorBidi" w:cstheme="majorBidi"/>
                <w:color w:val="auto"/>
                <w:sz w:val="24"/>
                <w:szCs w:val="24"/>
              </w:rPr>
              <w:lastRenderedPageBreak/>
              <w:t>Stowe J, Andrews N, Kirsebom F, Ramsay M, Lopez Bernal J. Effectiveness of COVID-19 vaccines against Omicron and Delta hospitalisation: a test-negative case-control study. Nature Communications. 2022;13:5736. doi:10.1038/s41467-022-33378-7.</w:t>
            </w:r>
          </w:p>
        </w:tc>
        <w:tc>
          <w:tcPr>
            <w:tcW w:w="5938" w:type="dxa"/>
          </w:tcPr>
          <w:p w14:paraId="38B168D5" w14:textId="3D209BD8" w:rsidR="009405C7" w:rsidRPr="000524BF" w:rsidRDefault="009405C7" w:rsidP="009405C7">
            <w:pPr>
              <w:pStyle w:val="MDPI31text"/>
              <w:ind w:left="0" w:firstLine="0"/>
              <w:rPr>
                <w:rFonts w:asciiTheme="majorBidi" w:hAnsiTheme="majorBidi" w:cstheme="majorBidi"/>
                <w:color w:val="auto"/>
                <w:sz w:val="24"/>
                <w:szCs w:val="24"/>
              </w:rPr>
            </w:pPr>
            <w:r w:rsidRPr="000524BF">
              <w:rPr>
                <w:rFonts w:asciiTheme="majorBidi" w:hAnsiTheme="majorBidi" w:cstheme="majorBidi"/>
                <w:color w:val="auto"/>
                <w:sz w:val="24"/>
                <w:szCs w:val="24"/>
              </w:rPr>
              <w:t>Outside the prespecified review scope. This study was conducted during the early Omicron (BA.1) emergence period in late 2021–early 2022 and primarily evaluates ancestral-strain primary series and early booster vaccines (BNT162b2, mRNA-1273, ChAdOx1). The analysis predates the introduction of variant-adapted vaccines (e.g., BA.4/BA.5 bivalent, XBB.1.5, JN.1) and focuses on incremental booster effectiveness using early Omicron hospitalization definitions. As such, the vaccine effectiveness estimates are not directly comparable with the updated-vaccine, late-Omicron (BA.5, XBB,</w:t>
            </w:r>
            <w:r w:rsidR="00FA0D7D" w:rsidRPr="000524BF">
              <w:rPr>
                <w:rFonts w:asciiTheme="majorBidi" w:hAnsiTheme="majorBidi" w:cstheme="majorBidi"/>
                <w:color w:val="auto"/>
                <w:sz w:val="24"/>
                <w:szCs w:val="24"/>
              </w:rPr>
              <w:t xml:space="preserve"> </w:t>
            </w:r>
            <w:r w:rsidRPr="000524BF">
              <w:rPr>
                <w:rFonts w:asciiTheme="majorBidi" w:hAnsiTheme="majorBidi" w:cstheme="majorBidi"/>
                <w:color w:val="auto"/>
                <w:sz w:val="24"/>
                <w:szCs w:val="24"/>
              </w:rPr>
              <w:t>JN.1) effectiveness framework applied in this review.</w:t>
            </w:r>
          </w:p>
        </w:tc>
      </w:tr>
      <w:tr w:rsidR="009405C7" w14:paraId="1F449D41" w14:textId="77777777" w:rsidTr="00B20255">
        <w:tc>
          <w:tcPr>
            <w:tcW w:w="5403" w:type="dxa"/>
          </w:tcPr>
          <w:p w14:paraId="32DD83B5" w14:textId="0FB2483D" w:rsidR="009405C7" w:rsidRPr="000524BF" w:rsidRDefault="00D4406C" w:rsidP="009405C7">
            <w:pPr>
              <w:pStyle w:val="MDPI31text"/>
              <w:ind w:left="0" w:firstLine="0"/>
              <w:rPr>
                <w:rFonts w:asciiTheme="majorBidi" w:hAnsiTheme="majorBidi" w:cstheme="majorBidi"/>
                <w:color w:val="auto"/>
                <w:sz w:val="24"/>
                <w:szCs w:val="24"/>
              </w:rPr>
            </w:pPr>
            <w:r w:rsidRPr="000524BF">
              <w:rPr>
                <w:rFonts w:asciiTheme="majorBidi" w:hAnsiTheme="majorBidi" w:cstheme="majorBidi"/>
                <w:color w:val="auto"/>
                <w:sz w:val="24"/>
                <w:szCs w:val="24"/>
                <w:lang w:val="en-AU"/>
              </w:rPr>
              <w:t xml:space="preserve">Suah JL, Husin M, Tok PSK, </w:t>
            </w:r>
            <w:proofErr w:type="spellStart"/>
            <w:r w:rsidRPr="000524BF">
              <w:rPr>
                <w:rFonts w:asciiTheme="majorBidi" w:hAnsiTheme="majorBidi" w:cstheme="majorBidi"/>
                <w:color w:val="auto"/>
                <w:sz w:val="24"/>
                <w:szCs w:val="24"/>
                <w:lang w:val="en-AU"/>
              </w:rPr>
              <w:t>Tng</w:t>
            </w:r>
            <w:proofErr w:type="spellEnd"/>
            <w:r w:rsidRPr="000524BF">
              <w:rPr>
                <w:rFonts w:asciiTheme="majorBidi" w:hAnsiTheme="majorBidi" w:cstheme="majorBidi"/>
                <w:color w:val="auto"/>
                <w:sz w:val="24"/>
                <w:szCs w:val="24"/>
                <w:lang w:val="en-AU"/>
              </w:rPr>
              <w:t xml:space="preserve"> BH, </w:t>
            </w:r>
            <w:proofErr w:type="spellStart"/>
            <w:r w:rsidRPr="000524BF">
              <w:rPr>
                <w:rFonts w:asciiTheme="majorBidi" w:hAnsiTheme="majorBidi" w:cstheme="majorBidi"/>
                <w:color w:val="auto"/>
                <w:sz w:val="24"/>
                <w:szCs w:val="24"/>
                <w:lang w:val="en-AU"/>
              </w:rPr>
              <w:t>Thevananthan</w:t>
            </w:r>
            <w:proofErr w:type="spellEnd"/>
            <w:r w:rsidRPr="000524BF">
              <w:rPr>
                <w:rFonts w:asciiTheme="majorBidi" w:hAnsiTheme="majorBidi" w:cstheme="majorBidi"/>
                <w:color w:val="auto"/>
                <w:sz w:val="24"/>
                <w:szCs w:val="24"/>
                <w:lang w:val="en-AU"/>
              </w:rPr>
              <w:t xml:space="preserve"> T, Low EV, </w:t>
            </w:r>
            <w:proofErr w:type="spellStart"/>
            <w:r w:rsidRPr="000524BF">
              <w:rPr>
                <w:rFonts w:asciiTheme="majorBidi" w:hAnsiTheme="majorBidi" w:cstheme="majorBidi"/>
                <w:color w:val="auto"/>
                <w:sz w:val="24"/>
                <w:szCs w:val="24"/>
                <w:lang w:val="en-AU"/>
              </w:rPr>
              <w:t>Appannan</w:t>
            </w:r>
            <w:proofErr w:type="spellEnd"/>
            <w:r w:rsidRPr="000524BF">
              <w:rPr>
                <w:rFonts w:asciiTheme="majorBidi" w:hAnsiTheme="majorBidi" w:cstheme="majorBidi"/>
                <w:color w:val="auto"/>
                <w:sz w:val="24"/>
                <w:szCs w:val="24"/>
                <w:lang w:val="en-AU"/>
              </w:rPr>
              <w:t xml:space="preserve"> MR, Zin FM, Zin SM, Yahaya H, </w:t>
            </w:r>
            <w:proofErr w:type="spellStart"/>
            <w:r w:rsidRPr="000524BF">
              <w:rPr>
                <w:rFonts w:asciiTheme="majorBidi" w:hAnsiTheme="majorBidi" w:cstheme="majorBidi"/>
                <w:color w:val="auto"/>
                <w:sz w:val="24"/>
                <w:szCs w:val="24"/>
                <w:lang w:val="en-AU"/>
              </w:rPr>
              <w:t>Peariasamy</w:t>
            </w:r>
            <w:proofErr w:type="spellEnd"/>
            <w:r w:rsidRPr="000524BF">
              <w:rPr>
                <w:rFonts w:asciiTheme="majorBidi" w:hAnsiTheme="majorBidi" w:cstheme="majorBidi"/>
                <w:color w:val="auto"/>
                <w:sz w:val="24"/>
                <w:szCs w:val="24"/>
                <w:lang w:val="en-AU"/>
              </w:rPr>
              <w:t xml:space="preserve"> KM, </w:t>
            </w:r>
            <w:proofErr w:type="spellStart"/>
            <w:r w:rsidRPr="000524BF">
              <w:rPr>
                <w:rFonts w:asciiTheme="majorBidi" w:hAnsiTheme="majorBidi" w:cstheme="majorBidi"/>
                <w:color w:val="auto"/>
                <w:sz w:val="24"/>
                <w:szCs w:val="24"/>
                <w:lang w:val="en-AU"/>
              </w:rPr>
              <w:t>Sivasampu</w:t>
            </w:r>
            <w:proofErr w:type="spellEnd"/>
            <w:r w:rsidRPr="000524BF">
              <w:rPr>
                <w:rFonts w:asciiTheme="majorBidi" w:hAnsiTheme="majorBidi" w:cstheme="majorBidi"/>
                <w:color w:val="auto"/>
                <w:sz w:val="24"/>
                <w:szCs w:val="24"/>
                <w:lang w:val="en-AU"/>
              </w:rPr>
              <w:t xml:space="preserve"> S. Waning COVID-19 vaccine effectiveness for BNT162b2 and CoronaVac in Malaysia: an observational study. </w:t>
            </w:r>
            <w:r w:rsidRPr="000524BF">
              <w:rPr>
                <w:rFonts w:asciiTheme="majorBidi" w:hAnsiTheme="majorBidi" w:cstheme="majorBidi"/>
                <w:color w:val="auto"/>
                <w:sz w:val="24"/>
                <w:szCs w:val="24"/>
                <w:lang w:val="nb-NO"/>
              </w:rPr>
              <w:t xml:space="preserve">International Journal </w:t>
            </w:r>
            <w:proofErr w:type="spellStart"/>
            <w:r w:rsidRPr="000524BF">
              <w:rPr>
                <w:rFonts w:asciiTheme="majorBidi" w:hAnsiTheme="majorBidi" w:cstheme="majorBidi"/>
                <w:color w:val="auto"/>
                <w:sz w:val="24"/>
                <w:szCs w:val="24"/>
                <w:lang w:val="nb-NO"/>
              </w:rPr>
              <w:t>of</w:t>
            </w:r>
            <w:proofErr w:type="spellEnd"/>
            <w:r w:rsidRPr="000524BF">
              <w:rPr>
                <w:rFonts w:asciiTheme="majorBidi" w:hAnsiTheme="majorBidi" w:cstheme="majorBidi"/>
                <w:color w:val="auto"/>
                <w:sz w:val="24"/>
                <w:szCs w:val="24"/>
                <w:lang w:val="nb-NO"/>
              </w:rPr>
              <w:t xml:space="preserve"> </w:t>
            </w:r>
            <w:proofErr w:type="spellStart"/>
            <w:r w:rsidRPr="000524BF">
              <w:rPr>
                <w:rFonts w:asciiTheme="majorBidi" w:hAnsiTheme="majorBidi" w:cstheme="majorBidi"/>
                <w:color w:val="auto"/>
                <w:sz w:val="24"/>
                <w:szCs w:val="24"/>
                <w:lang w:val="nb-NO"/>
              </w:rPr>
              <w:t>Infectious</w:t>
            </w:r>
            <w:proofErr w:type="spellEnd"/>
            <w:r w:rsidRPr="000524BF">
              <w:rPr>
                <w:rFonts w:asciiTheme="majorBidi" w:hAnsiTheme="majorBidi" w:cstheme="majorBidi"/>
                <w:color w:val="auto"/>
                <w:sz w:val="24"/>
                <w:szCs w:val="24"/>
                <w:lang w:val="nb-NO"/>
              </w:rPr>
              <w:t xml:space="preserve"> </w:t>
            </w:r>
            <w:proofErr w:type="spellStart"/>
            <w:r w:rsidRPr="000524BF">
              <w:rPr>
                <w:rFonts w:asciiTheme="majorBidi" w:hAnsiTheme="majorBidi" w:cstheme="majorBidi"/>
                <w:color w:val="auto"/>
                <w:sz w:val="24"/>
                <w:szCs w:val="24"/>
                <w:lang w:val="nb-NO"/>
              </w:rPr>
              <w:t>Diseases</w:t>
            </w:r>
            <w:proofErr w:type="spellEnd"/>
            <w:r w:rsidRPr="000524BF">
              <w:rPr>
                <w:rFonts w:asciiTheme="majorBidi" w:hAnsiTheme="majorBidi" w:cstheme="majorBidi"/>
                <w:color w:val="auto"/>
                <w:sz w:val="24"/>
                <w:szCs w:val="24"/>
                <w:lang w:val="nb-NO"/>
              </w:rPr>
              <w:t>. 2022;119:69–76. doi:10.1016/j.ijid.2022.03.028.</w:t>
            </w:r>
          </w:p>
        </w:tc>
        <w:tc>
          <w:tcPr>
            <w:tcW w:w="5938" w:type="dxa"/>
          </w:tcPr>
          <w:p w14:paraId="77129755" w14:textId="46C3FBC1" w:rsidR="009405C7" w:rsidRPr="000524BF" w:rsidRDefault="009405C7" w:rsidP="009405C7">
            <w:pPr>
              <w:pStyle w:val="MDPI31text"/>
              <w:ind w:left="0" w:firstLine="0"/>
              <w:rPr>
                <w:rFonts w:asciiTheme="majorBidi" w:hAnsiTheme="majorBidi" w:cstheme="majorBidi"/>
                <w:color w:val="auto"/>
                <w:sz w:val="24"/>
                <w:szCs w:val="24"/>
              </w:rPr>
            </w:pPr>
            <w:r w:rsidRPr="000524BF">
              <w:rPr>
                <w:rFonts w:asciiTheme="majorBidi" w:hAnsiTheme="majorBidi" w:cstheme="majorBidi"/>
                <w:color w:val="auto"/>
                <w:sz w:val="24"/>
                <w:szCs w:val="24"/>
              </w:rPr>
              <w:t>Outside the prespecified review scope. The study was conducted during Delta-variant predominance (September 2021) and evaluates ancestral (non–variant-adapted) vaccines only (BNT162b2 and CoronaVac). It does not report vaccine effectiveness estimates for Omicron subvariants (BA.2, BA.5, XBB, JN.1, or KP.3) or for updated/variant-adapted vaccine formulations, which are the focus of this review.</w:t>
            </w:r>
          </w:p>
        </w:tc>
      </w:tr>
      <w:tr w:rsidR="009405C7" w14:paraId="42353A00" w14:textId="77777777" w:rsidTr="00B20255">
        <w:tc>
          <w:tcPr>
            <w:tcW w:w="5403" w:type="dxa"/>
          </w:tcPr>
          <w:p w14:paraId="26518661" w14:textId="05BB7C54" w:rsidR="009405C7" w:rsidRPr="00646656" w:rsidRDefault="00646656" w:rsidP="009405C7">
            <w:pPr>
              <w:pStyle w:val="MDPI31text"/>
              <w:ind w:left="0" w:firstLine="0"/>
              <w:rPr>
                <w:rFonts w:asciiTheme="majorBidi" w:hAnsiTheme="majorBidi" w:cstheme="majorBidi"/>
                <w:color w:val="auto"/>
                <w:sz w:val="24"/>
                <w:szCs w:val="24"/>
              </w:rPr>
            </w:pPr>
            <w:proofErr w:type="spellStart"/>
            <w:r w:rsidRPr="00646656">
              <w:rPr>
                <w:rFonts w:asciiTheme="majorBidi" w:hAnsiTheme="majorBidi" w:cstheme="majorBidi"/>
                <w:color w:val="auto"/>
                <w:sz w:val="24"/>
                <w:szCs w:val="24"/>
              </w:rPr>
              <w:t>Sukik</w:t>
            </w:r>
            <w:proofErr w:type="spellEnd"/>
            <w:r w:rsidRPr="00646656">
              <w:rPr>
                <w:rFonts w:asciiTheme="majorBidi" w:hAnsiTheme="majorBidi" w:cstheme="majorBidi"/>
                <w:color w:val="auto"/>
                <w:sz w:val="24"/>
                <w:szCs w:val="24"/>
              </w:rPr>
              <w:t xml:space="preserve"> L, </w:t>
            </w:r>
            <w:proofErr w:type="spellStart"/>
            <w:r w:rsidRPr="00646656">
              <w:rPr>
                <w:rFonts w:asciiTheme="majorBidi" w:hAnsiTheme="majorBidi" w:cstheme="majorBidi"/>
                <w:color w:val="auto"/>
                <w:sz w:val="24"/>
                <w:szCs w:val="24"/>
              </w:rPr>
              <w:t>Chemaitelly</w:t>
            </w:r>
            <w:proofErr w:type="spellEnd"/>
            <w:r w:rsidRPr="00646656">
              <w:rPr>
                <w:rFonts w:asciiTheme="majorBidi" w:hAnsiTheme="majorBidi" w:cstheme="majorBidi"/>
                <w:color w:val="auto"/>
                <w:sz w:val="24"/>
                <w:szCs w:val="24"/>
              </w:rPr>
              <w:t xml:space="preserve"> H, Ayoub HH, Coyle P, Tang P, Hasan MR, Yassine HM, Al Thani AA, Al-Kanaani Z, Al-Kuwari E, </w:t>
            </w:r>
            <w:proofErr w:type="spellStart"/>
            <w:r w:rsidRPr="00646656">
              <w:rPr>
                <w:rFonts w:asciiTheme="majorBidi" w:hAnsiTheme="majorBidi" w:cstheme="majorBidi"/>
                <w:color w:val="auto"/>
                <w:sz w:val="24"/>
                <w:szCs w:val="24"/>
              </w:rPr>
              <w:t>Jeremijenko</w:t>
            </w:r>
            <w:proofErr w:type="spellEnd"/>
            <w:r w:rsidRPr="00646656">
              <w:rPr>
                <w:rFonts w:asciiTheme="majorBidi" w:hAnsiTheme="majorBidi" w:cstheme="majorBidi"/>
                <w:color w:val="auto"/>
                <w:sz w:val="24"/>
                <w:szCs w:val="24"/>
              </w:rPr>
              <w:t xml:space="preserve"> A, </w:t>
            </w:r>
            <w:proofErr w:type="spellStart"/>
            <w:r w:rsidRPr="00646656">
              <w:rPr>
                <w:rFonts w:asciiTheme="majorBidi" w:hAnsiTheme="majorBidi" w:cstheme="majorBidi"/>
                <w:color w:val="auto"/>
                <w:sz w:val="24"/>
                <w:szCs w:val="24"/>
              </w:rPr>
              <w:t>Kaleeckal</w:t>
            </w:r>
            <w:proofErr w:type="spellEnd"/>
            <w:r w:rsidRPr="00646656">
              <w:rPr>
                <w:rFonts w:asciiTheme="majorBidi" w:hAnsiTheme="majorBidi" w:cstheme="majorBidi"/>
                <w:color w:val="auto"/>
                <w:sz w:val="24"/>
                <w:szCs w:val="24"/>
              </w:rPr>
              <w:t xml:space="preserve"> AH, Latif AN, Shaik RM, Abdul-Rahim HF, Nasrallah GK, Al-Kuwari MG, Butt A, Al-</w:t>
            </w:r>
            <w:proofErr w:type="spellStart"/>
            <w:r w:rsidRPr="00646656">
              <w:rPr>
                <w:rFonts w:asciiTheme="majorBidi" w:hAnsiTheme="majorBidi" w:cstheme="majorBidi"/>
                <w:color w:val="auto"/>
                <w:sz w:val="24"/>
                <w:szCs w:val="24"/>
              </w:rPr>
              <w:t>Romaihi</w:t>
            </w:r>
            <w:proofErr w:type="spellEnd"/>
            <w:r w:rsidRPr="00646656">
              <w:rPr>
                <w:rFonts w:asciiTheme="majorBidi" w:hAnsiTheme="majorBidi" w:cstheme="majorBidi"/>
                <w:color w:val="auto"/>
                <w:sz w:val="24"/>
                <w:szCs w:val="24"/>
              </w:rPr>
              <w:t xml:space="preserve"> HE, Al-Thani MH, Al-Khal A, Bertollini R, Abu-</w:t>
            </w:r>
            <w:proofErr w:type="spellStart"/>
            <w:r w:rsidRPr="00646656">
              <w:rPr>
                <w:rFonts w:asciiTheme="majorBidi" w:hAnsiTheme="majorBidi" w:cstheme="majorBidi"/>
                <w:color w:val="auto"/>
                <w:sz w:val="24"/>
                <w:szCs w:val="24"/>
              </w:rPr>
              <w:t>Raddad</w:t>
            </w:r>
            <w:proofErr w:type="spellEnd"/>
            <w:r w:rsidRPr="00646656">
              <w:rPr>
                <w:rFonts w:asciiTheme="majorBidi" w:hAnsiTheme="majorBidi" w:cstheme="majorBidi"/>
                <w:color w:val="auto"/>
                <w:sz w:val="24"/>
                <w:szCs w:val="24"/>
              </w:rPr>
              <w:t xml:space="preserve"> LJ. Protection conferred by SARS-CoV-2 infection across a spectrum of reinfection symptoms and severities. BMJ Open Respiratory Research. 2025;12:e002718. doi:10.1136/bmjresp-2024-002718.</w:t>
            </w:r>
          </w:p>
        </w:tc>
        <w:tc>
          <w:tcPr>
            <w:tcW w:w="5938" w:type="dxa"/>
          </w:tcPr>
          <w:p w14:paraId="209D00D2" w14:textId="77777777" w:rsidR="009405C7" w:rsidRPr="00646656" w:rsidRDefault="009405C7" w:rsidP="009405C7">
            <w:pPr>
              <w:pStyle w:val="MDPI31text"/>
              <w:ind w:left="0" w:firstLine="0"/>
              <w:rPr>
                <w:rFonts w:asciiTheme="majorBidi" w:hAnsiTheme="majorBidi" w:cstheme="majorBidi"/>
                <w:color w:val="auto"/>
                <w:sz w:val="24"/>
                <w:szCs w:val="24"/>
              </w:rPr>
            </w:pPr>
            <w:r w:rsidRPr="00646656">
              <w:rPr>
                <w:rFonts w:asciiTheme="majorBidi" w:hAnsiTheme="majorBidi" w:cstheme="majorBidi"/>
                <w:color w:val="auto"/>
                <w:sz w:val="24"/>
                <w:szCs w:val="24"/>
              </w:rPr>
              <w:t xml:space="preserve">Outside the prespecified review scope. This nationwide test-negative case–control study from Qatar evaluated protection conferred by prior SARS-CoV-2 infection (natural immunity) against asymptomatic, symptomatic, severe, critical, and fatal reinfections across pre-Omicron and Omicron periods. Vaccination was not the exposure of interest and was included only as a matching variable. The study does not estimate vaccine effectiveness (VE or </w:t>
            </w:r>
            <w:proofErr w:type="spellStart"/>
            <w:r w:rsidRPr="00646656">
              <w:rPr>
                <w:rFonts w:asciiTheme="majorBidi" w:hAnsiTheme="majorBidi" w:cstheme="majorBidi"/>
                <w:color w:val="auto"/>
                <w:sz w:val="24"/>
                <w:szCs w:val="24"/>
              </w:rPr>
              <w:t>rVE</w:t>
            </w:r>
            <w:proofErr w:type="spellEnd"/>
            <w:r w:rsidRPr="00646656">
              <w:rPr>
                <w:rFonts w:asciiTheme="majorBidi" w:hAnsiTheme="majorBidi" w:cstheme="majorBidi"/>
                <w:color w:val="auto"/>
                <w:sz w:val="24"/>
                <w:szCs w:val="24"/>
              </w:rPr>
              <w:t>) against COVID-19 outcomes and therefore does not provide extractable vaccine-related effect estimates relevant to this review.</w:t>
            </w:r>
          </w:p>
        </w:tc>
      </w:tr>
      <w:tr w:rsidR="009405C7" w14:paraId="6097BCF4" w14:textId="77777777" w:rsidTr="00B20255">
        <w:tc>
          <w:tcPr>
            <w:tcW w:w="5403" w:type="dxa"/>
          </w:tcPr>
          <w:p w14:paraId="0EFEF74E" w14:textId="5200A58F" w:rsidR="009405C7" w:rsidRPr="00646656" w:rsidRDefault="00646656" w:rsidP="009405C7">
            <w:pPr>
              <w:pStyle w:val="MDPI31text"/>
              <w:ind w:left="0" w:firstLine="0"/>
              <w:rPr>
                <w:rFonts w:asciiTheme="majorBidi" w:hAnsiTheme="majorBidi" w:cstheme="majorBidi"/>
                <w:color w:val="auto"/>
                <w:sz w:val="24"/>
                <w:szCs w:val="24"/>
              </w:rPr>
            </w:pPr>
            <w:proofErr w:type="spellStart"/>
            <w:r w:rsidRPr="00646656">
              <w:rPr>
                <w:rFonts w:asciiTheme="majorBidi" w:hAnsiTheme="majorBidi" w:cstheme="majorBidi"/>
                <w:color w:val="auto"/>
                <w:sz w:val="24"/>
                <w:szCs w:val="24"/>
              </w:rPr>
              <w:t>Sukik</w:t>
            </w:r>
            <w:proofErr w:type="spellEnd"/>
            <w:r w:rsidRPr="00646656">
              <w:rPr>
                <w:rFonts w:asciiTheme="majorBidi" w:hAnsiTheme="majorBidi" w:cstheme="majorBidi"/>
                <w:color w:val="auto"/>
                <w:sz w:val="24"/>
                <w:szCs w:val="24"/>
              </w:rPr>
              <w:t xml:space="preserve"> L, </w:t>
            </w:r>
            <w:proofErr w:type="spellStart"/>
            <w:r w:rsidRPr="00646656">
              <w:rPr>
                <w:rFonts w:asciiTheme="majorBidi" w:hAnsiTheme="majorBidi" w:cstheme="majorBidi"/>
                <w:color w:val="auto"/>
                <w:sz w:val="24"/>
                <w:szCs w:val="24"/>
              </w:rPr>
              <w:t>Chemaitelly</w:t>
            </w:r>
            <w:proofErr w:type="spellEnd"/>
            <w:r w:rsidRPr="00646656">
              <w:rPr>
                <w:rFonts w:asciiTheme="majorBidi" w:hAnsiTheme="majorBidi" w:cstheme="majorBidi"/>
                <w:color w:val="auto"/>
                <w:sz w:val="24"/>
                <w:szCs w:val="24"/>
              </w:rPr>
              <w:t xml:space="preserve"> H, Ayoub HH, Coyle P, Tang P, Yassine HM, Al Thani AA, Hasan MR, Al-Kanaani Z, Al-Kuwari E, </w:t>
            </w:r>
            <w:proofErr w:type="spellStart"/>
            <w:r w:rsidRPr="00646656">
              <w:rPr>
                <w:rFonts w:asciiTheme="majorBidi" w:hAnsiTheme="majorBidi" w:cstheme="majorBidi"/>
                <w:color w:val="auto"/>
                <w:sz w:val="24"/>
                <w:szCs w:val="24"/>
              </w:rPr>
              <w:t>Jeremijenko</w:t>
            </w:r>
            <w:proofErr w:type="spellEnd"/>
            <w:r w:rsidRPr="00646656">
              <w:rPr>
                <w:rFonts w:asciiTheme="majorBidi" w:hAnsiTheme="majorBidi" w:cstheme="majorBidi"/>
                <w:color w:val="auto"/>
                <w:sz w:val="24"/>
                <w:szCs w:val="24"/>
              </w:rPr>
              <w:t xml:space="preserve"> A, </w:t>
            </w:r>
            <w:proofErr w:type="spellStart"/>
            <w:r w:rsidRPr="00646656">
              <w:rPr>
                <w:rFonts w:asciiTheme="majorBidi" w:hAnsiTheme="majorBidi" w:cstheme="majorBidi"/>
                <w:color w:val="auto"/>
                <w:sz w:val="24"/>
                <w:szCs w:val="24"/>
              </w:rPr>
              <w:t>Kaleeckal</w:t>
            </w:r>
            <w:proofErr w:type="spellEnd"/>
            <w:r w:rsidRPr="00646656">
              <w:rPr>
                <w:rFonts w:asciiTheme="majorBidi" w:hAnsiTheme="majorBidi" w:cstheme="majorBidi"/>
                <w:color w:val="auto"/>
                <w:sz w:val="24"/>
                <w:szCs w:val="24"/>
              </w:rPr>
              <w:t xml:space="preserve"> AH, Latif AN, Shaik RM, Abdul-Rahim HF, Nasrallah GK, Al-Kuwari MG, Butt AA, Al-</w:t>
            </w:r>
            <w:proofErr w:type="spellStart"/>
            <w:r w:rsidRPr="00646656">
              <w:rPr>
                <w:rFonts w:asciiTheme="majorBidi" w:hAnsiTheme="majorBidi" w:cstheme="majorBidi"/>
                <w:color w:val="auto"/>
                <w:sz w:val="24"/>
                <w:szCs w:val="24"/>
              </w:rPr>
              <w:t>Romaihi</w:t>
            </w:r>
            <w:proofErr w:type="spellEnd"/>
            <w:r w:rsidRPr="00646656">
              <w:rPr>
                <w:rFonts w:asciiTheme="majorBidi" w:hAnsiTheme="majorBidi" w:cstheme="majorBidi"/>
                <w:color w:val="auto"/>
                <w:sz w:val="24"/>
                <w:szCs w:val="24"/>
              </w:rPr>
              <w:t xml:space="preserve"> HE, Al-Thani MH, Al-Khal A, Bertollini R, Abdel-Rahman ME, Abu-</w:t>
            </w:r>
            <w:proofErr w:type="spellStart"/>
            <w:r w:rsidRPr="00646656">
              <w:rPr>
                <w:rFonts w:asciiTheme="majorBidi" w:hAnsiTheme="majorBidi" w:cstheme="majorBidi"/>
                <w:color w:val="auto"/>
                <w:sz w:val="24"/>
                <w:szCs w:val="24"/>
              </w:rPr>
              <w:t>Raddad</w:t>
            </w:r>
            <w:proofErr w:type="spellEnd"/>
            <w:r w:rsidRPr="00646656">
              <w:rPr>
                <w:rFonts w:asciiTheme="majorBidi" w:hAnsiTheme="majorBidi" w:cstheme="majorBidi"/>
                <w:color w:val="auto"/>
                <w:sz w:val="24"/>
                <w:szCs w:val="24"/>
              </w:rPr>
              <w:t xml:space="preserve"> LJ. Effectiveness of two and three doses of COVID-19 mRNA vaccines against infection, symptoms, and severity in the pre-Omicron era: a time-dependent gradient. Vaccine. 2024;42:3307–3320. doi:10.1016/j.vaccine.2024.04.026.</w:t>
            </w:r>
          </w:p>
        </w:tc>
        <w:tc>
          <w:tcPr>
            <w:tcW w:w="5938" w:type="dxa"/>
          </w:tcPr>
          <w:p w14:paraId="666234FD" w14:textId="77777777" w:rsidR="009405C7" w:rsidRPr="00646656" w:rsidRDefault="009405C7" w:rsidP="009405C7">
            <w:pPr>
              <w:pStyle w:val="MDPI31text"/>
              <w:ind w:left="0" w:firstLine="0"/>
              <w:rPr>
                <w:rFonts w:asciiTheme="majorBidi" w:hAnsiTheme="majorBidi" w:cstheme="majorBidi"/>
                <w:color w:val="auto"/>
                <w:sz w:val="24"/>
                <w:szCs w:val="24"/>
              </w:rPr>
            </w:pPr>
            <w:r w:rsidRPr="00646656">
              <w:rPr>
                <w:rFonts w:asciiTheme="majorBidi" w:hAnsiTheme="majorBidi" w:cstheme="majorBidi"/>
                <w:color w:val="auto"/>
                <w:sz w:val="24"/>
                <w:szCs w:val="24"/>
              </w:rPr>
              <w:t>Outside the prespecified review scope. This nationwide test-negative case–control study from Qatar assessed the effectiveness of two- and three-dose BNT162b2 and mRNA-1273 vaccines exclusively during the pre-Omicron period (January–December 2021), when Alpha, Beta, and Delta variants predominated. The study does not include Omicron-era data, and its vaccine effectiveness estimates are therefore not directly applicable to or comparable with Omicron and post-Omicron variant effectiveness, which is the focus of this review.</w:t>
            </w:r>
          </w:p>
        </w:tc>
      </w:tr>
      <w:tr w:rsidR="009405C7" w14:paraId="1CCE2BBC" w14:textId="77777777" w:rsidTr="00B20255">
        <w:tc>
          <w:tcPr>
            <w:tcW w:w="5403" w:type="dxa"/>
          </w:tcPr>
          <w:p w14:paraId="3838BDD3" w14:textId="175B2CFA" w:rsidR="009405C7" w:rsidRPr="00646656" w:rsidRDefault="00646656" w:rsidP="009405C7">
            <w:pPr>
              <w:pStyle w:val="MDPI31text"/>
              <w:ind w:left="0" w:firstLine="0"/>
              <w:rPr>
                <w:rFonts w:asciiTheme="majorBidi" w:hAnsiTheme="majorBidi" w:cstheme="majorBidi"/>
                <w:color w:val="auto"/>
                <w:sz w:val="24"/>
                <w:szCs w:val="24"/>
              </w:rPr>
            </w:pPr>
            <w:proofErr w:type="spellStart"/>
            <w:r w:rsidRPr="00646656">
              <w:rPr>
                <w:rFonts w:asciiTheme="majorBidi" w:hAnsiTheme="majorBidi" w:cstheme="majorBidi"/>
                <w:color w:val="auto"/>
                <w:sz w:val="24"/>
                <w:szCs w:val="24"/>
              </w:rPr>
              <w:lastRenderedPageBreak/>
              <w:t>Sukik</w:t>
            </w:r>
            <w:proofErr w:type="spellEnd"/>
            <w:r w:rsidRPr="00646656">
              <w:rPr>
                <w:rFonts w:asciiTheme="majorBidi" w:hAnsiTheme="majorBidi" w:cstheme="majorBidi"/>
                <w:color w:val="auto"/>
                <w:sz w:val="24"/>
                <w:szCs w:val="24"/>
              </w:rPr>
              <w:t xml:space="preserve"> L, </w:t>
            </w:r>
            <w:proofErr w:type="spellStart"/>
            <w:r w:rsidRPr="00646656">
              <w:rPr>
                <w:rFonts w:asciiTheme="majorBidi" w:hAnsiTheme="majorBidi" w:cstheme="majorBidi"/>
                <w:color w:val="auto"/>
                <w:sz w:val="24"/>
                <w:szCs w:val="24"/>
              </w:rPr>
              <w:t>Chemaitelly</w:t>
            </w:r>
            <w:proofErr w:type="spellEnd"/>
            <w:r w:rsidRPr="00646656">
              <w:rPr>
                <w:rFonts w:asciiTheme="majorBidi" w:hAnsiTheme="majorBidi" w:cstheme="majorBidi"/>
                <w:color w:val="auto"/>
                <w:sz w:val="24"/>
                <w:szCs w:val="24"/>
              </w:rPr>
              <w:t xml:space="preserve"> H, Ayoub HH, Coyle P, Tang P, Hasan MR, Yassine HM, Al Thani AA, Al-Kanaani Z, Al-Kuwari E, </w:t>
            </w:r>
            <w:proofErr w:type="spellStart"/>
            <w:r w:rsidRPr="00646656">
              <w:rPr>
                <w:rFonts w:asciiTheme="majorBidi" w:hAnsiTheme="majorBidi" w:cstheme="majorBidi"/>
                <w:color w:val="auto"/>
                <w:sz w:val="24"/>
                <w:szCs w:val="24"/>
              </w:rPr>
              <w:t>Jeremijenko</w:t>
            </w:r>
            <w:proofErr w:type="spellEnd"/>
            <w:r w:rsidRPr="00646656">
              <w:rPr>
                <w:rFonts w:asciiTheme="majorBidi" w:hAnsiTheme="majorBidi" w:cstheme="majorBidi"/>
                <w:color w:val="auto"/>
                <w:sz w:val="24"/>
                <w:szCs w:val="24"/>
              </w:rPr>
              <w:t xml:space="preserve"> A, </w:t>
            </w:r>
            <w:proofErr w:type="spellStart"/>
            <w:r w:rsidRPr="00646656">
              <w:rPr>
                <w:rFonts w:asciiTheme="majorBidi" w:hAnsiTheme="majorBidi" w:cstheme="majorBidi"/>
                <w:color w:val="auto"/>
                <w:sz w:val="24"/>
                <w:szCs w:val="24"/>
              </w:rPr>
              <w:t>Kaleeckal</w:t>
            </w:r>
            <w:proofErr w:type="spellEnd"/>
            <w:r w:rsidRPr="00646656">
              <w:rPr>
                <w:rFonts w:asciiTheme="majorBidi" w:hAnsiTheme="majorBidi" w:cstheme="majorBidi"/>
                <w:color w:val="auto"/>
                <w:sz w:val="24"/>
                <w:szCs w:val="24"/>
              </w:rPr>
              <w:t xml:space="preserve"> AH, Latif AN, Shaik RM, Abdul-Rahim HF, Nasrallah GK, Al-Kuwari MG, Butt AA, Al-</w:t>
            </w:r>
            <w:proofErr w:type="spellStart"/>
            <w:r w:rsidRPr="00646656">
              <w:rPr>
                <w:rFonts w:asciiTheme="majorBidi" w:hAnsiTheme="majorBidi" w:cstheme="majorBidi"/>
                <w:color w:val="auto"/>
                <w:sz w:val="24"/>
                <w:szCs w:val="24"/>
              </w:rPr>
              <w:t>Romaihi</w:t>
            </w:r>
            <w:proofErr w:type="spellEnd"/>
            <w:r w:rsidRPr="00646656">
              <w:rPr>
                <w:rFonts w:asciiTheme="majorBidi" w:hAnsiTheme="majorBidi" w:cstheme="majorBidi"/>
                <w:color w:val="auto"/>
                <w:sz w:val="24"/>
                <w:szCs w:val="24"/>
              </w:rPr>
              <w:t xml:space="preserve"> HE, Al-Thani MH, Al-Khal A, Abu-</w:t>
            </w:r>
            <w:proofErr w:type="spellStart"/>
            <w:r w:rsidRPr="00646656">
              <w:rPr>
                <w:rFonts w:asciiTheme="majorBidi" w:hAnsiTheme="majorBidi" w:cstheme="majorBidi"/>
                <w:color w:val="auto"/>
                <w:sz w:val="24"/>
                <w:szCs w:val="24"/>
              </w:rPr>
              <w:t>Raddad</w:t>
            </w:r>
            <w:proofErr w:type="spellEnd"/>
            <w:r w:rsidRPr="00646656">
              <w:rPr>
                <w:rFonts w:asciiTheme="majorBidi" w:hAnsiTheme="majorBidi" w:cstheme="majorBidi"/>
                <w:color w:val="auto"/>
                <w:sz w:val="24"/>
                <w:szCs w:val="24"/>
              </w:rPr>
              <w:t xml:space="preserve"> LJ. Effectiveness and durability of a fourth dose of ancestral-strain mRNA vaccines against SARS-CoV-2 infection: a nationwide matched cohort study in Qatar. Scientific Reports. 2025;15:35179. doi:10.1038/s41598-025-19168-3.</w:t>
            </w:r>
          </w:p>
        </w:tc>
        <w:tc>
          <w:tcPr>
            <w:tcW w:w="5938" w:type="dxa"/>
          </w:tcPr>
          <w:p w14:paraId="73D711AE" w14:textId="77777777" w:rsidR="009405C7" w:rsidRPr="00646656" w:rsidRDefault="009405C7" w:rsidP="009405C7">
            <w:pPr>
              <w:pStyle w:val="MDPI31text"/>
              <w:ind w:left="0" w:firstLine="0"/>
              <w:rPr>
                <w:rFonts w:asciiTheme="majorBidi" w:hAnsiTheme="majorBidi" w:cstheme="majorBidi"/>
                <w:color w:val="auto"/>
                <w:sz w:val="24"/>
                <w:szCs w:val="24"/>
              </w:rPr>
            </w:pPr>
            <w:r w:rsidRPr="00646656">
              <w:rPr>
                <w:rFonts w:asciiTheme="majorBidi" w:hAnsiTheme="majorBidi" w:cstheme="majorBidi"/>
                <w:color w:val="auto"/>
                <w:sz w:val="24"/>
                <w:szCs w:val="24"/>
              </w:rPr>
              <w:t>Outside the prespecified review scope. This nationwide matched cohort study from Qatar evaluated the relative effectiveness of a fourth dose of ancestral-strain mRNA vaccines compared with three doses during Omicron-subvariant circulation, with SARS-CoV-2 infection as the primary outcome. Effect estimates were reported as relative vaccine effectiveness (four vs three doses) rather than absolute vaccine effectiveness versus unvaccinated individuals, and there were insufficient severe, critical, or fatal COVID-19 events to estimate effectiveness against severe disease. In addition, the focus on ancestral-strain boosters and the comparator framework are not aligned with the vaccine and outcome scope of this review.</w:t>
            </w:r>
          </w:p>
        </w:tc>
      </w:tr>
      <w:tr w:rsidR="009405C7" w14:paraId="77E53F98" w14:textId="77777777" w:rsidTr="00B20255">
        <w:tc>
          <w:tcPr>
            <w:tcW w:w="5403" w:type="dxa"/>
          </w:tcPr>
          <w:p w14:paraId="2C7097F3" w14:textId="66DC9B84" w:rsidR="009405C7" w:rsidRPr="00FE293A" w:rsidRDefault="00646656" w:rsidP="009405C7">
            <w:pPr>
              <w:pStyle w:val="MDPI31text"/>
              <w:ind w:left="0" w:firstLine="0"/>
              <w:rPr>
                <w:rFonts w:asciiTheme="majorBidi" w:hAnsiTheme="majorBidi" w:cstheme="majorBidi"/>
                <w:color w:val="auto"/>
                <w:sz w:val="24"/>
                <w:szCs w:val="24"/>
              </w:rPr>
            </w:pPr>
            <w:r w:rsidRPr="00FE293A">
              <w:rPr>
                <w:rFonts w:asciiTheme="majorBidi" w:hAnsiTheme="majorBidi" w:cstheme="majorBidi"/>
                <w:color w:val="auto"/>
                <w:sz w:val="24"/>
                <w:szCs w:val="24"/>
                <w:lang w:val="en-AU"/>
              </w:rPr>
              <w:t xml:space="preserve">Sun L, Zhou B, Guo Y, Huang Y, Tang Z, Wu Z, Li Y, Zhao L, Shan Y, Xu X, Jiang H. Clinical characteristics and booster vaccine effectiveness of the Omicron variant. </w:t>
            </w:r>
            <w:r w:rsidRPr="00FE293A">
              <w:rPr>
                <w:rFonts w:asciiTheme="majorBidi" w:hAnsiTheme="majorBidi" w:cstheme="majorBidi"/>
                <w:color w:val="auto"/>
                <w:sz w:val="24"/>
                <w:szCs w:val="24"/>
                <w:lang w:val="nb-NO"/>
              </w:rPr>
              <w:t xml:space="preserve">BMC </w:t>
            </w:r>
            <w:proofErr w:type="spellStart"/>
            <w:r w:rsidRPr="00FE293A">
              <w:rPr>
                <w:rFonts w:asciiTheme="majorBidi" w:hAnsiTheme="majorBidi" w:cstheme="majorBidi"/>
                <w:color w:val="auto"/>
                <w:sz w:val="24"/>
                <w:szCs w:val="24"/>
                <w:lang w:val="nb-NO"/>
              </w:rPr>
              <w:t>Infectious</w:t>
            </w:r>
            <w:proofErr w:type="spellEnd"/>
            <w:r w:rsidRPr="00FE293A">
              <w:rPr>
                <w:rFonts w:asciiTheme="majorBidi" w:hAnsiTheme="majorBidi" w:cstheme="majorBidi"/>
                <w:color w:val="auto"/>
                <w:sz w:val="24"/>
                <w:szCs w:val="24"/>
                <w:lang w:val="nb-NO"/>
              </w:rPr>
              <w:t xml:space="preserve"> </w:t>
            </w:r>
            <w:proofErr w:type="spellStart"/>
            <w:r w:rsidRPr="00FE293A">
              <w:rPr>
                <w:rFonts w:asciiTheme="majorBidi" w:hAnsiTheme="majorBidi" w:cstheme="majorBidi"/>
                <w:color w:val="auto"/>
                <w:sz w:val="24"/>
                <w:szCs w:val="24"/>
                <w:lang w:val="nb-NO"/>
              </w:rPr>
              <w:t>Diseases</w:t>
            </w:r>
            <w:proofErr w:type="spellEnd"/>
            <w:r w:rsidRPr="00FE293A">
              <w:rPr>
                <w:rFonts w:asciiTheme="majorBidi" w:hAnsiTheme="majorBidi" w:cstheme="majorBidi"/>
                <w:color w:val="auto"/>
                <w:sz w:val="24"/>
                <w:szCs w:val="24"/>
                <w:lang w:val="nb-NO"/>
              </w:rPr>
              <w:t>. 2024;24:1351. doi:10.1186/s12879-024-10261-y.</w:t>
            </w:r>
          </w:p>
        </w:tc>
        <w:tc>
          <w:tcPr>
            <w:tcW w:w="5938" w:type="dxa"/>
          </w:tcPr>
          <w:p w14:paraId="76821825" w14:textId="77777777" w:rsidR="009405C7" w:rsidRPr="00FE293A" w:rsidRDefault="009405C7" w:rsidP="009405C7">
            <w:pPr>
              <w:pStyle w:val="MDPI31text"/>
              <w:ind w:left="0" w:firstLine="0"/>
              <w:rPr>
                <w:rFonts w:asciiTheme="majorBidi" w:hAnsiTheme="majorBidi" w:cstheme="majorBidi"/>
                <w:color w:val="auto"/>
                <w:sz w:val="24"/>
                <w:szCs w:val="24"/>
              </w:rPr>
            </w:pPr>
            <w:r w:rsidRPr="00FE293A">
              <w:rPr>
                <w:rFonts w:asciiTheme="majorBidi" w:hAnsiTheme="majorBidi" w:cstheme="majorBidi"/>
                <w:color w:val="auto"/>
                <w:sz w:val="24"/>
                <w:szCs w:val="24"/>
              </w:rPr>
              <w:t xml:space="preserve">Outside the prespecified review scope. This retrospective study is restricted to hospitalized Omicron cases and evaluates clinical severity and survival (hazard ratios for death) by vaccination status. It does not report population-based vaccine effectiveness (VE or </w:t>
            </w:r>
            <w:proofErr w:type="spellStart"/>
            <w:r w:rsidRPr="00FE293A">
              <w:rPr>
                <w:rFonts w:asciiTheme="majorBidi" w:hAnsiTheme="majorBidi" w:cstheme="majorBidi"/>
                <w:color w:val="auto"/>
                <w:sz w:val="24"/>
                <w:szCs w:val="24"/>
              </w:rPr>
              <w:t>rVE</w:t>
            </w:r>
            <w:proofErr w:type="spellEnd"/>
            <w:r w:rsidRPr="00FE293A">
              <w:rPr>
                <w:rFonts w:asciiTheme="majorBidi" w:hAnsiTheme="majorBidi" w:cstheme="majorBidi"/>
                <w:color w:val="auto"/>
                <w:sz w:val="24"/>
                <w:szCs w:val="24"/>
              </w:rPr>
              <w:t>) estimates against infection or severe outcomes derived from cohort, case–control, or test-negative designs, and therefore does not meet the inclusion criteria for this review.</w:t>
            </w:r>
          </w:p>
        </w:tc>
      </w:tr>
      <w:tr w:rsidR="009405C7" w14:paraId="03AFD4A4" w14:textId="77777777" w:rsidTr="00B20255">
        <w:tc>
          <w:tcPr>
            <w:tcW w:w="5403" w:type="dxa"/>
          </w:tcPr>
          <w:p w14:paraId="30C5A9AC" w14:textId="2304D6C8" w:rsidR="009405C7" w:rsidRPr="00FE293A" w:rsidRDefault="00FE293A" w:rsidP="009405C7">
            <w:pPr>
              <w:pStyle w:val="MDPI31text"/>
              <w:ind w:left="0" w:firstLine="0"/>
              <w:rPr>
                <w:rFonts w:asciiTheme="majorBidi" w:hAnsiTheme="majorBidi" w:cstheme="majorBidi"/>
                <w:color w:val="auto"/>
                <w:sz w:val="24"/>
                <w:szCs w:val="24"/>
              </w:rPr>
            </w:pPr>
            <w:proofErr w:type="spellStart"/>
            <w:r w:rsidRPr="00FE293A">
              <w:rPr>
                <w:rFonts w:asciiTheme="majorBidi" w:hAnsiTheme="majorBidi" w:cstheme="majorBidi"/>
                <w:color w:val="auto"/>
                <w:sz w:val="24"/>
                <w:szCs w:val="24"/>
                <w:lang w:val="en-AU"/>
              </w:rPr>
              <w:t>Suomenrinne</w:t>
            </w:r>
            <w:proofErr w:type="spellEnd"/>
            <w:r w:rsidRPr="00FE293A">
              <w:rPr>
                <w:rFonts w:asciiTheme="majorBidi" w:hAnsiTheme="majorBidi" w:cstheme="majorBidi"/>
                <w:color w:val="auto"/>
                <w:sz w:val="24"/>
                <w:szCs w:val="24"/>
                <w:lang w:val="en-AU"/>
              </w:rPr>
              <w:t xml:space="preserve">-Nordvik A, Leino T, Shubin M, </w:t>
            </w:r>
            <w:proofErr w:type="spellStart"/>
            <w:r w:rsidRPr="00FE293A">
              <w:rPr>
                <w:rFonts w:asciiTheme="majorBidi" w:hAnsiTheme="majorBidi" w:cstheme="majorBidi"/>
                <w:color w:val="auto"/>
                <w:sz w:val="24"/>
                <w:szCs w:val="24"/>
                <w:lang w:val="en-AU"/>
              </w:rPr>
              <w:t>Auranen</w:t>
            </w:r>
            <w:proofErr w:type="spellEnd"/>
            <w:r w:rsidRPr="00FE293A">
              <w:rPr>
                <w:rFonts w:asciiTheme="majorBidi" w:hAnsiTheme="majorBidi" w:cstheme="majorBidi"/>
                <w:color w:val="auto"/>
                <w:sz w:val="24"/>
                <w:szCs w:val="24"/>
                <w:lang w:val="en-AU"/>
              </w:rPr>
              <w:t xml:space="preserve"> K, Vänskä S. Quantifying the direct and indirect components of COVID-19 vaccine effectiveness during the Delta variant era. </w:t>
            </w:r>
            <w:proofErr w:type="spellStart"/>
            <w:r w:rsidRPr="00FE293A">
              <w:rPr>
                <w:rFonts w:asciiTheme="majorBidi" w:hAnsiTheme="majorBidi" w:cstheme="majorBidi"/>
                <w:color w:val="auto"/>
                <w:sz w:val="24"/>
                <w:szCs w:val="24"/>
                <w:lang w:val="nb-NO"/>
              </w:rPr>
              <w:t>Epidemiology</w:t>
            </w:r>
            <w:proofErr w:type="spellEnd"/>
            <w:r w:rsidRPr="00FE293A">
              <w:rPr>
                <w:rFonts w:asciiTheme="majorBidi" w:hAnsiTheme="majorBidi" w:cstheme="majorBidi"/>
                <w:color w:val="auto"/>
                <w:sz w:val="24"/>
                <w:szCs w:val="24"/>
                <w:lang w:val="nb-NO"/>
              </w:rPr>
              <w:t xml:space="preserve"> and </w:t>
            </w:r>
            <w:proofErr w:type="spellStart"/>
            <w:r w:rsidRPr="00FE293A">
              <w:rPr>
                <w:rFonts w:asciiTheme="majorBidi" w:hAnsiTheme="majorBidi" w:cstheme="majorBidi"/>
                <w:color w:val="auto"/>
                <w:sz w:val="24"/>
                <w:szCs w:val="24"/>
                <w:lang w:val="nb-NO"/>
              </w:rPr>
              <w:t>Infection</w:t>
            </w:r>
            <w:proofErr w:type="spellEnd"/>
            <w:r w:rsidRPr="00FE293A">
              <w:rPr>
                <w:rFonts w:asciiTheme="majorBidi" w:hAnsiTheme="majorBidi" w:cstheme="majorBidi"/>
                <w:color w:val="auto"/>
                <w:sz w:val="24"/>
                <w:szCs w:val="24"/>
                <w:lang w:val="nb-NO"/>
              </w:rPr>
              <w:t>. 2025;153:e59. doi:10.1017/S0950268825000354.</w:t>
            </w:r>
          </w:p>
        </w:tc>
        <w:tc>
          <w:tcPr>
            <w:tcW w:w="5938" w:type="dxa"/>
          </w:tcPr>
          <w:p w14:paraId="2A0B0447" w14:textId="77777777" w:rsidR="009405C7" w:rsidRPr="00FE293A" w:rsidRDefault="009405C7" w:rsidP="009405C7">
            <w:pPr>
              <w:pStyle w:val="MDPI31text"/>
              <w:ind w:left="0" w:firstLine="0"/>
              <w:rPr>
                <w:rFonts w:asciiTheme="majorBidi" w:hAnsiTheme="majorBidi" w:cstheme="majorBidi"/>
                <w:color w:val="auto"/>
                <w:sz w:val="24"/>
                <w:szCs w:val="24"/>
              </w:rPr>
            </w:pPr>
            <w:r w:rsidRPr="00FE293A">
              <w:rPr>
                <w:rFonts w:asciiTheme="majorBidi" w:hAnsiTheme="majorBidi" w:cstheme="majorBidi"/>
                <w:color w:val="auto"/>
                <w:sz w:val="24"/>
                <w:szCs w:val="24"/>
              </w:rPr>
              <w:t xml:space="preserve">Outside the prespecified review scope. This study is a counterfactual transmission-modelling analysis estimating direct and indirect population-level effects of COVID-19 vaccination during the Delta variant era. It does not report primary, real-world vaccine effectiveness (VE or </w:t>
            </w:r>
            <w:proofErr w:type="spellStart"/>
            <w:r w:rsidRPr="00FE293A">
              <w:rPr>
                <w:rFonts w:asciiTheme="majorBidi" w:hAnsiTheme="majorBidi" w:cstheme="majorBidi"/>
                <w:color w:val="auto"/>
                <w:sz w:val="24"/>
                <w:szCs w:val="24"/>
              </w:rPr>
              <w:t>rVE</w:t>
            </w:r>
            <w:proofErr w:type="spellEnd"/>
            <w:r w:rsidRPr="00FE293A">
              <w:rPr>
                <w:rFonts w:asciiTheme="majorBidi" w:hAnsiTheme="majorBidi" w:cstheme="majorBidi"/>
                <w:color w:val="auto"/>
                <w:sz w:val="24"/>
                <w:szCs w:val="24"/>
              </w:rPr>
              <w:t>) estimates derived from cohort, case–control, or test-negative designs, nor does it evaluate Omicron subvariants. The outcomes are model-based rather than empirically observed VE estimates and therefore do not meet the inclusion criteria for this review.</w:t>
            </w:r>
          </w:p>
        </w:tc>
      </w:tr>
      <w:tr w:rsidR="009405C7" w14:paraId="218C454C" w14:textId="77777777" w:rsidTr="00B20255">
        <w:tc>
          <w:tcPr>
            <w:tcW w:w="5403" w:type="dxa"/>
          </w:tcPr>
          <w:p w14:paraId="0B7D3793" w14:textId="05946E4F" w:rsidR="009405C7" w:rsidRPr="00A024C0" w:rsidRDefault="00A024C0" w:rsidP="009405C7">
            <w:pPr>
              <w:pStyle w:val="MDPI31text"/>
              <w:ind w:left="0" w:firstLine="0"/>
              <w:rPr>
                <w:rFonts w:asciiTheme="majorBidi" w:hAnsiTheme="majorBidi" w:cstheme="majorBidi"/>
                <w:color w:val="auto"/>
                <w:sz w:val="24"/>
                <w:szCs w:val="24"/>
              </w:rPr>
            </w:pPr>
            <w:r w:rsidRPr="00A024C0">
              <w:rPr>
                <w:rFonts w:asciiTheme="majorBidi" w:hAnsiTheme="majorBidi" w:cstheme="majorBidi"/>
                <w:color w:val="auto"/>
                <w:sz w:val="24"/>
                <w:szCs w:val="24"/>
              </w:rPr>
              <w:t xml:space="preserve">Suzuki T, Asai Y, Tsuzuki S, Nomoto H, Matsunaga N, Kodama EN, Hayakawa K, </w:t>
            </w:r>
            <w:proofErr w:type="spellStart"/>
            <w:r w:rsidRPr="00A024C0">
              <w:rPr>
                <w:rFonts w:asciiTheme="majorBidi" w:hAnsiTheme="majorBidi" w:cstheme="majorBidi"/>
                <w:color w:val="auto"/>
                <w:sz w:val="24"/>
                <w:szCs w:val="24"/>
              </w:rPr>
              <w:t>Ohmagari</w:t>
            </w:r>
            <w:proofErr w:type="spellEnd"/>
            <w:r w:rsidRPr="00A024C0">
              <w:rPr>
                <w:rFonts w:asciiTheme="majorBidi" w:hAnsiTheme="majorBidi" w:cstheme="majorBidi"/>
                <w:color w:val="auto"/>
                <w:sz w:val="24"/>
                <w:szCs w:val="24"/>
              </w:rPr>
              <w:t xml:space="preserve"> N. Real-world effectiveness of full and booster mRNA vaccination for coronavirus disease 2019 against disease severity during the delta- and omicron-dominant phases: a propensity score-matched cohort study using nationwide registry data in Japan. Journal of Microbiology, Immunology and Infection. 2024;57(1):20–29. doi:10.1016/j.jmii.2023.12.002.</w:t>
            </w:r>
          </w:p>
        </w:tc>
        <w:tc>
          <w:tcPr>
            <w:tcW w:w="5938" w:type="dxa"/>
          </w:tcPr>
          <w:p w14:paraId="5DC9CB62" w14:textId="103B0482" w:rsidR="009405C7" w:rsidRPr="00A024C0" w:rsidRDefault="009405C7" w:rsidP="009405C7">
            <w:pPr>
              <w:pStyle w:val="MDPI31text"/>
              <w:ind w:left="0" w:firstLine="0"/>
              <w:rPr>
                <w:rFonts w:asciiTheme="majorBidi" w:hAnsiTheme="majorBidi" w:cstheme="majorBidi"/>
                <w:color w:val="auto"/>
                <w:sz w:val="24"/>
                <w:szCs w:val="24"/>
              </w:rPr>
            </w:pPr>
            <w:r w:rsidRPr="00A024C0">
              <w:rPr>
                <w:rFonts w:asciiTheme="majorBidi" w:hAnsiTheme="majorBidi" w:cstheme="majorBidi"/>
                <w:color w:val="auto"/>
                <w:sz w:val="24"/>
                <w:szCs w:val="24"/>
              </w:rPr>
              <w:t xml:space="preserve">Outside the prespecified review scope. This registry-based cohort study evaluates ancestral (monovalent) mRNA vaccines during delta- and early omicron-dominant periods and focuses on disease severity among </w:t>
            </w:r>
            <w:r w:rsidR="000C0C3F" w:rsidRPr="00A024C0">
              <w:rPr>
                <w:rFonts w:asciiTheme="majorBidi" w:hAnsiTheme="majorBidi" w:cstheme="majorBidi"/>
                <w:color w:val="auto"/>
                <w:sz w:val="24"/>
                <w:szCs w:val="24"/>
              </w:rPr>
              <w:t>hospitalized</w:t>
            </w:r>
            <w:r w:rsidRPr="00A024C0">
              <w:rPr>
                <w:rFonts w:asciiTheme="majorBidi" w:hAnsiTheme="majorBidi" w:cstheme="majorBidi"/>
                <w:color w:val="auto"/>
                <w:sz w:val="24"/>
                <w:szCs w:val="24"/>
              </w:rPr>
              <w:t xml:space="preserve"> patients. It does not provide effectiveness estimates for updated/variant-adapted vaccines or for later Omicron subvariants (BA.5, XBB, JN.1, KP.3) that are the focus of this review.</w:t>
            </w:r>
          </w:p>
        </w:tc>
      </w:tr>
      <w:tr w:rsidR="009405C7" w14:paraId="0D20C54B" w14:textId="77777777" w:rsidTr="00B20255">
        <w:tc>
          <w:tcPr>
            <w:tcW w:w="5403" w:type="dxa"/>
          </w:tcPr>
          <w:p w14:paraId="1D4B2E28" w14:textId="2CB78515" w:rsidR="009405C7" w:rsidRPr="00A024C0" w:rsidRDefault="00A024C0" w:rsidP="009405C7">
            <w:pPr>
              <w:pStyle w:val="MDPI31text"/>
              <w:ind w:left="0" w:firstLine="0"/>
              <w:rPr>
                <w:rFonts w:asciiTheme="majorBidi" w:hAnsiTheme="majorBidi" w:cstheme="majorBidi"/>
                <w:color w:val="auto"/>
                <w:sz w:val="24"/>
                <w:szCs w:val="24"/>
              </w:rPr>
            </w:pPr>
            <w:r w:rsidRPr="00A024C0">
              <w:rPr>
                <w:rFonts w:asciiTheme="majorBidi" w:hAnsiTheme="majorBidi" w:cstheme="majorBidi"/>
                <w:color w:val="auto"/>
                <w:sz w:val="24"/>
                <w:szCs w:val="24"/>
              </w:rPr>
              <w:t>Szanyi J, Wilson T, Scott N, Blakely T. A log-odds system for waning and boosting of COVID-19 vaccine effectiveness. Vaccine. 2022;40(26):3821–3824. doi:10.1016/j.vaccine.2022.05.039.</w:t>
            </w:r>
          </w:p>
        </w:tc>
        <w:tc>
          <w:tcPr>
            <w:tcW w:w="5938" w:type="dxa"/>
          </w:tcPr>
          <w:p w14:paraId="68367B30" w14:textId="77777777" w:rsidR="009405C7" w:rsidRPr="00A024C0" w:rsidRDefault="009405C7" w:rsidP="009405C7">
            <w:pPr>
              <w:pStyle w:val="MDPI31text"/>
              <w:ind w:left="0" w:firstLine="0"/>
              <w:rPr>
                <w:rFonts w:asciiTheme="majorBidi" w:hAnsiTheme="majorBidi" w:cstheme="majorBidi"/>
                <w:color w:val="auto"/>
                <w:sz w:val="24"/>
                <w:szCs w:val="24"/>
              </w:rPr>
            </w:pPr>
            <w:r w:rsidRPr="00A024C0">
              <w:rPr>
                <w:rFonts w:asciiTheme="majorBidi" w:hAnsiTheme="majorBidi" w:cstheme="majorBidi"/>
                <w:color w:val="auto"/>
                <w:sz w:val="24"/>
                <w:szCs w:val="24"/>
              </w:rPr>
              <w:t xml:space="preserve">Outside the prespecified review scope. This study is a methodological modelling analysis that re-parameterizes previously published vaccine effectiveness estimates using a log-odds framework. It does not report original population-based vaccine effectiveness (VE or </w:t>
            </w:r>
            <w:proofErr w:type="spellStart"/>
            <w:r w:rsidRPr="00A024C0">
              <w:rPr>
                <w:rFonts w:asciiTheme="majorBidi" w:hAnsiTheme="majorBidi" w:cstheme="majorBidi"/>
                <w:color w:val="auto"/>
                <w:sz w:val="24"/>
                <w:szCs w:val="24"/>
              </w:rPr>
              <w:t>rVE</w:t>
            </w:r>
            <w:proofErr w:type="spellEnd"/>
            <w:r w:rsidRPr="00A024C0">
              <w:rPr>
                <w:rFonts w:asciiTheme="majorBidi" w:hAnsiTheme="majorBidi" w:cstheme="majorBidi"/>
                <w:color w:val="auto"/>
                <w:sz w:val="24"/>
                <w:szCs w:val="24"/>
              </w:rPr>
              <w:t>) estimates derived from cohort, case–control, or test-negative designs, nor does it evaluate clinical outcomes in a defined study population. The analysis is intended for epidemiological modelling rather than synthesis of real-</w:t>
            </w:r>
            <w:r w:rsidRPr="00A024C0">
              <w:rPr>
                <w:rFonts w:asciiTheme="majorBidi" w:hAnsiTheme="majorBidi" w:cstheme="majorBidi"/>
                <w:color w:val="auto"/>
                <w:sz w:val="24"/>
                <w:szCs w:val="24"/>
              </w:rPr>
              <w:lastRenderedPageBreak/>
              <w:t>world vaccine effectiveness across Omicron subvariants and therefore does not meet the inclusion criteria for this review.</w:t>
            </w:r>
          </w:p>
        </w:tc>
      </w:tr>
      <w:tr w:rsidR="009405C7" w14:paraId="6AAF64CB" w14:textId="77777777" w:rsidTr="00B20255">
        <w:tc>
          <w:tcPr>
            <w:tcW w:w="5403" w:type="dxa"/>
          </w:tcPr>
          <w:p w14:paraId="3D3D9474" w14:textId="4B00FC21" w:rsidR="009405C7" w:rsidRPr="00A024C0" w:rsidRDefault="00A024C0" w:rsidP="009405C7">
            <w:pPr>
              <w:pStyle w:val="MDPI31text"/>
              <w:ind w:left="0" w:firstLine="0"/>
              <w:rPr>
                <w:rFonts w:asciiTheme="majorBidi" w:hAnsiTheme="majorBidi" w:cstheme="majorBidi"/>
                <w:color w:val="auto"/>
                <w:sz w:val="24"/>
                <w:szCs w:val="24"/>
              </w:rPr>
            </w:pPr>
            <w:r w:rsidRPr="00A024C0">
              <w:rPr>
                <w:rFonts w:asciiTheme="majorBidi" w:hAnsiTheme="majorBidi" w:cstheme="majorBidi"/>
                <w:color w:val="auto"/>
                <w:sz w:val="24"/>
                <w:szCs w:val="24"/>
              </w:rPr>
              <w:lastRenderedPageBreak/>
              <w:t>Szanyi J, Wilson T, Howe S, Zeng J, Andrabi H, Rossiter S, Blakely T. Epidemiologic and economic modelling of optimal COVID-19 policy: public health and social measures, masks and vaccines in Victoria, Australia. The Lancet Regional Health – Western Pacific. 2023;32:100675. doi:10.1016/j.lanwpc.2022.100675.</w:t>
            </w:r>
          </w:p>
        </w:tc>
        <w:tc>
          <w:tcPr>
            <w:tcW w:w="5938" w:type="dxa"/>
          </w:tcPr>
          <w:p w14:paraId="7E75078B" w14:textId="77777777" w:rsidR="009405C7" w:rsidRPr="00A024C0" w:rsidRDefault="009405C7" w:rsidP="009405C7">
            <w:pPr>
              <w:pStyle w:val="MDPI31text"/>
              <w:ind w:left="0" w:firstLine="0"/>
              <w:rPr>
                <w:rFonts w:asciiTheme="majorBidi" w:hAnsiTheme="majorBidi" w:cstheme="majorBidi"/>
                <w:color w:val="auto"/>
                <w:sz w:val="24"/>
                <w:szCs w:val="24"/>
              </w:rPr>
            </w:pPr>
            <w:r w:rsidRPr="00A024C0">
              <w:rPr>
                <w:rFonts w:asciiTheme="majorBidi" w:hAnsiTheme="majorBidi" w:cstheme="majorBidi"/>
                <w:color w:val="auto"/>
                <w:sz w:val="24"/>
                <w:szCs w:val="24"/>
              </w:rPr>
              <w:t xml:space="preserve">Outside the prespecified review scope. This study is an epidemiologic and economic modelling analysis using an agent-based simulation to evaluate hypothetical COVID-19 policy packages. Vaccine effectiveness parameters are assumed model inputs derived from prior literature rather than original, population-based vaccine effectiveness (VE or </w:t>
            </w:r>
            <w:proofErr w:type="spellStart"/>
            <w:r w:rsidRPr="00A024C0">
              <w:rPr>
                <w:rFonts w:asciiTheme="majorBidi" w:hAnsiTheme="majorBidi" w:cstheme="majorBidi"/>
                <w:color w:val="auto"/>
                <w:sz w:val="24"/>
                <w:szCs w:val="24"/>
              </w:rPr>
              <w:t>rVE</w:t>
            </w:r>
            <w:proofErr w:type="spellEnd"/>
            <w:r w:rsidRPr="00A024C0">
              <w:rPr>
                <w:rFonts w:asciiTheme="majorBidi" w:hAnsiTheme="majorBidi" w:cstheme="majorBidi"/>
                <w:color w:val="auto"/>
                <w:sz w:val="24"/>
                <w:szCs w:val="24"/>
              </w:rPr>
              <w:t>) estimates obtained from cohort, case–control, or test-negative designs. The study does not report real-world VE estimates against SARS-CoV-2 infection or severe clinical outcomes and therefore does not meet the inclusion criteria for this review.</w:t>
            </w:r>
          </w:p>
        </w:tc>
      </w:tr>
      <w:tr w:rsidR="009405C7" w14:paraId="0172A9C7" w14:textId="77777777" w:rsidTr="00B20255">
        <w:tc>
          <w:tcPr>
            <w:tcW w:w="5403" w:type="dxa"/>
          </w:tcPr>
          <w:p w14:paraId="65BA9EFA" w14:textId="52A6691A" w:rsidR="009405C7" w:rsidRPr="00A024C0" w:rsidRDefault="00A024C0" w:rsidP="009405C7">
            <w:pPr>
              <w:pStyle w:val="MDPI31text"/>
              <w:ind w:left="0" w:firstLine="0"/>
              <w:rPr>
                <w:rFonts w:asciiTheme="majorBidi" w:hAnsiTheme="majorBidi" w:cstheme="majorBidi"/>
                <w:color w:val="auto"/>
                <w:sz w:val="24"/>
                <w:szCs w:val="24"/>
              </w:rPr>
            </w:pPr>
            <w:r w:rsidRPr="00A024C0">
              <w:rPr>
                <w:rFonts w:asciiTheme="majorBidi" w:hAnsiTheme="majorBidi" w:cstheme="majorBidi"/>
                <w:color w:val="auto"/>
                <w:sz w:val="24"/>
                <w:szCs w:val="24"/>
                <w:lang w:val="en-AU"/>
              </w:rPr>
              <w:t xml:space="preserve">Tamada Y, Takeuchi K, Kusama T, Maeda M, Murata F, Osaka K, Fukuda H. Bivalent mRNA vaccine effectiveness against COVID-19 among older adults in Japan: a test-negative study from the VENUS study. </w:t>
            </w:r>
            <w:r w:rsidRPr="00A024C0">
              <w:rPr>
                <w:rFonts w:asciiTheme="majorBidi" w:hAnsiTheme="majorBidi" w:cstheme="majorBidi"/>
                <w:color w:val="auto"/>
                <w:sz w:val="24"/>
                <w:szCs w:val="24"/>
                <w:lang w:val="nb-NO"/>
              </w:rPr>
              <w:t xml:space="preserve">BMC </w:t>
            </w:r>
            <w:proofErr w:type="spellStart"/>
            <w:r w:rsidRPr="00A024C0">
              <w:rPr>
                <w:rFonts w:asciiTheme="majorBidi" w:hAnsiTheme="majorBidi" w:cstheme="majorBidi"/>
                <w:color w:val="auto"/>
                <w:sz w:val="24"/>
                <w:szCs w:val="24"/>
                <w:lang w:val="nb-NO"/>
              </w:rPr>
              <w:t>Infectious</w:t>
            </w:r>
            <w:proofErr w:type="spellEnd"/>
            <w:r w:rsidRPr="00A024C0">
              <w:rPr>
                <w:rFonts w:asciiTheme="majorBidi" w:hAnsiTheme="majorBidi" w:cstheme="majorBidi"/>
                <w:color w:val="auto"/>
                <w:sz w:val="24"/>
                <w:szCs w:val="24"/>
                <w:lang w:val="nb-NO"/>
              </w:rPr>
              <w:t xml:space="preserve"> </w:t>
            </w:r>
            <w:proofErr w:type="spellStart"/>
            <w:r w:rsidRPr="00A024C0">
              <w:rPr>
                <w:rFonts w:asciiTheme="majorBidi" w:hAnsiTheme="majorBidi" w:cstheme="majorBidi"/>
                <w:color w:val="auto"/>
                <w:sz w:val="24"/>
                <w:szCs w:val="24"/>
                <w:lang w:val="nb-NO"/>
              </w:rPr>
              <w:t>Diseases</w:t>
            </w:r>
            <w:proofErr w:type="spellEnd"/>
            <w:r w:rsidRPr="00A024C0">
              <w:rPr>
                <w:rFonts w:asciiTheme="majorBidi" w:hAnsiTheme="majorBidi" w:cstheme="majorBidi"/>
                <w:color w:val="auto"/>
                <w:sz w:val="24"/>
                <w:szCs w:val="24"/>
                <w:lang w:val="nb-NO"/>
              </w:rPr>
              <w:t>. 2024;24:135. doi:10.1186/s12879-024-09035-3.</w:t>
            </w:r>
          </w:p>
        </w:tc>
        <w:tc>
          <w:tcPr>
            <w:tcW w:w="5938" w:type="dxa"/>
          </w:tcPr>
          <w:p w14:paraId="4371D7DA" w14:textId="4C55BDE3" w:rsidR="009405C7" w:rsidRPr="00A024C0" w:rsidRDefault="000D7E6B" w:rsidP="009405C7">
            <w:pPr>
              <w:pStyle w:val="MDPI31text"/>
              <w:ind w:left="0" w:firstLine="0"/>
              <w:rPr>
                <w:rFonts w:asciiTheme="majorBidi" w:hAnsiTheme="majorBidi" w:cstheme="majorBidi"/>
                <w:color w:val="auto"/>
                <w:sz w:val="24"/>
                <w:szCs w:val="24"/>
              </w:rPr>
            </w:pPr>
            <w:r w:rsidRPr="00A024C0">
              <w:rPr>
                <w:rFonts w:asciiTheme="majorBidi" w:hAnsiTheme="majorBidi" w:cstheme="majorBidi"/>
                <w:color w:val="auto"/>
                <w:sz w:val="24"/>
                <w:szCs w:val="24"/>
              </w:rPr>
              <w:t>Outside the prespecified review scope. The study evaluates bivalent BA.1 and BA.4/BA.5 vaccines and reports vaccine effectiveness against SARS-CoV-2 infection only, without adjusted effectiveness estimates for severe clinical outcomes (hospitalization, ICU admission, or death), which are the focus of this review.</w:t>
            </w:r>
          </w:p>
        </w:tc>
      </w:tr>
      <w:tr w:rsidR="009405C7" w14:paraId="6A9D29A3" w14:textId="77777777" w:rsidTr="00B20255">
        <w:tc>
          <w:tcPr>
            <w:tcW w:w="5403" w:type="dxa"/>
          </w:tcPr>
          <w:p w14:paraId="26E7FA22" w14:textId="53C823E9" w:rsidR="009405C7" w:rsidRPr="00A024C0" w:rsidRDefault="00A024C0" w:rsidP="009405C7">
            <w:pPr>
              <w:pStyle w:val="MDPI31text"/>
              <w:ind w:left="0" w:firstLine="0"/>
              <w:rPr>
                <w:rFonts w:asciiTheme="majorBidi" w:hAnsiTheme="majorBidi" w:cstheme="majorBidi"/>
                <w:color w:val="auto"/>
                <w:sz w:val="24"/>
                <w:szCs w:val="24"/>
              </w:rPr>
            </w:pPr>
            <w:proofErr w:type="spellStart"/>
            <w:r w:rsidRPr="00A024C0">
              <w:rPr>
                <w:rFonts w:asciiTheme="majorBidi" w:hAnsiTheme="majorBidi" w:cstheme="majorBidi"/>
                <w:color w:val="auto"/>
                <w:sz w:val="24"/>
                <w:szCs w:val="24"/>
                <w:lang w:val="en-AU"/>
              </w:rPr>
              <w:t>Tamandjou</w:t>
            </w:r>
            <w:proofErr w:type="spellEnd"/>
            <w:r w:rsidRPr="00A024C0">
              <w:rPr>
                <w:rFonts w:asciiTheme="majorBidi" w:hAnsiTheme="majorBidi" w:cstheme="majorBidi"/>
                <w:color w:val="auto"/>
                <w:sz w:val="24"/>
                <w:szCs w:val="24"/>
                <w:lang w:val="en-AU"/>
              </w:rPr>
              <w:t xml:space="preserve"> C, </w:t>
            </w:r>
            <w:proofErr w:type="spellStart"/>
            <w:r w:rsidRPr="00A024C0">
              <w:rPr>
                <w:rFonts w:asciiTheme="majorBidi" w:hAnsiTheme="majorBidi" w:cstheme="majorBidi"/>
                <w:color w:val="auto"/>
                <w:sz w:val="24"/>
                <w:szCs w:val="24"/>
                <w:lang w:val="en-AU"/>
              </w:rPr>
              <w:t>Auvigne</w:t>
            </w:r>
            <w:proofErr w:type="spellEnd"/>
            <w:r w:rsidRPr="00A024C0">
              <w:rPr>
                <w:rFonts w:asciiTheme="majorBidi" w:hAnsiTheme="majorBidi" w:cstheme="majorBidi"/>
                <w:color w:val="auto"/>
                <w:sz w:val="24"/>
                <w:szCs w:val="24"/>
                <w:lang w:val="en-AU"/>
              </w:rPr>
              <w:t xml:space="preserve"> V, Schaeffer J, Vaux S, Parent du Châtelet I. Effectiveness of second booster compared to first booster and protection conferred by previous SARS-CoV-2 infection against symptomatic Omicron BA.2 and BA.4/5 in France. </w:t>
            </w:r>
            <w:proofErr w:type="spellStart"/>
            <w:r w:rsidRPr="00A024C0">
              <w:rPr>
                <w:rFonts w:asciiTheme="majorBidi" w:hAnsiTheme="majorBidi" w:cstheme="majorBidi"/>
                <w:color w:val="auto"/>
                <w:sz w:val="24"/>
                <w:szCs w:val="24"/>
                <w:lang w:val="nb-NO"/>
              </w:rPr>
              <w:t>Vaccine</w:t>
            </w:r>
            <w:proofErr w:type="spellEnd"/>
            <w:r w:rsidRPr="00A024C0">
              <w:rPr>
                <w:rFonts w:asciiTheme="majorBidi" w:hAnsiTheme="majorBidi" w:cstheme="majorBidi"/>
                <w:color w:val="auto"/>
                <w:sz w:val="24"/>
                <w:szCs w:val="24"/>
                <w:lang w:val="nb-NO"/>
              </w:rPr>
              <w:t>. 2023;41(17):2754–2760. doi:10.1016/j.vaccine.2023.03.031.</w:t>
            </w:r>
          </w:p>
        </w:tc>
        <w:tc>
          <w:tcPr>
            <w:tcW w:w="5938" w:type="dxa"/>
          </w:tcPr>
          <w:p w14:paraId="2C739EBB" w14:textId="77777777" w:rsidR="009405C7" w:rsidRPr="00A024C0" w:rsidRDefault="009405C7" w:rsidP="009405C7">
            <w:pPr>
              <w:pStyle w:val="MDPI31text"/>
              <w:ind w:left="0" w:firstLine="0"/>
              <w:rPr>
                <w:rFonts w:asciiTheme="majorBidi" w:hAnsiTheme="majorBidi" w:cstheme="majorBidi"/>
                <w:color w:val="auto"/>
                <w:sz w:val="24"/>
                <w:szCs w:val="24"/>
              </w:rPr>
            </w:pPr>
            <w:r w:rsidRPr="00A024C0">
              <w:rPr>
                <w:rFonts w:asciiTheme="majorBidi" w:hAnsiTheme="majorBidi" w:cstheme="majorBidi"/>
                <w:color w:val="auto"/>
                <w:sz w:val="24"/>
                <w:szCs w:val="24"/>
              </w:rPr>
              <w:t>Outside the prespecified review scope. This study evaluates the relative effectiveness of a second monovalent (Wuhan-like) mRNA booster compared with an earlier first booster and does not assess updated/variant-adapted vaccines. It reports relative rather than population-based absolute vaccine-effectiveness estimates, limiting comparability with the evidence synthesised in this review.</w:t>
            </w:r>
          </w:p>
        </w:tc>
      </w:tr>
      <w:tr w:rsidR="009405C7" w14:paraId="7D861443" w14:textId="77777777" w:rsidTr="00B20255">
        <w:tc>
          <w:tcPr>
            <w:tcW w:w="5403" w:type="dxa"/>
          </w:tcPr>
          <w:p w14:paraId="2A532F2A" w14:textId="14321656" w:rsidR="009405C7" w:rsidRPr="00A024C0" w:rsidRDefault="00A024C0" w:rsidP="009405C7">
            <w:pPr>
              <w:pStyle w:val="MDPI31text"/>
              <w:ind w:left="0" w:firstLine="0"/>
              <w:rPr>
                <w:rFonts w:asciiTheme="majorBidi" w:hAnsiTheme="majorBidi" w:cstheme="majorBidi"/>
                <w:color w:val="auto"/>
                <w:sz w:val="24"/>
                <w:szCs w:val="24"/>
              </w:rPr>
            </w:pPr>
            <w:proofErr w:type="spellStart"/>
            <w:r w:rsidRPr="00A024C0">
              <w:rPr>
                <w:rFonts w:asciiTheme="majorBidi" w:hAnsiTheme="majorBidi" w:cstheme="majorBidi"/>
                <w:color w:val="auto"/>
                <w:sz w:val="24"/>
                <w:szCs w:val="24"/>
              </w:rPr>
              <w:t>Tamandjou</w:t>
            </w:r>
            <w:proofErr w:type="spellEnd"/>
            <w:r w:rsidRPr="00A024C0">
              <w:rPr>
                <w:rFonts w:asciiTheme="majorBidi" w:hAnsiTheme="majorBidi" w:cstheme="majorBidi"/>
                <w:color w:val="auto"/>
                <w:sz w:val="24"/>
                <w:szCs w:val="24"/>
              </w:rPr>
              <w:t xml:space="preserve"> </w:t>
            </w:r>
            <w:proofErr w:type="spellStart"/>
            <w:r w:rsidRPr="00A024C0">
              <w:rPr>
                <w:rFonts w:asciiTheme="majorBidi" w:hAnsiTheme="majorBidi" w:cstheme="majorBidi"/>
                <w:color w:val="auto"/>
                <w:sz w:val="24"/>
                <w:szCs w:val="24"/>
              </w:rPr>
              <w:t>Tchuem</w:t>
            </w:r>
            <w:proofErr w:type="spellEnd"/>
            <w:r w:rsidRPr="00A024C0">
              <w:rPr>
                <w:rFonts w:asciiTheme="majorBidi" w:hAnsiTheme="majorBidi" w:cstheme="majorBidi"/>
                <w:color w:val="auto"/>
                <w:sz w:val="24"/>
                <w:szCs w:val="24"/>
              </w:rPr>
              <w:t xml:space="preserve"> CR, </w:t>
            </w:r>
            <w:proofErr w:type="spellStart"/>
            <w:r w:rsidRPr="00A024C0">
              <w:rPr>
                <w:rFonts w:asciiTheme="majorBidi" w:hAnsiTheme="majorBidi" w:cstheme="majorBidi"/>
                <w:color w:val="auto"/>
                <w:sz w:val="24"/>
                <w:szCs w:val="24"/>
              </w:rPr>
              <w:t>Auvigne</w:t>
            </w:r>
            <w:proofErr w:type="spellEnd"/>
            <w:r w:rsidRPr="00A024C0">
              <w:rPr>
                <w:rFonts w:asciiTheme="majorBidi" w:hAnsiTheme="majorBidi" w:cstheme="majorBidi"/>
                <w:color w:val="auto"/>
                <w:sz w:val="24"/>
                <w:szCs w:val="24"/>
              </w:rPr>
              <w:t xml:space="preserve"> V, Vaux S, </w:t>
            </w:r>
            <w:proofErr w:type="spellStart"/>
            <w:r w:rsidRPr="00A024C0">
              <w:rPr>
                <w:rFonts w:asciiTheme="majorBidi" w:hAnsiTheme="majorBidi" w:cstheme="majorBidi"/>
                <w:color w:val="auto"/>
                <w:sz w:val="24"/>
                <w:szCs w:val="24"/>
              </w:rPr>
              <w:t>Montagnat</w:t>
            </w:r>
            <w:proofErr w:type="spellEnd"/>
            <w:r w:rsidRPr="00A024C0">
              <w:rPr>
                <w:rFonts w:asciiTheme="majorBidi" w:hAnsiTheme="majorBidi" w:cstheme="majorBidi"/>
                <w:color w:val="auto"/>
                <w:sz w:val="24"/>
                <w:szCs w:val="24"/>
              </w:rPr>
              <w:t xml:space="preserve"> C, </w:t>
            </w:r>
            <w:proofErr w:type="spellStart"/>
            <w:r w:rsidRPr="00A024C0">
              <w:rPr>
                <w:rFonts w:asciiTheme="majorBidi" w:hAnsiTheme="majorBidi" w:cstheme="majorBidi"/>
                <w:color w:val="auto"/>
                <w:sz w:val="24"/>
                <w:szCs w:val="24"/>
              </w:rPr>
              <w:t>Paireau</w:t>
            </w:r>
            <w:proofErr w:type="spellEnd"/>
            <w:r w:rsidRPr="00A024C0">
              <w:rPr>
                <w:rFonts w:asciiTheme="majorBidi" w:hAnsiTheme="majorBidi" w:cstheme="majorBidi"/>
                <w:color w:val="auto"/>
                <w:sz w:val="24"/>
                <w:szCs w:val="24"/>
              </w:rPr>
              <w:t xml:space="preserve"> J, Monnier Besnard S, Gabet A, </w:t>
            </w:r>
            <w:proofErr w:type="spellStart"/>
            <w:r w:rsidRPr="00A024C0">
              <w:rPr>
                <w:rFonts w:asciiTheme="majorBidi" w:hAnsiTheme="majorBidi" w:cstheme="majorBidi"/>
                <w:color w:val="auto"/>
                <w:sz w:val="24"/>
                <w:szCs w:val="24"/>
              </w:rPr>
              <w:t>Benhajkassen</w:t>
            </w:r>
            <w:proofErr w:type="spellEnd"/>
            <w:r w:rsidRPr="00A024C0">
              <w:rPr>
                <w:rFonts w:asciiTheme="majorBidi" w:hAnsiTheme="majorBidi" w:cstheme="majorBidi"/>
                <w:color w:val="auto"/>
                <w:sz w:val="24"/>
                <w:szCs w:val="24"/>
              </w:rPr>
              <w:t xml:space="preserve"> N, Le Strat Y, Parent Du Chatelet I, Levy-Bruhl D. Vaccine effectiveness and duration of protection of COVID-19 mRNA vaccines against Delta and Omicron BA.1 symptomatic and severe COVID-19 outcomes in adults aged ≥50 years in France. Vaccine. 2023;41(15):2280–2288. doi:10.1016/j.vaccine.2023.02.062.</w:t>
            </w:r>
          </w:p>
        </w:tc>
        <w:tc>
          <w:tcPr>
            <w:tcW w:w="5938" w:type="dxa"/>
          </w:tcPr>
          <w:p w14:paraId="5445316D" w14:textId="48FB9564" w:rsidR="009405C7" w:rsidRPr="00A024C0" w:rsidRDefault="009405C7" w:rsidP="009405C7">
            <w:pPr>
              <w:pStyle w:val="MDPI31text"/>
              <w:ind w:left="0" w:firstLine="0"/>
              <w:rPr>
                <w:rFonts w:asciiTheme="majorBidi" w:hAnsiTheme="majorBidi" w:cstheme="majorBidi"/>
                <w:color w:val="auto"/>
                <w:sz w:val="24"/>
                <w:szCs w:val="24"/>
              </w:rPr>
            </w:pPr>
            <w:r w:rsidRPr="00A024C0">
              <w:rPr>
                <w:rFonts w:asciiTheme="majorBidi" w:hAnsiTheme="majorBidi" w:cstheme="majorBidi"/>
                <w:color w:val="auto"/>
                <w:sz w:val="24"/>
                <w:szCs w:val="24"/>
              </w:rPr>
              <w:t>Outside the prespecified review scope. This study was conducted during Delta and early Omicron BA.1 predominance and evaluates ancestral (non–variant-adapted) mRNA vaccines and boosters. It does not provide effectiveness estimates for later Omicron subvariants (BA.5, XBB,</w:t>
            </w:r>
            <w:r w:rsidR="00FA0D7D" w:rsidRPr="00A024C0">
              <w:rPr>
                <w:rFonts w:asciiTheme="majorBidi" w:hAnsiTheme="majorBidi" w:cstheme="majorBidi"/>
                <w:color w:val="auto"/>
                <w:sz w:val="24"/>
                <w:szCs w:val="24"/>
              </w:rPr>
              <w:t xml:space="preserve"> </w:t>
            </w:r>
            <w:r w:rsidRPr="00A024C0">
              <w:rPr>
                <w:rFonts w:asciiTheme="majorBidi" w:hAnsiTheme="majorBidi" w:cstheme="majorBidi"/>
                <w:color w:val="auto"/>
                <w:sz w:val="24"/>
                <w:szCs w:val="24"/>
              </w:rPr>
              <w:t>JN.1, KP.3) or for updated/variant-adapted vaccines that are the focus of this review.</w:t>
            </w:r>
          </w:p>
        </w:tc>
      </w:tr>
      <w:tr w:rsidR="009405C7" w14:paraId="601E4A44" w14:textId="77777777" w:rsidTr="00B20255">
        <w:tc>
          <w:tcPr>
            <w:tcW w:w="5403" w:type="dxa"/>
          </w:tcPr>
          <w:p w14:paraId="1BC43D3C" w14:textId="14B9DFCA" w:rsidR="009405C7" w:rsidRPr="00AF390A" w:rsidRDefault="00AF390A" w:rsidP="009405C7">
            <w:pPr>
              <w:pStyle w:val="MDPI31text"/>
              <w:ind w:left="0" w:firstLine="0"/>
              <w:rPr>
                <w:rFonts w:asciiTheme="majorBidi" w:hAnsiTheme="majorBidi" w:cstheme="majorBidi"/>
                <w:color w:val="auto"/>
                <w:sz w:val="24"/>
                <w:szCs w:val="24"/>
              </w:rPr>
            </w:pPr>
            <w:r w:rsidRPr="00AF390A">
              <w:rPr>
                <w:rFonts w:asciiTheme="majorBidi" w:hAnsiTheme="majorBidi" w:cstheme="majorBidi"/>
                <w:color w:val="auto"/>
                <w:sz w:val="24"/>
                <w:szCs w:val="24"/>
              </w:rPr>
              <w:t>Tan CY, Chiew CJ, Pang D, Lee VJ, Ong B, Lye DC, Tan KB. Vaccine effectiveness against Delta, Omicron BA.1, and BA.2 in a highly vaccinated Asian setting: a test-negative design study. Clinical Microbiology and Infection. 2023;29(1):101–106. doi:10.1016/j.cmi.2022.08.002.</w:t>
            </w:r>
          </w:p>
        </w:tc>
        <w:tc>
          <w:tcPr>
            <w:tcW w:w="5938" w:type="dxa"/>
          </w:tcPr>
          <w:p w14:paraId="526DFA0B" w14:textId="0892D658" w:rsidR="009405C7" w:rsidRPr="00AF390A" w:rsidRDefault="009405C7" w:rsidP="009405C7">
            <w:pPr>
              <w:pStyle w:val="MDPI31text"/>
              <w:ind w:left="0" w:firstLine="0"/>
              <w:rPr>
                <w:rFonts w:asciiTheme="majorBidi" w:hAnsiTheme="majorBidi" w:cstheme="majorBidi"/>
                <w:color w:val="auto"/>
                <w:sz w:val="24"/>
                <w:szCs w:val="24"/>
              </w:rPr>
            </w:pPr>
            <w:r w:rsidRPr="00AF390A">
              <w:rPr>
                <w:rFonts w:asciiTheme="majorBidi" w:hAnsiTheme="majorBidi" w:cstheme="majorBidi"/>
                <w:color w:val="auto"/>
                <w:sz w:val="24"/>
                <w:szCs w:val="24"/>
              </w:rPr>
              <w:t>Outside the prespecified review scope. This study was conducted during early Omicron BA.1 and BA.2 predominance and evaluates ancestral (non–variant-adapted) vaccines and boosters. It does not provide effectiveness estimates for later Omicron subvariants (BA.5, XBB,</w:t>
            </w:r>
            <w:r w:rsidR="00FA0D7D" w:rsidRPr="00AF390A">
              <w:rPr>
                <w:rFonts w:asciiTheme="majorBidi" w:hAnsiTheme="majorBidi" w:cstheme="majorBidi"/>
                <w:color w:val="auto"/>
                <w:sz w:val="24"/>
                <w:szCs w:val="24"/>
              </w:rPr>
              <w:t xml:space="preserve"> </w:t>
            </w:r>
            <w:r w:rsidRPr="00AF390A">
              <w:rPr>
                <w:rFonts w:asciiTheme="majorBidi" w:hAnsiTheme="majorBidi" w:cstheme="majorBidi"/>
                <w:color w:val="auto"/>
                <w:sz w:val="24"/>
                <w:szCs w:val="24"/>
              </w:rPr>
              <w:t>JN.1, KP.3) or for updated/variant-adapted vaccines that are the focus of this review.</w:t>
            </w:r>
          </w:p>
        </w:tc>
      </w:tr>
      <w:tr w:rsidR="009405C7" w14:paraId="14FA604E" w14:textId="77777777" w:rsidTr="00B20255">
        <w:tc>
          <w:tcPr>
            <w:tcW w:w="5403" w:type="dxa"/>
          </w:tcPr>
          <w:p w14:paraId="0513FD7B" w14:textId="17EC8517" w:rsidR="009405C7" w:rsidRPr="00A765B5" w:rsidRDefault="00A765B5" w:rsidP="009405C7">
            <w:pPr>
              <w:pStyle w:val="MDPI31text"/>
              <w:ind w:left="0" w:firstLine="0"/>
              <w:rPr>
                <w:rFonts w:asciiTheme="majorBidi" w:hAnsiTheme="majorBidi" w:cstheme="majorBidi"/>
                <w:color w:val="auto"/>
                <w:sz w:val="24"/>
                <w:szCs w:val="24"/>
              </w:rPr>
            </w:pPr>
            <w:r w:rsidRPr="00A765B5">
              <w:rPr>
                <w:rFonts w:asciiTheme="majorBidi" w:hAnsiTheme="majorBidi" w:cstheme="majorBidi"/>
                <w:color w:val="auto"/>
                <w:sz w:val="24"/>
                <w:szCs w:val="24"/>
              </w:rPr>
              <w:t xml:space="preserve">Tan CY, Chiew CJ, Pang D, Lee VJ, Ong B, Wang L-F, Ren EC, Lye DC, Tan KB. Effectiveness of bivalent mRNA vaccines against medically attended symptomatic SARS-CoV-2 infection and COVID-19-related hospital admission among SARS-CoV-2-naive and previously infected individuals: a retrospective cohort study. The Lancet Infectious Diseases. </w:t>
            </w:r>
            <w:r w:rsidRPr="00A765B5">
              <w:rPr>
                <w:rFonts w:asciiTheme="majorBidi" w:hAnsiTheme="majorBidi" w:cstheme="majorBidi"/>
                <w:color w:val="auto"/>
                <w:sz w:val="24"/>
                <w:szCs w:val="24"/>
              </w:rPr>
              <w:lastRenderedPageBreak/>
              <w:t>2023;23(12):1343–1348. doi:10.1016/S1473-3099(23)00373-0.</w:t>
            </w:r>
          </w:p>
        </w:tc>
        <w:tc>
          <w:tcPr>
            <w:tcW w:w="5938" w:type="dxa"/>
          </w:tcPr>
          <w:p w14:paraId="6AF004F0" w14:textId="101BF926" w:rsidR="009405C7" w:rsidRPr="00A765B5" w:rsidRDefault="009405C7" w:rsidP="009405C7">
            <w:pPr>
              <w:pStyle w:val="MDPI31text"/>
              <w:ind w:left="0" w:firstLine="0"/>
              <w:rPr>
                <w:rFonts w:asciiTheme="majorBidi" w:hAnsiTheme="majorBidi" w:cstheme="majorBidi"/>
                <w:color w:val="auto"/>
                <w:sz w:val="24"/>
                <w:szCs w:val="24"/>
              </w:rPr>
            </w:pPr>
            <w:r w:rsidRPr="00A765B5">
              <w:rPr>
                <w:rFonts w:asciiTheme="majorBidi" w:hAnsiTheme="majorBidi" w:cstheme="majorBidi"/>
                <w:color w:val="auto"/>
                <w:sz w:val="24"/>
                <w:szCs w:val="24"/>
              </w:rPr>
              <w:lastRenderedPageBreak/>
              <w:t>Outside the prespecified review scope. This retrospective cohort study evaluates bivalent BA.1- and BA.4/BA.5-adapted mRNA vaccines during a pre-XBB Omicron period (October 2022–January 2023). The study does not assess monovalent XBB.1.5-adapted vaccines or variant-specific effectiveness during XBB,</w:t>
            </w:r>
            <w:r w:rsidR="00FA0D7D" w:rsidRPr="00A765B5">
              <w:rPr>
                <w:rFonts w:asciiTheme="majorBidi" w:hAnsiTheme="majorBidi" w:cstheme="majorBidi"/>
                <w:color w:val="auto"/>
                <w:sz w:val="24"/>
                <w:szCs w:val="24"/>
              </w:rPr>
              <w:t xml:space="preserve"> </w:t>
            </w:r>
            <w:r w:rsidRPr="00A765B5">
              <w:rPr>
                <w:rFonts w:asciiTheme="majorBidi" w:hAnsiTheme="majorBidi" w:cstheme="majorBidi"/>
                <w:color w:val="auto"/>
                <w:sz w:val="24"/>
                <w:szCs w:val="24"/>
              </w:rPr>
              <w:t xml:space="preserve">JN.1, or KP lineage predominance, and therefore is not directly comparable with </w:t>
            </w:r>
            <w:r w:rsidRPr="00A765B5">
              <w:rPr>
                <w:rFonts w:asciiTheme="majorBidi" w:hAnsiTheme="majorBidi" w:cstheme="majorBidi"/>
                <w:color w:val="auto"/>
                <w:sz w:val="24"/>
                <w:szCs w:val="24"/>
              </w:rPr>
              <w:lastRenderedPageBreak/>
              <w:t>the vaccine formulations and variant periods synthesised in this review.</w:t>
            </w:r>
          </w:p>
        </w:tc>
      </w:tr>
      <w:tr w:rsidR="009405C7" w14:paraId="1C8B8070" w14:textId="77777777" w:rsidTr="00B20255">
        <w:tc>
          <w:tcPr>
            <w:tcW w:w="5403" w:type="dxa"/>
          </w:tcPr>
          <w:p w14:paraId="644D4037" w14:textId="7B726DCA" w:rsidR="009405C7" w:rsidRPr="00E149F3" w:rsidRDefault="00E91E2C" w:rsidP="009405C7">
            <w:pPr>
              <w:pStyle w:val="MDPI31text"/>
              <w:ind w:left="0" w:firstLine="0"/>
              <w:rPr>
                <w:rFonts w:asciiTheme="majorBidi" w:hAnsiTheme="majorBidi" w:cstheme="majorBidi"/>
                <w:color w:val="auto"/>
                <w:sz w:val="24"/>
                <w:szCs w:val="24"/>
              </w:rPr>
            </w:pPr>
            <w:r w:rsidRPr="00E149F3">
              <w:rPr>
                <w:rFonts w:asciiTheme="majorBidi" w:hAnsiTheme="majorBidi" w:cstheme="majorBidi"/>
                <w:color w:val="auto"/>
                <w:sz w:val="24"/>
                <w:szCs w:val="24"/>
              </w:rPr>
              <w:lastRenderedPageBreak/>
              <w:t>Tan-</w:t>
            </w:r>
            <w:proofErr w:type="spellStart"/>
            <w:r w:rsidRPr="00E149F3">
              <w:rPr>
                <w:rFonts w:asciiTheme="majorBidi" w:hAnsiTheme="majorBidi" w:cstheme="majorBidi"/>
                <w:color w:val="auto"/>
                <w:sz w:val="24"/>
                <w:szCs w:val="24"/>
              </w:rPr>
              <w:t>Lhernould</w:t>
            </w:r>
            <w:proofErr w:type="spellEnd"/>
            <w:r w:rsidRPr="00E149F3">
              <w:rPr>
                <w:rFonts w:asciiTheme="majorBidi" w:hAnsiTheme="majorBidi" w:cstheme="majorBidi"/>
                <w:color w:val="auto"/>
                <w:sz w:val="24"/>
                <w:szCs w:val="24"/>
              </w:rPr>
              <w:t xml:space="preserve"> L, </w:t>
            </w:r>
            <w:proofErr w:type="spellStart"/>
            <w:r w:rsidRPr="00E149F3">
              <w:rPr>
                <w:rFonts w:asciiTheme="majorBidi" w:hAnsiTheme="majorBidi" w:cstheme="majorBidi"/>
                <w:color w:val="auto"/>
                <w:sz w:val="24"/>
                <w:szCs w:val="24"/>
              </w:rPr>
              <w:t>Tamandjou</w:t>
            </w:r>
            <w:proofErr w:type="spellEnd"/>
            <w:r w:rsidRPr="00E149F3">
              <w:rPr>
                <w:rFonts w:asciiTheme="majorBidi" w:hAnsiTheme="majorBidi" w:cstheme="majorBidi"/>
                <w:color w:val="auto"/>
                <w:sz w:val="24"/>
                <w:szCs w:val="24"/>
              </w:rPr>
              <w:t xml:space="preserve"> C, Deschamps G, Platon J, </w:t>
            </w:r>
            <w:proofErr w:type="spellStart"/>
            <w:r w:rsidRPr="00E149F3">
              <w:rPr>
                <w:rFonts w:asciiTheme="majorBidi" w:hAnsiTheme="majorBidi" w:cstheme="majorBidi"/>
                <w:color w:val="auto"/>
                <w:sz w:val="24"/>
                <w:szCs w:val="24"/>
              </w:rPr>
              <w:t>Sommen</w:t>
            </w:r>
            <w:proofErr w:type="spellEnd"/>
            <w:r w:rsidRPr="00E149F3">
              <w:rPr>
                <w:rFonts w:asciiTheme="majorBidi" w:hAnsiTheme="majorBidi" w:cstheme="majorBidi"/>
                <w:color w:val="auto"/>
                <w:sz w:val="24"/>
                <w:szCs w:val="24"/>
              </w:rPr>
              <w:t xml:space="preserve"> C, </w:t>
            </w:r>
            <w:proofErr w:type="spellStart"/>
            <w:r w:rsidRPr="00E149F3">
              <w:rPr>
                <w:rFonts w:asciiTheme="majorBidi" w:hAnsiTheme="majorBidi" w:cstheme="majorBidi"/>
                <w:color w:val="auto"/>
                <w:sz w:val="24"/>
                <w:szCs w:val="24"/>
              </w:rPr>
              <w:t>Chereau</w:t>
            </w:r>
            <w:proofErr w:type="spellEnd"/>
            <w:r w:rsidRPr="00E149F3">
              <w:rPr>
                <w:rFonts w:asciiTheme="majorBidi" w:hAnsiTheme="majorBidi" w:cstheme="majorBidi"/>
                <w:color w:val="auto"/>
                <w:sz w:val="24"/>
                <w:szCs w:val="24"/>
              </w:rPr>
              <w:t xml:space="preserve"> F, Parent du Châtelet I, </w:t>
            </w:r>
            <w:proofErr w:type="spellStart"/>
            <w:r w:rsidRPr="00E149F3">
              <w:rPr>
                <w:rFonts w:asciiTheme="majorBidi" w:hAnsiTheme="majorBidi" w:cstheme="majorBidi"/>
                <w:color w:val="auto"/>
                <w:sz w:val="24"/>
                <w:szCs w:val="24"/>
              </w:rPr>
              <w:t>Cauchemez</w:t>
            </w:r>
            <w:proofErr w:type="spellEnd"/>
            <w:r w:rsidRPr="00E149F3">
              <w:rPr>
                <w:rFonts w:asciiTheme="majorBidi" w:hAnsiTheme="majorBidi" w:cstheme="majorBidi"/>
                <w:color w:val="auto"/>
                <w:sz w:val="24"/>
                <w:szCs w:val="24"/>
              </w:rPr>
              <w:t xml:space="preserve"> S, Vaux S, </w:t>
            </w:r>
            <w:proofErr w:type="spellStart"/>
            <w:r w:rsidRPr="00E149F3">
              <w:rPr>
                <w:rFonts w:asciiTheme="majorBidi" w:hAnsiTheme="majorBidi" w:cstheme="majorBidi"/>
                <w:color w:val="auto"/>
                <w:sz w:val="24"/>
                <w:szCs w:val="24"/>
              </w:rPr>
              <w:t>Paireau</w:t>
            </w:r>
            <w:proofErr w:type="spellEnd"/>
            <w:r w:rsidRPr="00E149F3">
              <w:rPr>
                <w:rFonts w:asciiTheme="majorBidi" w:hAnsiTheme="majorBidi" w:cstheme="majorBidi"/>
                <w:color w:val="auto"/>
                <w:sz w:val="24"/>
                <w:szCs w:val="24"/>
              </w:rPr>
              <w:t xml:space="preserve"> J. Impact of vaccination against severe COVID-19 in the French population aged 50 years and above: a retrospective population-based study. BMC Medicine. 2023;21:426. doi:10.1186/s12916-023-03119-8.</w:t>
            </w:r>
          </w:p>
        </w:tc>
        <w:tc>
          <w:tcPr>
            <w:tcW w:w="5938" w:type="dxa"/>
          </w:tcPr>
          <w:p w14:paraId="02A55A72" w14:textId="1289356E" w:rsidR="009405C7" w:rsidRPr="00E149F3" w:rsidRDefault="009405C7" w:rsidP="009405C7">
            <w:pPr>
              <w:pStyle w:val="MDPI31text"/>
              <w:ind w:left="0" w:firstLine="0"/>
              <w:rPr>
                <w:rFonts w:asciiTheme="majorBidi" w:hAnsiTheme="majorBidi" w:cstheme="majorBidi"/>
                <w:color w:val="auto"/>
                <w:sz w:val="24"/>
                <w:szCs w:val="24"/>
              </w:rPr>
            </w:pPr>
            <w:r w:rsidRPr="00E149F3">
              <w:rPr>
                <w:rFonts w:asciiTheme="majorBidi" w:hAnsiTheme="majorBidi" w:cstheme="majorBidi"/>
                <w:color w:val="auto"/>
                <w:sz w:val="24"/>
                <w:szCs w:val="24"/>
              </w:rPr>
              <w:t xml:space="preserve">Outside the prespecified review scope. This study is a population-level impact and averted-events analysis estimating numbers of </w:t>
            </w:r>
            <w:r w:rsidR="0004402C" w:rsidRPr="00E149F3">
              <w:rPr>
                <w:rFonts w:asciiTheme="majorBidi" w:hAnsiTheme="majorBidi" w:cstheme="majorBidi"/>
                <w:color w:val="auto"/>
                <w:sz w:val="24"/>
                <w:szCs w:val="24"/>
              </w:rPr>
              <w:t>hospitalizations</w:t>
            </w:r>
            <w:r w:rsidRPr="00E149F3">
              <w:rPr>
                <w:rFonts w:asciiTheme="majorBidi" w:hAnsiTheme="majorBidi" w:cstheme="majorBidi"/>
                <w:color w:val="auto"/>
                <w:sz w:val="24"/>
                <w:szCs w:val="24"/>
              </w:rPr>
              <w:t xml:space="preserve">, ICU admissions, and deaths prevented by vaccination using modelled counterfactual scenarios. Vaccine effectiveness values are derived from external studies and used as inputs, rather than being estimated directly from cohort, case–control, or test-negative designs. The study does not report primary vaccine effectiveness (VE or </w:t>
            </w:r>
            <w:proofErr w:type="spellStart"/>
            <w:r w:rsidRPr="00E149F3">
              <w:rPr>
                <w:rFonts w:asciiTheme="majorBidi" w:hAnsiTheme="majorBidi" w:cstheme="majorBidi"/>
                <w:color w:val="auto"/>
                <w:sz w:val="24"/>
                <w:szCs w:val="24"/>
              </w:rPr>
              <w:t>rVE</w:t>
            </w:r>
            <w:proofErr w:type="spellEnd"/>
            <w:r w:rsidRPr="00E149F3">
              <w:rPr>
                <w:rFonts w:asciiTheme="majorBidi" w:hAnsiTheme="majorBidi" w:cstheme="majorBidi"/>
                <w:color w:val="auto"/>
                <w:sz w:val="24"/>
                <w:szCs w:val="24"/>
              </w:rPr>
              <w:t>) estimates and therefore does not meet the inclusion criteria for this review.</w:t>
            </w:r>
          </w:p>
        </w:tc>
      </w:tr>
      <w:tr w:rsidR="009405C7" w14:paraId="4E56695B" w14:textId="77777777" w:rsidTr="00B20255">
        <w:tc>
          <w:tcPr>
            <w:tcW w:w="5403" w:type="dxa"/>
          </w:tcPr>
          <w:p w14:paraId="2ECB04EF" w14:textId="52E00BCE" w:rsidR="009405C7" w:rsidRPr="00E149F3" w:rsidRDefault="00E149F3" w:rsidP="009405C7">
            <w:pPr>
              <w:pStyle w:val="MDPI31text"/>
              <w:ind w:left="0" w:firstLine="0"/>
              <w:rPr>
                <w:rFonts w:asciiTheme="majorBidi" w:hAnsiTheme="majorBidi" w:cstheme="majorBidi"/>
                <w:color w:val="auto"/>
                <w:sz w:val="24"/>
                <w:szCs w:val="24"/>
              </w:rPr>
            </w:pPr>
            <w:r w:rsidRPr="00E149F3">
              <w:rPr>
                <w:rFonts w:asciiTheme="majorBidi" w:hAnsiTheme="majorBidi" w:cstheme="majorBidi"/>
                <w:color w:val="auto"/>
                <w:sz w:val="24"/>
                <w:szCs w:val="24"/>
              </w:rPr>
              <w:t xml:space="preserve">Tanaka H, </w:t>
            </w:r>
            <w:proofErr w:type="spellStart"/>
            <w:r w:rsidRPr="00E149F3">
              <w:rPr>
                <w:rFonts w:asciiTheme="majorBidi" w:hAnsiTheme="majorBidi" w:cstheme="majorBidi"/>
                <w:color w:val="auto"/>
                <w:sz w:val="24"/>
                <w:szCs w:val="24"/>
              </w:rPr>
              <w:t>Chubachi</w:t>
            </w:r>
            <w:proofErr w:type="spellEnd"/>
            <w:r w:rsidRPr="00E149F3">
              <w:rPr>
                <w:rFonts w:asciiTheme="majorBidi" w:hAnsiTheme="majorBidi" w:cstheme="majorBidi"/>
                <w:color w:val="auto"/>
                <w:sz w:val="24"/>
                <w:szCs w:val="24"/>
              </w:rPr>
              <w:t xml:space="preserve"> S, Asakura T, Namkoong H, </w:t>
            </w:r>
            <w:proofErr w:type="spellStart"/>
            <w:r w:rsidRPr="00E149F3">
              <w:rPr>
                <w:rFonts w:asciiTheme="majorBidi" w:hAnsiTheme="majorBidi" w:cstheme="majorBidi"/>
                <w:color w:val="auto"/>
                <w:sz w:val="24"/>
                <w:szCs w:val="24"/>
              </w:rPr>
              <w:t>Azekawa</w:t>
            </w:r>
            <w:proofErr w:type="spellEnd"/>
            <w:r w:rsidRPr="00E149F3">
              <w:rPr>
                <w:rFonts w:asciiTheme="majorBidi" w:hAnsiTheme="majorBidi" w:cstheme="majorBidi"/>
                <w:color w:val="auto"/>
                <w:sz w:val="24"/>
                <w:szCs w:val="24"/>
              </w:rPr>
              <w:t xml:space="preserve"> S, Otake S, </w:t>
            </w:r>
            <w:proofErr w:type="spellStart"/>
            <w:r w:rsidRPr="00E149F3">
              <w:rPr>
                <w:rFonts w:asciiTheme="majorBidi" w:hAnsiTheme="majorBidi" w:cstheme="majorBidi"/>
                <w:color w:val="auto"/>
                <w:sz w:val="24"/>
                <w:szCs w:val="24"/>
              </w:rPr>
              <w:t>Nakagawara</w:t>
            </w:r>
            <w:proofErr w:type="spellEnd"/>
            <w:r w:rsidRPr="00E149F3">
              <w:rPr>
                <w:rFonts w:asciiTheme="majorBidi" w:hAnsiTheme="majorBidi" w:cstheme="majorBidi"/>
                <w:color w:val="auto"/>
                <w:sz w:val="24"/>
                <w:szCs w:val="24"/>
              </w:rPr>
              <w:t xml:space="preserve"> K, Fukushima T, Lee H, Watase M, Sakurai K, Kusumoto T, Masaki K, Kamata H, Ishii M, Hasegawa N, Okada Y, Koike R, Kitagawa Y, Kimura A, Imoto S, Miyano S, Ogawa S, Kanai T, Fukunaga K. Characteristics and clinical effectiveness of COVID-19 vaccination in hospitalized patients in Omicron-dominated epidemic wave – a nationwide study in Japan. International Journal of Infectious Diseases. 2023;132:84–88. doi:10.1016/j.ijid.2023.04.399.</w:t>
            </w:r>
          </w:p>
        </w:tc>
        <w:tc>
          <w:tcPr>
            <w:tcW w:w="5938" w:type="dxa"/>
          </w:tcPr>
          <w:p w14:paraId="3D8910CD" w14:textId="77777777" w:rsidR="009405C7" w:rsidRPr="00E149F3" w:rsidRDefault="009405C7" w:rsidP="009405C7">
            <w:pPr>
              <w:pStyle w:val="MDPI31text"/>
              <w:ind w:left="0" w:firstLine="0"/>
              <w:rPr>
                <w:rFonts w:asciiTheme="majorBidi" w:hAnsiTheme="majorBidi" w:cstheme="majorBidi"/>
                <w:color w:val="auto"/>
                <w:sz w:val="24"/>
                <w:szCs w:val="24"/>
              </w:rPr>
            </w:pPr>
            <w:r w:rsidRPr="00E149F3">
              <w:rPr>
                <w:rFonts w:asciiTheme="majorBidi" w:hAnsiTheme="majorBidi" w:cstheme="majorBidi"/>
                <w:color w:val="auto"/>
                <w:sz w:val="24"/>
                <w:szCs w:val="24"/>
              </w:rPr>
              <w:t>Outside the prespecified review scope. This nationwide Japanese study evaluated the association between COVID-19 vaccination and disease severity among patients already hospitalized with COVID-19 during Delta- and Omicron-dominated waves, reporting adjusted odds ratios for critical and respiratory outcomes by number of vaccine doses. The study does not provide population-based estimates of vaccine effectiveness against hospitalization or severe disease, nor absolute or standardised relative VE using a defined vaccination comparator, and therefore its effect measures are not directly comparable with the vaccine effectiveness framework synthesised in this review.</w:t>
            </w:r>
          </w:p>
        </w:tc>
      </w:tr>
      <w:tr w:rsidR="009405C7" w14:paraId="58A11A39" w14:textId="77777777" w:rsidTr="00B20255">
        <w:tc>
          <w:tcPr>
            <w:tcW w:w="5403" w:type="dxa"/>
          </w:tcPr>
          <w:p w14:paraId="64149C93" w14:textId="6576BA74" w:rsidR="009405C7" w:rsidRPr="005F4D85" w:rsidRDefault="005F4D85" w:rsidP="009405C7">
            <w:pPr>
              <w:pStyle w:val="MDPI31text"/>
              <w:ind w:left="0" w:firstLine="0"/>
              <w:rPr>
                <w:rFonts w:asciiTheme="majorBidi" w:hAnsiTheme="majorBidi" w:cstheme="majorBidi"/>
                <w:color w:val="auto"/>
                <w:sz w:val="24"/>
                <w:szCs w:val="24"/>
              </w:rPr>
            </w:pPr>
            <w:r w:rsidRPr="005F4D85">
              <w:rPr>
                <w:rFonts w:asciiTheme="majorBidi" w:hAnsiTheme="majorBidi" w:cstheme="majorBidi"/>
                <w:color w:val="auto"/>
                <w:sz w:val="24"/>
                <w:szCs w:val="24"/>
                <w:lang w:val="en-AU"/>
              </w:rPr>
              <w:t xml:space="preserve">Tang L, Hu W, Li Y, Guo C, Feng Z, Bai N, Wang R, Zhang S, Wang Y, Liu S, Wang X, Liu Q, Liu X, Rodewald LE, Wang F, Yin Z. WSK-V102C COVID-19 vaccine effectiveness against SARS-CoV-2 JN.1 symptomatic infection among adults 60 years and older: a prospective observational cohort study in Shaanxi Province, China. </w:t>
            </w:r>
            <w:r w:rsidRPr="005F4D85">
              <w:rPr>
                <w:rFonts w:asciiTheme="majorBidi" w:hAnsiTheme="majorBidi" w:cstheme="majorBidi"/>
                <w:color w:val="auto"/>
                <w:sz w:val="24"/>
                <w:szCs w:val="24"/>
                <w:lang w:val="nb-NO"/>
              </w:rPr>
              <w:t>BMC Public Health. 2025. doi:10.1186/s12889-025-25750-1.</w:t>
            </w:r>
          </w:p>
        </w:tc>
        <w:tc>
          <w:tcPr>
            <w:tcW w:w="5938" w:type="dxa"/>
          </w:tcPr>
          <w:p w14:paraId="05C7AF6A" w14:textId="319B272F" w:rsidR="009405C7" w:rsidRPr="005F4D85" w:rsidRDefault="009405C7" w:rsidP="009405C7">
            <w:pPr>
              <w:pStyle w:val="MDPI31text"/>
              <w:ind w:left="0" w:firstLine="0"/>
              <w:rPr>
                <w:rFonts w:asciiTheme="majorBidi" w:hAnsiTheme="majorBidi" w:cstheme="majorBidi"/>
                <w:color w:val="auto"/>
                <w:sz w:val="24"/>
                <w:szCs w:val="24"/>
              </w:rPr>
            </w:pPr>
            <w:r w:rsidRPr="005F4D85">
              <w:rPr>
                <w:rFonts w:asciiTheme="majorBidi" w:hAnsiTheme="majorBidi" w:cstheme="majorBidi"/>
                <w:color w:val="auto"/>
                <w:sz w:val="24"/>
                <w:szCs w:val="24"/>
              </w:rPr>
              <w:t xml:space="preserve">Outside the prespecified review scope. This prospective cohort study reports vaccine effectiveness only against symptomatic SARS-CoV-2 infection, with no </w:t>
            </w:r>
            <w:r w:rsidR="0004402C" w:rsidRPr="005F4D85">
              <w:rPr>
                <w:rFonts w:asciiTheme="majorBidi" w:hAnsiTheme="majorBidi" w:cstheme="majorBidi"/>
                <w:color w:val="auto"/>
                <w:sz w:val="24"/>
                <w:szCs w:val="24"/>
              </w:rPr>
              <w:t>hospitalizations</w:t>
            </w:r>
            <w:r w:rsidRPr="005F4D85">
              <w:rPr>
                <w:rFonts w:asciiTheme="majorBidi" w:hAnsiTheme="majorBidi" w:cstheme="majorBidi"/>
                <w:color w:val="auto"/>
                <w:sz w:val="24"/>
                <w:szCs w:val="24"/>
              </w:rPr>
              <w:t>, severe disease, ICU admissions, or deaths observed; therefore, vaccine-effectiveness estimates for severe COVID-19 outcomes could not be derived, which were the primary outcomes of interest in this review.</w:t>
            </w:r>
          </w:p>
        </w:tc>
      </w:tr>
      <w:tr w:rsidR="009405C7" w14:paraId="07523095" w14:textId="77777777" w:rsidTr="00B20255">
        <w:tc>
          <w:tcPr>
            <w:tcW w:w="5403" w:type="dxa"/>
          </w:tcPr>
          <w:p w14:paraId="3777D6B2" w14:textId="0F40B939" w:rsidR="009405C7" w:rsidRPr="005F4D85" w:rsidRDefault="005F4D85" w:rsidP="009405C7">
            <w:pPr>
              <w:pStyle w:val="MDPI31text"/>
              <w:ind w:left="0" w:firstLine="0"/>
              <w:rPr>
                <w:rFonts w:asciiTheme="majorBidi" w:hAnsiTheme="majorBidi" w:cstheme="majorBidi"/>
                <w:color w:val="auto"/>
                <w:sz w:val="24"/>
                <w:szCs w:val="24"/>
              </w:rPr>
            </w:pPr>
            <w:r w:rsidRPr="005F4D85">
              <w:rPr>
                <w:rFonts w:asciiTheme="majorBidi" w:hAnsiTheme="majorBidi" w:cstheme="majorBidi"/>
                <w:color w:val="auto"/>
                <w:sz w:val="24"/>
                <w:szCs w:val="24"/>
                <w:lang w:val="en-AU"/>
              </w:rPr>
              <w:t xml:space="preserve">Tang L, Zhang Y, Wang F, Wu D, Qian Z-H, Zhang R, Wang A-B, Huang C, Wang H, Ye Y, Lu M, Wang C, Ma Y-T, Pan J, Li Y-F, </w:t>
            </w:r>
            <w:proofErr w:type="spellStart"/>
            <w:r w:rsidRPr="005F4D85">
              <w:rPr>
                <w:rFonts w:asciiTheme="majorBidi" w:hAnsiTheme="majorBidi" w:cstheme="majorBidi"/>
                <w:color w:val="auto"/>
                <w:sz w:val="24"/>
                <w:szCs w:val="24"/>
                <w:lang w:val="en-AU"/>
              </w:rPr>
              <w:t>Lv</w:t>
            </w:r>
            <w:proofErr w:type="spellEnd"/>
            <w:r w:rsidRPr="005F4D85">
              <w:rPr>
                <w:rFonts w:asciiTheme="majorBidi" w:hAnsiTheme="majorBidi" w:cstheme="majorBidi"/>
                <w:color w:val="auto"/>
                <w:sz w:val="24"/>
                <w:szCs w:val="24"/>
                <w:lang w:val="en-AU"/>
              </w:rPr>
              <w:t xml:space="preserve"> X-Y, An Z, Rodewald L, Wang X-Y, Shao Y-M, Wu Z-Y, Yin Z. Relative vaccine effectiveness against Delta and Omicron COVID-19 after homologous inactivated vaccine boosting: a retrospective cohort study. </w:t>
            </w:r>
            <w:r w:rsidRPr="005F4D85">
              <w:rPr>
                <w:rFonts w:asciiTheme="majorBidi" w:hAnsiTheme="majorBidi" w:cstheme="majorBidi"/>
                <w:color w:val="auto"/>
                <w:sz w:val="24"/>
                <w:szCs w:val="24"/>
                <w:lang w:val="nb-NO"/>
              </w:rPr>
              <w:t>BMJ Open. 2022;12:e063919. doi:10.1136/bmjopen-2022-063919.</w:t>
            </w:r>
          </w:p>
        </w:tc>
        <w:tc>
          <w:tcPr>
            <w:tcW w:w="5938" w:type="dxa"/>
          </w:tcPr>
          <w:p w14:paraId="0B744A47" w14:textId="6CA0E266" w:rsidR="009405C7" w:rsidRPr="005F4D85" w:rsidRDefault="009405C7" w:rsidP="009405C7">
            <w:pPr>
              <w:pStyle w:val="MDPI31text"/>
              <w:ind w:left="0" w:firstLine="0"/>
              <w:rPr>
                <w:rFonts w:asciiTheme="majorBidi" w:hAnsiTheme="majorBidi" w:cstheme="majorBidi"/>
                <w:color w:val="auto"/>
                <w:sz w:val="24"/>
                <w:szCs w:val="24"/>
              </w:rPr>
            </w:pPr>
            <w:r w:rsidRPr="005F4D85">
              <w:rPr>
                <w:rFonts w:asciiTheme="majorBidi" w:hAnsiTheme="majorBidi" w:cstheme="majorBidi"/>
                <w:color w:val="auto"/>
                <w:sz w:val="24"/>
                <w:szCs w:val="24"/>
              </w:rPr>
              <w:t>Outside the prespecified review scope. This study was conducted during early Delta and Omicron outbreaks and evaluates homologous inactivated (non–variant-adapted) vaccines, reporting relative rather than population-based absolute vaccine effectiveness. It does not provide effectiveness estimates for later Omicron subvariants (BA.5, XBB,</w:t>
            </w:r>
            <w:r w:rsidR="00FA0D7D" w:rsidRPr="005F4D85">
              <w:rPr>
                <w:rFonts w:asciiTheme="majorBidi" w:hAnsiTheme="majorBidi" w:cstheme="majorBidi"/>
                <w:color w:val="auto"/>
                <w:sz w:val="24"/>
                <w:szCs w:val="24"/>
              </w:rPr>
              <w:t xml:space="preserve"> </w:t>
            </w:r>
            <w:r w:rsidRPr="005F4D85">
              <w:rPr>
                <w:rFonts w:asciiTheme="majorBidi" w:hAnsiTheme="majorBidi" w:cstheme="majorBidi"/>
                <w:color w:val="auto"/>
                <w:sz w:val="24"/>
                <w:szCs w:val="24"/>
              </w:rPr>
              <w:t>JN.1, KP.3) or for updated/variant-adapted vaccines that are the focus of this review.</w:t>
            </w:r>
          </w:p>
        </w:tc>
      </w:tr>
      <w:tr w:rsidR="009405C7" w14:paraId="28D0EA81" w14:textId="77777777" w:rsidTr="00B20255">
        <w:tc>
          <w:tcPr>
            <w:tcW w:w="5403" w:type="dxa"/>
          </w:tcPr>
          <w:p w14:paraId="771E6CBD" w14:textId="67FB4CBA" w:rsidR="009405C7" w:rsidRPr="005F4D85" w:rsidRDefault="005F4D85" w:rsidP="009405C7">
            <w:pPr>
              <w:pStyle w:val="MDPI31text"/>
              <w:ind w:left="0" w:firstLine="0"/>
              <w:rPr>
                <w:rFonts w:asciiTheme="majorBidi" w:hAnsiTheme="majorBidi" w:cstheme="majorBidi"/>
                <w:color w:val="auto"/>
                <w:sz w:val="24"/>
                <w:szCs w:val="24"/>
              </w:rPr>
            </w:pPr>
            <w:r w:rsidRPr="005F4D85">
              <w:rPr>
                <w:rFonts w:asciiTheme="majorBidi" w:hAnsiTheme="majorBidi" w:cstheme="majorBidi"/>
                <w:color w:val="auto"/>
                <w:sz w:val="24"/>
                <w:szCs w:val="24"/>
              </w:rPr>
              <w:t xml:space="preserve">Tang L, Wang F-Z, Rodewald LE, Wang X-Y, Liu S-Y, Liu Q-Q, Wang X-Q, Wu D, Li M-S, Zhang Q, Shao Y-M, Huang L-F, Song Y-D, Huang Y, Zeng X, Liu L-J, Yang H, Huang A-D, Bao L-M, Zheng H, Ma C, </w:t>
            </w:r>
            <w:proofErr w:type="spellStart"/>
            <w:r w:rsidRPr="005F4D85">
              <w:rPr>
                <w:rFonts w:asciiTheme="majorBidi" w:hAnsiTheme="majorBidi" w:cstheme="majorBidi"/>
                <w:color w:val="auto"/>
                <w:sz w:val="24"/>
                <w:szCs w:val="24"/>
              </w:rPr>
              <w:t>Lv</w:t>
            </w:r>
            <w:proofErr w:type="spellEnd"/>
            <w:r w:rsidRPr="005F4D85">
              <w:rPr>
                <w:rFonts w:asciiTheme="majorBidi" w:hAnsiTheme="majorBidi" w:cstheme="majorBidi"/>
                <w:color w:val="auto"/>
                <w:sz w:val="24"/>
                <w:szCs w:val="24"/>
              </w:rPr>
              <w:t xml:space="preserve"> X-Y, Song L, Ma Z, Wang S-G, Ma H, Guan W-J, Wu Z-Y, Zhong N-S, Yin Z-D. Real-world effectiveness of primary series and booster doses of inactivated coronavirus disease 2019 vaccine against </w:t>
            </w:r>
            <w:r w:rsidRPr="005F4D85">
              <w:rPr>
                <w:rFonts w:asciiTheme="majorBidi" w:hAnsiTheme="majorBidi" w:cstheme="majorBidi"/>
                <w:color w:val="auto"/>
                <w:sz w:val="24"/>
                <w:szCs w:val="24"/>
              </w:rPr>
              <w:lastRenderedPageBreak/>
              <w:t>Omicron BA.2 variant infection in China: a retrospective cohort study. Journal of Infectious Diseases. 2023;228(3):261–269. doi:10.1093/</w:t>
            </w:r>
            <w:proofErr w:type="spellStart"/>
            <w:r w:rsidRPr="005F4D85">
              <w:rPr>
                <w:rFonts w:asciiTheme="majorBidi" w:hAnsiTheme="majorBidi" w:cstheme="majorBidi"/>
                <w:color w:val="auto"/>
                <w:sz w:val="24"/>
                <w:szCs w:val="24"/>
              </w:rPr>
              <w:t>infdis</w:t>
            </w:r>
            <w:proofErr w:type="spellEnd"/>
            <w:r w:rsidRPr="005F4D85">
              <w:rPr>
                <w:rFonts w:asciiTheme="majorBidi" w:hAnsiTheme="majorBidi" w:cstheme="majorBidi"/>
                <w:color w:val="auto"/>
                <w:sz w:val="24"/>
                <w:szCs w:val="24"/>
              </w:rPr>
              <w:t>/jiad090.</w:t>
            </w:r>
          </w:p>
        </w:tc>
        <w:tc>
          <w:tcPr>
            <w:tcW w:w="5938" w:type="dxa"/>
          </w:tcPr>
          <w:p w14:paraId="653E79BB" w14:textId="309C2FA7" w:rsidR="009405C7" w:rsidRPr="005F4D85" w:rsidRDefault="009405C7" w:rsidP="009405C7">
            <w:pPr>
              <w:pStyle w:val="MDPI31text"/>
              <w:ind w:left="0" w:firstLine="0"/>
              <w:rPr>
                <w:rFonts w:asciiTheme="majorBidi" w:hAnsiTheme="majorBidi" w:cstheme="majorBidi"/>
                <w:color w:val="auto"/>
                <w:sz w:val="24"/>
                <w:szCs w:val="24"/>
              </w:rPr>
            </w:pPr>
            <w:r w:rsidRPr="005F4D85">
              <w:rPr>
                <w:rFonts w:asciiTheme="majorBidi" w:hAnsiTheme="majorBidi" w:cstheme="majorBidi"/>
                <w:color w:val="auto"/>
                <w:sz w:val="24"/>
                <w:szCs w:val="24"/>
              </w:rPr>
              <w:lastRenderedPageBreak/>
              <w:t>Outside the prespecified review scope. This study was conducted during early Omicron BA.2 predominance and evaluates ancestral inactivated COVID-19 vaccines. It does not provide effectiveness estimates for later Omicron subvariants (BA.5, XBB, JN.1, KP.3) or for updated/variant-adapted vaccines that are the focus of this review.</w:t>
            </w:r>
          </w:p>
        </w:tc>
      </w:tr>
      <w:tr w:rsidR="009405C7" w14:paraId="2C20EE59" w14:textId="77777777" w:rsidTr="00B20255">
        <w:tc>
          <w:tcPr>
            <w:tcW w:w="5403" w:type="dxa"/>
          </w:tcPr>
          <w:p w14:paraId="71C11C18" w14:textId="659A063D" w:rsidR="009405C7" w:rsidRPr="00A16684" w:rsidRDefault="00A16684" w:rsidP="009405C7">
            <w:pPr>
              <w:pStyle w:val="MDPI31text"/>
              <w:ind w:left="0" w:firstLine="0"/>
              <w:rPr>
                <w:rFonts w:asciiTheme="majorBidi" w:hAnsiTheme="majorBidi" w:cstheme="majorBidi"/>
                <w:color w:val="auto"/>
                <w:sz w:val="24"/>
                <w:szCs w:val="24"/>
              </w:rPr>
            </w:pPr>
            <w:proofErr w:type="spellStart"/>
            <w:r w:rsidRPr="00A16684">
              <w:rPr>
                <w:rFonts w:asciiTheme="majorBidi" w:hAnsiTheme="majorBidi" w:cstheme="majorBidi"/>
                <w:color w:val="auto"/>
                <w:sz w:val="24"/>
                <w:szCs w:val="24"/>
                <w:lang w:val="en-GB"/>
              </w:rPr>
              <w:t>Tartof</w:t>
            </w:r>
            <w:proofErr w:type="spellEnd"/>
            <w:r w:rsidRPr="00A16684">
              <w:rPr>
                <w:rFonts w:asciiTheme="majorBidi" w:hAnsiTheme="majorBidi" w:cstheme="majorBidi"/>
                <w:color w:val="auto"/>
                <w:sz w:val="24"/>
                <w:szCs w:val="24"/>
                <w:lang w:val="en-GB"/>
              </w:rPr>
              <w:t xml:space="preserve"> SY, Slezak JM, </w:t>
            </w:r>
            <w:proofErr w:type="spellStart"/>
            <w:r w:rsidRPr="00A16684">
              <w:rPr>
                <w:rFonts w:asciiTheme="majorBidi" w:hAnsiTheme="majorBidi" w:cstheme="majorBidi"/>
                <w:color w:val="auto"/>
                <w:sz w:val="24"/>
                <w:szCs w:val="24"/>
                <w:lang w:val="en-GB"/>
              </w:rPr>
              <w:t>Puzniak</w:t>
            </w:r>
            <w:proofErr w:type="spellEnd"/>
            <w:r w:rsidRPr="00A16684">
              <w:rPr>
                <w:rFonts w:asciiTheme="majorBidi" w:hAnsiTheme="majorBidi" w:cstheme="majorBidi"/>
                <w:color w:val="auto"/>
                <w:sz w:val="24"/>
                <w:szCs w:val="24"/>
                <w:lang w:val="en-GB"/>
              </w:rPr>
              <w:t xml:space="preserve"> L, Hong V, Frankland TB, Xie F, Ackerson BK, Valluri SR, </w:t>
            </w:r>
            <w:proofErr w:type="spellStart"/>
            <w:r w:rsidRPr="00A16684">
              <w:rPr>
                <w:rFonts w:asciiTheme="majorBidi" w:hAnsiTheme="majorBidi" w:cstheme="majorBidi"/>
                <w:color w:val="auto"/>
                <w:sz w:val="24"/>
                <w:szCs w:val="24"/>
                <w:lang w:val="en-GB"/>
              </w:rPr>
              <w:t>Jodar</w:t>
            </w:r>
            <w:proofErr w:type="spellEnd"/>
            <w:r w:rsidRPr="00A16684">
              <w:rPr>
                <w:rFonts w:asciiTheme="majorBidi" w:hAnsiTheme="majorBidi" w:cstheme="majorBidi"/>
                <w:color w:val="auto"/>
                <w:sz w:val="24"/>
                <w:szCs w:val="24"/>
                <w:lang w:val="en-GB"/>
              </w:rPr>
              <w:t xml:space="preserve"> L, McLaughlin JM. </w:t>
            </w:r>
            <w:r w:rsidRPr="00A16684">
              <w:rPr>
                <w:rFonts w:asciiTheme="majorBidi" w:hAnsiTheme="majorBidi" w:cstheme="majorBidi"/>
                <w:color w:val="auto"/>
                <w:sz w:val="24"/>
                <w:szCs w:val="24"/>
                <w:lang w:val="en-AU"/>
              </w:rPr>
              <w:t xml:space="preserve">Effectiveness and durability of BNT162b2 vaccine against hospital and emergency department admissions due to SARS-CoV-2 omicron sub-lineages BA.1 and BA.2 in a large health system in the USA: a test-negative, case-control study. </w:t>
            </w:r>
            <w:r w:rsidRPr="00A16684">
              <w:rPr>
                <w:rFonts w:asciiTheme="majorBidi" w:hAnsiTheme="majorBidi" w:cstheme="majorBidi"/>
                <w:color w:val="auto"/>
                <w:sz w:val="24"/>
                <w:szCs w:val="24"/>
                <w:lang w:val="nb-NO"/>
              </w:rPr>
              <w:t xml:space="preserve">The </w:t>
            </w:r>
            <w:proofErr w:type="spellStart"/>
            <w:r w:rsidRPr="00A16684">
              <w:rPr>
                <w:rFonts w:asciiTheme="majorBidi" w:hAnsiTheme="majorBidi" w:cstheme="majorBidi"/>
                <w:color w:val="auto"/>
                <w:sz w:val="24"/>
                <w:szCs w:val="24"/>
                <w:lang w:val="nb-NO"/>
              </w:rPr>
              <w:t>Lancet</w:t>
            </w:r>
            <w:proofErr w:type="spellEnd"/>
            <w:r w:rsidRPr="00A16684">
              <w:rPr>
                <w:rFonts w:asciiTheme="majorBidi" w:hAnsiTheme="majorBidi" w:cstheme="majorBidi"/>
                <w:color w:val="auto"/>
                <w:sz w:val="24"/>
                <w:szCs w:val="24"/>
                <w:lang w:val="nb-NO"/>
              </w:rPr>
              <w:t xml:space="preserve"> </w:t>
            </w:r>
            <w:proofErr w:type="spellStart"/>
            <w:r w:rsidRPr="00A16684">
              <w:rPr>
                <w:rFonts w:asciiTheme="majorBidi" w:hAnsiTheme="majorBidi" w:cstheme="majorBidi"/>
                <w:color w:val="auto"/>
                <w:sz w:val="24"/>
                <w:szCs w:val="24"/>
                <w:lang w:val="nb-NO"/>
              </w:rPr>
              <w:t>Respiratory</w:t>
            </w:r>
            <w:proofErr w:type="spellEnd"/>
            <w:r w:rsidRPr="00A16684">
              <w:rPr>
                <w:rFonts w:asciiTheme="majorBidi" w:hAnsiTheme="majorBidi" w:cstheme="majorBidi"/>
                <w:color w:val="auto"/>
                <w:sz w:val="24"/>
                <w:szCs w:val="24"/>
                <w:lang w:val="nb-NO"/>
              </w:rPr>
              <w:t xml:space="preserve"> </w:t>
            </w:r>
            <w:proofErr w:type="spellStart"/>
            <w:r w:rsidRPr="00A16684">
              <w:rPr>
                <w:rFonts w:asciiTheme="majorBidi" w:hAnsiTheme="majorBidi" w:cstheme="majorBidi"/>
                <w:color w:val="auto"/>
                <w:sz w:val="24"/>
                <w:szCs w:val="24"/>
                <w:lang w:val="nb-NO"/>
              </w:rPr>
              <w:t>Medicine</w:t>
            </w:r>
            <w:proofErr w:type="spellEnd"/>
            <w:r w:rsidRPr="00A16684">
              <w:rPr>
                <w:rFonts w:asciiTheme="majorBidi" w:hAnsiTheme="majorBidi" w:cstheme="majorBidi"/>
                <w:color w:val="auto"/>
                <w:sz w:val="24"/>
                <w:szCs w:val="24"/>
                <w:lang w:val="nb-NO"/>
              </w:rPr>
              <w:t>. 2023;11:176–187. doi:10.1016/S2213-2600(22)00354-X.</w:t>
            </w:r>
          </w:p>
        </w:tc>
        <w:tc>
          <w:tcPr>
            <w:tcW w:w="5938" w:type="dxa"/>
          </w:tcPr>
          <w:p w14:paraId="185FBEA1" w14:textId="77777777" w:rsidR="009405C7" w:rsidRPr="00A16684" w:rsidRDefault="009405C7" w:rsidP="009405C7">
            <w:pPr>
              <w:pStyle w:val="MDPI31text"/>
              <w:ind w:left="0" w:firstLine="0"/>
              <w:rPr>
                <w:rFonts w:asciiTheme="majorBidi" w:hAnsiTheme="majorBidi" w:cstheme="majorBidi"/>
                <w:color w:val="auto"/>
                <w:sz w:val="24"/>
                <w:szCs w:val="24"/>
              </w:rPr>
            </w:pPr>
            <w:r w:rsidRPr="00A16684">
              <w:rPr>
                <w:rFonts w:asciiTheme="majorBidi" w:hAnsiTheme="majorBidi" w:cstheme="majorBidi"/>
                <w:color w:val="auto"/>
                <w:sz w:val="24"/>
                <w:szCs w:val="24"/>
              </w:rPr>
              <w:t>Outside the prespecified review scope. This study was conducted during the early Omicron period (BA.1 and BA.2; December 2021–June 2022) and evaluates ancestral-strain BNT162b2 primary series and early booster doses. The analysis predates the introduction of variant-adapted vaccines (e.g., BA.4/BA.5 bivalent, XBB.1.5, JN.1) and focuses on incremental booster effectiveness against early Omicron sub-lineages. Consequently, the vaccine-effectiveness estimates are not directly comparable with the late-Omicron, updated-vaccine effectiveness framework synthesised in this review.</w:t>
            </w:r>
          </w:p>
        </w:tc>
      </w:tr>
      <w:tr w:rsidR="009405C7" w14:paraId="03802B62" w14:textId="77777777" w:rsidTr="00B20255">
        <w:tc>
          <w:tcPr>
            <w:tcW w:w="5403" w:type="dxa"/>
          </w:tcPr>
          <w:p w14:paraId="4C1D76B7" w14:textId="14E464B8" w:rsidR="009405C7" w:rsidRPr="00DB647C" w:rsidRDefault="00DB647C" w:rsidP="009405C7">
            <w:pPr>
              <w:pStyle w:val="MDPI31text"/>
              <w:ind w:left="0" w:firstLine="0"/>
              <w:rPr>
                <w:rFonts w:asciiTheme="majorBidi" w:hAnsiTheme="majorBidi" w:cstheme="majorBidi"/>
                <w:color w:val="auto"/>
                <w:sz w:val="24"/>
                <w:szCs w:val="24"/>
              </w:rPr>
            </w:pPr>
            <w:proofErr w:type="spellStart"/>
            <w:r w:rsidRPr="00DB647C">
              <w:rPr>
                <w:rFonts w:asciiTheme="majorBidi" w:hAnsiTheme="majorBidi" w:cstheme="majorBidi"/>
                <w:color w:val="auto"/>
                <w:sz w:val="24"/>
                <w:szCs w:val="24"/>
                <w:lang w:val="en-AU"/>
              </w:rPr>
              <w:t>Tartof</w:t>
            </w:r>
            <w:proofErr w:type="spellEnd"/>
            <w:r w:rsidRPr="00DB647C">
              <w:rPr>
                <w:rFonts w:asciiTheme="majorBidi" w:hAnsiTheme="majorBidi" w:cstheme="majorBidi"/>
                <w:color w:val="auto"/>
                <w:sz w:val="24"/>
                <w:szCs w:val="24"/>
                <w:lang w:val="en-AU"/>
              </w:rPr>
              <w:t xml:space="preserve"> SY, Xie F, Yadav R, Wernli KJ, Martin ET, Belongia EA, Gaglani M, Zimmerman RK, Talbot HK, Thornburg N, Flannery B; US Flu VE Network Investigators. Prior SARS-CoV-2 infection and COVID-19 vaccine effectiveness against outpatient illness during widespread circulation of the Omicron variant. </w:t>
            </w:r>
            <w:proofErr w:type="spellStart"/>
            <w:r w:rsidRPr="00DB647C">
              <w:rPr>
                <w:rFonts w:asciiTheme="majorBidi" w:hAnsiTheme="majorBidi" w:cstheme="majorBidi"/>
                <w:color w:val="auto"/>
                <w:sz w:val="24"/>
                <w:szCs w:val="24"/>
                <w:lang w:val="nb-NO"/>
              </w:rPr>
              <w:t>Influenza</w:t>
            </w:r>
            <w:proofErr w:type="spellEnd"/>
            <w:r w:rsidRPr="00DB647C">
              <w:rPr>
                <w:rFonts w:asciiTheme="majorBidi" w:hAnsiTheme="majorBidi" w:cstheme="majorBidi"/>
                <w:color w:val="auto"/>
                <w:sz w:val="24"/>
                <w:szCs w:val="24"/>
                <w:lang w:val="nb-NO"/>
              </w:rPr>
              <w:t xml:space="preserve"> and </w:t>
            </w:r>
            <w:proofErr w:type="spellStart"/>
            <w:r w:rsidRPr="00DB647C">
              <w:rPr>
                <w:rFonts w:asciiTheme="majorBidi" w:hAnsiTheme="majorBidi" w:cstheme="majorBidi"/>
                <w:color w:val="auto"/>
                <w:sz w:val="24"/>
                <w:szCs w:val="24"/>
                <w:lang w:val="nb-NO"/>
              </w:rPr>
              <w:t>Other</w:t>
            </w:r>
            <w:proofErr w:type="spellEnd"/>
            <w:r w:rsidRPr="00DB647C">
              <w:rPr>
                <w:rFonts w:asciiTheme="majorBidi" w:hAnsiTheme="majorBidi" w:cstheme="majorBidi"/>
                <w:color w:val="auto"/>
                <w:sz w:val="24"/>
                <w:szCs w:val="24"/>
                <w:lang w:val="nb-NO"/>
              </w:rPr>
              <w:t xml:space="preserve"> </w:t>
            </w:r>
            <w:proofErr w:type="spellStart"/>
            <w:r w:rsidRPr="00DB647C">
              <w:rPr>
                <w:rFonts w:asciiTheme="majorBidi" w:hAnsiTheme="majorBidi" w:cstheme="majorBidi"/>
                <w:color w:val="auto"/>
                <w:sz w:val="24"/>
                <w:szCs w:val="24"/>
                <w:lang w:val="nb-NO"/>
              </w:rPr>
              <w:t>Respiratory</w:t>
            </w:r>
            <w:proofErr w:type="spellEnd"/>
            <w:r w:rsidRPr="00DB647C">
              <w:rPr>
                <w:rFonts w:asciiTheme="majorBidi" w:hAnsiTheme="majorBidi" w:cstheme="majorBidi"/>
                <w:color w:val="auto"/>
                <w:sz w:val="24"/>
                <w:szCs w:val="24"/>
                <w:lang w:val="nb-NO"/>
              </w:rPr>
              <w:t xml:space="preserve"> </w:t>
            </w:r>
            <w:proofErr w:type="spellStart"/>
            <w:r w:rsidRPr="00DB647C">
              <w:rPr>
                <w:rFonts w:asciiTheme="majorBidi" w:hAnsiTheme="majorBidi" w:cstheme="majorBidi"/>
                <w:color w:val="auto"/>
                <w:sz w:val="24"/>
                <w:szCs w:val="24"/>
                <w:lang w:val="nb-NO"/>
              </w:rPr>
              <w:t>Viruses</w:t>
            </w:r>
            <w:proofErr w:type="spellEnd"/>
            <w:r w:rsidRPr="00DB647C">
              <w:rPr>
                <w:rFonts w:asciiTheme="majorBidi" w:hAnsiTheme="majorBidi" w:cstheme="majorBidi"/>
                <w:color w:val="auto"/>
                <w:sz w:val="24"/>
                <w:szCs w:val="24"/>
                <w:lang w:val="nb-NO"/>
              </w:rPr>
              <w:t>. 2023;17(5):e13143. doi:10.1111/irv.13143.</w:t>
            </w:r>
          </w:p>
        </w:tc>
        <w:tc>
          <w:tcPr>
            <w:tcW w:w="5938" w:type="dxa"/>
          </w:tcPr>
          <w:p w14:paraId="2160393A" w14:textId="7B8B24F0" w:rsidR="009405C7" w:rsidRPr="00DB647C" w:rsidRDefault="009405C7" w:rsidP="009405C7">
            <w:pPr>
              <w:pStyle w:val="MDPI31text"/>
              <w:ind w:left="0" w:firstLine="0"/>
              <w:rPr>
                <w:rFonts w:asciiTheme="majorBidi" w:hAnsiTheme="majorBidi" w:cstheme="majorBidi"/>
                <w:color w:val="auto"/>
                <w:sz w:val="24"/>
                <w:szCs w:val="24"/>
              </w:rPr>
            </w:pPr>
            <w:r w:rsidRPr="00DB647C">
              <w:rPr>
                <w:rFonts w:asciiTheme="majorBidi" w:hAnsiTheme="majorBidi" w:cstheme="majorBidi"/>
                <w:color w:val="auto"/>
                <w:sz w:val="24"/>
                <w:szCs w:val="24"/>
              </w:rPr>
              <w:t>Outside the prespecified review scope. The study evaluates outpatient symptomatic infection only and monovalent mRNA vaccines during early Omicron circulation (2021–2022), with no effectiveness estimates for severe clinical outcomes (hospitali</w:t>
            </w:r>
            <w:r w:rsidR="0004402C" w:rsidRPr="00DB647C">
              <w:rPr>
                <w:rFonts w:asciiTheme="majorBidi" w:hAnsiTheme="majorBidi" w:cstheme="majorBidi"/>
                <w:color w:val="auto"/>
                <w:sz w:val="24"/>
                <w:szCs w:val="24"/>
              </w:rPr>
              <w:t>z</w:t>
            </w:r>
            <w:r w:rsidRPr="00DB647C">
              <w:rPr>
                <w:rFonts w:asciiTheme="majorBidi" w:hAnsiTheme="majorBidi" w:cstheme="majorBidi"/>
                <w:color w:val="auto"/>
                <w:sz w:val="24"/>
                <w:szCs w:val="24"/>
              </w:rPr>
              <w:t>ation, ICU admission, or death) and no assessment of variant-adapted vaccines.</w:t>
            </w:r>
          </w:p>
        </w:tc>
      </w:tr>
      <w:tr w:rsidR="009405C7" w14:paraId="2AF9AB98" w14:textId="77777777" w:rsidTr="00B20255">
        <w:tc>
          <w:tcPr>
            <w:tcW w:w="5403" w:type="dxa"/>
          </w:tcPr>
          <w:p w14:paraId="670D02C0" w14:textId="67A55793" w:rsidR="009405C7" w:rsidRPr="00B6181D" w:rsidRDefault="00B6181D" w:rsidP="009405C7">
            <w:pPr>
              <w:pStyle w:val="MDPI31text"/>
              <w:ind w:left="0" w:firstLine="0"/>
              <w:rPr>
                <w:rFonts w:asciiTheme="majorBidi" w:hAnsiTheme="majorBidi" w:cstheme="majorBidi"/>
                <w:color w:val="auto"/>
                <w:sz w:val="24"/>
                <w:szCs w:val="24"/>
              </w:rPr>
            </w:pPr>
            <w:proofErr w:type="spellStart"/>
            <w:r w:rsidRPr="00B6181D">
              <w:rPr>
                <w:rFonts w:asciiTheme="majorBidi" w:hAnsiTheme="majorBidi" w:cstheme="majorBidi"/>
                <w:color w:val="auto"/>
                <w:sz w:val="24"/>
                <w:szCs w:val="24"/>
                <w:lang w:val="en-GB"/>
              </w:rPr>
              <w:t>Tartof</w:t>
            </w:r>
            <w:proofErr w:type="spellEnd"/>
            <w:r w:rsidRPr="00B6181D">
              <w:rPr>
                <w:rFonts w:asciiTheme="majorBidi" w:hAnsiTheme="majorBidi" w:cstheme="majorBidi"/>
                <w:color w:val="auto"/>
                <w:sz w:val="24"/>
                <w:szCs w:val="24"/>
                <w:lang w:val="en-GB"/>
              </w:rPr>
              <w:t xml:space="preserve"> SY, Slezak JM, </w:t>
            </w:r>
            <w:proofErr w:type="spellStart"/>
            <w:r w:rsidRPr="00B6181D">
              <w:rPr>
                <w:rFonts w:asciiTheme="majorBidi" w:hAnsiTheme="majorBidi" w:cstheme="majorBidi"/>
                <w:color w:val="auto"/>
                <w:sz w:val="24"/>
                <w:szCs w:val="24"/>
                <w:lang w:val="en-GB"/>
              </w:rPr>
              <w:t>Puzniak</w:t>
            </w:r>
            <w:proofErr w:type="spellEnd"/>
            <w:r w:rsidRPr="00B6181D">
              <w:rPr>
                <w:rFonts w:asciiTheme="majorBidi" w:hAnsiTheme="majorBidi" w:cstheme="majorBidi"/>
                <w:color w:val="auto"/>
                <w:sz w:val="24"/>
                <w:szCs w:val="24"/>
                <w:lang w:val="en-GB"/>
              </w:rPr>
              <w:t xml:space="preserve"> L, Hong V, Xie F, Ackerson BK, Valluri SR, </w:t>
            </w:r>
            <w:proofErr w:type="spellStart"/>
            <w:r w:rsidRPr="00B6181D">
              <w:rPr>
                <w:rFonts w:asciiTheme="majorBidi" w:hAnsiTheme="majorBidi" w:cstheme="majorBidi"/>
                <w:color w:val="auto"/>
                <w:sz w:val="24"/>
                <w:szCs w:val="24"/>
                <w:lang w:val="en-GB"/>
              </w:rPr>
              <w:t>Jodar</w:t>
            </w:r>
            <w:proofErr w:type="spellEnd"/>
            <w:r w:rsidRPr="00B6181D">
              <w:rPr>
                <w:rFonts w:asciiTheme="majorBidi" w:hAnsiTheme="majorBidi" w:cstheme="majorBidi"/>
                <w:color w:val="auto"/>
                <w:sz w:val="24"/>
                <w:szCs w:val="24"/>
                <w:lang w:val="en-GB"/>
              </w:rPr>
              <w:t xml:space="preserve"> L, McLaughlin JM. </w:t>
            </w:r>
            <w:r w:rsidRPr="00B6181D">
              <w:rPr>
                <w:rFonts w:asciiTheme="majorBidi" w:hAnsiTheme="majorBidi" w:cstheme="majorBidi"/>
                <w:color w:val="auto"/>
                <w:sz w:val="24"/>
                <w:szCs w:val="24"/>
                <w:lang w:val="en-AU"/>
              </w:rPr>
              <w:t xml:space="preserve">Durability of BNT162b2 vaccine against hospital and emergency department admissions due to the Omicron and Delta variants in a large health system in the USA: a test-negative case–control study. </w:t>
            </w:r>
            <w:r w:rsidRPr="00B6181D">
              <w:rPr>
                <w:rFonts w:asciiTheme="majorBidi" w:hAnsiTheme="majorBidi" w:cstheme="majorBidi"/>
                <w:color w:val="auto"/>
                <w:sz w:val="24"/>
                <w:szCs w:val="24"/>
                <w:lang w:val="nb-NO"/>
              </w:rPr>
              <w:t xml:space="preserve">The </w:t>
            </w:r>
            <w:proofErr w:type="spellStart"/>
            <w:r w:rsidRPr="00B6181D">
              <w:rPr>
                <w:rFonts w:asciiTheme="majorBidi" w:hAnsiTheme="majorBidi" w:cstheme="majorBidi"/>
                <w:color w:val="auto"/>
                <w:sz w:val="24"/>
                <w:szCs w:val="24"/>
                <w:lang w:val="nb-NO"/>
              </w:rPr>
              <w:t>Lancet</w:t>
            </w:r>
            <w:proofErr w:type="spellEnd"/>
            <w:r w:rsidRPr="00B6181D">
              <w:rPr>
                <w:rFonts w:asciiTheme="majorBidi" w:hAnsiTheme="majorBidi" w:cstheme="majorBidi"/>
                <w:color w:val="auto"/>
                <w:sz w:val="24"/>
                <w:szCs w:val="24"/>
                <w:lang w:val="nb-NO"/>
              </w:rPr>
              <w:t xml:space="preserve"> </w:t>
            </w:r>
            <w:proofErr w:type="spellStart"/>
            <w:r w:rsidRPr="00B6181D">
              <w:rPr>
                <w:rFonts w:asciiTheme="majorBidi" w:hAnsiTheme="majorBidi" w:cstheme="majorBidi"/>
                <w:color w:val="auto"/>
                <w:sz w:val="24"/>
                <w:szCs w:val="24"/>
                <w:lang w:val="nb-NO"/>
              </w:rPr>
              <w:t>Respiratory</w:t>
            </w:r>
            <w:proofErr w:type="spellEnd"/>
            <w:r w:rsidRPr="00B6181D">
              <w:rPr>
                <w:rFonts w:asciiTheme="majorBidi" w:hAnsiTheme="majorBidi" w:cstheme="majorBidi"/>
                <w:color w:val="auto"/>
                <w:sz w:val="24"/>
                <w:szCs w:val="24"/>
                <w:lang w:val="nb-NO"/>
              </w:rPr>
              <w:t xml:space="preserve"> </w:t>
            </w:r>
            <w:proofErr w:type="spellStart"/>
            <w:r w:rsidRPr="00B6181D">
              <w:rPr>
                <w:rFonts w:asciiTheme="majorBidi" w:hAnsiTheme="majorBidi" w:cstheme="majorBidi"/>
                <w:color w:val="auto"/>
                <w:sz w:val="24"/>
                <w:szCs w:val="24"/>
                <w:lang w:val="nb-NO"/>
              </w:rPr>
              <w:t>Medicine</w:t>
            </w:r>
            <w:proofErr w:type="spellEnd"/>
            <w:r w:rsidRPr="00B6181D">
              <w:rPr>
                <w:rFonts w:asciiTheme="majorBidi" w:hAnsiTheme="majorBidi" w:cstheme="majorBidi"/>
                <w:color w:val="auto"/>
                <w:sz w:val="24"/>
                <w:szCs w:val="24"/>
                <w:lang w:val="nb-NO"/>
              </w:rPr>
              <w:t>. 2022;10:689–699. doi:10.1016/S2213-2600(22)00101-1.</w:t>
            </w:r>
          </w:p>
        </w:tc>
        <w:tc>
          <w:tcPr>
            <w:tcW w:w="5938" w:type="dxa"/>
          </w:tcPr>
          <w:p w14:paraId="792F69C5" w14:textId="77777777" w:rsidR="009405C7" w:rsidRPr="00B6181D" w:rsidRDefault="009405C7" w:rsidP="009405C7">
            <w:pPr>
              <w:pStyle w:val="MDPI31text"/>
              <w:ind w:left="0" w:firstLine="0"/>
              <w:rPr>
                <w:rFonts w:asciiTheme="majorBidi" w:hAnsiTheme="majorBidi" w:cstheme="majorBidi"/>
                <w:color w:val="auto"/>
                <w:sz w:val="24"/>
                <w:szCs w:val="24"/>
              </w:rPr>
            </w:pPr>
            <w:r w:rsidRPr="00B6181D">
              <w:rPr>
                <w:rFonts w:asciiTheme="majorBidi" w:hAnsiTheme="majorBidi" w:cstheme="majorBidi"/>
                <w:color w:val="auto"/>
                <w:sz w:val="24"/>
                <w:szCs w:val="24"/>
              </w:rPr>
              <w:t>Outside the prespecified review scope. The study evaluates monovalent BNT162b2 vaccines only during Delta and early Omicron (BA.1) circulation (2021–2022) and does not assess variant-adapted (bivalent or updated) vaccines, which are the focus of this review.</w:t>
            </w:r>
          </w:p>
        </w:tc>
      </w:tr>
      <w:tr w:rsidR="00B6181D" w:rsidRPr="00B6181D" w14:paraId="37AABF76" w14:textId="77777777" w:rsidTr="00B20255">
        <w:tc>
          <w:tcPr>
            <w:tcW w:w="5403" w:type="dxa"/>
          </w:tcPr>
          <w:p w14:paraId="4738B7F7" w14:textId="10BCC8D1" w:rsidR="009405C7" w:rsidRPr="00B6181D" w:rsidRDefault="00B6181D" w:rsidP="009405C7">
            <w:pPr>
              <w:pStyle w:val="MDPI31text"/>
              <w:ind w:left="0" w:firstLine="0"/>
              <w:rPr>
                <w:rFonts w:asciiTheme="majorBidi" w:hAnsiTheme="majorBidi" w:cstheme="majorBidi"/>
                <w:color w:val="auto"/>
                <w:sz w:val="24"/>
                <w:szCs w:val="24"/>
              </w:rPr>
            </w:pPr>
            <w:proofErr w:type="spellStart"/>
            <w:r w:rsidRPr="00B6181D">
              <w:rPr>
                <w:rFonts w:asciiTheme="majorBidi" w:hAnsiTheme="majorBidi" w:cstheme="majorBidi"/>
                <w:color w:val="auto"/>
                <w:sz w:val="24"/>
                <w:szCs w:val="24"/>
                <w:lang w:val="en-GB"/>
              </w:rPr>
              <w:t>Tartof</w:t>
            </w:r>
            <w:proofErr w:type="spellEnd"/>
            <w:r w:rsidRPr="00B6181D">
              <w:rPr>
                <w:rFonts w:asciiTheme="majorBidi" w:hAnsiTheme="majorBidi" w:cstheme="majorBidi"/>
                <w:color w:val="auto"/>
                <w:sz w:val="24"/>
                <w:szCs w:val="24"/>
                <w:lang w:val="en-GB"/>
              </w:rPr>
              <w:t xml:space="preserve"> SY, Slezak JM, </w:t>
            </w:r>
            <w:proofErr w:type="spellStart"/>
            <w:r w:rsidRPr="00B6181D">
              <w:rPr>
                <w:rFonts w:asciiTheme="majorBidi" w:hAnsiTheme="majorBidi" w:cstheme="majorBidi"/>
                <w:color w:val="auto"/>
                <w:sz w:val="24"/>
                <w:szCs w:val="24"/>
                <w:lang w:val="en-GB"/>
              </w:rPr>
              <w:t>Puzniak</w:t>
            </w:r>
            <w:proofErr w:type="spellEnd"/>
            <w:r w:rsidRPr="00B6181D">
              <w:rPr>
                <w:rFonts w:asciiTheme="majorBidi" w:hAnsiTheme="majorBidi" w:cstheme="majorBidi"/>
                <w:color w:val="auto"/>
                <w:sz w:val="24"/>
                <w:szCs w:val="24"/>
                <w:lang w:val="en-GB"/>
              </w:rPr>
              <w:t xml:space="preserve"> L, Hong V, Frankland TB, Ackerson BK, Xie F, Takhar H, Ogun OA, Simmons S, </w:t>
            </w:r>
            <w:proofErr w:type="spellStart"/>
            <w:r w:rsidRPr="00B6181D">
              <w:rPr>
                <w:rFonts w:asciiTheme="majorBidi" w:hAnsiTheme="majorBidi" w:cstheme="majorBidi"/>
                <w:color w:val="auto"/>
                <w:sz w:val="24"/>
                <w:szCs w:val="24"/>
                <w:lang w:val="en-GB"/>
              </w:rPr>
              <w:t>Zamparo</w:t>
            </w:r>
            <w:proofErr w:type="spellEnd"/>
            <w:r w:rsidRPr="00B6181D">
              <w:rPr>
                <w:rFonts w:asciiTheme="majorBidi" w:hAnsiTheme="majorBidi" w:cstheme="majorBidi"/>
                <w:color w:val="auto"/>
                <w:sz w:val="24"/>
                <w:szCs w:val="24"/>
                <w:lang w:val="en-GB"/>
              </w:rPr>
              <w:t xml:space="preserve"> JM, Valluri SR, </w:t>
            </w:r>
            <w:proofErr w:type="spellStart"/>
            <w:r w:rsidRPr="00B6181D">
              <w:rPr>
                <w:rFonts w:asciiTheme="majorBidi" w:hAnsiTheme="majorBidi" w:cstheme="majorBidi"/>
                <w:color w:val="auto"/>
                <w:sz w:val="24"/>
                <w:szCs w:val="24"/>
                <w:lang w:val="en-GB"/>
              </w:rPr>
              <w:t>Jodar</w:t>
            </w:r>
            <w:proofErr w:type="spellEnd"/>
            <w:r w:rsidRPr="00B6181D">
              <w:rPr>
                <w:rFonts w:asciiTheme="majorBidi" w:hAnsiTheme="majorBidi" w:cstheme="majorBidi"/>
                <w:color w:val="auto"/>
                <w:sz w:val="24"/>
                <w:szCs w:val="24"/>
                <w:lang w:val="en-GB"/>
              </w:rPr>
              <w:t xml:space="preserve"> L, McLaughlin JM. </w:t>
            </w:r>
            <w:r w:rsidRPr="00B6181D">
              <w:rPr>
                <w:rFonts w:asciiTheme="majorBidi" w:hAnsiTheme="majorBidi" w:cstheme="majorBidi"/>
                <w:color w:val="auto"/>
                <w:sz w:val="24"/>
                <w:szCs w:val="24"/>
                <w:lang w:val="en-AU"/>
              </w:rPr>
              <w:t xml:space="preserve">Effectiveness of BNT162b2 BA.4/5 bivalent mRNA vaccine against a range of COVID-19 outcomes in a large health system in the USA: a test-negative case–control study. </w:t>
            </w:r>
            <w:r w:rsidRPr="00B6181D">
              <w:rPr>
                <w:rFonts w:asciiTheme="majorBidi" w:hAnsiTheme="majorBidi" w:cstheme="majorBidi"/>
                <w:color w:val="auto"/>
                <w:sz w:val="24"/>
                <w:szCs w:val="24"/>
                <w:lang w:val="nb-NO"/>
              </w:rPr>
              <w:t xml:space="preserve">The </w:t>
            </w:r>
            <w:proofErr w:type="spellStart"/>
            <w:r w:rsidRPr="00B6181D">
              <w:rPr>
                <w:rFonts w:asciiTheme="majorBidi" w:hAnsiTheme="majorBidi" w:cstheme="majorBidi"/>
                <w:color w:val="auto"/>
                <w:sz w:val="24"/>
                <w:szCs w:val="24"/>
                <w:lang w:val="nb-NO"/>
              </w:rPr>
              <w:t>Lancet</w:t>
            </w:r>
            <w:proofErr w:type="spellEnd"/>
            <w:r w:rsidRPr="00B6181D">
              <w:rPr>
                <w:rFonts w:asciiTheme="majorBidi" w:hAnsiTheme="majorBidi" w:cstheme="majorBidi"/>
                <w:color w:val="auto"/>
                <w:sz w:val="24"/>
                <w:szCs w:val="24"/>
                <w:lang w:val="nb-NO"/>
              </w:rPr>
              <w:t xml:space="preserve"> </w:t>
            </w:r>
            <w:proofErr w:type="spellStart"/>
            <w:r w:rsidRPr="00B6181D">
              <w:rPr>
                <w:rFonts w:asciiTheme="majorBidi" w:hAnsiTheme="majorBidi" w:cstheme="majorBidi"/>
                <w:color w:val="auto"/>
                <w:sz w:val="24"/>
                <w:szCs w:val="24"/>
                <w:lang w:val="nb-NO"/>
              </w:rPr>
              <w:t>Respiratory</w:t>
            </w:r>
            <w:proofErr w:type="spellEnd"/>
            <w:r w:rsidRPr="00B6181D">
              <w:rPr>
                <w:rFonts w:asciiTheme="majorBidi" w:hAnsiTheme="majorBidi" w:cstheme="majorBidi"/>
                <w:color w:val="auto"/>
                <w:sz w:val="24"/>
                <w:szCs w:val="24"/>
                <w:lang w:val="nb-NO"/>
              </w:rPr>
              <w:t xml:space="preserve"> </w:t>
            </w:r>
            <w:proofErr w:type="spellStart"/>
            <w:r w:rsidRPr="00B6181D">
              <w:rPr>
                <w:rFonts w:asciiTheme="majorBidi" w:hAnsiTheme="majorBidi" w:cstheme="majorBidi"/>
                <w:color w:val="auto"/>
                <w:sz w:val="24"/>
                <w:szCs w:val="24"/>
                <w:lang w:val="nb-NO"/>
              </w:rPr>
              <w:t>Medicine</w:t>
            </w:r>
            <w:proofErr w:type="spellEnd"/>
            <w:r w:rsidRPr="00B6181D">
              <w:rPr>
                <w:rFonts w:asciiTheme="majorBidi" w:hAnsiTheme="majorBidi" w:cstheme="majorBidi"/>
                <w:color w:val="auto"/>
                <w:sz w:val="24"/>
                <w:szCs w:val="24"/>
                <w:lang w:val="nb-NO"/>
              </w:rPr>
              <w:t>. 2023;11:1089–1100. doi:10.1016/S2213-2600(23)00306-5.</w:t>
            </w:r>
          </w:p>
        </w:tc>
        <w:tc>
          <w:tcPr>
            <w:tcW w:w="5938" w:type="dxa"/>
          </w:tcPr>
          <w:p w14:paraId="65F65F16" w14:textId="20D8AE61" w:rsidR="009405C7" w:rsidRPr="00B6181D" w:rsidRDefault="009405C7" w:rsidP="009405C7">
            <w:pPr>
              <w:pStyle w:val="MDPI31text"/>
              <w:ind w:left="0" w:firstLine="0"/>
              <w:rPr>
                <w:rFonts w:asciiTheme="majorBidi" w:hAnsiTheme="majorBidi" w:cstheme="majorBidi"/>
                <w:color w:val="auto"/>
                <w:sz w:val="24"/>
                <w:szCs w:val="24"/>
              </w:rPr>
            </w:pPr>
            <w:r w:rsidRPr="00B6181D">
              <w:rPr>
                <w:rFonts w:asciiTheme="majorBidi" w:hAnsiTheme="majorBidi" w:cstheme="majorBidi"/>
                <w:color w:val="auto"/>
                <w:sz w:val="24"/>
                <w:szCs w:val="24"/>
              </w:rPr>
              <w:t xml:space="preserve">Outside the prespecified review scope. This test-negative case–control study evaluates the </w:t>
            </w:r>
            <w:r w:rsidR="000D7E6B" w:rsidRPr="00B6181D">
              <w:rPr>
                <w:rFonts w:asciiTheme="majorBidi" w:hAnsiTheme="majorBidi" w:cstheme="majorBidi"/>
                <w:color w:val="auto"/>
                <w:sz w:val="24"/>
                <w:szCs w:val="24"/>
              </w:rPr>
              <w:t xml:space="preserve">BA.4/BA.5 </w:t>
            </w:r>
            <w:r w:rsidRPr="00B6181D">
              <w:rPr>
                <w:rFonts w:asciiTheme="majorBidi" w:hAnsiTheme="majorBidi" w:cstheme="majorBidi"/>
                <w:color w:val="auto"/>
                <w:sz w:val="24"/>
                <w:szCs w:val="24"/>
              </w:rPr>
              <w:t>bivalent mRNA vaccine during a pre-XBB Omicron period (August 2022–April 2023). The study does not assess monovalent XBB.1.5-adapted vaccines or variant-specific effectiveness during XBB, JN.1, or KP lineage predominance, and therefore is not directly comparable with the vaccine formulations and variant periods synthesised in this review.</w:t>
            </w:r>
          </w:p>
        </w:tc>
      </w:tr>
      <w:tr w:rsidR="009405C7" w14:paraId="47FE8CFF" w14:textId="77777777" w:rsidTr="00B20255">
        <w:tc>
          <w:tcPr>
            <w:tcW w:w="5403" w:type="dxa"/>
          </w:tcPr>
          <w:p w14:paraId="2C7FDDFF" w14:textId="442CA096" w:rsidR="009405C7" w:rsidRPr="00F86A4E" w:rsidRDefault="00F86A4E" w:rsidP="009405C7">
            <w:pPr>
              <w:pStyle w:val="MDPI31text"/>
              <w:ind w:left="0" w:firstLine="0"/>
              <w:rPr>
                <w:rFonts w:asciiTheme="majorBidi" w:hAnsiTheme="majorBidi" w:cstheme="majorBidi"/>
                <w:color w:val="auto"/>
                <w:sz w:val="24"/>
                <w:szCs w:val="24"/>
              </w:rPr>
            </w:pPr>
            <w:proofErr w:type="spellStart"/>
            <w:r w:rsidRPr="00F86A4E">
              <w:rPr>
                <w:rFonts w:asciiTheme="majorBidi" w:hAnsiTheme="majorBidi" w:cstheme="majorBidi"/>
                <w:color w:val="auto"/>
                <w:sz w:val="24"/>
                <w:szCs w:val="24"/>
                <w:lang w:val="en-AU"/>
              </w:rPr>
              <w:t>Tenforde</w:t>
            </w:r>
            <w:proofErr w:type="spellEnd"/>
            <w:r w:rsidRPr="00F86A4E">
              <w:rPr>
                <w:rFonts w:asciiTheme="majorBidi" w:hAnsiTheme="majorBidi" w:cstheme="majorBidi"/>
                <w:color w:val="auto"/>
                <w:sz w:val="24"/>
                <w:szCs w:val="24"/>
                <w:lang w:val="en-AU"/>
              </w:rPr>
              <w:t xml:space="preserve"> MW, Weber ZA, Natarajan K, Klein NP, Kharbanda AB, Stenehjem E, </w:t>
            </w:r>
            <w:proofErr w:type="spellStart"/>
            <w:r w:rsidRPr="00F86A4E">
              <w:rPr>
                <w:rFonts w:asciiTheme="majorBidi" w:hAnsiTheme="majorBidi" w:cstheme="majorBidi"/>
                <w:color w:val="auto"/>
                <w:sz w:val="24"/>
                <w:szCs w:val="24"/>
                <w:lang w:val="en-AU"/>
              </w:rPr>
              <w:t>Embi</w:t>
            </w:r>
            <w:proofErr w:type="spellEnd"/>
            <w:r w:rsidRPr="00F86A4E">
              <w:rPr>
                <w:rFonts w:asciiTheme="majorBidi" w:hAnsiTheme="majorBidi" w:cstheme="majorBidi"/>
                <w:color w:val="auto"/>
                <w:sz w:val="24"/>
                <w:szCs w:val="24"/>
                <w:lang w:val="en-AU"/>
              </w:rPr>
              <w:t xml:space="preserve"> PJ, Reese SE, Naleway AL, Grannis SJ, DeSilva MB, Ong TC, Gaglani M, Han J, Dickerson M, Fireman B, Dascomb K, Irving SA, Vazquez-Benitez G, Rao S, </w:t>
            </w:r>
            <w:proofErr w:type="spellStart"/>
            <w:r w:rsidRPr="00F86A4E">
              <w:rPr>
                <w:rFonts w:asciiTheme="majorBidi" w:hAnsiTheme="majorBidi" w:cstheme="majorBidi"/>
                <w:color w:val="auto"/>
                <w:sz w:val="24"/>
                <w:szCs w:val="24"/>
                <w:lang w:val="en-AU"/>
              </w:rPr>
              <w:t>Konatham</w:t>
            </w:r>
            <w:proofErr w:type="spellEnd"/>
            <w:r w:rsidRPr="00F86A4E">
              <w:rPr>
                <w:rFonts w:asciiTheme="majorBidi" w:hAnsiTheme="majorBidi" w:cstheme="majorBidi"/>
                <w:color w:val="auto"/>
                <w:sz w:val="24"/>
                <w:szCs w:val="24"/>
                <w:lang w:val="en-AU"/>
              </w:rPr>
              <w:t xml:space="preserve"> D, Patel P, Schrader KE, Lewis N, Grisel N, McEvoy C, Murthy K, Griggs EP, Rowley EAK, Zerbo O, Arndorfer J, Dunne MM, Goddard K, Ray C, Zhuang Y, Timbol J, Najdowski M, Yang D-H, Hansen J, Ball </w:t>
            </w:r>
            <w:r w:rsidRPr="00F86A4E">
              <w:rPr>
                <w:rFonts w:asciiTheme="majorBidi" w:hAnsiTheme="majorBidi" w:cstheme="majorBidi"/>
                <w:color w:val="auto"/>
                <w:sz w:val="24"/>
                <w:szCs w:val="24"/>
                <w:lang w:val="en-AU"/>
              </w:rPr>
              <w:lastRenderedPageBreak/>
              <w:t xml:space="preserve">SW, Link-Gelles R. Early estimates of bivalent mRNA vaccine effectiveness in preventing COVID-19–associated emergency department or urgent care encounters and hospitalizations among immunocompetent adults — VISION Network, nine states, September–November 2022. </w:t>
            </w:r>
            <w:r w:rsidRPr="00F86A4E">
              <w:rPr>
                <w:rFonts w:asciiTheme="majorBidi" w:hAnsiTheme="majorBidi" w:cstheme="majorBidi"/>
                <w:color w:val="auto"/>
                <w:sz w:val="24"/>
                <w:szCs w:val="24"/>
                <w:lang w:val="nb-NO"/>
              </w:rPr>
              <w:t xml:space="preserve">MMWR </w:t>
            </w:r>
            <w:proofErr w:type="spellStart"/>
            <w:r w:rsidRPr="00F86A4E">
              <w:rPr>
                <w:rFonts w:asciiTheme="majorBidi" w:hAnsiTheme="majorBidi" w:cstheme="majorBidi"/>
                <w:color w:val="auto"/>
                <w:sz w:val="24"/>
                <w:szCs w:val="24"/>
                <w:lang w:val="nb-NO"/>
              </w:rPr>
              <w:t>Morbidity</w:t>
            </w:r>
            <w:proofErr w:type="spellEnd"/>
            <w:r w:rsidRPr="00F86A4E">
              <w:rPr>
                <w:rFonts w:asciiTheme="majorBidi" w:hAnsiTheme="majorBidi" w:cstheme="majorBidi"/>
                <w:color w:val="auto"/>
                <w:sz w:val="24"/>
                <w:szCs w:val="24"/>
                <w:lang w:val="nb-NO"/>
              </w:rPr>
              <w:t xml:space="preserve"> and </w:t>
            </w:r>
            <w:proofErr w:type="spellStart"/>
            <w:r w:rsidRPr="00F86A4E">
              <w:rPr>
                <w:rFonts w:asciiTheme="majorBidi" w:hAnsiTheme="majorBidi" w:cstheme="majorBidi"/>
                <w:color w:val="auto"/>
                <w:sz w:val="24"/>
                <w:szCs w:val="24"/>
                <w:lang w:val="nb-NO"/>
              </w:rPr>
              <w:t>Mortality</w:t>
            </w:r>
            <w:proofErr w:type="spellEnd"/>
            <w:r w:rsidRPr="00F86A4E">
              <w:rPr>
                <w:rFonts w:asciiTheme="majorBidi" w:hAnsiTheme="majorBidi" w:cstheme="majorBidi"/>
                <w:color w:val="auto"/>
                <w:sz w:val="24"/>
                <w:szCs w:val="24"/>
                <w:lang w:val="nb-NO"/>
              </w:rPr>
              <w:t xml:space="preserve"> </w:t>
            </w:r>
            <w:proofErr w:type="spellStart"/>
            <w:r w:rsidRPr="00F86A4E">
              <w:rPr>
                <w:rFonts w:asciiTheme="majorBidi" w:hAnsiTheme="majorBidi" w:cstheme="majorBidi"/>
                <w:color w:val="auto"/>
                <w:sz w:val="24"/>
                <w:szCs w:val="24"/>
                <w:lang w:val="nb-NO"/>
              </w:rPr>
              <w:t>Weekly</w:t>
            </w:r>
            <w:proofErr w:type="spellEnd"/>
            <w:r w:rsidRPr="00F86A4E">
              <w:rPr>
                <w:rFonts w:asciiTheme="majorBidi" w:hAnsiTheme="majorBidi" w:cstheme="majorBidi"/>
                <w:color w:val="auto"/>
                <w:sz w:val="24"/>
                <w:szCs w:val="24"/>
                <w:lang w:val="nb-NO"/>
              </w:rPr>
              <w:t xml:space="preserve"> Report. 2022;71(51–52):1616–1624.</w:t>
            </w:r>
          </w:p>
        </w:tc>
        <w:tc>
          <w:tcPr>
            <w:tcW w:w="5938" w:type="dxa"/>
          </w:tcPr>
          <w:p w14:paraId="40744818" w14:textId="77777777" w:rsidR="009405C7" w:rsidRPr="00F86A4E" w:rsidRDefault="009405C7"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lastRenderedPageBreak/>
              <w:t xml:space="preserve">Outside the prespecified review scope. This study was conducted during the early bivalent vaccine period (September–November 2022) when Omicron BA.4/BA.5 predominated and evaluates short-term effectiveness of early bivalent booster doses using an incremental (relative) vaccine-effectiveness framework. The analysis predates the 2023–2024 monovalent XBB.1.5–adapted vaccine era and the subsequent XBB and JN.1 variant circulation that are the focus of this review. Consequently, the timing, vaccine </w:t>
            </w:r>
            <w:r w:rsidRPr="00F86A4E">
              <w:rPr>
                <w:rFonts w:asciiTheme="majorBidi" w:hAnsiTheme="majorBidi" w:cstheme="majorBidi"/>
                <w:color w:val="auto"/>
                <w:sz w:val="24"/>
                <w:szCs w:val="24"/>
              </w:rPr>
              <w:lastRenderedPageBreak/>
              <w:t>formulation, and effectiveness framework are not directly comparable with the updated-vaccine, late-Omicron effectiveness estimates synthesised here.</w:t>
            </w:r>
          </w:p>
        </w:tc>
      </w:tr>
      <w:tr w:rsidR="009405C7" w14:paraId="69CE43B1" w14:textId="77777777" w:rsidTr="00B20255">
        <w:tc>
          <w:tcPr>
            <w:tcW w:w="5403" w:type="dxa"/>
          </w:tcPr>
          <w:p w14:paraId="0B73E908" w14:textId="40E7D391" w:rsidR="009405C7" w:rsidRPr="00F86A4E" w:rsidRDefault="00F86A4E" w:rsidP="009405C7">
            <w:pPr>
              <w:pStyle w:val="MDPI31text"/>
              <w:ind w:left="0" w:firstLine="0"/>
              <w:rPr>
                <w:rFonts w:asciiTheme="majorBidi" w:hAnsiTheme="majorBidi" w:cstheme="majorBidi"/>
                <w:color w:val="auto"/>
                <w:sz w:val="24"/>
                <w:szCs w:val="24"/>
              </w:rPr>
            </w:pPr>
            <w:proofErr w:type="spellStart"/>
            <w:r w:rsidRPr="00F86A4E">
              <w:rPr>
                <w:rFonts w:asciiTheme="majorBidi" w:hAnsiTheme="majorBidi" w:cstheme="majorBidi"/>
                <w:color w:val="auto"/>
                <w:sz w:val="24"/>
                <w:szCs w:val="24"/>
                <w:lang w:val="en-GB"/>
              </w:rPr>
              <w:lastRenderedPageBreak/>
              <w:t>Tenforde</w:t>
            </w:r>
            <w:proofErr w:type="spellEnd"/>
            <w:r w:rsidRPr="00F86A4E">
              <w:rPr>
                <w:rFonts w:asciiTheme="majorBidi" w:hAnsiTheme="majorBidi" w:cstheme="majorBidi"/>
                <w:color w:val="auto"/>
                <w:sz w:val="24"/>
                <w:szCs w:val="24"/>
                <w:lang w:val="en-GB"/>
              </w:rPr>
              <w:t xml:space="preserve"> MW, Self WH, Zhu Y, </w:t>
            </w:r>
            <w:proofErr w:type="spellStart"/>
            <w:r w:rsidRPr="00F86A4E">
              <w:rPr>
                <w:rFonts w:asciiTheme="majorBidi" w:hAnsiTheme="majorBidi" w:cstheme="majorBidi"/>
                <w:color w:val="auto"/>
                <w:sz w:val="24"/>
                <w:szCs w:val="24"/>
                <w:lang w:val="en-GB"/>
              </w:rPr>
              <w:t>Naioti</w:t>
            </w:r>
            <w:proofErr w:type="spellEnd"/>
            <w:r w:rsidRPr="00F86A4E">
              <w:rPr>
                <w:rFonts w:asciiTheme="majorBidi" w:hAnsiTheme="majorBidi" w:cstheme="majorBidi"/>
                <w:color w:val="auto"/>
                <w:sz w:val="24"/>
                <w:szCs w:val="24"/>
                <w:lang w:val="en-GB"/>
              </w:rPr>
              <w:t xml:space="preserve"> EA, Gaglani M, Ginde AA, Jensen K, Talbot HK, Casey JD, Mohr NM, </w:t>
            </w:r>
            <w:proofErr w:type="spellStart"/>
            <w:r w:rsidRPr="00F86A4E">
              <w:rPr>
                <w:rFonts w:asciiTheme="majorBidi" w:hAnsiTheme="majorBidi" w:cstheme="majorBidi"/>
                <w:color w:val="auto"/>
                <w:sz w:val="24"/>
                <w:szCs w:val="24"/>
                <w:lang w:val="en-GB"/>
              </w:rPr>
              <w:t>Zepeski</w:t>
            </w:r>
            <w:proofErr w:type="spellEnd"/>
            <w:r w:rsidRPr="00F86A4E">
              <w:rPr>
                <w:rFonts w:asciiTheme="majorBidi" w:hAnsiTheme="majorBidi" w:cstheme="majorBidi"/>
                <w:color w:val="auto"/>
                <w:sz w:val="24"/>
                <w:szCs w:val="24"/>
                <w:lang w:val="en-GB"/>
              </w:rPr>
              <w:t xml:space="preserve"> A, McNeal T, </w:t>
            </w:r>
            <w:proofErr w:type="spellStart"/>
            <w:r w:rsidRPr="00F86A4E">
              <w:rPr>
                <w:rFonts w:asciiTheme="majorBidi" w:hAnsiTheme="majorBidi" w:cstheme="majorBidi"/>
                <w:color w:val="auto"/>
                <w:sz w:val="24"/>
                <w:szCs w:val="24"/>
                <w:lang w:val="en-GB"/>
              </w:rPr>
              <w:t>Ghamande</w:t>
            </w:r>
            <w:proofErr w:type="spellEnd"/>
            <w:r w:rsidRPr="00F86A4E">
              <w:rPr>
                <w:rFonts w:asciiTheme="majorBidi" w:hAnsiTheme="majorBidi" w:cstheme="majorBidi"/>
                <w:color w:val="auto"/>
                <w:sz w:val="24"/>
                <w:szCs w:val="24"/>
                <w:lang w:val="en-GB"/>
              </w:rPr>
              <w:t xml:space="preserve"> S, Gibbs KW, Files DC, Hager DN, Shehu A, Prekker ME, Erickson HL, Gong MN, Mohamed A, Johnson NJ, Srinivasan V, </w:t>
            </w:r>
            <w:proofErr w:type="spellStart"/>
            <w:r w:rsidRPr="00F86A4E">
              <w:rPr>
                <w:rFonts w:asciiTheme="majorBidi" w:hAnsiTheme="majorBidi" w:cstheme="majorBidi"/>
                <w:color w:val="auto"/>
                <w:sz w:val="24"/>
                <w:szCs w:val="24"/>
                <w:lang w:val="en-GB"/>
              </w:rPr>
              <w:t>Steingrub</w:t>
            </w:r>
            <w:proofErr w:type="spellEnd"/>
            <w:r w:rsidRPr="00F86A4E">
              <w:rPr>
                <w:rFonts w:asciiTheme="majorBidi" w:hAnsiTheme="majorBidi" w:cstheme="majorBidi"/>
                <w:color w:val="auto"/>
                <w:sz w:val="24"/>
                <w:szCs w:val="24"/>
                <w:lang w:val="en-GB"/>
              </w:rPr>
              <w:t xml:space="preserve"> JS, </w:t>
            </w:r>
            <w:proofErr w:type="spellStart"/>
            <w:r w:rsidRPr="00F86A4E">
              <w:rPr>
                <w:rFonts w:asciiTheme="majorBidi" w:hAnsiTheme="majorBidi" w:cstheme="majorBidi"/>
                <w:color w:val="auto"/>
                <w:sz w:val="24"/>
                <w:szCs w:val="24"/>
                <w:lang w:val="en-GB"/>
              </w:rPr>
              <w:t>Peltan</w:t>
            </w:r>
            <w:proofErr w:type="spellEnd"/>
            <w:r w:rsidRPr="00F86A4E">
              <w:rPr>
                <w:rFonts w:asciiTheme="majorBidi" w:hAnsiTheme="majorBidi" w:cstheme="majorBidi"/>
                <w:color w:val="auto"/>
                <w:sz w:val="24"/>
                <w:szCs w:val="24"/>
                <w:lang w:val="en-GB"/>
              </w:rPr>
              <w:t xml:space="preserve"> ID, Brown SM, Martin ET, Monto AS, Khan A, Hough CL, Busse LW, ten Lohuis C, Duggal A, Wilson JG, Qadir N, Chang SY, Mallow C, Rivas C, Babcock HM, Kwon JH, Exline MC, Botros MM, Lauring AS, Shapiro NI, Halasa N, Chappell JD, Grijalva CG, Rice TW, Jones ID, Stubblefield WB, Baughman A, Womack KN, Rhoads JP, Lindsell CJ, Hart KW, Turbyfill C, Olson S, Murray N, Adams K, Patel MM; IVY Network. </w:t>
            </w:r>
            <w:r w:rsidRPr="00F86A4E">
              <w:rPr>
                <w:rFonts w:asciiTheme="majorBidi" w:hAnsiTheme="majorBidi" w:cstheme="majorBidi"/>
                <w:color w:val="auto"/>
                <w:sz w:val="24"/>
                <w:szCs w:val="24"/>
                <w:lang w:val="en-AU"/>
              </w:rPr>
              <w:t xml:space="preserve">Protection of messenger RNA vaccines against hospitalized COVID-19 in adults over the first year following authorization in the United States. </w:t>
            </w:r>
            <w:proofErr w:type="spellStart"/>
            <w:r w:rsidRPr="00F86A4E">
              <w:rPr>
                <w:rFonts w:asciiTheme="majorBidi" w:hAnsiTheme="majorBidi" w:cstheme="majorBidi"/>
                <w:color w:val="auto"/>
                <w:sz w:val="24"/>
                <w:szCs w:val="24"/>
                <w:lang w:val="nb-NO"/>
              </w:rPr>
              <w:t>Clinical</w:t>
            </w:r>
            <w:proofErr w:type="spellEnd"/>
            <w:r w:rsidRPr="00F86A4E">
              <w:rPr>
                <w:rFonts w:asciiTheme="majorBidi" w:hAnsiTheme="majorBidi" w:cstheme="majorBidi"/>
                <w:color w:val="auto"/>
                <w:sz w:val="24"/>
                <w:szCs w:val="24"/>
                <w:lang w:val="nb-NO"/>
              </w:rPr>
              <w:t xml:space="preserve"> </w:t>
            </w:r>
            <w:proofErr w:type="spellStart"/>
            <w:r w:rsidRPr="00F86A4E">
              <w:rPr>
                <w:rFonts w:asciiTheme="majorBidi" w:hAnsiTheme="majorBidi" w:cstheme="majorBidi"/>
                <w:color w:val="auto"/>
                <w:sz w:val="24"/>
                <w:szCs w:val="24"/>
                <w:lang w:val="nb-NO"/>
              </w:rPr>
              <w:t>Infectious</w:t>
            </w:r>
            <w:proofErr w:type="spellEnd"/>
            <w:r w:rsidRPr="00F86A4E">
              <w:rPr>
                <w:rFonts w:asciiTheme="majorBidi" w:hAnsiTheme="majorBidi" w:cstheme="majorBidi"/>
                <w:color w:val="auto"/>
                <w:sz w:val="24"/>
                <w:szCs w:val="24"/>
                <w:lang w:val="nb-NO"/>
              </w:rPr>
              <w:t xml:space="preserve"> </w:t>
            </w:r>
            <w:proofErr w:type="spellStart"/>
            <w:r w:rsidRPr="00F86A4E">
              <w:rPr>
                <w:rFonts w:asciiTheme="majorBidi" w:hAnsiTheme="majorBidi" w:cstheme="majorBidi"/>
                <w:color w:val="auto"/>
                <w:sz w:val="24"/>
                <w:szCs w:val="24"/>
                <w:lang w:val="nb-NO"/>
              </w:rPr>
              <w:t>Diseases</w:t>
            </w:r>
            <w:proofErr w:type="spellEnd"/>
            <w:r w:rsidRPr="00F86A4E">
              <w:rPr>
                <w:rFonts w:asciiTheme="majorBidi" w:hAnsiTheme="majorBidi" w:cstheme="majorBidi"/>
                <w:color w:val="auto"/>
                <w:sz w:val="24"/>
                <w:szCs w:val="24"/>
                <w:lang w:val="nb-NO"/>
              </w:rPr>
              <w:t>. 2023;76(3):e460–e468. doi:10.1093/</w:t>
            </w:r>
            <w:proofErr w:type="spellStart"/>
            <w:r w:rsidRPr="00F86A4E">
              <w:rPr>
                <w:rFonts w:asciiTheme="majorBidi" w:hAnsiTheme="majorBidi" w:cstheme="majorBidi"/>
                <w:color w:val="auto"/>
                <w:sz w:val="24"/>
                <w:szCs w:val="24"/>
                <w:lang w:val="nb-NO"/>
              </w:rPr>
              <w:t>cid</w:t>
            </w:r>
            <w:proofErr w:type="spellEnd"/>
            <w:r w:rsidRPr="00F86A4E">
              <w:rPr>
                <w:rFonts w:asciiTheme="majorBidi" w:hAnsiTheme="majorBidi" w:cstheme="majorBidi"/>
                <w:color w:val="auto"/>
                <w:sz w:val="24"/>
                <w:szCs w:val="24"/>
                <w:lang w:val="nb-NO"/>
              </w:rPr>
              <w:t>/ciac381.</w:t>
            </w:r>
          </w:p>
        </w:tc>
        <w:tc>
          <w:tcPr>
            <w:tcW w:w="5938" w:type="dxa"/>
          </w:tcPr>
          <w:p w14:paraId="78BF9BF0" w14:textId="63A18D9E" w:rsidR="009405C7" w:rsidRPr="00F86A4E" w:rsidRDefault="009405C7"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 xml:space="preserve">Outside the prespecified review scope. This </w:t>
            </w:r>
            <w:r w:rsidR="00A00942" w:rsidRPr="00F86A4E">
              <w:rPr>
                <w:rFonts w:asciiTheme="majorBidi" w:hAnsiTheme="majorBidi" w:cstheme="majorBidi"/>
                <w:color w:val="auto"/>
                <w:sz w:val="24"/>
                <w:szCs w:val="24"/>
              </w:rPr>
              <w:t>multicenter</w:t>
            </w:r>
            <w:r w:rsidRPr="00F86A4E">
              <w:rPr>
                <w:rFonts w:asciiTheme="majorBidi" w:hAnsiTheme="majorBidi" w:cstheme="majorBidi"/>
                <w:color w:val="auto"/>
                <w:sz w:val="24"/>
                <w:szCs w:val="24"/>
              </w:rPr>
              <w:t xml:space="preserve"> test-negative case–control study evaluates vaccine effectiveness against COVID-19–associated hospitalization during pre-Omicron and Delta-predominant periods (March–December 2021). It does not report vaccine effectiveness estimates during Omicron-dominant periods and therefore does not meet the inclusion criteria for this review.</w:t>
            </w:r>
          </w:p>
        </w:tc>
      </w:tr>
      <w:tr w:rsidR="009405C7" w14:paraId="3A29DE25" w14:textId="77777777" w:rsidTr="00B20255">
        <w:tc>
          <w:tcPr>
            <w:tcW w:w="5403" w:type="dxa"/>
          </w:tcPr>
          <w:p w14:paraId="2907C0BB" w14:textId="10D44502" w:rsidR="009405C7" w:rsidRPr="00F86A4E" w:rsidRDefault="00F86A4E" w:rsidP="009405C7">
            <w:pPr>
              <w:pStyle w:val="MDPI31text"/>
              <w:ind w:left="0" w:firstLine="0"/>
              <w:rPr>
                <w:rFonts w:asciiTheme="majorBidi" w:hAnsiTheme="majorBidi" w:cstheme="majorBidi"/>
                <w:color w:val="auto"/>
                <w:sz w:val="24"/>
                <w:szCs w:val="24"/>
              </w:rPr>
            </w:pPr>
            <w:proofErr w:type="spellStart"/>
            <w:r w:rsidRPr="00F86A4E">
              <w:rPr>
                <w:rFonts w:asciiTheme="majorBidi" w:hAnsiTheme="majorBidi" w:cstheme="majorBidi"/>
                <w:color w:val="auto"/>
                <w:sz w:val="24"/>
                <w:szCs w:val="24"/>
              </w:rPr>
              <w:t>Theparod</w:t>
            </w:r>
            <w:proofErr w:type="spellEnd"/>
            <w:r w:rsidRPr="00F86A4E">
              <w:rPr>
                <w:rFonts w:asciiTheme="majorBidi" w:hAnsiTheme="majorBidi" w:cstheme="majorBidi"/>
                <w:color w:val="auto"/>
                <w:sz w:val="24"/>
                <w:szCs w:val="24"/>
              </w:rPr>
              <w:t xml:space="preserve"> T, </w:t>
            </w:r>
            <w:proofErr w:type="spellStart"/>
            <w:r w:rsidRPr="00F86A4E">
              <w:rPr>
                <w:rFonts w:asciiTheme="majorBidi" w:hAnsiTheme="majorBidi" w:cstheme="majorBidi"/>
                <w:color w:val="auto"/>
                <w:sz w:val="24"/>
                <w:szCs w:val="24"/>
              </w:rPr>
              <w:t>Kreabkhontho</w:t>
            </w:r>
            <w:proofErr w:type="spellEnd"/>
            <w:r w:rsidRPr="00F86A4E">
              <w:rPr>
                <w:rFonts w:asciiTheme="majorBidi" w:hAnsiTheme="majorBidi" w:cstheme="majorBidi"/>
                <w:color w:val="auto"/>
                <w:sz w:val="24"/>
                <w:szCs w:val="24"/>
              </w:rPr>
              <w:t xml:space="preserve"> P, </w:t>
            </w:r>
            <w:proofErr w:type="spellStart"/>
            <w:r w:rsidRPr="00F86A4E">
              <w:rPr>
                <w:rFonts w:asciiTheme="majorBidi" w:hAnsiTheme="majorBidi" w:cstheme="majorBidi"/>
                <w:color w:val="auto"/>
                <w:sz w:val="24"/>
                <w:szCs w:val="24"/>
              </w:rPr>
              <w:t>Teparos</w:t>
            </w:r>
            <w:proofErr w:type="spellEnd"/>
            <w:r w:rsidRPr="00F86A4E">
              <w:rPr>
                <w:rFonts w:asciiTheme="majorBidi" w:hAnsiTheme="majorBidi" w:cstheme="majorBidi"/>
                <w:color w:val="auto"/>
                <w:sz w:val="24"/>
                <w:szCs w:val="24"/>
              </w:rPr>
              <w:t xml:space="preserve"> W. Booster dose vaccination and dynamics of COVID-19 pandemic in the fifth wave: an efficient and simple mathematical model for disease progression. Vaccines. 2023;11:589. doi:10.3390/vaccines11030589.</w:t>
            </w:r>
          </w:p>
        </w:tc>
        <w:tc>
          <w:tcPr>
            <w:tcW w:w="5938" w:type="dxa"/>
          </w:tcPr>
          <w:p w14:paraId="2979A133" w14:textId="77777777" w:rsidR="009405C7" w:rsidRPr="00F86A4E" w:rsidRDefault="009405C7"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 xml:space="preserve">Outside the prespecified review scope. This study is a mathematical modelling analysis assessing the impact of booster vaccination on COVID-19 dynamics using simulated compartments and assumed vaccine-efficacy parameters. It does not report primary, population-based vaccine effectiveness (VE or </w:t>
            </w:r>
            <w:proofErr w:type="spellStart"/>
            <w:r w:rsidRPr="00F86A4E">
              <w:rPr>
                <w:rFonts w:asciiTheme="majorBidi" w:hAnsiTheme="majorBidi" w:cstheme="majorBidi"/>
                <w:color w:val="auto"/>
                <w:sz w:val="24"/>
                <w:szCs w:val="24"/>
              </w:rPr>
              <w:t>rVE</w:t>
            </w:r>
            <w:proofErr w:type="spellEnd"/>
            <w:r w:rsidRPr="00F86A4E">
              <w:rPr>
                <w:rFonts w:asciiTheme="majorBidi" w:hAnsiTheme="majorBidi" w:cstheme="majorBidi"/>
                <w:color w:val="auto"/>
                <w:sz w:val="24"/>
                <w:szCs w:val="24"/>
              </w:rPr>
              <w:t>) estimates derived from cohort, case–control, or test-negative designs and therefore does not meet the inclusion criteria for this review.</w:t>
            </w:r>
          </w:p>
        </w:tc>
      </w:tr>
      <w:tr w:rsidR="009405C7" w14:paraId="5598656E" w14:textId="77777777" w:rsidTr="00B20255">
        <w:tc>
          <w:tcPr>
            <w:tcW w:w="5403" w:type="dxa"/>
          </w:tcPr>
          <w:p w14:paraId="733C0941" w14:textId="53B7CF67" w:rsidR="009405C7" w:rsidRPr="00F86A4E" w:rsidRDefault="00F86A4E"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 xml:space="preserve">Thomas R, </w:t>
            </w:r>
            <w:proofErr w:type="spellStart"/>
            <w:r w:rsidRPr="00F86A4E">
              <w:rPr>
                <w:rFonts w:asciiTheme="majorBidi" w:hAnsiTheme="majorBidi" w:cstheme="majorBidi"/>
                <w:color w:val="auto"/>
                <w:sz w:val="24"/>
                <w:szCs w:val="24"/>
              </w:rPr>
              <w:t>Zaqout</w:t>
            </w:r>
            <w:proofErr w:type="spellEnd"/>
            <w:r w:rsidRPr="00F86A4E">
              <w:rPr>
                <w:rFonts w:asciiTheme="majorBidi" w:hAnsiTheme="majorBidi" w:cstheme="majorBidi"/>
                <w:color w:val="auto"/>
                <w:sz w:val="24"/>
                <w:szCs w:val="24"/>
              </w:rPr>
              <w:t xml:space="preserve"> A, </w:t>
            </w:r>
            <w:proofErr w:type="spellStart"/>
            <w:r w:rsidRPr="00F86A4E">
              <w:rPr>
                <w:rFonts w:asciiTheme="majorBidi" w:hAnsiTheme="majorBidi" w:cstheme="majorBidi"/>
                <w:color w:val="auto"/>
                <w:sz w:val="24"/>
                <w:szCs w:val="24"/>
              </w:rPr>
              <w:t>Meqbel</w:t>
            </w:r>
            <w:proofErr w:type="spellEnd"/>
            <w:r w:rsidRPr="00F86A4E">
              <w:rPr>
                <w:rFonts w:asciiTheme="majorBidi" w:hAnsiTheme="majorBidi" w:cstheme="majorBidi"/>
                <w:color w:val="auto"/>
                <w:sz w:val="24"/>
                <w:szCs w:val="24"/>
              </w:rPr>
              <w:t xml:space="preserve"> B, Jafar U, </w:t>
            </w:r>
            <w:proofErr w:type="spellStart"/>
            <w:r w:rsidRPr="00F86A4E">
              <w:rPr>
                <w:rFonts w:asciiTheme="majorBidi" w:hAnsiTheme="majorBidi" w:cstheme="majorBidi"/>
                <w:color w:val="auto"/>
                <w:sz w:val="24"/>
                <w:szCs w:val="24"/>
              </w:rPr>
              <w:t>Vaikath</w:t>
            </w:r>
            <w:proofErr w:type="spellEnd"/>
            <w:r w:rsidRPr="00F86A4E">
              <w:rPr>
                <w:rFonts w:asciiTheme="majorBidi" w:hAnsiTheme="majorBidi" w:cstheme="majorBidi"/>
                <w:color w:val="auto"/>
                <w:sz w:val="24"/>
                <w:szCs w:val="24"/>
              </w:rPr>
              <w:t xml:space="preserve"> NN, </w:t>
            </w:r>
            <w:proofErr w:type="spellStart"/>
            <w:r w:rsidRPr="00F86A4E">
              <w:rPr>
                <w:rFonts w:asciiTheme="majorBidi" w:hAnsiTheme="majorBidi" w:cstheme="majorBidi"/>
                <w:color w:val="auto"/>
                <w:sz w:val="24"/>
                <w:szCs w:val="24"/>
              </w:rPr>
              <w:t>Aldushain</w:t>
            </w:r>
            <w:proofErr w:type="spellEnd"/>
            <w:r w:rsidRPr="00F86A4E">
              <w:rPr>
                <w:rFonts w:asciiTheme="majorBidi" w:hAnsiTheme="majorBidi" w:cstheme="majorBidi"/>
                <w:color w:val="auto"/>
                <w:sz w:val="24"/>
                <w:szCs w:val="24"/>
              </w:rPr>
              <w:t xml:space="preserve"> A, Naik A, Shaath H, Al-Akl NS, Adam A, Moussa HYA, Shin KC, Taha RZ, </w:t>
            </w:r>
            <w:proofErr w:type="spellStart"/>
            <w:r w:rsidRPr="00F86A4E">
              <w:rPr>
                <w:rFonts w:asciiTheme="majorBidi" w:hAnsiTheme="majorBidi" w:cstheme="majorBidi"/>
                <w:color w:val="auto"/>
                <w:sz w:val="24"/>
                <w:szCs w:val="24"/>
              </w:rPr>
              <w:t>Abukhattab</w:t>
            </w:r>
            <w:proofErr w:type="spellEnd"/>
            <w:r w:rsidRPr="00F86A4E">
              <w:rPr>
                <w:rFonts w:asciiTheme="majorBidi" w:hAnsiTheme="majorBidi" w:cstheme="majorBidi"/>
                <w:color w:val="auto"/>
                <w:sz w:val="24"/>
                <w:szCs w:val="24"/>
              </w:rPr>
              <w:t xml:space="preserve"> M, </w:t>
            </w:r>
            <w:proofErr w:type="spellStart"/>
            <w:r w:rsidRPr="00F86A4E">
              <w:rPr>
                <w:rFonts w:asciiTheme="majorBidi" w:hAnsiTheme="majorBidi" w:cstheme="majorBidi"/>
                <w:color w:val="auto"/>
                <w:sz w:val="24"/>
                <w:szCs w:val="24"/>
              </w:rPr>
              <w:t>Almaslamani</w:t>
            </w:r>
            <w:proofErr w:type="spellEnd"/>
            <w:r w:rsidRPr="00F86A4E">
              <w:rPr>
                <w:rFonts w:asciiTheme="majorBidi" w:hAnsiTheme="majorBidi" w:cstheme="majorBidi"/>
                <w:color w:val="auto"/>
                <w:sz w:val="24"/>
                <w:szCs w:val="24"/>
              </w:rPr>
              <w:t xml:space="preserve"> MA, </w:t>
            </w:r>
            <w:proofErr w:type="spellStart"/>
            <w:r w:rsidRPr="00F86A4E">
              <w:rPr>
                <w:rFonts w:asciiTheme="majorBidi" w:hAnsiTheme="majorBidi" w:cstheme="majorBidi"/>
                <w:color w:val="auto"/>
                <w:sz w:val="24"/>
                <w:szCs w:val="24"/>
              </w:rPr>
              <w:t>Alajez</w:t>
            </w:r>
            <w:proofErr w:type="spellEnd"/>
            <w:r w:rsidRPr="00F86A4E">
              <w:rPr>
                <w:rFonts w:asciiTheme="majorBidi" w:hAnsiTheme="majorBidi" w:cstheme="majorBidi"/>
                <w:color w:val="auto"/>
                <w:sz w:val="24"/>
                <w:szCs w:val="24"/>
              </w:rPr>
              <w:t xml:space="preserve"> NM, </w:t>
            </w:r>
            <w:proofErr w:type="spellStart"/>
            <w:r w:rsidRPr="00F86A4E">
              <w:rPr>
                <w:rFonts w:asciiTheme="majorBidi" w:hAnsiTheme="majorBidi" w:cstheme="majorBidi"/>
                <w:color w:val="auto"/>
                <w:sz w:val="24"/>
                <w:szCs w:val="24"/>
              </w:rPr>
              <w:t>Arredouani</w:t>
            </w:r>
            <w:proofErr w:type="spellEnd"/>
            <w:r w:rsidRPr="00F86A4E">
              <w:rPr>
                <w:rFonts w:asciiTheme="majorBidi" w:hAnsiTheme="majorBidi" w:cstheme="majorBidi"/>
                <w:color w:val="auto"/>
                <w:sz w:val="24"/>
                <w:szCs w:val="24"/>
              </w:rPr>
              <w:t xml:space="preserve"> A, Park Y, Abdulla SA, El-</w:t>
            </w:r>
            <w:proofErr w:type="spellStart"/>
            <w:r w:rsidRPr="00F86A4E">
              <w:rPr>
                <w:rFonts w:asciiTheme="majorBidi" w:hAnsiTheme="majorBidi" w:cstheme="majorBidi"/>
                <w:color w:val="auto"/>
                <w:sz w:val="24"/>
                <w:szCs w:val="24"/>
              </w:rPr>
              <w:t>Agnaf</w:t>
            </w:r>
            <w:proofErr w:type="spellEnd"/>
            <w:r w:rsidRPr="00F86A4E">
              <w:rPr>
                <w:rFonts w:asciiTheme="majorBidi" w:hAnsiTheme="majorBidi" w:cstheme="majorBidi"/>
                <w:color w:val="auto"/>
                <w:sz w:val="24"/>
                <w:szCs w:val="24"/>
              </w:rPr>
              <w:t xml:space="preserve"> OMA, Omrani AS, </w:t>
            </w:r>
            <w:proofErr w:type="spellStart"/>
            <w:r w:rsidRPr="00F86A4E">
              <w:rPr>
                <w:rFonts w:asciiTheme="majorBidi" w:hAnsiTheme="majorBidi" w:cstheme="majorBidi"/>
                <w:color w:val="auto"/>
                <w:sz w:val="24"/>
                <w:szCs w:val="24"/>
              </w:rPr>
              <w:t>Decock</w:t>
            </w:r>
            <w:proofErr w:type="spellEnd"/>
            <w:r w:rsidRPr="00F86A4E">
              <w:rPr>
                <w:rFonts w:asciiTheme="majorBidi" w:hAnsiTheme="majorBidi" w:cstheme="majorBidi"/>
                <w:color w:val="auto"/>
                <w:sz w:val="24"/>
                <w:szCs w:val="24"/>
              </w:rPr>
              <w:t xml:space="preserve"> J. Longitudinal cellular and humoral immune responses following COVID-19 BNT162b2-mRNA-based booster vaccination of craft and manual workers in Qatar. Frontiers in Immunology. 2025;16:1557426. doi:10.3389/fimmu.2025.1557426.</w:t>
            </w:r>
          </w:p>
        </w:tc>
        <w:tc>
          <w:tcPr>
            <w:tcW w:w="5938" w:type="dxa"/>
          </w:tcPr>
          <w:p w14:paraId="613BFE51" w14:textId="77777777" w:rsidR="009405C7" w:rsidRPr="00F86A4E" w:rsidRDefault="009405C7"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 xml:space="preserve">Outside the prespecified review scope. This study is a mechanistic immunology investigation assessing cellular and humoral immune responses (ELISpot, flow cytometry, antibody and neutralization assays) following a BNT162b2 booster dose in a small, selected cohort. It does not report population-level vaccine effectiveness (VE or </w:t>
            </w:r>
            <w:proofErr w:type="spellStart"/>
            <w:r w:rsidRPr="00F86A4E">
              <w:rPr>
                <w:rFonts w:asciiTheme="majorBidi" w:hAnsiTheme="majorBidi" w:cstheme="majorBidi"/>
                <w:color w:val="auto"/>
                <w:sz w:val="24"/>
                <w:szCs w:val="24"/>
              </w:rPr>
              <w:t>rVE</w:t>
            </w:r>
            <w:proofErr w:type="spellEnd"/>
            <w:r w:rsidRPr="00F86A4E">
              <w:rPr>
                <w:rFonts w:asciiTheme="majorBidi" w:hAnsiTheme="majorBidi" w:cstheme="majorBidi"/>
                <w:color w:val="auto"/>
                <w:sz w:val="24"/>
                <w:szCs w:val="24"/>
              </w:rPr>
              <w:t>) against SARS-CoV-2 infection or severe clinical outcomes (hospitalization, ICU admission, or death) using epidemiologic study designs. Consequently, its immunogenicity outcomes are not directly comparable with the real-world vaccine effectiveness framework applied in this review.</w:t>
            </w:r>
          </w:p>
        </w:tc>
      </w:tr>
      <w:tr w:rsidR="009405C7" w14:paraId="77AE8863" w14:textId="77777777" w:rsidTr="00B20255">
        <w:tc>
          <w:tcPr>
            <w:tcW w:w="5403" w:type="dxa"/>
          </w:tcPr>
          <w:p w14:paraId="52781E67" w14:textId="7A52616B" w:rsidR="009405C7" w:rsidRPr="00F86A4E" w:rsidRDefault="00F86A4E"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 xml:space="preserve">Tomioka K, Uno K, Yamada M. Association between vaccination status and COVID-19-related health </w:t>
            </w:r>
            <w:r w:rsidRPr="00F86A4E">
              <w:rPr>
                <w:rFonts w:asciiTheme="majorBidi" w:hAnsiTheme="majorBidi" w:cstheme="majorBidi"/>
                <w:color w:val="auto"/>
                <w:sz w:val="24"/>
                <w:szCs w:val="24"/>
              </w:rPr>
              <w:lastRenderedPageBreak/>
              <w:t>outcomes among community-dwelling COVID-19 patients in Nara, Japan. Environmental Health and Preventive Medicine. 2023;28:7. doi:10.1265/ehpm.22-00199.</w:t>
            </w:r>
          </w:p>
        </w:tc>
        <w:tc>
          <w:tcPr>
            <w:tcW w:w="5938" w:type="dxa"/>
          </w:tcPr>
          <w:p w14:paraId="65332F68" w14:textId="77777777" w:rsidR="009405C7" w:rsidRPr="00F86A4E" w:rsidRDefault="009405C7"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lastRenderedPageBreak/>
              <w:t xml:space="preserve">Outside the prespecified review scope. This study evaluates vaccination effects conditional on SARS-CoV-2 infection, </w:t>
            </w:r>
            <w:r w:rsidRPr="00F86A4E">
              <w:rPr>
                <w:rFonts w:asciiTheme="majorBidi" w:hAnsiTheme="majorBidi" w:cstheme="majorBidi"/>
                <w:color w:val="auto"/>
                <w:sz w:val="24"/>
                <w:szCs w:val="24"/>
              </w:rPr>
              <w:lastRenderedPageBreak/>
              <w:t xml:space="preserve">assessing severe health outcomes, hospitalization, and recovery among confirmed COVID-19 cases only. It does not provide population-based vaccine effectiveness (VE or </w:t>
            </w:r>
            <w:proofErr w:type="spellStart"/>
            <w:r w:rsidRPr="00F86A4E">
              <w:rPr>
                <w:rFonts w:asciiTheme="majorBidi" w:hAnsiTheme="majorBidi" w:cstheme="majorBidi"/>
                <w:color w:val="auto"/>
                <w:sz w:val="24"/>
                <w:szCs w:val="24"/>
              </w:rPr>
              <w:t>rVE</w:t>
            </w:r>
            <w:proofErr w:type="spellEnd"/>
            <w:r w:rsidRPr="00F86A4E">
              <w:rPr>
                <w:rFonts w:asciiTheme="majorBidi" w:hAnsiTheme="majorBidi" w:cstheme="majorBidi"/>
                <w:color w:val="auto"/>
                <w:sz w:val="24"/>
                <w:szCs w:val="24"/>
              </w:rPr>
              <w:t>) estimates derived from cohort, case–control, or test-negative designs and therefore does not meet the inclusion criteria for this review.</w:t>
            </w:r>
          </w:p>
        </w:tc>
      </w:tr>
      <w:tr w:rsidR="009405C7" w14:paraId="1DA60044" w14:textId="77777777" w:rsidTr="00B20255">
        <w:tc>
          <w:tcPr>
            <w:tcW w:w="5403" w:type="dxa"/>
          </w:tcPr>
          <w:p w14:paraId="7DB33579" w14:textId="3B5966C9" w:rsidR="009405C7" w:rsidRPr="00F86A4E" w:rsidRDefault="00F86A4E"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lastRenderedPageBreak/>
              <w:t>Tomioka K, Uno K, Yamada M. Association between vaccination status and severe health consequences among community-dwelling COVID-19 patients during Omicron BA.1/BA.2 and BA.5-predominant periods in Japan. Environmental Health and Preventive Medicine. 2023;28:35. doi:10.1265/ehpm.23-00061.</w:t>
            </w:r>
          </w:p>
        </w:tc>
        <w:tc>
          <w:tcPr>
            <w:tcW w:w="5938" w:type="dxa"/>
          </w:tcPr>
          <w:p w14:paraId="5F17585E" w14:textId="77777777" w:rsidR="009405C7" w:rsidRPr="00F86A4E" w:rsidRDefault="009405C7"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 xml:space="preserve">Outside the prespecified review scope. This study assesses vaccination effects conditional on SARS-CoV-2 infection, evaluating COVID-19–related hospitalization or death among confirmed cases only. It does not provide population-based vaccine effectiveness (VE or </w:t>
            </w:r>
            <w:proofErr w:type="spellStart"/>
            <w:r w:rsidRPr="00F86A4E">
              <w:rPr>
                <w:rFonts w:asciiTheme="majorBidi" w:hAnsiTheme="majorBidi" w:cstheme="majorBidi"/>
                <w:color w:val="auto"/>
                <w:sz w:val="24"/>
                <w:szCs w:val="24"/>
              </w:rPr>
              <w:t>rVE</w:t>
            </w:r>
            <w:proofErr w:type="spellEnd"/>
            <w:r w:rsidRPr="00F86A4E">
              <w:rPr>
                <w:rFonts w:asciiTheme="majorBidi" w:hAnsiTheme="majorBidi" w:cstheme="majorBidi"/>
                <w:color w:val="auto"/>
                <w:sz w:val="24"/>
                <w:szCs w:val="24"/>
              </w:rPr>
              <w:t>) estimates derived from cohort, case–control, or test-negative designs and therefore does not meet the inclusion criteria for this review.</w:t>
            </w:r>
          </w:p>
        </w:tc>
      </w:tr>
      <w:tr w:rsidR="009405C7" w14:paraId="45C4ED3D" w14:textId="77777777" w:rsidTr="00B20255">
        <w:tc>
          <w:tcPr>
            <w:tcW w:w="5403" w:type="dxa"/>
          </w:tcPr>
          <w:p w14:paraId="0464FCAF" w14:textId="5A16108E" w:rsidR="009405C7" w:rsidRPr="00F86A4E" w:rsidRDefault="00F86A4E"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Tsang NNY, So HC, Cowling BJ, Leung GM, Ip DKM. Effectiveness of BNT162b2 and CoronaVac COVID-19 vaccination against asymptomatic and symptomatic infection of SARS-CoV-2 omicron BA.2 in Hong Kong: a prospective cohort study. The Lancet Infectious Diseases. 2023;23:421–434. doi:10.1016/S1473-3099(22)00732-0.</w:t>
            </w:r>
          </w:p>
        </w:tc>
        <w:tc>
          <w:tcPr>
            <w:tcW w:w="5938" w:type="dxa"/>
          </w:tcPr>
          <w:p w14:paraId="313E8018" w14:textId="7FF4A9C9" w:rsidR="009405C7" w:rsidRPr="00F86A4E" w:rsidRDefault="009405C7"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Outside the prespecified review scope. This study was conducted during the early Omicron BA.2 period and evaluates ancestral (non–variant-adapted) vaccines (BNT162b2 and CoronaVac). It does not provide effectiveness estimates for later Omicron subvariants (BA.5, XBB, JN.1, KP.3) or for updated/variant-adapted vaccines that are the focus of this review.</w:t>
            </w:r>
          </w:p>
        </w:tc>
      </w:tr>
      <w:tr w:rsidR="009405C7" w14:paraId="463871FF" w14:textId="77777777" w:rsidTr="00B20255">
        <w:tc>
          <w:tcPr>
            <w:tcW w:w="5403" w:type="dxa"/>
          </w:tcPr>
          <w:p w14:paraId="2ECE12CE" w14:textId="1D000708" w:rsidR="009405C7" w:rsidRPr="00F86A4E" w:rsidRDefault="00F86A4E"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lang w:val="en-AU"/>
              </w:rPr>
              <w:t xml:space="preserve">Tseng HF, Ackerson BK, Bruxvoort KJ, Sy LS, </w:t>
            </w:r>
            <w:proofErr w:type="spellStart"/>
            <w:r w:rsidRPr="00F86A4E">
              <w:rPr>
                <w:rFonts w:asciiTheme="majorBidi" w:hAnsiTheme="majorBidi" w:cstheme="majorBidi"/>
                <w:color w:val="auto"/>
                <w:sz w:val="24"/>
                <w:szCs w:val="24"/>
                <w:lang w:val="en-AU"/>
              </w:rPr>
              <w:t>Tubert</w:t>
            </w:r>
            <w:proofErr w:type="spellEnd"/>
            <w:r w:rsidRPr="00F86A4E">
              <w:rPr>
                <w:rFonts w:asciiTheme="majorBidi" w:hAnsiTheme="majorBidi" w:cstheme="majorBidi"/>
                <w:color w:val="auto"/>
                <w:sz w:val="24"/>
                <w:szCs w:val="24"/>
                <w:lang w:val="en-AU"/>
              </w:rPr>
              <w:t xml:space="preserve"> JE, Lee GS, Ku JH, Florea A, Luo Y, Qiu S, Choi SK, Takhar HS, Aragones M, </w:t>
            </w:r>
            <w:proofErr w:type="spellStart"/>
            <w:r w:rsidRPr="00F86A4E">
              <w:rPr>
                <w:rFonts w:asciiTheme="majorBidi" w:hAnsiTheme="majorBidi" w:cstheme="majorBidi"/>
                <w:color w:val="auto"/>
                <w:sz w:val="24"/>
                <w:szCs w:val="24"/>
                <w:lang w:val="en-AU"/>
              </w:rPr>
              <w:t>Paila</w:t>
            </w:r>
            <w:proofErr w:type="spellEnd"/>
            <w:r w:rsidRPr="00F86A4E">
              <w:rPr>
                <w:rFonts w:asciiTheme="majorBidi" w:hAnsiTheme="majorBidi" w:cstheme="majorBidi"/>
                <w:color w:val="auto"/>
                <w:sz w:val="24"/>
                <w:szCs w:val="24"/>
                <w:lang w:val="en-AU"/>
              </w:rPr>
              <w:t xml:space="preserve"> YD, Chavers S, Talarico CA, Qian L. Effectiveness of mRNA-1273 vaccination against SARS-CoV-2 omicron subvariants BA.1, BA.2, BA.2.12.1, BA.4, and BA.5. </w:t>
            </w:r>
            <w:r w:rsidRPr="00F86A4E">
              <w:rPr>
                <w:rFonts w:asciiTheme="majorBidi" w:hAnsiTheme="majorBidi" w:cstheme="majorBidi"/>
                <w:color w:val="auto"/>
                <w:sz w:val="24"/>
                <w:szCs w:val="24"/>
                <w:lang w:val="nb-NO"/>
              </w:rPr>
              <w:t>Nature Communications. 2023;14:189. doi:10.1038/s41467-023-35815-7.</w:t>
            </w:r>
          </w:p>
        </w:tc>
        <w:tc>
          <w:tcPr>
            <w:tcW w:w="5938" w:type="dxa"/>
          </w:tcPr>
          <w:p w14:paraId="32B433EA" w14:textId="77777777" w:rsidR="009405C7" w:rsidRPr="00F86A4E" w:rsidRDefault="009405C7"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Outside the prespecified review scope. This study evaluates monovalent (ancestral-strain) mRNA-1273 vaccination during the early to mid-Omicron period (January–June 2022) and primarily reports incremental vaccine effectiveness (3 vs 2 doses and 4 vs 3 doses) against early Omicron subvariants (BA.1–BA.5). The analysis predates the introduction of variant-adapted vaccines (e.g., BA.4/BA.5 bivalent, XBB.1.5, JN.1) and provides effectiveness estimates that are not directly comparable with the updated-vaccine, late-Omicron effectiveness framework synthesised in this review.</w:t>
            </w:r>
          </w:p>
        </w:tc>
      </w:tr>
      <w:tr w:rsidR="009405C7" w:rsidRPr="00911FB0" w14:paraId="56AC9D51" w14:textId="77777777" w:rsidTr="00B20255">
        <w:tc>
          <w:tcPr>
            <w:tcW w:w="5403" w:type="dxa"/>
          </w:tcPr>
          <w:p w14:paraId="7E7A233E" w14:textId="0118244E" w:rsidR="009405C7" w:rsidRPr="00F86A4E" w:rsidRDefault="00F86A4E"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lang w:val="en-GB"/>
              </w:rPr>
              <w:t xml:space="preserve">Tseng HF, Ackerson BK, Luo Y, Sy LS, Talarico CA, Tian Y, Bruxvoort KJ, </w:t>
            </w:r>
            <w:proofErr w:type="spellStart"/>
            <w:r w:rsidRPr="00F86A4E">
              <w:rPr>
                <w:rFonts w:asciiTheme="majorBidi" w:hAnsiTheme="majorBidi" w:cstheme="majorBidi"/>
                <w:color w:val="auto"/>
                <w:sz w:val="24"/>
                <w:szCs w:val="24"/>
                <w:lang w:val="en-GB"/>
              </w:rPr>
              <w:t>Tubert</w:t>
            </w:r>
            <w:proofErr w:type="spellEnd"/>
            <w:r w:rsidRPr="00F86A4E">
              <w:rPr>
                <w:rFonts w:asciiTheme="majorBidi" w:hAnsiTheme="majorBidi" w:cstheme="majorBidi"/>
                <w:color w:val="auto"/>
                <w:sz w:val="24"/>
                <w:szCs w:val="24"/>
                <w:lang w:val="en-GB"/>
              </w:rPr>
              <w:t xml:space="preserve"> JE, Florea A, Ku JH, Lee GS, Choi SK, Takhar HS, Aragones M, Qian L. Effectiveness of mRNA-1273 against SARS-CoV-2 Omicron and Delta variants. </w:t>
            </w:r>
            <w:r w:rsidRPr="00F86A4E">
              <w:rPr>
                <w:rFonts w:asciiTheme="majorBidi" w:hAnsiTheme="majorBidi" w:cstheme="majorBidi"/>
                <w:color w:val="auto"/>
                <w:sz w:val="24"/>
                <w:szCs w:val="24"/>
                <w:lang w:val="nb-NO"/>
              </w:rPr>
              <w:t xml:space="preserve">Nature </w:t>
            </w:r>
            <w:proofErr w:type="spellStart"/>
            <w:r w:rsidRPr="00F86A4E">
              <w:rPr>
                <w:rFonts w:asciiTheme="majorBidi" w:hAnsiTheme="majorBidi" w:cstheme="majorBidi"/>
                <w:color w:val="auto"/>
                <w:sz w:val="24"/>
                <w:szCs w:val="24"/>
                <w:lang w:val="nb-NO"/>
              </w:rPr>
              <w:t>Medicine</w:t>
            </w:r>
            <w:proofErr w:type="spellEnd"/>
            <w:r w:rsidRPr="00F86A4E">
              <w:rPr>
                <w:rFonts w:asciiTheme="majorBidi" w:hAnsiTheme="majorBidi" w:cstheme="majorBidi"/>
                <w:color w:val="auto"/>
                <w:sz w:val="24"/>
                <w:szCs w:val="24"/>
                <w:lang w:val="nb-NO"/>
              </w:rPr>
              <w:t>. 2022;28:1063–1071. doi:10.1038/s41591-022-01753-y.</w:t>
            </w:r>
          </w:p>
        </w:tc>
        <w:tc>
          <w:tcPr>
            <w:tcW w:w="5938" w:type="dxa"/>
          </w:tcPr>
          <w:p w14:paraId="2EA6F909" w14:textId="7F60F28B" w:rsidR="009405C7" w:rsidRPr="00F86A4E" w:rsidRDefault="009405C7"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Outside the prespecified review scope. This study was conducted during the early Omicron BA.1 period (December 2021) and evaluates ancestral (non–variant-adapted) mRNA-1273 vaccines. It does not provide effectiveness estimates for later Omicron subvariants (BA.5, XBB, JN.1, KP.3) or for updated/variant-adapted vaccines that are the focus of this review.</w:t>
            </w:r>
          </w:p>
        </w:tc>
      </w:tr>
      <w:tr w:rsidR="009405C7" w14:paraId="6F0946F2" w14:textId="77777777" w:rsidTr="00B20255">
        <w:tc>
          <w:tcPr>
            <w:tcW w:w="5403" w:type="dxa"/>
          </w:tcPr>
          <w:p w14:paraId="371C1E78" w14:textId="574DA872" w:rsidR="009405C7" w:rsidRPr="00F86A4E" w:rsidRDefault="00F86A4E"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 xml:space="preserve">Tseng HF, Ackerson BK, Sy LS, </w:t>
            </w:r>
            <w:proofErr w:type="spellStart"/>
            <w:r w:rsidRPr="00F86A4E">
              <w:rPr>
                <w:rFonts w:asciiTheme="majorBidi" w:hAnsiTheme="majorBidi" w:cstheme="majorBidi"/>
                <w:color w:val="auto"/>
                <w:sz w:val="24"/>
                <w:szCs w:val="24"/>
              </w:rPr>
              <w:t>Tubert</w:t>
            </w:r>
            <w:proofErr w:type="spellEnd"/>
            <w:r w:rsidRPr="00F86A4E">
              <w:rPr>
                <w:rFonts w:asciiTheme="majorBidi" w:hAnsiTheme="majorBidi" w:cstheme="majorBidi"/>
                <w:color w:val="auto"/>
                <w:sz w:val="24"/>
                <w:szCs w:val="24"/>
              </w:rPr>
              <w:t xml:space="preserve"> JE, Luo Y, Qiu S, Lee GS, Bruxvoort KJ, Ku JH, Florea A, Takhar HS, Bathala R, Zhou CK, Esposito DB, Marks MA, Anderson EJ, Talarico CA, Qian L. mRNA-1273 bivalent (original and Omicron BA.4/BA.5) COVID-19 vaccine effectiveness against COVID-19 outcomes in the United States. Nature Communications. 2023;14:5851. doi:10.1038/s41467-023-41537-7.</w:t>
            </w:r>
          </w:p>
        </w:tc>
        <w:tc>
          <w:tcPr>
            <w:tcW w:w="5938" w:type="dxa"/>
          </w:tcPr>
          <w:p w14:paraId="4CC9A69A" w14:textId="2164DAE3" w:rsidR="009405C7" w:rsidRPr="00F86A4E" w:rsidRDefault="009405C7" w:rsidP="009405C7">
            <w:pPr>
              <w:pStyle w:val="MDPI31text"/>
              <w:ind w:left="0" w:firstLine="0"/>
              <w:rPr>
                <w:rFonts w:asciiTheme="majorBidi" w:hAnsiTheme="majorBidi" w:cstheme="majorBidi"/>
                <w:color w:val="auto"/>
                <w:sz w:val="24"/>
                <w:szCs w:val="24"/>
              </w:rPr>
            </w:pPr>
            <w:r w:rsidRPr="00F86A4E">
              <w:rPr>
                <w:rFonts w:asciiTheme="majorBidi" w:hAnsiTheme="majorBidi" w:cstheme="majorBidi"/>
                <w:color w:val="auto"/>
                <w:sz w:val="24"/>
                <w:szCs w:val="24"/>
              </w:rPr>
              <w:t>Outside the prespecified review scope. This study evaluates the BA.4/BA.5 bivalent mRNA-1273 vaccine during September–December 2022, predating the circulation of later Omicron subvariants of interest (XBB, JN.1, KP.3). In addition, the primary analyses focus on incremental (relative) vaccine effectiveness comparing bivalent vaccination with ≥2 prior monovalent doses, limiting comparability with the updated-vaccine effectiveness framework applied in this review.</w:t>
            </w:r>
          </w:p>
        </w:tc>
      </w:tr>
      <w:tr w:rsidR="009405C7" w14:paraId="5628FC9C" w14:textId="77777777" w:rsidTr="00B20255">
        <w:tc>
          <w:tcPr>
            <w:tcW w:w="5403" w:type="dxa"/>
          </w:tcPr>
          <w:p w14:paraId="51F3AC6C" w14:textId="6D33A4A5" w:rsidR="009405C7" w:rsidRPr="00E7316D" w:rsidRDefault="00E7316D" w:rsidP="009405C7">
            <w:pPr>
              <w:pStyle w:val="MDPI31text"/>
              <w:ind w:left="0" w:firstLine="0"/>
              <w:rPr>
                <w:rFonts w:asciiTheme="majorBidi" w:hAnsiTheme="majorBidi" w:cstheme="majorBidi"/>
                <w:color w:val="auto"/>
                <w:sz w:val="24"/>
                <w:szCs w:val="24"/>
              </w:rPr>
            </w:pPr>
            <w:r w:rsidRPr="00E7316D">
              <w:rPr>
                <w:rFonts w:asciiTheme="majorBidi" w:hAnsiTheme="majorBidi" w:cstheme="majorBidi"/>
                <w:color w:val="auto"/>
                <w:sz w:val="24"/>
                <w:szCs w:val="24"/>
                <w:lang w:val="en-AU"/>
              </w:rPr>
              <w:lastRenderedPageBreak/>
              <w:t xml:space="preserve">van </w:t>
            </w:r>
            <w:proofErr w:type="spellStart"/>
            <w:r w:rsidRPr="00E7316D">
              <w:rPr>
                <w:rFonts w:asciiTheme="majorBidi" w:hAnsiTheme="majorBidi" w:cstheme="majorBidi"/>
                <w:color w:val="auto"/>
                <w:sz w:val="24"/>
                <w:szCs w:val="24"/>
                <w:lang w:val="en-AU"/>
              </w:rPr>
              <w:t>Iersel</w:t>
            </w:r>
            <w:proofErr w:type="spellEnd"/>
            <w:r w:rsidRPr="00E7316D">
              <w:rPr>
                <w:rFonts w:asciiTheme="majorBidi" w:hAnsiTheme="majorBidi" w:cstheme="majorBidi"/>
                <w:color w:val="auto"/>
                <w:sz w:val="24"/>
                <w:szCs w:val="24"/>
                <w:lang w:val="en-AU"/>
              </w:rPr>
              <w:t xml:space="preserve"> SCJL, McDonald SA, de Gier B, Knol MJ, de Melker HE, van Werkhoven CHH, </w:t>
            </w:r>
            <w:proofErr w:type="spellStart"/>
            <w:r w:rsidRPr="00E7316D">
              <w:rPr>
                <w:rFonts w:asciiTheme="majorBidi" w:hAnsiTheme="majorBidi" w:cstheme="majorBidi"/>
                <w:color w:val="auto"/>
                <w:sz w:val="24"/>
                <w:szCs w:val="24"/>
                <w:lang w:val="en-AU"/>
              </w:rPr>
              <w:t>Hahné</w:t>
            </w:r>
            <w:proofErr w:type="spellEnd"/>
            <w:r w:rsidRPr="00E7316D">
              <w:rPr>
                <w:rFonts w:asciiTheme="majorBidi" w:hAnsiTheme="majorBidi" w:cstheme="majorBidi"/>
                <w:color w:val="auto"/>
                <w:sz w:val="24"/>
                <w:szCs w:val="24"/>
                <w:lang w:val="en-AU"/>
              </w:rPr>
              <w:t xml:space="preserve"> SJM; RIVM COVID-19 epidemiology and surveillance team. Number of COVID-19 hospitalisations averted by vaccination: Estimates for the Netherlands, January 6, 2021 through August 30, 2022. </w:t>
            </w:r>
            <w:proofErr w:type="spellStart"/>
            <w:r w:rsidRPr="00E7316D">
              <w:rPr>
                <w:rFonts w:asciiTheme="majorBidi" w:hAnsiTheme="majorBidi" w:cstheme="majorBidi"/>
                <w:color w:val="auto"/>
                <w:sz w:val="24"/>
                <w:szCs w:val="24"/>
                <w:lang w:val="nb-NO"/>
              </w:rPr>
              <w:t>Vaccine</w:t>
            </w:r>
            <w:proofErr w:type="spellEnd"/>
            <w:r w:rsidRPr="00E7316D">
              <w:rPr>
                <w:rFonts w:asciiTheme="majorBidi" w:hAnsiTheme="majorBidi" w:cstheme="majorBidi"/>
                <w:color w:val="auto"/>
                <w:sz w:val="24"/>
                <w:szCs w:val="24"/>
                <w:lang w:val="nb-NO"/>
              </w:rPr>
              <w:t>. 2023;41:3847–3854. doi:10.1016/j.vaccine.2023.05.018.</w:t>
            </w:r>
          </w:p>
        </w:tc>
        <w:tc>
          <w:tcPr>
            <w:tcW w:w="5938" w:type="dxa"/>
          </w:tcPr>
          <w:p w14:paraId="0C2A847A" w14:textId="54746351" w:rsidR="009405C7" w:rsidRPr="00E7316D" w:rsidRDefault="009405C7" w:rsidP="009405C7">
            <w:pPr>
              <w:pStyle w:val="MDPI31text"/>
              <w:ind w:left="0" w:firstLine="0"/>
              <w:rPr>
                <w:rFonts w:asciiTheme="majorBidi" w:hAnsiTheme="majorBidi" w:cstheme="majorBidi"/>
                <w:color w:val="auto"/>
                <w:sz w:val="24"/>
                <w:szCs w:val="24"/>
              </w:rPr>
            </w:pPr>
            <w:r w:rsidRPr="00E7316D">
              <w:rPr>
                <w:rFonts w:asciiTheme="majorBidi" w:hAnsiTheme="majorBidi" w:cstheme="majorBidi"/>
                <w:color w:val="auto"/>
                <w:sz w:val="24"/>
                <w:szCs w:val="24"/>
              </w:rPr>
              <w:t xml:space="preserve">Outside the prespecified review scope. This national analysis estimates the number of </w:t>
            </w:r>
            <w:r w:rsidR="0004402C" w:rsidRPr="00E7316D">
              <w:rPr>
                <w:rFonts w:asciiTheme="majorBidi" w:hAnsiTheme="majorBidi" w:cstheme="majorBidi"/>
                <w:color w:val="auto"/>
                <w:sz w:val="24"/>
                <w:szCs w:val="24"/>
              </w:rPr>
              <w:t>hospitalizations</w:t>
            </w:r>
            <w:r w:rsidRPr="00E7316D">
              <w:rPr>
                <w:rFonts w:asciiTheme="majorBidi" w:hAnsiTheme="majorBidi" w:cstheme="majorBidi"/>
                <w:color w:val="auto"/>
                <w:sz w:val="24"/>
                <w:szCs w:val="24"/>
              </w:rPr>
              <w:t xml:space="preserve"> averted using calendar-time vaccine effectiveness and vaccine coverage within a counterfactual impact-assessment framework; vaccine effectiveness is a model input rather than a primary empirically derived outcome, and estimates are not directly comparable with observational vaccine-effectiveness measures synthesised in this review.</w:t>
            </w:r>
          </w:p>
        </w:tc>
      </w:tr>
      <w:tr w:rsidR="009405C7" w14:paraId="696EDD41" w14:textId="77777777" w:rsidTr="00B20255">
        <w:tc>
          <w:tcPr>
            <w:tcW w:w="5403" w:type="dxa"/>
          </w:tcPr>
          <w:p w14:paraId="7D6FC0AA" w14:textId="5F51516B" w:rsidR="009405C7" w:rsidRPr="00E7316D" w:rsidRDefault="00E7316D" w:rsidP="009405C7">
            <w:pPr>
              <w:pStyle w:val="MDPI31text"/>
              <w:ind w:left="0" w:firstLine="0"/>
              <w:rPr>
                <w:rFonts w:asciiTheme="majorBidi" w:hAnsiTheme="majorBidi" w:cstheme="majorBidi"/>
                <w:color w:val="auto"/>
                <w:sz w:val="24"/>
                <w:szCs w:val="24"/>
              </w:rPr>
            </w:pPr>
            <w:r w:rsidRPr="00E7316D">
              <w:rPr>
                <w:rFonts w:asciiTheme="majorBidi" w:hAnsiTheme="majorBidi" w:cstheme="majorBidi"/>
                <w:color w:val="auto"/>
                <w:sz w:val="24"/>
                <w:szCs w:val="24"/>
                <w:lang w:val="en-AU"/>
              </w:rPr>
              <w:t xml:space="preserve">Vella G, Genovese D, </w:t>
            </w:r>
            <w:proofErr w:type="spellStart"/>
            <w:r w:rsidRPr="00E7316D">
              <w:rPr>
                <w:rFonts w:asciiTheme="majorBidi" w:hAnsiTheme="majorBidi" w:cstheme="majorBidi"/>
                <w:color w:val="auto"/>
                <w:sz w:val="24"/>
                <w:szCs w:val="24"/>
                <w:lang w:val="en-AU"/>
              </w:rPr>
              <w:t>Belluzzo</w:t>
            </w:r>
            <w:proofErr w:type="spellEnd"/>
            <w:r w:rsidRPr="00E7316D">
              <w:rPr>
                <w:rFonts w:asciiTheme="majorBidi" w:hAnsiTheme="majorBidi" w:cstheme="majorBidi"/>
                <w:color w:val="auto"/>
                <w:sz w:val="24"/>
                <w:szCs w:val="24"/>
                <w:lang w:val="en-AU"/>
              </w:rPr>
              <w:t xml:space="preserve"> M, Mazzeo L, Pisciotta V, Amodio E. Effectiveness of mRNA vaccine booster against SARS-CoV-2 infection and COVID-19 in the adult population during the first three months of the Omicron wave in Sicily. </w:t>
            </w:r>
            <w:r w:rsidRPr="00E7316D">
              <w:rPr>
                <w:rFonts w:asciiTheme="majorBidi" w:hAnsiTheme="majorBidi" w:cstheme="majorBidi"/>
                <w:color w:val="auto"/>
                <w:sz w:val="24"/>
                <w:szCs w:val="24"/>
                <w:lang w:val="nb-NO"/>
              </w:rPr>
              <w:t>Healthcare. 2023;11:305. doi:10.3390/healthcare11030305.</w:t>
            </w:r>
          </w:p>
        </w:tc>
        <w:tc>
          <w:tcPr>
            <w:tcW w:w="5938" w:type="dxa"/>
          </w:tcPr>
          <w:p w14:paraId="433F2B59" w14:textId="77777777" w:rsidR="009405C7" w:rsidRPr="00E7316D" w:rsidRDefault="009405C7" w:rsidP="009405C7">
            <w:pPr>
              <w:pStyle w:val="MDPI31text"/>
              <w:ind w:left="0" w:firstLine="0"/>
              <w:rPr>
                <w:rFonts w:asciiTheme="majorBidi" w:hAnsiTheme="majorBidi" w:cstheme="majorBidi"/>
                <w:color w:val="auto"/>
                <w:sz w:val="24"/>
                <w:szCs w:val="24"/>
              </w:rPr>
            </w:pPr>
            <w:r w:rsidRPr="00E7316D">
              <w:rPr>
                <w:rFonts w:asciiTheme="majorBidi" w:hAnsiTheme="majorBidi" w:cstheme="majorBidi"/>
                <w:color w:val="auto"/>
                <w:sz w:val="24"/>
                <w:szCs w:val="24"/>
              </w:rPr>
              <w:t>Outside the prespecified review scope. This retrospective cohort study evaluates incremental booster effectiveness by comparing three-dose mRNA vaccination with a two-dose primary series, without an unvaccinated reference group or a standardised comparator framework, and therefore is not directly comparable with the vaccine-effectiveness estimates synthesised in this review.</w:t>
            </w:r>
          </w:p>
        </w:tc>
      </w:tr>
      <w:tr w:rsidR="009405C7" w14:paraId="34808D95" w14:textId="77777777" w:rsidTr="00B20255">
        <w:tc>
          <w:tcPr>
            <w:tcW w:w="5403" w:type="dxa"/>
          </w:tcPr>
          <w:p w14:paraId="5D2B0457" w14:textId="2EA60789" w:rsidR="009405C7" w:rsidRPr="00D356D7" w:rsidRDefault="00D356D7" w:rsidP="009405C7">
            <w:pPr>
              <w:pStyle w:val="MDPI31text"/>
              <w:ind w:left="0" w:firstLine="0"/>
              <w:rPr>
                <w:rFonts w:asciiTheme="majorBidi" w:hAnsiTheme="majorBidi" w:cstheme="majorBidi"/>
                <w:color w:val="auto"/>
                <w:sz w:val="24"/>
                <w:szCs w:val="24"/>
              </w:rPr>
            </w:pPr>
            <w:r w:rsidRPr="00D356D7">
              <w:rPr>
                <w:rFonts w:asciiTheme="majorBidi" w:hAnsiTheme="majorBidi" w:cstheme="majorBidi"/>
                <w:color w:val="auto"/>
                <w:sz w:val="24"/>
                <w:szCs w:val="24"/>
              </w:rPr>
              <w:t>Wan EYF, Mok AHY, Yan VKC, Chan CIY, Wang B, Lai FTT, Chui CSL, Li X, Wong CKH, Lau CS, Wong ICK, Chan EWY. Effectiveness of BNT162b2 and CoronaVac vaccinations against SARS-CoV-2 omicron infection in people aged ≥60 years: a case–control study. Journal of Travel Medicine. 2022;29:taac119. doi:10.1093/</w:t>
            </w:r>
            <w:proofErr w:type="spellStart"/>
            <w:r w:rsidRPr="00D356D7">
              <w:rPr>
                <w:rFonts w:asciiTheme="majorBidi" w:hAnsiTheme="majorBidi" w:cstheme="majorBidi"/>
                <w:color w:val="auto"/>
                <w:sz w:val="24"/>
                <w:szCs w:val="24"/>
              </w:rPr>
              <w:t>jtm</w:t>
            </w:r>
            <w:proofErr w:type="spellEnd"/>
            <w:r w:rsidRPr="00D356D7">
              <w:rPr>
                <w:rFonts w:asciiTheme="majorBidi" w:hAnsiTheme="majorBidi" w:cstheme="majorBidi"/>
                <w:color w:val="auto"/>
                <w:sz w:val="24"/>
                <w:szCs w:val="24"/>
              </w:rPr>
              <w:t>/taac119.</w:t>
            </w:r>
          </w:p>
        </w:tc>
        <w:tc>
          <w:tcPr>
            <w:tcW w:w="5938" w:type="dxa"/>
          </w:tcPr>
          <w:p w14:paraId="565275DD" w14:textId="1B8BFABB" w:rsidR="009405C7" w:rsidRPr="00D356D7" w:rsidRDefault="009405C7" w:rsidP="009405C7">
            <w:pPr>
              <w:pStyle w:val="MDPI31text"/>
              <w:ind w:left="0" w:firstLine="0"/>
              <w:rPr>
                <w:rFonts w:asciiTheme="majorBidi" w:hAnsiTheme="majorBidi" w:cstheme="majorBidi"/>
                <w:color w:val="auto"/>
                <w:sz w:val="24"/>
                <w:szCs w:val="24"/>
              </w:rPr>
            </w:pPr>
            <w:r w:rsidRPr="00D356D7">
              <w:rPr>
                <w:rFonts w:asciiTheme="majorBidi" w:hAnsiTheme="majorBidi" w:cstheme="majorBidi"/>
                <w:color w:val="auto"/>
                <w:sz w:val="24"/>
                <w:szCs w:val="24"/>
              </w:rPr>
              <w:t xml:space="preserve">Outside the prespecified review scope. The study was conducted during early Omicron BA.2 circulation (January–March 2022) and evaluates monovalent (ancestral) vaccines only (BNT162b2 and CoronaVac), with no assessment of variant-adapted vaccines (e.g., bivalent </w:t>
            </w:r>
            <w:r w:rsidR="003D3676" w:rsidRPr="00D356D7">
              <w:rPr>
                <w:rFonts w:asciiTheme="majorBidi" w:hAnsiTheme="majorBidi" w:cstheme="majorBidi"/>
                <w:color w:val="auto"/>
                <w:sz w:val="24"/>
                <w:szCs w:val="24"/>
              </w:rPr>
              <w:t>BA.4/BA.5</w:t>
            </w:r>
            <w:r w:rsidRPr="00D356D7">
              <w:rPr>
                <w:rFonts w:asciiTheme="majorBidi" w:hAnsiTheme="majorBidi" w:cstheme="majorBidi"/>
                <w:color w:val="auto"/>
                <w:sz w:val="24"/>
                <w:szCs w:val="24"/>
              </w:rPr>
              <w:t xml:space="preserve"> or updated XBB/JN.1 formulations) that are the focus of this review.</w:t>
            </w:r>
          </w:p>
        </w:tc>
      </w:tr>
      <w:tr w:rsidR="009405C7" w14:paraId="15122095" w14:textId="77777777" w:rsidTr="00B20255">
        <w:tc>
          <w:tcPr>
            <w:tcW w:w="5403" w:type="dxa"/>
          </w:tcPr>
          <w:p w14:paraId="42C44EFE" w14:textId="52046854" w:rsidR="009405C7" w:rsidRPr="00D356D7" w:rsidRDefault="00D356D7" w:rsidP="009405C7">
            <w:pPr>
              <w:pStyle w:val="MDPI31text"/>
              <w:ind w:left="0" w:firstLine="0"/>
              <w:rPr>
                <w:rFonts w:asciiTheme="majorBidi" w:hAnsiTheme="majorBidi" w:cstheme="majorBidi"/>
                <w:color w:val="auto"/>
                <w:sz w:val="24"/>
                <w:szCs w:val="24"/>
              </w:rPr>
            </w:pPr>
            <w:r w:rsidRPr="00D356D7">
              <w:rPr>
                <w:rFonts w:asciiTheme="majorBidi" w:hAnsiTheme="majorBidi" w:cstheme="majorBidi"/>
                <w:color w:val="auto"/>
                <w:sz w:val="24"/>
                <w:szCs w:val="24"/>
              </w:rPr>
              <w:t>Wang H, Jiang X, Chan KCC, Wei Y, Hung CT, Chan RWY, Li C, Leung EYM, Yam CHK, Chow TY, Zhao S, Guo Z, Li K, Wang Z, Yeoh EK, Chong KC. Association between asthma and COVID-19 severity during Omicron epidemic: a retrospective cohort study using real-world data. BMC Infectious Diseases. 2024;24:667. doi:10.1186/s12879-024-09520-9.</w:t>
            </w:r>
          </w:p>
        </w:tc>
        <w:tc>
          <w:tcPr>
            <w:tcW w:w="5938" w:type="dxa"/>
          </w:tcPr>
          <w:p w14:paraId="00173327" w14:textId="50379759" w:rsidR="009405C7" w:rsidRPr="00D356D7" w:rsidRDefault="009405C7" w:rsidP="009405C7">
            <w:pPr>
              <w:pStyle w:val="MDPI31text"/>
              <w:ind w:left="0" w:firstLine="0"/>
              <w:rPr>
                <w:rFonts w:asciiTheme="majorBidi" w:hAnsiTheme="majorBidi" w:cstheme="majorBidi"/>
                <w:color w:val="auto"/>
                <w:sz w:val="24"/>
                <w:szCs w:val="24"/>
              </w:rPr>
            </w:pPr>
            <w:r w:rsidRPr="00D356D7">
              <w:rPr>
                <w:rFonts w:asciiTheme="majorBidi" w:hAnsiTheme="majorBidi" w:cstheme="majorBidi"/>
                <w:color w:val="auto"/>
                <w:sz w:val="24"/>
                <w:szCs w:val="24"/>
              </w:rPr>
              <w:t xml:space="preserve">Outside the prespecified review scope. This study examines asthma as a risk factor for severe COVID-19 outcomes among </w:t>
            </w:r>
            <w:r w:rsidR="000C0C3F" w:rsidRPr="00D356D7">
              <w:rPr>
                <w:rFonts w:asciiTheme="majorBidi" w:hAnsiTheme="majorBidi" w:cstheme="majorBidi"/>
                <w:color w:val="auto"/>
                <w:sz w:val="24"/>
                <w:szCs w:val="24"/>
              </w:rPr>
              <w:t>hospitalized</w:t>
            </w:r>
            <w:r w:rsidRPr="00D356D7">
              <w:rPr>
                <w:rFonts w:asciiTheme="majorBidi" w:hAnsiTheme="majorBidi" w:cstheme="majorBidi"/>
                <w:color w:val="auto"/>
                <w:sz w:val="24"/>
                <w:szCs w:val="24"/>
              </w:rPr>
              <w:t xml:space="preserve"> Omicron cases and reports adjusted hazard ratios comparing patients with and without asthma. Vaccination status is included only as a covariate, and the study does not estimate population-based vaccine effectiveness (VE or </w:t>
            </w:r>
            <w:proofErr w:type="spellStart"/>
            <w:r w:rsidRPr="00D356D7">
              <w:rPr>
                <w:rFonts w:asciiTheme="majorBidi" w:hAnsiTheme="majorBidi" w:cstheme="majorBidi"/>
                <w:color w:val="auto"/>
                <w:sz w:val="24"/>
                <w:szCs w:val="24"/>
              </w:rPr>
              <w:t>rVE</w:t>
            </w:r>
            <w:proofErr w:type="spellEnd"/>
            <w:r w:rsidRPr="00D356D7">
              <w:rPr>
                <w:rFonts w:asciiTheme="majorBidi" w:hAnsiTheme="majorBidi" w:cstheme="majorBidi"/>
                <w:color w:val="auto"/>
                <w:sz w:val="24"/>
                <w:szCs w:val="24"/>
              </w:rPr>
              <w:t>) against SARS-CoV-2 infection or severe outcomes using cohort, case–control, or test-negative designs.</w:t>
            </w:r>
          </w:p>
        </w:tc>
      </w:tr>
      <w:tr w:rsidR="009405C7" w14:paraId="5F95A719" w14:textId="77777777" w:rsidTr="00B20255">
        <w:tc>
          <w:tcPr>
            <w:tcW w:w="5403" w:type="dxa"/>
          </w:tcPr>
          <w:p w14:paraId="7378BD8F" w14:textId="0B57E9D9" w:rsidR="009405C7" w:rsidRPr="00D356D7" w:rsidRDefault="00D356D7" w:rsidP="009405C7">
            <w:pPr>
              <w:pStyle w:val="MDPI31text"/>
              <w:ind w:left="0" w:firstLine="0"/>
              <w:rPr>
                <w:rFonts w:asciiTheme="majorBidi" w:hAnsiTheme="majorBidi" w:cstheme="majorBidi"/>
                <w:color w:val="auto"/>
                <w:sz w:val="24"/>
                <w:szCs w:val="24"/>
              </w:rPr>
            </w:pPr>
            <w:r w:rsidRPr="00D356D7">
              <w:rPr>
                <w:rFonts w:asciiTheme="majorBidi" w:hAnsiTheme="majorBidi" w:cstheme="majorBidi"/>
                <w:color w:val="auto"/>
                <w:sz w:val="24"/>
                <w:szCs w:val="24"/>
              </w:rPr>
              <w:t>Wang H, Liu L, Wu T. Effectiveness of inactivated COVID-19 vaccine against the severity of Omicron variant. Frontiers of Medicine. 2023;17(3):576–580. doi:10.1007/s11684-023-0991-0.</w:t>
            </w:r>
          </w:p>
        </w:tc>
        <w:tc>
          <w:tcPr>
            <w:tcW w:w="5938" w:type="dxa"/>
          </w:tcPr>
          <w:p w14:paraId="7A0CFEBE" w14:textId="77777777" w:rsidR="009405C7" w:rsidRPr="00D356D7" w:rsidRDefault="009405C7" w:rsidP="009405C7">
            <w:pPr>
              <w:pStyle w:val="MDPI31text"/>
              <w:ind w:left="0" w:firstLine="0"/>
              <w:rPr>
                <w:rFonts w:asciiTheme="majorBidi" w:hAnsiTheme="majorBidi" w:cstheme="majorBidi"/>
                <w:color w:val="auto"/>
                <w:sz w:val="24"/>
                <w:szCs w:val="24"/>
              </w:rPr>
            </w:pPr>
            <w:r w:rsidRPr="00D356D7">
              <w:rPr>
                <w:rFonts w:asciiTheme="majorBidi" w:hAnsiTheme="majorBidi" w:cstheme="majorBidi"/>
                <w:color w:val="auto"/>
                <w:sz w:val="24"/>
                <w:szCs w:val="24"/>
              </w:rPr>
              <w:t>Outside the prespecified review scope. This article is a commentary that discusses findings from previously published studies and focuses on severity among infected individuals, rather than reporting original, population-based vaccine-effectiveness estimates derived from an eligible observational study design.</w:t>
            </w:r>
          </w:p>
        </w:tc>
      </w:tr>
      <w:tr w:rsidR="009405C7" w14:paraId="4E96D055" w14:textId="77777777" w:rsidTr="00B20255">
        <w:tc>
          <w:tcPr>
            <w:tcW w:w="5403" w:type="dxa"/>
          </w:tcPr>
          <w:p w14:paraId="0B384F77" w14:textId="4FFFC896" w:rsidR="009405C7" w:rsidRPr="00A81261" w:rsidRDefault="00A81261" w:rsidP="009405C7">
            <w:pPr>
              <w:pStyle w:val="MDPI31text"/>
              <w:ind w:left="0" w:firstLine="0"/>
              <w:rPr>
                <w:rFonts w:asciiTheme="majorBidi" w:hAnsiTheme="majorBidi" w:cstheme="majorBidi"/>
                <w:color w:val="auto"/>
                <w:sz w:val="24"/>
                <w:szCs w:val="24"/>
              </w:rPr>
            </w:pPr>
            <w:r w:rsidRPr="00A81261">
              <w:rPr>
                <w:rFonts w:asciiTheme="majorBidi" w:hAnsiTheme="majorBidi" w:cstheme="majorBidi"/>
                <w:color w:val="auto"/>
                <w:sz w:val="24"/>
                <w:szCs w:val="24"/>
              </w:rPr>
              <w:t>Ward T, Paton RS, Overton CE, Mellor J, Abdul Aziz N, Charlett A, Fyles M. Understanding the effectiveness of the Comirnaty monovalent and bivalent vaccines during the Winter Coronavirus (COVID-19) Infection Study. Journal of Infection. 2025;90:106461. doi:10.1016/j.jinf.2025.106461.</w:t>
            </w:r>
          </w:p>
        </w:tc>
        <w:tc>
          <w:tcPr>
            <w:tcW w:w="5938" w:type="dxa"/>
          </w:tcPr>
          <w:p w14:paraId="0A4D327E" w14:textId="45E91B91" w:rsidR="009405C7" w:rsidRPr="00A81261" w:rsidRDefault="009405C7" w:rsidP="009405C7">
            <w:pPr>
              <w:pStyle w:val="MDPI31text"/>
              <w:ind w:left="0" w:firstLine="0"/>
              <w:rPr>
                <w:rFonts w:asciiTheme="majorBidi" w:hAnsiTheme="majorBidi" w:cstheme="majorBidi"/>
                <w:color w:val="auto"/>
                <w:sz w:val="24"/>
                <w:szCs w:val="24"/>
              </w:rPr>
            </w:pPr>
            <w:r w:rsidRPr="00A81261">
              <w:rPr>
                <w:rFonts w:asciiTheme="majorBidi" w:hAnsiTheme="majorBidi" w:cstheme="majorBidi"/>
                <w:color w:val="auto"/>
                <w:sz w:val="24"/>
                <w:szCs w:val="24"/>
              </w:rPr>
              <w:t>Outside the prespecified review scope. The study reports vaccine effectiveness against SARS-CoV-2 infection and symptomatic infection only, with no effectiveness estimates for severe clinical outcomes (hospitali</w:t>
            </w:r>
            <w:r w:rsidR="0004402C" w:rsidRPr="00A81261">
              <w:rPr>
                <w:rFonts w:asciiTheme="majorBidi" w:hAnsiTheme="majorBidi" w:cstheme="majorBidi"/>
                <w:color w:val="auto"/>
                <w:sz w:val="24"/>
                <w:szCs w:val="24"/>
              </w:rPr>
              <w:t>z</w:t>
            </w:r>
            <w:r w:rsidRPr="00A81261">
              <w:rPr>
                <w:rFonts w:asciiTheme="majorBidi" w:hAnsiTheme="majorBidi" w:cstheme="majorBidi"/>
                <w:color w:val="auto"/>
                <w:sz w:val="24"/>
                <w:szCs w:val="24"/>
              </w:rPr>
              <w:t>ation, ICU admission, or death), which are the focus of this review.</w:t>
            </w:r>
          </w:p>
        </w:tc>
      </w:tr>
      <w:tr w:rsidR="009405C7" w14:paraId="36406615" w14:textId="77777777" w:rsidTr="00B20255">
        <w:tc>
          <w:tcPr>
            <w:tcW w:w="5403" w:type="dxa"/>
          </w:tcPr>
          <w:p w14:paraId="0AC32E70" w14:textId="0964F930" w:rsidR="009405C7" w:rsidRPr="00A81261" w:rsidRDefault="00A81261" w:rsidP="009405C7">
            <w:pPr>
              <w:pStyle w:val="MDPI31text"/>
              <w:ind w:left="0" w:firstLine="0"/>
              <w:rPr>
                <w:rFonts w:asciiTheme="majorBidi" w:hAnsiTheme="majorBidi" w:cstheme="majorBidi"/>
                <w:color w:val="auto"/>
                <w:sz w:val="24"/>
                <w:szCs w:val="24"/>
              </w:rPr>
            </w:pPr>
            <w:r w:rsidRPr="00A81261">
              <w:rPr>
                <w:rFonts w:asciiTheme="majorBidi" w:hAnsiTheme="majorBidi" w:cstheme="majorBidi"/>
                <w:color w:val="auto"/>
                <w:sz w:val="24"/>
                <w:szCs w:val="24"/>
              </w:rPr>
              <w:t xml:space="preserve">Wee LE, Pang D, Chiew C, Tan J, Lee V, Ong B, Lye DC, Tan KB. Long-term real-world protection afforded by third mRNA doses against symptomatic SARS-CoV-2 infections, COVID-19-related emergency attendances and hospitalizations amongst older Singaporeans during an Omicron XBB wave. </w:t>
            </w:r>
            <w:r w:rsidRPr="00A81261">
              <w:rPr>
                <w:rFonts w:asciiTheme="majorBidi" w:hAnsiTheme="majorBidi" w:cstheme="majorBidi"/>
                <w:color w:val="auto"/>
                <w:sz w:val="24"/>
                <w:szCs w:val="24"/>
              </w:rPr>
              <w:lastRenderedPageBreak/>
              <w:t>Clinical Infectious Diseases. 2023;77(8):1111–1119. doi:10.1093/</w:t>
            </w:r>
            <w:proofErr w:type="spellStart"/>
            <w:r w:rsidRPr="00A81261">
              <w:rPr>
                <w:rFonts w:asciiTheme="majorBidi" w:hAnsiTheme="majorBidi" w:cstheme="majorBidi"/>
                <w:color w:val="auto"/>
                <w:sz w:val="24"/>
                <w:szCs w:val="24"/>
              </w:rPr>
              <w:t>cid</w:t>
            </w:r>
            <w:proofErr w:type="spellEnd"/>
            <w:r w:rsidRPr="00A81261">
              <w:rPr>
                <w:rFonts w:asciiTheme="majorBidi" w:hAnsiTheme="majorBidi" w:cstheme="majorBidi"/>
                <w:color w:val="auto"/>
                <w:sz w:val="24"/>
                <w:szCs w:val="24"/>
              </w:rPr>
              <w:t>/ciad345.</w:t>
            </w:r>
          </w:p>
        </w:tc>
        <w:tc>
          <w:tcPr>
            <w:tcW w:w="5938" w:type="dxa"/>
          </w:tcPr>
          <w:p w14:paraId="7CD94531" w14:textId="77777777" w:rsidR="009405C7" w:rsidRPr="00A81261" w:rsidRDefault="009405C7" w:rsidP="009405C7">
            <w:pPr>
              <w:pStyle w:val="MDPI31text"/>
              <w:ind w:left="0" w:firstLine="0"/>
              <w:rPr>
                <w:rFonts w:asciiTheme="majorBidi" w:hAnsiTheme="majorBidi" w:cstheme="majorBidi"/>
                <w:color w:val="auto"/>
                <w:sz w:val="24"/>
                <w:szCs w:val="24"/>
              </w:rPr>
            </w:pPr>
            <w:r w:rsidRPr="00A81261">
              <w:rPr>
                <w:rFonts w:asciiTheme="majorBidi" w:hAnsiTheme="majorBidi" w:cstheme="majorBidi"/>
                <w:color w:val="auto"/>
                <w:sz w:val="24"/>
                <w:szCs w:val="24"/>
              </w:rPr>
              <w:lastRenderedPageBreak/>
              <w:t xml:space="preserve">Outside the prespecified review scope. This nationwide population-based cohort study from Singapore evaluated relative waning of protection among older adults aged ≥60 years during an Omicron XBB–dominant period (September–December 2022) using adjusted incidence rate ratios (IRRs) comparing different time intervals since </w:t>
            </w:r>
            <w:r w:rsidRPr="00A81261">
              <w:rPr>
                <w:rFonts w:asciiTheme="majorBidi" w:hAnsiTheme="majorBidi" w:cstheme="majorBidi"/>
                <w:color w:val="auto"/>
                <w:sz w:val="24"/>
                <w:szCs w:val="24"/>
              </w:rPr>
              <w:lastRenderedPageBreak/>
              <w:t>receipt of third and fourth mRNA vaccine doses, with the reference group being individuals vaccinated 90–179 days after a booster dose. The study does not estimate absolute vaccine effectiveness versus unvaccinated individuals or standardised relative vaccine effectiveness using a defined vaccination comparator, and therefore its effect measures are not directly comparable with the population-based vaccine effectiveness framework synthesised in this review.</w:t>
            </w:r>
          </w:p>
        </w:tc>
      </w:tr>
      <w:tr w:rsidR="009405C7" w14:paraId="4EAAD8B6" w14:textId="77777777" w:rsidTr="00B20255">
        <w:tc>
          <w:tcPr>
            <w:tcW w:w="5403" w:type="dxa"/>
          </w:tcPr>
          <w:p w14:paraId="5F990214" w14:textId="077494B6" w:rsidR="009405C7" w:rsidRPr="00A81261" w:rsidRDefault="00A81261" w:rsidP="009405C7">
            <w:pPr>
              <w:pStyle w:val="MDPI31text"/>
              <w:ind w:left="0" w:firstLine="0"/>
              <w:rPr>
                <w:rFonts w:asciiTheme="majorBidi" w:hAnsiTheme="majorBidi" w:cstheme="majorBidi"/>
                <w:color w:val="auto"/>
                <w:sz w:val="24"/>
                <w:szCs w:val="24"/>
              </w:rPr>
            </w:pPr>
            <w:r w:rsidRPr="00A81261">
              <w:rPr>
                <w:rFonts w:asciiTheme="majorBidi" w:hAnsiTheme="majorBidi" w:cstheme="majorBidi"/>
                <w:color w:val="auto"/>
                <w:sz w:val="24"/>
                <w:szCs w:val="24"/>
              </w:rPr>
              <w:lastRenderedPageBreak/>
              <w:t>Wee LE, Loy EXH, Lim JT, Kwok WH, Chiew C, Lien C, Rosario BH, Leong IYO, Merchant RA, Lye DCB, Tan KB. Real-world effectiveness of boosting against Omicron hospitalization in older adults, stratified by frailty. Vaccines. 2025;13:565. doi:10.3390/vaccines13060565.</w:t>
            </w:r>
          </w:p>
        </w:tc>
        <w:tc>
          <w:tcPr>
            <w:tcW w:w="5938" w:type="dxa"/>
          </w:tcPr>
          <w:p w14:paraId="0BF199ED" w14:textId="0B158B36" w:rsidR="009405C7" w:rsidRPr="00A81261" w:rsidRDefault="003D3676" w:rsidP="009405C7">
            <w:pPr>
              <w:pStyle w:val="MDPI31text"/>
              <w:ind w:left="0" w:firstLine="0"/>
              <w:rPr>
                <w:rFonts w:asciiTheme="majorBidi" w:hAnsiTheme="majorBidi" w:cstheme="majorBidi"/>
                <w:color w:val="auto"/>
                <w:sz w:val="24"/>
                <w:szCs w:val="24"/>
              </w:rPr>
            </w:pPr>
            <w:r w:rsidRPr="00A81261">
              <w:rPr>
                <w:rFonts w:asciiTheme="majorBidi" w:hAnsiTheme="majorBidi" w:cstheme="majorBidi"/>
                <w:color w:val="auto"/>
                <w:sz w:val="24"/>
                <w:szCs w:val="24"/>
              </w:rPr>
              <w:t>Outside the prespecified review scope. This nationwide, population-based cohort study from Singapore assessed the risk of COVID-19–related hospitalization and severe disease among adults aged ≥60 years across successive Omicron waves (BA.1/BA.2, BA.4/BA.5, XBB, and JN.1), stratified by frailty status, using adjusted hazard ratios from Fine–Gray competing-risks models. Effect estimates were reported relative to completion of a primary two-dose vaccination series or by the number of booster doses and time since last vaccination, rather than as absolute vaccine effectiveness compared with unvaccinated individuals or standardised relative vaccine effectiveness using a defined comparator. Consequently, the reported effect measures are not directly comparable with the vaccine effectiveness framework synthesised in this review.</w:t>
            </w:r>
          </w:p>
        </w:tc>
      </w:tr>
      <w:tr w:rsidR="009405C7" w14:paraId="66C9D351" w14:textId="77777777" w:rsidTr="00B20255">
        <w:tc>
          <w:tcPr>
            <w:tcW w:w="5403" w:type="dxa"/>
          </w:tcPr>
          <w:p w14:paraId="0B48A020" w14:textId="52B6EB1F" w:rsidR="009405C7" w:rsidRPr="004D4437" w:rsidRDefault="00701D07" w:rsidP="009405C7">
            <w:pPr>
              <w:pStyle w:val="MDPI31text"/>
              <w:ind w:left="0" w:firstLine="0"/>
              <w:rPr>
                <w:rFonts w:asciiTheme="majorBidi" w:hAnsiTheme="majorBidi" w:cstheme="majorBidi"/>
                <w:color w:val="auto"/>
                <w:sz w:val="24"/>
                <w:szCs w:val="24"/>
              </w:rPr>
            </w:pPr>
            <w:r w:rsidRPr="004D4437">
              <w:rPr>
                <w:rFonts w:asciiTheme="majorBidi" w:hAnsiTheme="majorBidi" w:cstheme="majorBidi"/>
                <w:color w:val="auto"/>
                <w:sz w:val="24"/>
                <w:szCs w:val="24"/>
              </w:rPr>
              <w:t>Wei Y, Jia KM, Zhao S, Hung CT, Mok CKP, Poon PKM, Leung EYM, Wang MH, Yam CHK, Chow TY, Guo Z, Yeoh EK, Chong KC. Estimation of vaccine effectiveness of CoronaVac and BNT162b2 against severe outcomes over time among patients with SARS-CoV-2 Omicron. JAMA Network Open. 2023;6(2):e2254777. doi:10.1001/jamanetworkopen.2022.54777.</w:t>
            </w:r>
          </w:p>
        </w:tc>
        <w:tc>
          <w:tcPr>
            <w:tcW w:w="5938" w:type="dxa"/>
          </w:tcPr>
          <w:p w14:paraId="7C33B593" w14:textId="78B265B9" w:rsidR="009405C7" w:rsidRPr="004D4437" w:rsidRDefault="009405C7" w:rsidP="009405C7">
            <w:pPr>
              <w:pStyle w:val="MDPI31text"/>
              <w:ind w:left="0" w:firstLine="0"/>
              <w:rPr>
                <w:rFonts w:asciiTheme="majorBidi" w:hAnsiTheme="majorBidi" w:cstheme="majorBidi"/>
                <w:color w:val="auto"/>
                <w:sz w:val="24"/>
                <w:szCs w:val="24"/>
              </w:rPr>
            </w:pPr>
            <w:r w:rsidRPr="004D4437">
              <w:rPr>
                <w:rFonts w:asciiTheme="majorBidi" w:hAnsiTheme="majorBidi" w:cstheme="majorBidi"/>
                <w:color w:val="auto"/>
                <w:sz w:val="24"/>
                <w:szCs w:val="24"/>
              </w:rPr>
              <w:t xml:space="preserve">Outside the prespecified review scope. The study was conducted during early Omicron circulation (January–June 2022) and evaluates monovalent (ancestral) vaccines only (CoronaVac and BNT162b2), with no assessment of variant-adapted vaccines (e.g., bivalent </w:t>
            </w:r>
            <w:r w:rsidR="00A13B79" w:rsidRPr="004D4437">
              <w:rPr>
                <w:rFonts w:asciiTheme="majorBidi" w:hAnsiTheme="majorBidi" w:cstheme="majorBidi"/>
                <w:color w:val="auto"/>
                <w:sz w:val="24"/>
                <w:szCs w:val="24"/>
              </w:rPr>
              <w:t xml:space="preserve">BA.4/BA.5 </w:t>
            </w:r>
            <w:r w:rsidRPr="004D4437">
              <w:rPr>
                <w:rFonts w:asciiTheme="majorBidi" w:hAnsiTheme="majorBidi" w:cstheme="majorBidi"/>
                <w:color w:val="auto"/>
                <w:sz w:val="24"/>
                <w:szCs w:val="24"/>
              </w:rPr>
              <w:t>or updated XBB/JN.1 formulations) that are the focus of this review.</w:t>
            </w:r>
          </w:p>
        </w:tc>
      </w:tr>
      <w:tr w:rsidR="009405C7" w14:paraId="4CC5DF67" w14:textId="77777777" w:rsidTr="00B20255">
        <w:tc>
          <w:tcPr>
            <w:tcW w:w="5403" w:type="dxa"/>
          </w:tcPr>
          <w:p w14:paraId="67BCC1A2" w14:textId="51559804" w:rsidR="009405C7" w:rsidRPr="000C7BE4" w:rsidRDefault="004D4437" w:rsidP="009405C7">
            <w:pPr>
              <w:pStyle w:val="MDPI31text"/>
              <w:ind w:left="0" w:firstLine="0"/>
              <w:rPr>
                <w:rFonts w:asciiTheme="majorBidi" w:hAnsiTheme="majorBidi" w:cstheme="majorBidi"/>
                <w:color w:val="auto"/>
                <w:sz w:val="24"/>
                <w:szCs w:val="24"/>
              </w:rPr>
            </w:pPr>
            <w:r w:rsidRPr="000C7BE4">
              <w:rPr>
                <w:rFonts w:asciiTheme="majorBidi" w:hAnsiTheme="majorBidi" w:cstheme="majorBidi"/>
                <w:color w:val="auto"/>
                <w:sz w:val="24"/>
                <w:szCs w:val="24"/>
              </w:rPr>
              <w:t xml:space="preserve">Wells CR, Pandey A, </w:t>
            </w:r>
            <w:proofErr w:type="spellStart"/>
            <w:r w:rsidRPr="000C7BE4">
              <w:rPr>
                <w:rFonts w:asciiTheme="majorBidi" w:hAnsiTheme="majorBidi" w:cstheme="majorBidi"/>
                <w:color w:val="auto"/>
                <w:sz w:val="24"/>
                <w:szCs w:val="24"/>
              </w:rPr>
              <w:t>Moghadas</w:t>
            </w:r>
            <w:proofErr w:type="spellEnd"/>
            <w:r w:rsidRPr="000C7BE4">
              <w:rPr>
                <w:rFonts w:asciiTheme="majorBidi" w:hAnsiTheme="majorBidi" w:cstheme="majorBidi"/>
                <w:color w:val="auto"/>
                <w:sz w:val="24"/>
                <w:szCs w:val="24"/>
              </w:rPr>
              <w:t xml:space="preserve"> SM, Fitzpatrick MC, Singer BH, Galvani AP. Evaluation of strategies for transitioning to annual SARS-CoV-2 vaccination campaigns in the United States. Annals of Internal Medicine. 2024;177:609–617. doi:10.7326/M23-2451.</w:t>
            </w:r>
          </w:p>
        </w:tc>
        <w:tc>
          <w:tcPr>
            <w:tcW w:w="5938" w:type="dxa"/>
          </w:tcPr>
          <w:p w14:paraId="4F5D63AE" w14:textId="77777777" w:rsidR="009405C7" w:rsidRPr="000C7BE4" w:rsidRDefault="009405C7" w:rsidP="009405C7">
            <w:pPr>
              <w:pStyle w:val="MDPI31text"/>
              <w:ind w:left="0" w:firstLine="0"/>
              <w:rPr>
                <w:rFonts w:asciiTheme="majorBidi" w:hAnsiTheme="majorBidi" w:cstheme="majorBidi"/>
                <w:color w:val="auto"/>
                <w:sz w:val="24"/>
                <w:szCs w:val="24"/>
              </w:rPr>
            </w:pPr>
            <w:r w:rsidRPr="000C7BE4">
              <w:rPr>
                <w:rFonts w:asciiTheme="majorBidi" w:hAnsiTheme="majorBidi" w:cstheme="majorBidi"/>
                <w:color w:val="auto"/>
                <w:sz w:val="24"/>
                <w:szCs w:val="24"/>
              </w:rPr>
              <w:t>Outside the prespecified review scope. This study is a dynamic transmission modeling analysis evaluating hypothetical annual SARS-CoV-2 vaccination strategies and projected outcomes, rather than reporting empirically derived real-world vaccine-effectiveness estimates from observational data.</w:t>
            </w:r>
          </w:p>
        </w:tc>
      </w:tr>
      <w:tr w:rsidR="009405C7" w14:paraId="36706B49" w14:textId="77777777" w:rsidTr="00B20255">
        <w:tc>
          <w:tcPr>
            <w:tcW w:w="5403" w:type="dxa"/>
          </w:tcPr>
          <w:p w14:paraId="5E186069" w14:textId="42FEC158" w:rsidR="009405C7" w:rsidRPr="000C7BE4" w:rsidRDefault="000C7BE4" w:rsidP="009405C7">
            <w:pPr>
              <w:pStyle w:val="MDPI31text"/>
              <w:ind w:left="0" w:firstLine="0"/>
              <w:rPr>
                <w:rFonts w:asciiTheme="majorBidi" w:hAnsiTheme="majorBidi" w:cstheme="majorBidi"/>
                <w:color w:val="auto"/>
                <w:sz w:val="24"/>
                <w:szCs w:val="24"/>
              </w:rPr>
            </w:pPr>
            <w:r w:rsidRPr="000C7BE4">
              <w:rPr>
                <w:rFonts w:asciiTheme="majorBidi" w:hAnsiTheme="majorBidi" w:cstheme="majorBidi"/>
                <w:color w:val="auto"/>
                <w:sz w:val="24"/>
                <w:szCs w:val="24"/>
              </w:rPr>
              <w:t xml:space="preserve">Wilson WW, Keaton AA, Ochoa LG, Hatfield KM, Gable P, </w:t>
            </w:r>
            <w:proofErr w:type="spellStart"/>
            <w:r w:rsidRPr="000C7BE4">
              <w:rPr>
                <w:rFonts w:asciiTheme="majorBidi" w:hAnsiTheme="majorBidi" w:cstheme="majorBidi"/>
                <w:color w:val="auto"/>
                <w:sz w:val="24"/>
                <w:szCs w:val="24"/>
              </w:rPr>
              <w:t>Walblay</w:t>
            </w:r>
            <w:proofErr w:type="spellEnd"/>
            <w:r w:rsidRPr="000C7BE4">
              <w:rPr>
                <w:rFonts w:asciiTheme="majorBidi" w:hAnsiTheme="majorBidi" w:cstheme="majorBidi"/>
                <w:color w:val="auto"/>
                <w:sz w:val="24"/>
                <w:szCs w:val="24"/>
              </w:rPr>
              <w:t xml:space="preserve"> KA, Teran RA, Shea M, Khan U, Stringer G, Ganesan M, Gilbert J, Colletti JG, Grogan EM, Calabrese C, Hennenfent A, Perlmutter R, Janiszewski KA, Brandenburg C, Kamal-Ahmed I, Strand K, Donahue M, Ashraf MS, Berns E, MacFarquhar J, Linder ML, Tran DJ, Kopp P, Walker RM, Ess R, Baggs J, Jernigan JA, Kallen A, Hunter JC; MOVIN Surveillance Team. Outbreaks of SARS-CoV-2 infections in nursing homes during periods of Delta and Omicron predominance, United States, July </w:t>
            </w:r>
            <w:r w:rsidRPr="000C7BE4">
              <w:rPr>
                <w:rFonts w:asciiTheme="majorBidi" w:hAnsiTheme="majorBidi" w:cstheme="majorBidi"/>
                <w:color w:val="auto"/>
                <w:sz w:val="24"/>
                <w:szCs w:val="24"/>
              </w:rPr>
              <w:lastRenderedPageBreak/>
              <w:t>2021–March 2022. Emerging Infectious Diseases. 2023;29(4):761–770. doi:10.3201/eid2904.221605.</w:t>
            </w:r>
          </w:p>
        </w:tc>
        <w:tc>
          <w:tcPr>
            <w:tcW w:w="5938" w:type="dxa"/>
          </w:tcPr>
          <w:p w14:paraId="68378EDC" w14:textId="77777777" w:rsidR="009405C7" w:rsidRPr="000C7BE4" w:rsidRDefault="009405C7" w:rsidP="009405C7">
            <w:pPr>
              <w:pStyle w:val="MDPI31text"/>
              <w:ind w:left="0" w:firstLine="0"/>
              <w:rPr>
                <w:rFonts w:asciiTheme="majorBidi" w:hAnsiTheme="majorBidi" w:cstheme="majorBidi"/>
                <w:color w:val="auto"/>
                <w:sz w:val="24"/>
                <w:szCs w:val="24"/>
              </w:rPr>
            </w:pPr>
            <w:r w:rsidRPr="000C7BE4">
              <w:rPr>
                <w:rFonts w:asciiTheme="majorBidi" w:hAnsiTheme="majorBidi" w:cstheme="majorBidi"/>
                <w:color w:val="auto"/>
                <w:sz w:val="24"/>
                <w:szCs w:val="24"/>
              </w:rPr>
              <w:lastRenderedPageBreak/>
              <w:t xml:space="preserve">Outside the prespecified review scope. This study is a nursing-home outbreak surveillance analysis reporting attack rates and risk ratios for infection, hospitalization, and death by vaccination status during facility outbreaks. It does not estimate population-based vaccine effectiveness (VE or </w:t>
            </w:r>
            <w:proofErr w:type="spellStart"/>
            <w:r w:rsidRPr="000C7BE4">
              <w:rPr>
                <w:rFonts w:asciiTheme="majorBidi" w:hAnsiTheme="majorBidi" w:cstheme="majorBidi"/>
                <w:color w:val="auto"/>
                <w:sz w:val="24"/>
                <w:szCs w:val="24"/>
              </w:rPr>
              <w:t>rVE</w:t>
            </w:r>
            <w:proofErr w:type="spellEnd"/>
            <w:r w:rsidRPr="000C7BE4">
              <w:rPr>
                <w:rFonts w:asciiTheme="majorBidi" w:hAnsiTheme="majorBidi" w:cstheme="majorBidi"/>
                <w:color w:val="auto"/>
                <w:sz w:val="24"/>
                <w:szCs w:val="24"/>
              </w:rPr>
              <w:t>) using cohort, case–control, or test-negative designs, and the authors explicitly note that formal VE estimates were not calculated; therefore, it is not eligible for inclusion in the formal vaccine-effectiveness synthesis.</w:t>
            </w:r>
          </w:p>
        </w:tc>
      </w:tr>
      <w:tr w:rsidR="009405C7" w14:paraId="7C2B53EF" w14:textId="77777777" w:rsidTr="00B20255">
        <w:tc>
          <w:tcPr>
            <w:tcW w:w="5403" w:type="dxa"/>
          </w:tcPr>
          <w:p w14:paraId="11D08F70" w14:textId="560C2D71" w:rsidR="009405C7" w:rsidRPr="005367E2" w:rsidRDefault="006D56C6" w:rsidP="009405C7">
            <w:pPr>
              <w:pStyle w:val="MDPI31text"/>
              <w:ind w:left="0" w:firstLine="0"/>
              <w:rPr>
                <w:rFonts w:asciiTheme="majorBidi" w:hAnsiTheme="majorBidi" w:cstheme="majorBidi"/>
                <w:color w:val="auto"/>
                <w:sz w:val="24"/>
                <w:szCs w:val="24"/>
              </w:rPr>
            </w:pPr>
            <w:r w:rsidRPr="005367E2">
              <w:rPr>
                <w:rFonts w:asciiTheme="majorBidi" w:hAnsiTheme="majorBidi" w:cstheme="majorBidi"/>
                <w:color w:val="auto"/>
                <w:sz w:val="24"/>
                <w:szCs w:val="24"/>
              </w:rPr>
              <w:t>Winchester NE, Shrestha NK, Kim P, Tereshchenko LG, Rothberg MB. Protection conferred by Delta and BA.1/BA.2 infection against BA.4/BA.5 infection and hospitalization: a retrospective cohort study. The Journal of Infectious Diseases. 2023;227:800–805. doi:10.1093/</w:t>
            </w:r>
            <w:proofErr w:type="spellStart"/>
            <w:r w:rsidRPr="005367E2">
              <w:rPr>
                <w:rFonts w:asciiTheme="majorBidi" w:hAnsiTheme="majorBidi" w:cstheme="majorBidi"/>
                <w:color w:val="auto"/>
                <w:sz w:val="24"/>
                <w:szCs w:val="24"/>
              </w:rPr>
              <w:t>infdis</w:t>
            </w:r>
            <w:proofErr w:type="spellEnd"/>
            <w:r w:rsidRPr="005367E2">
              <w:rPr>
                <w:rFonts w:asciiTheme="majorBidi" w:hAnsiTheme="majorBidi" w:cstheme="majorBidi"/>
                <w:color w:val="auto"/>
                <w:sz w:val="24"/>
                <w:szCs w:val="24"/>
              </w:rPr>
              <w:t>/jiad003.</w:t>
            </w:r>
          </w:p>
        </w:tc>
        <w:tc>
          <w:tcPr>
            <w:tcW w:w="5938" w:type="dxa"/>
          </w:tcPr>
          <w:p w14:paraId="091B6CD8" w14:textId="77777777" w:rsidR="009405C7" w:rsidRPr="005367E2" w:rsidRDefault="009405C7" w:rsidP="009405C7">
            <w:pPr>
              <w:pStyle w:val="MDPI31text"/>
              <w:ind w:left="0" w:firstLine="0"/>
              <w:rPr>
                <w:rFonts w:asciiTheme="majorBidi" w:hAnsiTheme="majorBidi" w:cstheme="majorBidi"/>
                <w:color w:val="auto"/>
                <w:sz w:val="24"/>
                <w:szCs w:val="24"/>
              </w:rPr>
            </w:pPr>
            <w:r w:rsidRPr="005367E2">
              <w:rPr>
                <w:rFonts w:asciiTheme="majorBidi" w:hAnsiTheme="majorBidi" w:cstheme="majorBidi"/>
                <w:color w:val="auto"/>
                <w:sz w:val="24"/>
                <w:szCs w:val="24"/>
              </w:rPr>
              <w:t xml:space="preserve">Outside the prespecified review scope. This study primarily evaluates protection from prior SARS-CoV-2 infection (natural immunity) using preventable fraction estimates. Vaccination status is included as a covariate rather than the exposure of interest, and the study does not report population-based vaccine effectiveness (VE or </w:t>
            </w:r>
            <w:proofErr w:type="spellStart"/>
            <w:r w:rsidRPr="005367E2">
              <w:rPr>
                <w:rFonts w:asciiTheme="majorBidi" w:hAnsiTheme="majorBidi" w:cstheme="majorBidi"/>
                <w:color w:val="auto"/>
                <w:sz w:val="24"/>
                <w:szCs w:val="24"/>
              </w:rPr>
              <w:t>rVE</w:t>
            </w:r>
            <w:proofErr w:type="spellEnd"/>
            <w:r w:rsidRPr="005367E2">
              <w:rPr>
                <w:rFonts w:asciiTheme="majorBidi" w:hAnsiTheme="majorBidi" w:cstheme="majorBidi"/>
                <w:color w:val="auto"/>
                <w:sz w:val="24"/>
                <w:szCs w:val="24"/>
              </w:rPr>
              <w:t>) estimates comparing vaccinated and unvaccinated individuals; therefore, it is not eligible for inclusion in a vaccine-effectiveness–focused synthesis.</w:t>
            </w:r>
          </w:p>
        </w:tc>
      </w:tr>
      <w:tr w:rsidR="009405C7" w14:paraId="363FA14A" w14:textId="77777777" w:rsidTr="00B20255">
        <w:tc>
          <w:tcPr>
            <w:tcW w:w="5403" w:type="dxa"/>
          </w:tcPr>
          <w:p w14:paraId="2540043E" w14:textId="2A8A24B1" w:rsidR="009405C7" w:rsidRPr="005A13E5" w:rsidRDefault="005A13E5" w:rsidP="009405C7">
            <w:pPr>
              <w:pStyle w:val="MDPI31text"/>
              <w:ind w:left="0" w:firstLine="0"/>
              <w:rPr>
                <w:rFonts w:asciiTheme="majorBidi" w:hAnsiTheme="majorBidi" w:cstheme="majorBidi"/>
                <w:color w:val="auto"/>
                <w:sz w:val="24"/>
                <w:szCs w:val="24"/>
              </w:rPr>
            </w:pPr>
            <w:proofErr w:type="spellStart"/>
            <w:r w:rsidRPr="005A13E5">
              <w:rPr>
                <w:rFonts w:asciiTheme="majorBidi" w:hAnsiTheme="majorBidi" w:cstheme="majorBidi"/>
                <w:color w:val="auto"/>
                <w:sz w:val="24"/>
                <w:szCs w:val="24"/>
                <w:lang w:val="en-GB"/>
              </w:rPr>
              <w:t>Wiratama</w:t>
            </w:r>
            <w:proofErr w:type="spellEnd"/>
            <w:r w:rsidRPr="005A13E5">
              <w:rPr>
                <w:rFonts w:asciiTheme="majorBidi" w:hAnsiTheme="majorBidi" w:cstheme="majorBidi"/>
                <w:color w:val="auto"/>
                <w:sz w:val="24"/>
                <w:szCs w:val="24"/>
                <w:lang w:val="en-GB"/>
              </w:rPr>
              <w:t xml:space="preserve"> BS, </w:t>
            </w:r>
            <w:proofErr w:type="spellStart"/>
            <w:r w:rsidRPr="005A13E5">
              <w:rPr>
                <w:rFonts w:asciiTheme="majorBidi" w:hAnsiTheme="majorBidi" w:cstheme="majorBidi"/>
                <w:color w:val="auto"/>
                <w:sz w:val="24"/>
                <w:szCs w:val="24"/>
                <w:lang w:val="en-GB"/>
              </w:rPr>
              <w:t>Oktaria</w:t>
            </w:r>
            <w:proofErr w:type="spellEnd"/>
            <w:r w:rsidRPr="005A13E5">
              <w:rPr>
                <w:rFonts w:asciiTheme="majorBidi" w:hAnsiTheme="majorBidi" w:cstheme="majorBidi"/>
                <w:color w:val="auto"/>
                <w:sz w:val="24"/>
                <w:szCs w:val="24"/>
                <w:lang w:val="en-GB"/>
              </w:rPr>
              <w:t xml:space="preserve"> V, </w:t>
            </w:r>
            <w:proofErr w:type="spellStart"/>
            <w:r w:rsidRPr="005A13E5">
              <w:rPr>
                <w:rFonts w:asciiTheme="majorBidi" w:hAnsiTheme="majorBidi" w:cstheme="majorBidi"/>
                <w:color w:val="auto"/>
                <w:sz w:val="24"/>
                <w:szCs w:val="24"/>
                <w:lang w:val="en-GB"/>
              </w:rPr>
              <w:t>Indrihutami</w:t>
            </w:r>
            <w:proofErr w:type="spellEnd"/>
            <w:r w:rsidRPr="005A13E5">
              <w:rPr>
                <w:rFonts w:asciiTheme="majorBidi" w:hAnsiTheme="majorBidi" w:cstheme="majorBidi"/>
                <w:color w:val="auto"/>
                <w:sz w:val="24"/>
                <w:szCs w:val="24"/>
                <w:lang w:val="en-GB"/>
              </w:rPr>
              <w:t xml:space="preserve"> K, </w:t>
            </w:r>
            <w:proofErr w:type="spellStart"/>
            <w:r w:rsidRPr="005A13E5">
              <w:rPr>
                <w:rFonts w:asciiTheme="majorBidi" w:hAnsiTheme="majorBidi" w:cstheme="majorBidi"/>
                <w:color w:val="auto"/>
                <w:sz w:val="24"/>
                <w:szCs w:val="24"/>
                <w:lang w:val="en-GB"/>
              </w:rPr>
              <w:t>Hardhantyo</w:t>
            </w:r>
            <w:proofErr w:type="spellEnd"/>
            <w:r w:rsidRPr="005A13E5">
              <w:rPr>
                <w:rFonts w:asciiTheme="majorBidi" w:hAnsiTheme="majorBidi" w:cstheme="majorBidi"/>
                <w:color w:val="auto"/>
                <w:sz w:val="24"/>
                <w:szCs w:val="24"/>
                <w:lang w:val="en-GB"/>
              </w:rPr>
              <w:t xml:space="preserve"> M, Maula AW, </w:t>
            </w:r>
            <w:proofErr w:type="spellStart"/>
            <w:r w:rsidRPr="005A13E5">
              <w:rPr>
                <w:rFonts w:asciiTheme="majorBidi" w:hAnsiTheme="majorBidi" w:cstheme="majorBidi"/>
                <w:color w:val="auto"/>
                <w:sz w:val="24"/>
                <w:szCs w:val="24"/>
                <w:lang w:val="en-GB"/>
              </w:rPr>
              <w:t>Djasri</w:t>
            </w:r>
            <w:proofErr w:type="spellEnd"/>
            <w:r w:rsidRPr="005A13E5">
              <w:rPr>
                <w:rFonts w:asciiTheme="majorBidi" w:hAnsiTheme="majorBidi" w:cstheme="majorBidi"/>
                <w:color w:val="auto"/>
                <w:sz w:val="24"/>
                <w:szCs w:val="24"/>
                <w:lang w:val="en-GB"/>
              </w:rPr>
              <w:t xml:space="preserve"> H, Dinari R, </w:t>
            </w:r>
            <w:proofErr w:type="spellStart"/>
            <w:r w:rsidRPr="005A13E5">
              <w:rPr>
                <w:rFonts w:asciiTheme="majorBidi" w:hAnsiTheme="majorBidi" w:cstheme="majorBidi"/>
                <w:color w:val="auto"/>
                <w:sz w:val="24"/>
                <w:szCs w:val="24"/>
                <w:lang w:val="en-GB"/>
              </w:rPr>
              <w:t>Syairaji</w:t>
            </w:r>
            <w:proofErr w:type="spellEnd"/>
            <w:r w:rsidRPr="005A13E5">
              <w:rPr>
                <w:rFonts w:asciiTheme="majorBidi" w:hAnsiTheme="majorBidi" w:cstheme="majorBidi"/>
                <w:color w:val="auto"/>
                <w:sz w:val="24"/>
                <w:szCs w:val="24"/>
                <w:lang w:val="en-GB"/>
              </w:rPr>
              <w:t xml:space="preserve"> M, Suwarti S, Pradipta A, Nusantara DU, </w:t>
            </w:r>
            <w:proofErr w:type="spellStart"/>
            <w:r w:rsidRPr="005A13E5">
              <w:rPr>
                <w:rFonts w:asciiTheme="majorBidi" w:hAnsiTheme="majorBidi" w:cstheme="majorBidi"/>
                <w:color w:val="auto"/>
                <w:sz w:val="24"/>
                <w:szCs w:val="24"/>
                <w:lang w:val="en-GB"/>
              </w:rPr>
              <w:t>Kusumaningrum</w:t>
            </w:r>
            <w:proofErr w:type="spellEnd"/>
            <w:r w:rsidRPr="005A13E5">
              <w:rPr>
                <w:rFonts w:asciiTheme="majorBidi" w:hAnsiTheme="majorBidi" w:cstheme="majorBidi"/>
                <w:color w:val="auto"/>
                <w:sz w:val="24"/>
                <w:szCs w:val="24"/>
                <w:lang w:val="en-GB"/>
              </w:rPr>
              <w:t xml:space="preserve"> A, Andrew, </w:t>
            </w:r>
            <w:proofErr w:type="spellStart"/>
            <w:r w:rsidRPr="005A13E5">
              <w:rPr>
                <w:rFonts w:asciiTheme="majorBidi" w:hAnsiTheme="majorBidi" w:cstheme="majorBidi"/>
                <w:color w:val="auto"/>
                <w:sz w:val="24"/>
                <w:szCs w:val="24"/>
                <w:lang w:val="en-GB"/>
              </w:rPr>
              <w:t>Tamburian</w:t>
            </w:r>
            <w:proofErr w:type="spellEnd"/>
            <w:r w:rsidRPr="005A13E5">
              <w:rPr>
                <w:rFonts w:asciiTheme="majorBidi" w:hAnsiTheme="majorBidi" w:cstheme="majorBidi"/>
                <w:color w:val="auto"/>
                <w:sz w:val="24"/>
                <w:szCs w:val="24"/>
                <w:lang w:val="en-GB"/>
              </w:rPr>
              <w:t xml:space="preserve"> MM, </w:t>
            </w:r>
            <w:proofErr w:type="spellStart"/>
            <w:r w:rsidRPr="005A13E5">
              <w:rPr>
                <w:rFonts w:asciiTheme="majorBidi" w:hAnsiTheme="majorBidi" w:cstheme="majorBidi"/>
                <w:color w:val="auto"/>
                <w:sz w:val="24"/>
                <w:szCs w:val="24"/>
                <w:lang w:val="en-GB"/>
              </w:rPr>
              <w:t>Baehaqi</w:t>
            </w:r>
            <w:proofErr w:type="spellEnd"/>
            <w:r w:rsidRPr="005A13E5">
              <w:rPr>
                <w:rFonts w:asciiTheme="majorBidi" w:hAnsiTheme="majorBidi" w:cstheme="majorBidi"/>
                <w:color w:val="auto"/>
                <w:sz w:val="24"/>
                <w:szCs w:val="24"/>
                <w:lang w:val="en-GB"/>
              </w:rPr>
              <w:t xml:space="preserve"> IS, Merrill R, Surendra H, </w:t>
            </w:r>
            <w:proofErr w:type="spellStart"/>
            <w:r w:rsidRPr="005A13E5">
              <w:rPr>
                <w:rFonts w:asciiTheme="majorBidi" w:hAnsiTheme="majorBidi" w:cstheme="majorBidi"/>
                <w:color w:val="auto"/>
                <w:sz w:val="24"/>
                <w:szCs w:val="24"/>
                <w:lang w:val="en-GB"/>
              </w:rPr>
              <w:t>Wijayanti</w:t>
            </w:r>
            <w:proofErr w:type="spellEnd"/>
            <w:r w:rsidRPr="005A13E5">
              <w:rPr>
                <w:rFonts w:asciiTheme="majorBidi" w:hAnsiTheme="majorBidi" w:cstheme="majorBidi"/>
                <w:color w:val="auto"/>
                <w:sz w:val="24"/>
                <w:szCs w:val="24"/>
                <w:lang w:val="en-GB"/>
              </w:rPr>
              <w:t xml:space="preserve"> F, Dahl BA, Hamers RL. </w:t>
            </w:r>
            <w:r w:rsidRPr="005A13E5">
              <w:rPr>
                <w:rFonts w:asciiTheme="majorBidi" w:hAnsiTheme="majorBidi" w:cstheme="majorBidi"/>
                <w:color w:val="auto"/>
                <w:sz w:val="24"/>
                <w:szCs w:val="24"/>
                <w:lang w:val="en-AU"/>
              </w:rPr>
              <w:t xml:space="preserve">Durability of protection of ancestral-strain COVID-19 third- and fourth-dose vaccine boosters against Omicron XBB/XBB.1 and JN.1 symptomatic infection, hospitalisation and mortality in Indonesian adults (2023–2024): a test-negative case–control study. </w:t>
            </w:r>
            <w:r w:rsidRPr="005A13E5">
              <w:rPr>
                <w:rFonts w:asciiTheme="majorBidi" w:hAnsiTheme="majorBidi" w:cstheme="majorBidi"/>
                <w:color w:val="auto"/>
                <w:sz w:val="24"/>
                <w:szCs w:val="24"/>
                <w:lang w:val="nb-NO"/>
              </w:rPr>
              <w:t xml:space="preserve">The </w:t>
            </w:r>
            <w:proofErr w:type="spellStart"/>
            <w:r w:rsidRPr="005A13E5">
              <w:rPr>
                <w:rFonts w:asciiTheme="majorBidi" w:hAnsiTheme="majorBidi" w:cstheme="majorBidi"/>
                <w:color w:val="auto"/>
                <w:sz w:val="24"/>
                <w:szCs w:val="24"/>
                <w:lang w:val="nb-NO"/>
              </w:rPr>
              <w:t>Lancet</w:t>
            </w:r>
            <w:proofErr w:type="spellEnd"/>
            <w:r w:rsidRPr="005A13E5">
              <w:rPr>
                <w:rFonts w:asciiTheme="majorBidi" w:hAnsiTheme="majorBidi" w:cstheme="majorBidi"/>
                <w:color w:val="auto"/>
                <w:sz w:val="24"/>
                <w:szCs w:val="24"/>
                <w:lang w:val="nb-NO"/>
              </w:rPr>
              <w:t xml:space="preserve"> Regional Health – </w:t>
            </w:r>
            <w:proofErr w:type="spellStart"/>
            <w:r w:rsidRPr="005A13E5">
              <w:rPr>
                <w:rFonts w:asciiTheme="majorBidi" w:hAnsiTheme="majorBidi" w:cstheme="majorBidi"/>
                <w:color w:val="auto"/>
                <w:sz w:val="24"/>
                <w:szCs w:val="24"/>
                <w:lang w:val="nb-NO"/>
              </w:rPr>
              <w:t>Southeast</w:t>
            </w:r>
            <w:proofErr w:type="spellEnd"/>
            <w:r w:rsidRPr="005A13E5">
              <w:rPr>
                <w:rFonts w:asciiTheme="majorBidi" w:hAnsiTheme="majorBidi" w:cstheme="majorBidi"/>
                <w:color w:val="auto"/>
                <w:sz w:val="24"/>
                <w:szCs w:val="24"/>
                <w:lang w:val="nb-NO"/>
              </w:rPr>
              <w:t xml:space="preserve"> Asia. 2025;42:100689. doi:10.1016/j.lansea.2025.100689.</w:t>
            </w:r>
          </w:p>
        </w:tc>
        <w:tc>
          <w:tcPr>
            <w:tcW w:w="5938" w:type="dxa"/>
          </w:tcPr>
          <w:p w14:paraId="23EF8149" w14:textId="77777777" w:rsidR="009405C7" w:rsidRPr="005A13E5" w:rsidRDefault="009405C7" w:rsidP="009405C7">
            <w:pPr>
              <w:pStyle w:val="MDPI31text"/>
              <w:ind w:left="0" w:firstLine="0"/>
              <w:rPr>
                <w:rFonts w:asciiTheme="majorBidi" w:hAnsiTheme="majorBidi" w:cstheme="majorBidi"/>
                <w:color w:val="auto"/>
                <w:sz w:val="24"/>
                <w:szCs w:val="24"/>
              </w:rPr>
            </w:pPr>
            <w:r w:rsidRPr="005A13E5">
              <w:rPr>
                <w:rFonts w:asciiTheme="majorBidi" w:hAnsiTheme="majorBidi" w:cstheme="majorBidi"/>
                <w:color w:val="auto"/>
                <w:sz w:val="24"/>
                <w:szCs w:val="24"/>
              </w:rPr>
              <w:t>Outside the prespecified review scope. This study evaluates the durability of protection from ancestral-strain (non–variant-adapted) third- and fourth-dose vaccine boosters and does not assess updated or variant-adapted vaccines that are the focus of this review, limiting comparability with the targeted evidence base.</w:t>
            </w:r>
          </w:p>
        </w:tc>
      </w:tr>
      <w:tr w:rsidR="009405C7" w14:paraId="55D9FFF9" w14:textId="77777777" w:rsidTr="00B20255">
        <w:tc>
          <w:tcPr>
            <w:tcW w:w="5403" w:type="dxa"/>
          </w:tcPr>
          <w:p w14:paraId="421B7092" w14:textId="5082BC1D" w:rsidR="009405C7" w:rsidRPr="005A13E5" w:rsidRDefault="005A13E5" w:rsidP="009405C7">
            <w:pPr>
              <w:pStyle w:val="MDPI31text"/>
              <w:ind w:left="0" w:firstLine="0"/>
              <w:rPr>
                <w:rFonts w:asciiTheme="majorBidi" w:hAnsiTheme="majorBidi" w:cstheme="majorBidi"/>
                <w:color w:val="auto"/>
                <w:sz w:val="24"/>
                <w:szCs w:val="24"/>
                <w:lang w:val="en-AU"/>
              </w:rPr>
            </w:pPr>
            <w:r w:rsidRPr="005A13E5">
              <w:rPr>
                <w:rFonts w:asciiTheme="majorBidi" w:hAnsiTheme="majorBidi" w:cstheme="majorBidi"/>
                <w:color w:val="auto"/>
                <w:sz w:val="24"/>
                <w:szCs w:val="24"/>
                <w:lang w:val="en-GB"/>
              </w:rPr>
              <w:t xml:space="preserve">Wong MTJ, Dhaliwal SS, Balakrishnan V, Nordin F, </w:t>
            </w:r>
            <w:proofErr w:type="spellStart"/>
            <w:r w:rsidRPr="005A13E5">
              <w:rPr>
                <w:rFonts w:asciiTheme="majorBidi" w:hAnsiTheme="majorBidi" w:cstheme="majorBidi"/>
                <w:color w:val="auto"/>
                <w:sz w:val="24"/>
                <w:szCs w:val="24"/>
                <w:lang w:val="en-GB"/>
              </w:rPr>
              <w:t>Norazmi</w:t>
            </w:r>
            <w:proofErr w:type="spellEnd"/>
            <w:r w:rsidRPr="005A13E5">
              <w:rPr>
                <w:rFonts w:asciiTheme="majorBidi" w:hAnsiTheme="majorBidi" w:cstheme="majorBidi"/>
                <w:color w:val="auto"/>
                <w:sz w:val="24"/>
                <w:szCs w:val="24"/>
                <w:lang w:val="en-GB"/>
              </w:rPr>
              <w:t xml:space="preserve"> MN, Tye GJ. </w:t>
            </w:r>
            <w:r w:rsidRPr="005A13E5">
              <w:rPr>
                <w:rFonts w:asciiTheme="majorBidi" w:hAnsiTheme="majorBidi" w:cstheme="majorBidi"/>
                <w:color w:val="auto"/>
                <w:sz w:val="24"/>
                <w:szCs w:val="24"/>
                <w:lang w:val="en-AU"/>
              </w:rPr>
              <w:t>Effectiveness of booster vaccinations on the control of COVID-19 during the spread of Omicron variant in Malaysia. International Journal of Environmental Research and Public Health. 2023;20:1647. doi:10.3390/ijerph20021647.</w:t>
            </w:r>
          </w:p>
        </w:tc>
        <w:tc>
          <w:tcPr>
            <w:tcW w:w="5938" w:type="dxa"/>
          </w:tcPr>
          <w:p w14:paraId="31BA5EF7" w14:textId="77777777" w:rsidR="009405C7" w:rsidRPr="005A13E5" w:rsidRDefault="009405C7" w:rsidP="009405C7">
            <w:pPr>
              <w:pStyle w:val="MDPI31text"/>
              <w:ind w:left="0" w:firstLine="0"/>
              <w:rPr>
                <w:rFonts w:asciiTheme="majorBidi" w:hAnsiTheme="majorBidi" w:cstheme="majorBidi"/>
                <w:color w:val="auto"/>
                <w:sz w:val="24"/>
                <w:szCs w:val="24"/>
              </w:rPr>
            </w:pPr>
            <w:r w:rsidRPr="005A13E5">
              <w:rPr>
                <w:rFonts w:asciiTheme="majorBidi" w:hAnsiTheme="majorBidi" w:cstheme="majorBidi"/>
                <w:color w:val="auto"/>
                <w:sz w:val="24"/>
                <w:szCs w:val="24"/>
              </w:rPr>
              <w:t>Outside the prespecified review scope. This national analysis relies on aggregated surveillance data and the screening method to estimate vaccine effectiveness and includes ecological trend analyses; vaccine effectiveness against death is additionally estimated among confirmed cases only, rather than using population-based denominators from standard observational study designs.</w:t>
            </w:r>
          </w:p>
        </w:tc>
      </w:tr>
      <w:tr w:rsidR="009405C7" w14:paraId="014053B9" w14:textId="77777777" w:rsidTr="00B20255">
        <w:tc>
          <w:tcPr>
            <w:tcW w:w="5403" w:type="dxa"/>
          </w:tcPr>
          <w:p w14:paraId="273DCFEC" w14:textId="481F105B" w:rsidR="009405C7" w:rsidRPr="00CD4C69" w:rsidRDefault="00CD4C69" w:rsidP="009405C7">
            <w:pPr>
              <w:pStyle w:val="MDPI31text"/>
              <w:ind w:left="0" w:firstLine="0"/>
              <w:rPr>
                <w:rFonts w:asciiTheme="majorBidi" w:hAnsiTheme="majorBidi" w:cstheme="majorBidi"/>
                <w:color w:val="auto"/>
                <w:sz w:val="24"/>
                <w:szCs w:val="24"/>
              </w:rPr>
            </w:pPr>
            <w:r w:rsidRPr="00CD4C69">
              <w:rPr>
                <w:rFonts w:asciiTheme="majorBidi" w:hAnsiTheme="majorBidi" w:cstheme="majorBidi"/>
                <w:color w:val="auto"/>
                <w:sz w:val="24"/>
                <w:szCs w:val="24"/>
              </w:rPr>
              <w:t>Xu H, Li H, You H, Zhang P, Li N, Jiang N, Cao Y, Qin L, Qin G, Qu H, Wang H, Zou B, He X, Li D, Zhao H, Huang G, Li Y, Zhang H, Zhu L, Qiao H, Li H, Liu S, Gu L, Yin G, Hu Y, Xu S, Guo W, Wang N, Liu C, Gao P, Cao J, Zheng Y, Zhang K, Wang Y, Chen H, Zhang J, Mu D, Niu J. Effectiveness of inactivated COVID-19 vaccines against mild disease, pneumonia, and severe disease among persons infected with SARS-CoV-2 Omicron variant: real-world study in Jilin Province, China. Emerging Microbes &amp; Infections. 2023;12:2149935. doi:10.1080/22221751.2022.2149935.</w:t>
            </w:r>
          </w:p>
        </w:tc>
        <w:tc>
          <w:tcPr>
            <w:tcW w:w="5938" w:type="dxa"/>
          </w:tcPr>
          <w:p w14:paraId="095E49C2" w14:textId="431FBB84" w:rsidR="009405C7" w:rsidRPr="00CD4C69" w:rsidRDefault="009405C7" w:rsidP="009405C7">
            <w:pPr>
              <w:pStyle w:val="MDPI31text"/>
              <w:ind w:left="0" w:firstLine="0"/>
              <w:rPr>
                <w:rFonts w:asciiTheme="majorBidi" w:hAnsiTheme="majorBidi" w:cstheme="majorBidi"/>
                <w:color w:val="auto"/>
                <w:sz w:val="24"/>
                <w:szCs w:val="24"/>
              </w:rPr>
            </w:pPr>
            <w:r w:rsidRPr="00CD4C69">
              <w:rPr>
                <w:rFonts w:asciiTheme="majorBidi" w:hAnsiTheme="majorBidi" w:cstheme="majorBidi"/>
                <w:color w:val="auto"/>
                <w:sz w:val="24"/>
                <w:szCs w:val="24"/>
              </w:rPr>
              <w:t>Outside the prespecified review scope. This case–case study includes only SARS-CoV-2–infected individuals and assesses disease severity among cases during an early Omicron period using ancestral inactivated vaccines. It does not provide population-based vaccine-effectiveness estimates, nor does it evaluate later Omicron subvariants (BA.5, XBB, JN.1, KP.3) or updated/variant-adapted vaccines that are the focus of this review.</w:t>
            </w:r>
          </w:p>
        </w:tc>
      </w:tr>
      <w:tr w:rsidR="009405C7" w14:paraId="4FFA0597" w14:textId="77777777" w:rsidTr="00B20255">
        <w:tc>
          <w:tcPr>
            <w:tcW w:w="5403" w:type="dxa"/>
          </w:tcPr>
          <w:p w14:paraId="1BD8952F" w14:textId="55C3B456" w:rsidR="009405C7" w:rsidRPr="00CD4C69" w:rsidRDefault="00CD4C69" w:rsidP="009405C7">
            <w:pPr>
              <w:pStyle w:val="MDPI31text"/>
              <w:ind w:left="0" w:firstLine="0"/>
              <w:rPr>
                <w:rFonts w:asciiTheme="majorBidi" w:hAnsiTheme="majorBidi" w:cstheme="majorBidi"/>
                <w:color w:val="auto"/>
                <w:sz w:val="24"/>
                <w:szCs w:val="24"/>
              </w:rPr>
            </w:pPr>
            <w:r w:rsidRPr="00CD4C69">
              <w:rPr>
                <w:rFonts w:asciiTheme="majorBidi" w:hAnsiTheme="majorBidi" w:cstheme="majorBidi"/>
                <w:color w:val="auto"/>
                <w:sz w:val="24"/>
                <w:szCs w:val="24"/>
                <w:lang w:val="en-AU"/>
              </w:rPr>
              <w:t xml:space="preserve">Xu Y, Li H, Kirui B, Santosa A, </w:t>
            </w:r>
            <w:proofErr w:type="spellStart"/>
            <w:r w:rsidRPr="00CD4C69">
              <w:rPr>
                <w:rFonts w:asciiTheme="majorBidi" w:hAnsiTheme="majorBidi" w:cstheme="majorBidi"/>
                <w:color w:val="auto"/>
                <w:sz w:val="24"/>
                <w:szCs w:val="24"/>
                <w:lang w:val="en-AU"/>
              </w:rPr>
              <w:t>Gisslén</w:t>
            </w:r>
            <w:proofErr w:type="spellEnd"/>
            <w:r w:rsidRPr="00CD4C69">
              <w:rPr>
                <w:rFonts w:asciiTheme="majorBidi" w:hAnsiTheme="majorBidi" w:cstheme="majorBidi"/>
                <w:color w:val="auto"/>
                <w:sz w:val="24"/>
                <w:szCs w:val="24"/>
                <w:lang w:val="en-AU"/>
              </w:rPr>
              <w:t xml:space="preserve"> M, Leach S, </w:t>
            </w:r>
            <w:proofErr w:type="spellStart"/>
            <w:r w:rsidRPr="00CD4C69">
              <w:rPr>
                <w:rFonts w:asciiTheme="majorBidi" w:hAnsiTheme="majorBidi" w:cstheme="majorBidi"/>
                <w:color w:val="auto"/>
                <w:sz w:val="24"/>
                <w:szCs w:val="24"/>
                <w:lang w:val="en-AU"/>
              </w:rPr>
              <w:t>Wettermark</w:t>
            </w:r>
            <w:proofErr w:type="spellEnd"/>
            <w:r w:rsidRPr="00CD4C69">
              <w:rPr>
                <w:rFonts w:asciiTheme="majorBidi" w:hAnsiTheme="majorBidi" w:cstheme="majorBidi"/>
                <w:color w:val="auto"/>
                <w:sz w:val="24"/>
                <w:szCs w:val="24"/>
                <w:lang w:val="en-AU"/>
              </w:rPr>
              <w:t xml:space="preserve"> B, Vanfleteren LEGW, Nyberg F. Effectiveness of COVID-19 vaccines over 13 months covering the period of the emergence of the Omicron variant in the Swedish population. </w:t>
            </w:r>
            <w:proofErr w:type="spellStart"/>
            <w:r w:rsidRPr="00CD4C69">
              <w:rPr>
                <w:rFonts w:asciiTheme="majorBidi" w:hAnsiTheme="majorBidi" w:cstheme="majorBidi"/>
                <w:color w:val="auto"/>
                <w:sz w:val="24"/>
                <w:szCs w:val="24"/>
                <w:lang w:val="nb-NO"/>
              </w:rPr>
              <w:t>Vaccines</w:t>
            </w:r>
            <w:proofErr w:type="spellEnd"/>
            <w:r w:rsidRPr="00CD4C69">
              <w:rPr>
                <w:rFonts w:asciiTheme="majorBidi" w:hAnsiTheme="majorBidi" w:cstheme="majorBidi"/>
                <w:color w:val="auto"/>
                <w:sz w:val="24"/>
                <w:szCs w:val="24"/>
                <w:lang w:val="nb-NO"/>
              </w:rPr>
              <w:t>. 2022;10:2074. doi:10.3390/vaccines10122074.</w:t>
            </w:r>
          </w:p>
        </w:tc>
        <w:tc>
          <w:tcPr>
            <w:tcW w:w="5938" w:type="dxa"/>
          </w:tcPr>
          <w:p w14:paraId="5EDFEFA9" w14:textId="418E4DCD" w:rsidR="009405C7" w:rsidRPr="00CD4C69" w:rsidRDefault="009405C7" w:rsidP="009405C7">
            <w:pPr>
              <w:pStyle w:val="MDPI31text"/>
              <w:ind w:left="0" w:firstLine="0"/>
              <w:rPr>
                <w:rFonts w:asciiTheme="majorBidi" w:hAnsiTheme="majorBidi" w:cstheme="majorBidi"/>
                <w:color w:val="auto"/>
                <w:sz w:val="24"/>
                <w:szCs w:val="24"/>
              </w:rPr>
            </w:pPr>
            <w:r w:rsidRPr="00CD4C69">
              <w:rPr>
                <w:rFonts w:asciiTheme="majorBidi" w:hAnsiTheme="majorBidi" w:cstheme="majorBidi"/>
                <w:color w:val="auto"/>
                <w:sz w:val="24"/>
                <w:szCs w:val="24"/>
              </w:rPr>
              <w:t>Outside the prespecified review scope. This population-based cohort study examines waning effectiveness of ancestral (non–variant-adapted) vaccines across pre-Omicron and early Omicron periods and does not provide effectiveness estimates for later Omicron subvariants (BA.5, XBB, JN.1, KP.3) or for updated/variant-adapted vaccines that are the focus of this review.</w:t>
            </w:r>
          </w:p>
        </w:tc>
      </w:tr>
      <w:tr w:rsidR="009405C7" w14:paraId="1AA5B838" w14:textId="77777777" w:rsidTr="00B20255">
        <w:tc>
          <w:tcPr>
            <w:tcW w:w="5403" w:type="dxa"/>
          </w:tcPr>
          <w:p w14:paraId="45B55642" w14:textId="60BEC4BA" w:rsidR="009405C7" w:rsidRPr="002E79B4" w:rsidRDefault="00FF4AAD" w:rsidP="009405C7">
            <w:pPr>
              <w:pStyle w:val="MDPI31text"/>
              <w:ind w:left="0" w:firstLine="0"/>
              <w:rPr>
                <w:rFonts w:asciiTheme="majorBidi" w:hAnsiTheme="majorBidi" w:cstheme="majorBidi"/>
                <w:color w:val="auto"/>
                <w:sz w:val="24"/>
                <w:szCs w:val="24"/>
              </w:rPr>
            </w:pPr>
            <w:r w:rsidRPr="002E79B4">
              <w:rPr>
                <w:rFonts w:asciiTheme="majorBidi" w:hAnsiTheme="majorBidi" w:cstheme="majorBidi"/>
                <w:color w:val="auto"/>
                <w:sz w:val="24"/>
                <w:szCs w:val="24"/>
                <w:lang w:val="en-GB"/>
              </w:rPr>
              <w:lastRenderedPageBreak/>
              <w:t xml:space="preserve">Yan VKC, Wan EYF, Ye X, Mok AHY, Lai FTT, Chui CSL, Li X, Wong CKH, Li PH, Ma T, Qin S, Wong VKC, Tsang TC, Tsui SH, Chui WCM, Cowling BJ, Leung GM, Lau CS, Wong ICK, Chan EWY. </w:t>
            </w:r>
            <w:r w:rsidRPr="002E79B4">
              <w:rPr>
                <w:rFonts w:asciiTheme="majorBidi" w:hAnsiTheme="majorBidi" w:cstheme="majorBidi"/>
                <w:color w:val="auto"/>
                <w:sz w:val="24"/>
                <w:szCs w:val="24"/>
                <w:lang w:val="en-AU"/>
              </w:rPr>
              <w:t xml:space="preserve">Effectiveness of BNT162b2 and CoronaVac vaccinations against mortality and severe complications after SARS-CoV-2 Omicron BA.2 infection: a case–control study. </w:t>
            </w:r>
            <w:proofErr w:type="spellStart"/>
            <w:r w:rsidRPr="002E79B4">
              <w:rPr>
                <w:rFonts w:asciiTheme="majorBidi" w:hAnsiTheme="majorBidi" w:cstheme="majorBidi"/>
                <w:color w:val="auto"/>
                <w:sz w:val="24"/>
                <w:szCs w:val="24"/>
                <w:lang w:val="nb-NO"/>
              </w:rPr>
              <w:t>Emerging</w:t>
            </w:r>
            <w:proofErr w:type="spellEnd"/>
            <w:r w:rsidRPr="002E79B4">
              <w:rPr>
                <w:rFonts w:asciiTheme="majorBidi" w:hAnsiTheme="majorBidi" w:cstheme="majorBidi"/>
                <w:color w:val="auto"/>
                <w:sz w:val="24"/>
                <w:szCs w:val="24"/>
                <w:lang w:val="nb-NO"/>
              </w:rPr>
              <w:t xml:space="preserve"> </w:t>
            </w:r>
            <w:proofErr w:type="spellStart"/>
            <w:r w:rsidRPr="002E79B4">
              <w:rPr>
                <w:rFonts w:asciiTheme="majorBidi" w:hAnsiTheme="majorBidi" w:cstheme="majorBidi"/>
                <w:color w:val="auto"/>
                <w:sz w:val="24"/>
                <w:szCs w:val="24"/>
                <w:lang w:val="nb-NO"/>
              </w:rPr>
              <w:t>Microbes</w:t>
            </w:r>
            <w:proofErr w:type="spellEnd"/>
            <w:r w:rsidRPr="002E79B4">
              <w:rPr>
                <w:rFonts w:asciiTheme="majorBidi" w:hAnsiTheme="majorBidi" w:cstheme="majorBidi"/>
                <w:color w:val="auto"/>
                <w:sz w:val="24"/>
                <w:szCs w:val="24"/>
                <w:lang w:val="nb-NO"/>
              </w:rPr>
              <w:t xml:space="preserve"> &amp; </w:t>
            </w:r>
            <w:proofErr w:type="spellStart"/>
            <w:r w:rsidRPr="002E79B4">
              <w:rPr>
                <w:rFonts w:asciiTheme="majorBidi" w:hAnsiTheme="majorBidi" w:cstheme="majorBidi"/>
                <w:color w:val="auto"/>
                <w:sz w:val="24"/>
                <w:szCs w:val="24"/>
                <w:lang w:val="nb-NO"/>
              </w:rPr>
              <w:t>Infections</w:t>
            </w:r>
            <w:proofErr w:type="spellEnd"/>
            <w:r w:rsidRPr="002E79B4">
              <w:rPr>
                <w:rFonts w:asciiTheme="majorBidi" w:hAnsiTheme="majorBidi" w:cstheme="majorBidi"/>
                <w:color w:val="auto"/>
                <w:sz w:val="24"/>
                <w:szCs w:val="24"/>
                <w:lang w:val="nb-NO"/>
              </w:rPr>
              <w:t>. 2022;11:2304–2314. doi:10.1080/22221751.2022.2114854.</w:t>
            </w:r>
          </w:p>
        </w:tc>
        <w:tc>
          <w:tcPr>
            <w:tcW w:w="5938" w:type="dxa"/>
          </w:tcPr>
          <w:p w14:paraId="58BB0B1A" w14:textId="0765DF3C" w:rsidR="009405C7" w:rsidRPr="002E79B4" w:rsidRDefault="009405C7" w:rsidP="009405C7">
            <w:pPr>
              <w:pStyle w:val="MDPI31text"/>
              <w:ind w:left="0" w:firstLine="0"/>
              <w:rPr>
                <w:rFonts w:asciiTheme="majorBidi" w:hAnsiTheme="majorBidi" w:cstheme="majorBidi"/>
                <w:color w:val="auto"/>
                <w:sz w:val="24"/>
                <w:szCs w:val="24"/>
              </w:rPr>
            </w:pPr>
            <w:r w:rsidRPr="002E79B4">
              <w:rPr>
                <w:rFonts w:asciiTheme="majorBidi" w:hAnsiTheme="majorBidi" w:cstheme="majorBidi"/>
                <w:color w:val="auto"/>
                <w:sz w:val="24"/>
                <w:szCs w:val="24"/>
              </w:rPr>
              <w:t>Outside the prespecified review scope. This study was conducted during the early Omicron BA.2 period (January–March 2022) and evaluates ancestral (non–variant-adapted) vaccines (BNT162b2 and CoronaVac). It does not provide vaccine-effectiveness estimates for later Omicron subvariants of interest (BA.5, XBB, JN.1, KP.3) or for updated/variant-adapted vaccines that are the focus of this review, and its analytic framework is not directly comparable with the late-Omicron vaccine-effectiveness synthesis presented here.</w:t>
            </w:r>
          </w:p>
        </w:tc>
      </w:tr>
      <w:tr w:rsidR="009405C7" w14:paraId="0F189A9B" w14:textId="77777777" w:rsidTr="00B20255">
        <w:tc>
          <w:tcPr>
            <w:tcW w:w="5403" w:type="dxa"/>
          </w:tcPr>
          <w:p w14:paraId="6298F2AA" w14:textId="25DDEAD9" w:rsidR="009405C7" w:rsidRPr="002E79B4" w:rsidRDefault="002E79B4" w:rsidP="009405C7">
            <w:pPr>
              <w:pStyle w:val="MDPI31text"/>
              <w:ind w:left="0" w:firstLine="0"/>
              <w:rPr>
                <w:rFonts w:asciiTheme="majorBidi" w:hAnsiTheme="majorBidi" w:cstheme="majorBidi"/>
                <w:color w:val="auto"/>
                <w:sz w:val="24"/>
                <w:szCs w:val="24"/>
              </w:rPr>
            </w:pPr>
            <w:r w:rsidRPr="002E79B4">
              <w:rPr>
                <w:rFonts w:asciiTheme="majorBidi" w:hAnsiTheme="majorBidi" w:cstheme="majorBidi"/>
                <w:color w:val="auto"/>
                <w:sz w:val="24"/>
                <w:szCs w:val="24"/>
                <w:lang w:val="en-AU"/>
              </w:rPr>
              <w:t xml:space="preserve">Yan VKC, Wan EYF, Ye X, Mok AHY, Lai FTT, Chui CSL, Li X, Wong CKH, Li PH, Ma T, Qin S, Lau CS, Wong ICK, Chan EWY. Waning effectiveness against COVID-19-related hospitalization, severe complications, and mortality with two to three doses of CoronaVac and BNT162b2: a case–control study. </w:t>
            </w:r>
            <w:proofErr w:type="spellStart"/>
            <w:r w:rsidRPr="002E79B4">
              <w:rPr>
                <w:rFonts w:asciiTheme="majorBidi" w:hAnsiTheme="majorBidi" w:cstheme="majorBidi"/>
                <w:color w:val="auto"/>
                <w:sz w:val="24"/>
                <w:szCs w:val="24"/>
                <w:lang w:val="nb-NO"/>
              </w:rPr>
              <w:t>Emerging</w:t>
            </w:r>
            <w:proofErr w:type="spellEnd"/>
            <w:r w:rsidRPr="002E79B4">
              <w:rPr>
                <w:rFonts w:asciiTheme="majorBidi" w:hAnsiTheme="majorBidi" w:cstheme="majorBidi"/>
                <w:color w:val="auto"/>
                <w:sz w:val="24"/>
                <w:szCs w:val="24"/>
                <w:lang w:val="nb-NO"/>
              </w:rPr>
              <w:t xml:space="preserve"> </w:t>
            </w:r>
            <w:proofErr w:type="spellStart"/>
            <w:r w:rsidRPr="002E79B4">
              <w:rPr>
                <w:rFonts w:asciiTheme="majorBidi" w:hAnsiTheme="majorBidi" w:cstheme="majorBidi"/>
                <w:color w:val="auto"/>
                <w:sz w:val="24"/>
                <w:szCs w:val="24"/>
                <w:lang w:val="nb-NO"/>
              </w:rPr>
              <w:t>Microbes</w:t>
            </w:r>
            <w:proofErr w:type="spellEnd"/>
            <w:r w:rsidRPr="002E79B4">
              <w:rPr>
                <w:rFonts w:asciiTheme="majorBidi" w:hAnsiTheme="majorBidi" w:cstheme="majorBidi"/>
                <w:color w:val="auto"/>
                <w:sz w:val="24"/>
                <w:szCs w:val="24"/>
                <w:lang w:val="nb-NO"/>
              </w:rPr>
              <w:t xml:space="preserve"> &amp; </w:t>
            </w:r>
            <w:proofErr w:type="spellStart"/>
            <w:r w:rsidRPr="002E79B4">
              <w:rPr>
                <w:rFonts w:asciiTheme="majorBidi" w:hAnsiTheme="majorBidi" w:cstheme="majorBidi"/>
                <w:color w:val="auto"/>
                <w:sz w:val="24"/>
                <w:szCs w:val="24"/>
                <w:lang w:val="nb-NO"/>
              </w:rPr>
              <w:t>Infections</w:t>
            </w:r>
            <w:proofErr w:type="spellEnd"/>
            <w:r w:rsidRPr="002E79B4">
              <w:rPr>
                <w:rFonts w:asciiTheme="majorBidi" w:hAnsiTheme="majorBidi" w:cstheme="majorBidi"/>
                <w:color w:val="auto"/>
                <w:sz w:val="24"/>
                <w:szCs w:val="24"/>
                <w:lang w:val="nb-NO"/>
              </w:rPr>
              <w:t>. 2023;12:2209201. doi:10.1080/22221751.2023.2209201.</w:t>
            </w:r>
          </w:p>
        </w:tc>
        <w:tc>
          <w:tcPr>
            <w:tcW w:w="5938" w:type="dxa"/>
          </w:tcPr>
          <w:p w14:paraId="20A2580C" w14:textId="0D9C30DE" w:rsidR="009405C7" w:rsidRPr="002E79B4" w:rsidRDefault="009405C7" w:rsidP="009405C7">
            <w:pPr>
              <w:pStyle w:val="MDPI31text"/>
              <w:ind w:left="0" w:firstLine="0"/>
              <w:rPr>
                <w:rFonts w:asciiTheme="majorBidi" w:hAnsiTheme="majorBidi" w:cstheme="majorBidi"/>
                <w:color w:val="auto"/>
                <w:sz w:val="24"/>
                <w:szCs w:val="24"/>
              </w:rPr>
            </w:pPr>
            <w:r w:rsidRPr="002E79B4">
              <w:rPr>
                <w:rFonts w:asciiTheme="majorBidi" w:hAnsiTheme="majorBidi" w:cstheme="majorBidi"/>
                <w:color w:val="auto"/>
                <w:sz w:val="24"/>
                <w:szCs w:val="24"/>
              </w:rPr>
              <w:t>Outside the prespecified review scope. This study evaluates waning effectiveness of ancestral (non–variant-adapted) vaccines (BNT162b2 and CoronaVac) during an early Omicron period predominantly driven by BA.2 and does not provide effectiveness estimates for later Omicron subvariants (BA.5, XBB, JN.1, KP.3) or for updated/variant-adapted vaccines that are the focus of this review.</w:t>
            </w:r>
          </w:p>
        </w:tc>
      </w:tr>
      <w:tr w:rsidR="009405C7" w14:paraId="06FA20DE" w14:textId="77777777" w:rsidTr="00B20255">
        <w:tc>
          <w:tcPr>
            <w:tcW w:w="5403" w:type="dxa"/>
          </w:tcPr>
          <w:p w14:paraId="3DEFE268" w14:textId="3B28C16B" w:rsidR="009405C7" w:rsidRPr="00744E5E" w:rsidRDefault="00744E5E" w:rsidP="009405C7">
            <w:pPr>
              <w:pStyle w:val="MDPI31text"/>
              <w:ind w:left="0" w:firstLine="0"/>
              <w:rPr>
                <w:rFonts w:asciiTheme="majorBidi" w:hAnsiTheme="majorBidi" w:cstheme="majorBidi"/>
                <w:color w:val="auto"/>
                <w:sz w:val="24"/>
                <w:szCs w:val="24"/>
              </w:rPr>
            </w:pPr>
            <w:r w:rsidRPr="00744E5E">
              <w:rPr>
                <w:rFonts w:asciiTheme="majorBidi" w:hAnsiTheme="majorBidi" w:cstheme="majorBidi"/>
                <w:color w:val="auto"/>
                <w:sz w:val="24"/>
                <w:szCs w:val="24"/>
                <w:lang w:val="en-GB"/>
              </w:rPr>
              <w:t xml:space="preserve">Yang B, Wong IOL, Xiao J, Tsang TK, Liao Q, Cowling BJ. </w:t>
            </w:r>
            <w:r w:rsidRPr="00744E5E">
              <w:rPr>
                <w:rFonts w:asciiTheme="majorBidi" w:hAnsiTheme="majorBidi" w:cstheme="majorBidi"/>
                <w:color w:val="auto"/>
                <w:sz w:val="24"/>
                <w:szCs w:val="24"/>
                <w:lang w:val="en-AU"/>
              </w:rPr>
              <w:t xml:space="preserve">Effectiveness of CoronaVac and BNT162b2 vaccines against SARS-CoV-2 Omicron BA.2 infections in Hong Kong. </w:t>
            </w:r>
            <w:r w:rsidRPr="00744E5E">
              <w:rPr>
                <w:rFonts w:asciiTheme="majorBidi" w:hAnsiTheme="majorBidi" w:cstheme="majorBidi"/>
                <w:color w:val="auto"/>
                <w:sz w:val="24"/>
                <w:szCs w:val="24"/>
                <w:lang w:val="nb-NO"/>
              </w:rPr>
              <w:t xml:space="preserve">The Journal </w:t>
            </w:r>
            <w:proofErr w:type="spellStart"/>
            <w:r w:rsidRPr="00744E5E">
              <w:rPr>
                <w:rFonts w:asciiTheme="majorBidi" w:hAnsiTheme="majorBidi" w:cstheme="majorBidi"/>
                <w:color w:val="auto"/>
                <w:sz w:val="24"/>
                <w:szCs w:val="24"/>
                <w:lang w:val="nb-NO"/>
              </w:rPr>
              <w:t>of</w:t>
            </w:r>
            <w:proofErr w:type="spellEnd"/>
            <w:r w:rsidRPr="00744E5E">
              <w:rPr>
                <w:rFonts w:asciiTheme="majorBidi" w:hAnsiTheme="majorBidi" w:cstheme="majorBidi"/>
                <w:color w:val="auto"/>
                <w:sz w:val="24"/>
                <w:szCs w:val="24"/>
                <w:lang w:val="nb-NO"/>
              </w:rPr>
              <w:t xml:space="preserve"> </w:t>
            </w:r>
            <w:proofErr w:type="spellStart"/>
            <w:r w:rsidRPr="00744E5E">
              <w:rPr>
                <w:rFonts w:asciiTheme="majorBidi" w:hAnsiTheme="majorBidi" w:cstheme="majorBidi"/>
                <w:color w:val="auto"/>
                <w:sz w:val="24"/>
                <w:szCs w:val="24"/>
                <w:lang w:val="nb-NO"/>
              </w:rPr>
              <w:t>Infectious</w:t>
            </w:r>
            <w:proofErr w:type="spellEnd"/>
            <w:r w:rsidRPr="00744E5E">
              <w:rPr>
                <w:rFonts w:asciiTheme="majorBidi" w:hAnsiTheme="majorBidi" w:cstheme="majorBidi"/>
                <w:color w:val="auto"/>
                <w:sz w:val="24"/>
                <w:szCs w:val="24"/>
                <w:lang w:val="nb-NO"/>
              </w:rPr>
              <w:t xml:space="preserve"> </w:t>
            </w:r>
            <w:proofErr w:type="spellStart"/>
            <w:r w:rsidRPr="00744E5E">
              <w:rPr>
                <w:rFonts w:asciiTheme="majorBidi" w:hAnsiTheme="majorBidi" w:cstheme="majorBidi"/>
                <w:color w:val="auto"/>
                <w:sz w:val="24"/>
                <w:szCs w:val="24"/>
                <w:lang w:val="nb-NO"/>
              </w:rPr>
              <w:t>Diseases</w:t>
            </w:r>
            <w:proofErr w:type="spellEnd"/>
            <w:r w:rsidRPr="00744E5E">
              <w:rPr>
                <w:rFonts w:asciiTheme="majorBidi" w:hAnsiTheme="majorBidi" w:cstheme="majorBidi"/>
                <w:color w:val="auto"/>
                <w:sz w:val="24"/>
                <w:szCs w:val="24"/>
                <w:lang w:val="nb-NO"/>
              </w:rPr>
              <w:t>. 2022;226:1382–1384. doi:10.1093/</w:t>
            </w:r>
            <w:proofErr w:type="spellStart"/>
            <w:r w:rsidRPr="00744E5E">
              <w:rPr>
                <w:rFonts w:asciiTheme="majorBidi" w:hAnsiTheme="majorBidi" w:cstheme="majorBidi"/>
                <w:color w:val="auto"/>
                <w:sz w:val="24"/>
                <w:szCs w:val="24"/>
                <w:lang w:val="nb-NO"/>
              </w:rPr>
              <w:t>infdis</w:t>
            </w:r>
            <w:proofErr w:type="spellEnd"/>
            <w:r w:rsidRPr="00744E5E">
              <w:rPr>
                <w:rFonts w:asciiTheme="majorBidi" w:hAnsiTheme="majorBidi" w:cstheme="majorBidi"/>
                <w:color w:val="auto"/>
                <w:sz w:val="24"/>
                <w:szCs w:val="24"/>
                <w:lang w:val="nb-NO"/>
              </w:rPr>
              <w:t>/jiac360.</w:t>
            </w:r>
          </w:p>
        </w:tc>
        <w:tc>
          <w:tcPr>
            <w:tcW w:w="5938" w:type="dxa"/>
          </w:tcPr>
          <w:p w14:paraId="36CD8F2A" w14:textId="4D36D459" w:rsidR="009405C7" w:rsidRPr="00744E5E" w:rsidRDefault="009405C7" w:rsidP="009405C7">
            <w:pPr>
              <w:pStyle w:val="MDPI31text"/>
              <w:ind w:left="0" w:firstLine="0"/>
              <w:rPr>
                <w:rFonts w:asciiTheme="majorBidi" w:hAnsiTheme="majorBidi" w:cstheme="majorBidi"/>
                <w:color w:val="auto"/>
                <w:sz w:val="24"/>
                <w:szCs w:val="24"/>
              </w:rPr>
            </w:pPr>
            <w:r w:rsidRPr="00744E5E">
              <w:rPr>
                <w:rFonts w:asciiTheme="majorBidi" w:hAnsiTheme="majorBidi" w:cstheme="majorBidi"/>
                <w:color w:val="auto"/>
                <w:sz w:val="24"/>
                <w:szCs w:val="24"/>
              </w:rPr>
              <w:t>Outside the prespecified review scope. This brief report was conducted during an early Omicron BA.2–dominated period and evaluates ancestral (non–variant-adapted) vaccines (CoronaVac and BNT162b2) using self-reported infection as the primary outcome. It does not provide effectiveness estimates for later Omicron subvariants (BA.5, XBB, JN.1, KP.3) or for updated/variant-adapted vaccines that are the focus of this review.</w:t>
            </w:r>
          </w:p>
        </w:tc>
      </w:tr>
      <w:tr w:rsidR="009405C7" w14:paraId="665EE3CF" w14:textId="77777777" w:rsidTr="00B20255">
        <w:tc>
          <w:tcPr>
            <w:tcW w:w="5403" w:type="dxa"/>
          </w:tcPr>
          <w:p w14:paraId="44CB999F" w14:textId="10DDE2DA" w:rsidR="009405C7" w:rsidRPr="003D3BB9" w:rsidRDefault="003D3BB9" w:rsidP="009405C7">
            <w:pPr>
              <w:pStyle w:val="MDPI31text"/>
              <w:ind w:left="0" w:firstLine="0"/>
              <w:rPr>
                <w:rFonts w:asciiTheme="majorBidi" w:hAnsiTheme="majorBidi" w:cstheme="majorBidi"/>
                <w:color w:val="auto"/>
                <w:sz w:val="24"/>
                <w:szCs w:val="24"/>
              </w:rPr>
            </w:pPr>
            <w:r w:rsidRPr="003D3BB9">
              <w:rPr>
                <w:rFonts w:asciiTheme="majorBidi" w:hAnsiTheme="majorBidi" w:cstheme="majorBidi"/>
                <w:color w:val="auto"/>
                <w:sz w:val="24"/>
                <w:szCs w:val="24"/>
                <w:lang w:val="en-GB"/>
              </w:rPr>
              <w:t xml:space="preserve">Yau JWK, Lee MYK, Lim EQY, Tan JYJ, Tan KBJC, Chua RSB. </w:t>
            </w:r>
            <w:r w:rsidRPr="003D3BB9">
              <w:rPr>
                <w:rFonts w:asciiTheme="majorBidi" w:hAnsiTheme="majorBidi" w:cstheme="majorBidi"/>
                <w:color w:val="auto"/>
                <w:sz w:val="24"/>
                <w:szCs w:val="24"/>
                <w:lang w:val="en-AU"/>
              </w:rPr>
              <w:t xml:space="preserve">Genesis, evolution and effectiveness of Singapore’s national sorting logic and home recovery policies in handling the COVID-19 Delta and Omicron waves. </w:t>
            </w:r>
            <w:r w:rsidRPr="003D3BB9">
              <w:rPr>
                <w:rFonts w:asciiTheme="majorBidi" w:hAnsiTheme="majorBidi" w:cstheme="majorBidi"/>
                <w:color w:val="auto"/>
                <w:sz w:val="24"/>
                <w:szCs w:val="24"/>
                <w:lang w:val="nb-NO"/>
              </w:rPr>
              <w:t xml:space="preserve">The </w:t>
            </w:r>
            <w:proofErr w:type="spellStart"/>
            <w:r w:rsidRPr="003D3BB9">
              <w:rPr>
                <w:rFonts w:asciiTheme="majorBidi" w:hAnsiTheme="majorBidi" w:cstheme="majorBidi"/>
                <w:color w:val="auto"/>
                <w:sz w:val="24"/>
                <w:szCs w:val="24"/>
                <w:lang w:val="nb-NO"/>
              </w:rPr>
              <w:t>Lancet</w:t>
            </w:r>
            <w:proofErr w:type="spellEnd"/>
            <w:r w:rsidRPr="003D3BB9">
              <w:rPr>
                <w:rFonts w:asciiTheme="majorBidi" w:hAnsiTheme="majorBidi" w:cstheme="majorBidi"/>
                <w:color w:val="auto"/>
                <w:sz w:val="24"/>
                <w:szCs w:val="24"/>
                <w:lang w:val="nb-NO"/>
              </w:rPr>
              <w:t xml:space="preserve"> Regional Health – Western Pacific. 2023;35:100719. doi:10.1016/j.lanwpc.2023.100719.</w:t>
            </w:r>
          </w:p>
        </w:tc>
        <w:tc>
          <w:tcPr>
            <w:tcW w:w="5938" w:type="dxa"/>
          </w:tcPr>
          <w:p w14:paraId="51D152B6" w14:textId="77777777" w:rsidR="009405C7" w:rsidRPr="003D3BB9" w:rsidRDefault="009405C7" w:rsidP="009405C7">
            <w:pPr>
              <w:pStyle w:val="MDPI31text"/>
              <w:ind w:left="0" w:firstLine="0"/>
              <w:rPr>
                <w:rFonts w:asciiTheme="majorBidi" w:hAnsiTheme="majorBidi" w:cstheme="majorBidi"/>
                <w:color w:val="auto"/>
                <w:sz w:val="24"/>
                <w:szCs w:val="24"/>
              </w:rPr>
            </w:pPr>
            <w:r w:rsidRPr="003D3BB9">
              <w:rPr>
                <w:rFonts w:asciiTheme="majorBidi" w:hAnsiTheme="majorBidi" w:cstheme="majorBidi"/>
                <w:color w:val="auto"/>
                <w:sz w:val="24"/>
                <w:szCs w:val="24"/>
              </w:rPr>
              <w:t>Outside the prespecified review scope. This national health-policy evaluation assesses system-level triage, home-recovery, and care-delivery strategies during Delta and Omicron waves. Vaccination effects are not reported as standalone absolute or standardised relative vaccine-effectiveness estimates and cannot be disentangled from concurrent health-system interventions.</w:t>
            </w:r>
          </w:p>
        </w:tc>
      </w:tr>
      <w:tr w:rsidR="009405C7" w14:paraId="3F4C84C2" w14:textId="77777777" w:rsidTr="00B20255">
        <w:tc>
          <w:tcPr>
            <w:tcW w:w="5403" w:type="dxa"/>
          </w:tcPr>
          <w:p w14:paraId="61567847" w14:textId="69742641" w:rsidR="009405C7" w:rsidRPr="007F68B3" w:rsidRDefault="007F68B3" w:rsidP="009405C7">
            <w:pPr>
              <w:pStyle w:val="MDPI31text"/>
              <w:ind w:left="0" w:firstLine="0"/>
              <w:rPr>
                <w:rFonts w:asciiTheme="majorBidi" w:hAnsiTheme="majorBidi" w:cstheme="majorBidi"/>
                <w:color w:val="auto"/>
                <w:sz w:val="24"/>
                <w:szCs w:val="24"/>
              </w:rPr>
            </w:pPr>
            <w:r w:rsidRPr="007F68B3">
              <w:rPr>
                <w:rFonts w:asciiTheme="majorBidi" w:hAnsiTheme="majorBidi" w:cstheme="majorBidi"/>
                <w:color w:val="auto"/>
                <w:sz w:val="24"/>
                <w:szCs w:val="24"/>
                <w:lang w:val="en-AU"/>
              </w:rPr>
              <w:t xml:space="preserve">Ye W, Li K, Zhao Z, Wu S, Qu H, Guo Y, </w:t>
            </w:r>
            <w:proofErr w:type="spellStart"/>
            <w:r w:rsidRPr="007F68B3">
              <w:rPr>
                <w:rFonts w:asciiTheme="majorBidi" w:hAnsiTheme="majorBidi" w:cstheme="majorBidi"/>
                <w:color w:val="auto"/>
                <w:sz w:val="24"/>
                <w:szCs w:val="24"/>
                <w:lang w:val="en-AU"/>
              </w:rPr>
              <w:t>Abudunaibi</w:t>
            </w:r>
            <w:proofErr w:type="spellEnd"/>
            <w:r w:rsidRPr="007F68B3">
              <w:rPr>
                <w:rFonts w:asciiTheme="majorBidi" w:hAnsiTheme="majorBidi" w:cstheme="majorBidi"/>
                <w:color w:val="auto"/>
                <w:sz w:val="24"/>
                <w:szCs w:val="24"/>
                <w:lang w:val="en-AU"/>
              </w:rPr>
              <w:t xml:space="preserve"> B, Chen W, Cai S, Chen C, Lin J, Xie Z, Zhan M, Ou J, Deng Y, Chen T, Zheng K. Inactivated vaccine effectiveness against symptomatic COVID-19 in Fujian, China during the Omicron BA.2 outbreak. </w:t>
            </w:r>
            <w:proofErr w:type="spellStart"/>
            <w:r w:rsidRPr="007F68B3">
              <w:rPr>
                <w:rFonts w:asciiTheme="majorBidi" w:hAnsiTheme="majorBidi" w:cstheme="majorBidi"/>
                <w:color w:val="auto"/>
                <w:sz w:val="24"/>
                <w:szCs w:val="24"/>
                <w:lang w:val="nb-NO"/>
              </w:rPr>
              <w:t>Frontiers</w:t>
            </w:r>
            <w:proofErr w:type="spellEnd"/>
            <w:r w:rsidRPr="007F68B3">
              <w:rPr>
                <w:rFonts w:asciiTheme="majorBidi" w:hAnsiTheme="majorBidi" w:cstheme="majorBidi"/>
                <w:color w:val="auto"/>
                <w:sz w:val="24"/>
                <w:szCs w:val="24"/>
                <w:lang w:val="nb-NO"/>
              </w:rPr>
              <w:t xml:space="preserve"> in Public Health. 2023;11:1269194. doi:10.3389/fpubh.2023.1269194.</w:t>
            </w:r>
          </w:p>
        </w:tc>
        <w:tc>
          <w:tcPr>
            <w:tcW w:w="5938" w:type="dxa"/>
          </w:tcPr>
          <w:p w14:paraId="4D513434" w14:textId="77777777" w:rsidR="009405C7" w:rsidRPr="007F68B3" w:rsidRDefault="009405C7" w:rsidP="009405C7">
            <w:pPr>
              <w:pStyle w:val="MDPI31text"/>
              <w:ind w:left="0" w:firstLine="0"/>
              <w:rPr>
                <w:rFonts w:asciiTheme="majorBidi" w:hAnsiTheme="majorBidi" w:cstheme="majorBidi"/>
                <w:color w:val="auto"/>
                <w:sz w:val="24"/>
                <w:szCs w:val="24"/>
              </w:rPr>
            </w:pPr>
            <w:r w:rsidRPr="007F68B3">
              <w:rPr>
                <w:rFonts w:asciiTheme="majorBidi" w:hAnsiTheme="majorBidi" w:cstheme="majorBidi"/>
                <w:color w:val="auto"/>
                <w:sz w:val="24"/>
                <w:szCs w:val="24"/>
              </w:rPr>
              <w:t>Outside the prespecified review scope. This test-negative case–control study evaluates vaccine effectiveness only against symptomatic SARS-CoV-2 infection during the Omicron BA.2 wave and does not report vaccine effectiveness against hospitalization, severe disease, ICU admission, or death, which were the primary outcomes of interest in this review.</w:t>
            </w:r>
          </w:p>
        </w:tc>
      </w:tr>
      <w:tr w:rsidR="009405C7" w14:paraId="24D26482" w14:textId="77777777" w:rsidTr="00B20255">
        <w:tc>
          <w:tcPr>
            <w:tcW w:w="5403" w:type="dxa"/>
          </w:tcPr>
          <w:p w14:paraId="758DE675" w14:textId="10915071" w:rsidR="009405C7" w:rsidRPr="001E0B10" w:rsidRDefault="00681AEE" w:rsidP="009405C7">
            <w:pPr>
              <w:pStyle w:val="MDPI31text"/>
              <w:ind w:left="0" w:firstLine="0"/>
              <w:rPr>
                <w:rFonts w:asciiTheme="majorBidi" w:hAnsiTheme="majorBidi" w:cstheme="majorBidi"/>
                <w:color w:val="auto"/>
                <w:sz w:val="24"/>
                <w:szCs w:val="24"/>
              </w:rPr>
            </w:pPr>
            <w:r w:rsidRPr="001E0B10">
              <w:rPr>
                <w:rFonts w:asciiTheme="majorBidi" w:hAnsiTheme="majorBidi" w:cstheme="majorBidi"/>
                <w:color w:val="auto"/>
                <w:sz w:val="24"/>
                <w:szCs w:val="24"/>
              </w:rPr>
              <w:t>Yeh Y-P, Lin T-Y, Yao Y-C, Hsu C-Y, Yen AM-F, Chen SLS, Chen TH-H. New insights into three trajectories of Omicron-related all-cause death reduced by COVID-19 booster vaccination. Journal of Infection and Public Health. 2024;17:735–740. doi:10.1016/j.jiph.2024.03.006.</w:t>
            </w:r>
          </w:p>
        </w:tc>
        <w:tc>
          <w:tcPr>
            <w:tcW w:w="5938" w:type="dxa"/>
          </w:tcPr>
          <w:p w14:paraId="5FCF0A7E" w14:textId="77777777" w:rsidR="009405C7" w:rsidRPr="001E0B10" w:rsidRDefault="009405C7" w:rsidP="009405C7">
            <w:pPr>
              <w:pStyle w:val="MDPI31text"/>
              <w:ind w:left="0" w:firstLine="0"/>
              <w:rPr>
                <w:rFonts w:asciiTheme="majorBidi" w:hAnsiTheme="majorBidi" w:cstheme="majorBidi"/>
                <w:color w:val="auto"/>
                <w:sz w:val="24"/>
                <w:szCs w:val="24"/>
              </w:rPr>
            </w:pPr>
            <w:r w:rsidRPr="001E0B10">
              <w:rPr>
                <w:rFonts w:asciiTheme="majorBidi" w:hAnsiTheme="majorBidi" w:cstheme="majorBidi"/>
                <w:color w:val="auto"/>
                <w:sz w:val="24"/>
                <w:szCs w:val="24"/>
              </w:rPr>
              <w:t>Outside the prespecified review scope. This study evaluates the impact of booster vaccination versus incomplete vaccination on all-cause mortality trajectories using a competing-risk modeling framework, rather than reporting absolute or standardised COVID-19–specific vaccine effectiveness outcomes (e.g., infection, hospitalization, or COVID-19–related death) as defined for synthesis in this review.</w:t>
            </w:r>
          </w:p>
        </w:tc>
      </w:tr>
      <w:tr w:rsidR="009405C7" w14:paraId="1B3F8A53" w14:textId="77777777" w:rsidTr="00B20255">
        <w:tc>
          <w:tcPr>
            <w:tcW w:w="5403" w:type="dxa"/>
          </w:tcPr>
          <w:p w14:paraId="366695CF" w14:textId="094A82E4" w:rsidR="009405C7" w:rsidRPr="001E0B10" w:rsidRDefault="001E0B10" w:rsidP="009405C7">
            <w:pPr>
              <w:pStyle w:val="MDPI31text"/>
              <w:ind w:left="0" w:firstLine="0"/>
              <w:rPr>
                <w:rFonts w:asciiTheme="majorBidi" w:hAnsiTheme="majorBidi" w:cstheme="majorBidi"/>
                <w:color w:val="auto"/>
                <w:sz w:val="24"/>
                <w:szCs w:val="24"/>
              </w:rPr>
            </w:pPr>
            <w:r w:rsidRPr="001E0B10">
              <w:rPr>
                <w:rFonts w:asciiTheme="majorBidi" w:hAnsiTheme="majorBidi" w:cstheme="majorBidi"/>
                <w:color w:val="auto"/>
                <w:sz w:val="24"/>
                <w:szCs w:val="24"/>
                <w:lang w:val="en-AU"/>
              </w:rPr>
              <w:lastRenderedPageBreak/>
              <w:t xml:space="preserve">Yin Z, Fang Q, Wen T, Zheng C, Fu C, Wang S, Li J, Gong X. Effectiveness of COVID-19 vaccines against SARS-CoV-2 Omicron variants during two outbreaks from March to May 2022 in </w:t>
            </w:r>
            <w:proofErr w:type="spellStart"/>
            <w:r w:rsidRPr="001E0B10">
              <w:rPr>
                <w:rFonts w:asciiTheme="majorBidi" w:hAnsiTheme="majorBidi" w:cstheme="majorBidi"/>
                <w:color w:val="auto"/>
                <w:sz w:val="24"/>
                <w:szCs w:val="24"/>
                <w:lang w:val="en-AU"/>
              </w:rPr>
              <w:t>Quzhou</w:t>
            </w:r>
            <w:proofErr w:type="spellEnd"/>
            <w:r w:rsidRPr="001E0B10">
              <w:rPr>
                <w:rFonts w:asciiTheme="majorBidi" w:hAnsiTheme="majorBidi" w:cstheme="majorBidi"/>
                <w:color w:val="auto"/>
                <w:sz w:val="24"/>
                <w:szCs w:val="24"/>
                <w:lang w:val="en-AU"/>
              </w:rPr>
              <w:t xml:space="preserve">, China. </w:t>
            </w:r>
            <w:r w:rsidRPr="001E0B10">
              <w:rPr>
                <w:rFonts w:asciiTheme="majorBidi" w:hAnsiTheme="majorBidi" w:cstheme="majorBidi"/>
                <w:color w:val="auto"/>
                <w:sz w:val="24"/>
                <w:szCs w:val="24"/>
                <w:lang w:val="nb-NO"/>
              </w:rPr>
              <w:t xml:space="preserve">Human </w:t>
            </w:r>
            <w:proofErr w:type="spellStart"/>
            <w:r w:rsidRPr="001E0B10">
              <w:rPr>
                <w:rFonts w:asciiTheme="majorBidi" w:hAnsiTheme="majorBidi" w:cstheme="majorBidi"/>
                <w:color w:val="auto"/>
                <w:sz w:val="24"/>
                <w:szCs w:val="24"/>
                <w:lang w:val="nb-NO"/>
              </w:rPr>
              <w:t>Vaccines</w:t>
            </w:r>
            <w:proofErr w:type="spellEnd"/>
            <w:r w:rsidRPr="001E0B10">
              <w:rPr>
                <w:rFonts w:asciiTheme="majorBidi" w:hAnsiTheme="majorBidi" w:cstheme="majorBidi"/>
                <w:color w:val="auto"/>
                <w:sz w:val="24"/>
                <w:szCs w:val="24"/>
                <w:lang w:val="nb-NO"/>
              </w:rPr>
              <w:t xml:space="preserve"> &amp; </w:t>
            </w:r>
            <w:proofErr w:type="spellStart"/>
            <w:r w:rsidRPr="001E0B10">
              <w:rPr>
                <w:rFonts w:asciiTheme="majorBidi" w:hAnsiTheme="majorBidi" w:cstheme="majorBidi"/>
                <w:color w:val="auto"/>
                <w:sz w:val="24"/>
                <w:szCs w:val="24"/>
                <w:lang w:val="nb-NO"/>
              </w:rPr>
              <w:t>Immunotherapeutics</w:t>
            </w:r>
            <w:proofErr w:type="spellEnd"/>
            <w:r w:rsidRPr="001E0B10">
              <w:rPr>
                <w:rFonts w:asciiTheme="majorBidi" w:hAnsiTheme="majorBidi" w:cstheme="majorBidi"/>
                <w:color w:val="auto"/>
                <w:sz w:val="24"/>
                <w:szCs w:val="24"/>
                <w:lang w:val="nb-NO"/>
              </w:rPr>
              <w:t>. 2023;19:2163813. doi:10.1080/21645515.2022.2163813.</w:t>
            </w:r>
          </w:p>
        </w:tc>
        <w:tc>
          <w:tcPr>
            <w:tcW w:w="5938" w:type="dxa"/>
          </w:tcPr>
          <w:p w14:paraId="188E0416" w14:textId="0B4C156B" w:rsidR="009405C7" w:rsidRPr="001E0B10" w:rsidRDefault="009405C7" w:rsidP="009405C7">
            <w:pPr>
              <w:pStyle w:val="MDPI31text"/>
              <w:ind w:left="0" w:firstLine="0"/>
              <w:rPr>
                <w:rFonts w:asciiTheme="majorBidi" w:hAnsiTheme="majorBidi" w:cstheme="majorBidi"/>
                <w:color w:val="auto"/>
                <w:sz w:val="24"/>
                <w:szCs w:val="24"/>
              </w:rPr>
            </w:pPr>
            <w:r w:rsidRPr="001E0B10">
              <w:rPr>
                <w:rFonts w:asciiTheme="majorBidi" w:hAnsiTheme="majorBidi" w:cstheme="majorBidi"/>
                <w:color w:val="auto"/>
                <w:sz w:val="24"/>
                <w:szCs w:val="24"/>
              </w:rPr>
              <w:t>Outside the prespecified review scope. This outbreak-based study was conducted during the early Omicron period (BA.1 and BA.2 only; March–May 2022) and evaluates primarily non–variant-adapted vaccines (inactivated, recombinant protein, and adenovirus-vectored vaccines). It does not provide vaccine-effectiveness estimates for later Omicron subvariants of interest (BA.5, XBB, JN.1, KP.3) or for updated/variant-adapted vaccines central to this review. In addition, the analysis focuses mainly on infection outcomes with very limited severe cases, limiting comparability with the population-based vaccine-effectiveness framework synthesised here.</w:t>
            </w:r>
          </w:p>
        </w:tc>
      </w:tr>
      <w:tr w:rsidR="009405C7" w14:paraId="18C6C85F" w14:textId="77777777" w:rsidTr="00B20255">
        <w:tc>
          <w:tcPr>
            <w:tcW w:w="5403" w:type="dxa"/>
          </w:tcPr>
          <w:p w14:paraId="373D3307" w14:textId="3C5127EC" w:rsidR="009405C7" w:rsidRPr="00646CB8" w:rsidRDefault="00646CB8" w:rsidP="009405C7">
            <w:pPr>
              <w:pStyle w:val="MDPI31text"/>
              <w:ind w:left="0" w:firstLine="0"/>
              <w:rPr>
                <w:rFonts w:asciiTheme="majorBidi" w:hAnsiTheme="majorBidi" w:cstheme="majorBidi"/>
                <w:color w:val="auto"/>
                <w:sz w:val="24"/>
                <w:szCs w:val="24"/>
              </w:rPr>
            </w:pPr>
            <w:proofErr w:type="spellStart"/>
            <w:r w:rsidRPr="00646CB8">
              <w:rPr>
                <w:rFonts w:asciiTheme="majorBidi" w:hAnsiTheme="majorBidi" w:cstheme="majorBidi"/>
                <w:color w:val="auto"/>
                <w:sz w:val="24"/>
                <w:szCs w:val="24"/>
                <w:lang w:val="en-AU"/>
              </w:rPr>
              <w:t>Yogurtcu</w:t>
            </w:r>
            <w:proofErr w:type="spellEnd"/>
            <w:r w:rsidRPr="00646CB8">
              <w:rPr>
                <w:rFonts w:asciiTheme="majorBidi" w:hAnsiTheme="majorBidi" w:cstheme="majorBidi"/>
                <w:color w:val="auto"/>
                <w:sz w:val="24"/>
                <w:szCs w:val="24"/>
                <w:lang w:val="en-AU"/>
              </w:rPr>
              <w:t xml:space="preserve"> ON, Funk PR, Forshee RA, Anderson SA, Marks PW, Yang H. Benefit-risk assessment of Covid-19 vaccine, MRNA (MRNA-1273) for males age 18-64 years. </w:t>
            </w:r>
            <w:proofErr w:type="spellStart"/>
            <w:r w:rsidRPr="00646CB8">
              <w:rPr>
                <w:rFonts w:asciiTheme="majorBidi" w:hAnsiTheme="majorBidi" w:cstheme="majorBidi"/>
                <w:color w:val="auto"/>
                <w:sz w:val="24"/>
                <w:szCs w:val="24"/>
                <w:lang w:val="nb-NO"/>
              </w:rPr>
              <w:t>Vaccine</w:t>
            </w:r>
            <w:proofErr w:type="spellEnd"/>
            <w:r w:rsidRPr="00646CB8">
              <w:rPr>
                <w:rFonts w:asciiTheme="majorBidi" w:hAnsiTheme="majorBidi" w:cstheme="majorBidi"/>
                <w:color w:val="auto"/>
                <w:sz w:val="24"/>
                <w:szCs w:val="24"/>
                <w:lang w:val="nb-NO"/>
              </w:rPr>
              <w:t xml:space="preserve"> </w:t>
            </w:r>
            <w:proofErr w:type="spellStart"/>
            <w:r w:rsidRPr="00646CB8">
              <w:rPr>
                <w:rFonts w:asciiTheme="majorBidi" w:hAnsiTheme="majorBidi" w:cstheme="majorBidi"/>
                <w:color w:val="auto"/>
                <w:sz w:val="24"/>
                <w:szCs w:val="24"/>
                <w:lang w:val="nb-NO"/>
              </w:rPr>
              <w:t>X</w:t>
            </w:r>
            <w:proofErr w:type="spellEnd"/>
            <w:r w:rsidRPr="00646CB8">
              <w:rPr>
                <w:rFonts w:asciiTheme="majorBidi" w:hAnsiTheme="majorBidi" w:cstheme="majorBidi"/>
                <w:color w:val="auto"/>
                <w:sz w:val="24"/>
                <w:szCs w:val="24"/>
                <w:lang w:val="nb-NO"/>
              </w:rPr>
              <w:t>. 2023;14:100325. doi:10.1016/j.jvacx.2023.100325.</w:t>
            </w:r>
          </w:p>
        </w:tc>
        <w:tc>
          <w:tcPr>
            <w:tcW w:w="5938" w:type="dxa"/>
          </w:tcPr>
          <w:p w14:paraId="41DB6537" w14:textId="77777777" w:rsidR="009405C7" w:rsidRPr="00646CB8" w:rsidRDefault="009405C7" w:rsidP="009405C7">
            <w:pPr>
              <w:pStyle w:val="MDPI31text"/>
              <w:ind w:left="0" w:firstLine="0"/>
              <w:rPr>
                <w:rFonts w:asciiTheme="majorBidi" w:hAnsiTheme="majorBidi" w:cstheme="majorBidi"/>
                <w:color w:val="auto"/>
                <w:sz w:val="24"/>
                <w:szCs w:val="24"/>
              </w:rPr>
            </w:pPr>
            <w:r w:rsidRPr="00646CB8">
              <w:rPr>
                <w:rFonts w:asciiTheme="majorBidi" w:hAnsiTheme="majorBidi" w:cstheme="majorBidi"/>
                <w:color w:val="auto"/>
                <w:sz w:val="24"/>
                <w:szCs w:val="24"/>
              </w:rPr>
              <w:t xml:space="preserve">Outside the prespecified review scope. This study is a benefit–risk and decision-analytic modelling analysis conducted to inform regulatory review. Vaccine effectiveness estimates are assumed from external sources and used as model inputs, and the outcomes are model-derived projections (e.g., preventable cases and adverse events) rather than primary, population-based vaccine effectiveness (VE or </w:t>
            </w:r>
            <w:proofErr w:type="spellStart"/>
            <w:r w:rsidRPr="00646CB8">
              <w:rPr>
                <w:rFonts w:asciiTheme="majorBidi" w:hAnsiTheme="majorBidi" w:cstheme="majorBidi"/>
                <w:color w:val="auto"/>
                <w:sz w:val="24"/>
                <w:szCs w:val="24"/>
              </w:rPr>
              <w:t>rVE</w:t>
            </w:r>
            <w:proofErr w:type="spellEnd"/>
            <w:r w:rsidRPr="00646CB8">
              <w:rPr>
                <w:rFonts w:asciiTheme="majorBidi" w:hAnsiTheme="majorBidi" w:cstheme="majorBidi"/>
                <w:color w:val="auto"/>
                <w:sz w:val="24"/>
                <w:szCs w:val="24"/>
              </w:rPr>
              <w:t>) estimates derived from cohort, case–control, or test-negative designs.</w:t>
            </w:r>
          </w:p>
        </w:tc>
      </w:tr>
      <w:tr w:rsidR="009405C7" w14:paraId="683F567C" w14:textId="77777777" w:rsidTr="00B20255">
        <w:tc>
          <w:tcPr>
            <w:tcW w:w="5403" w:type="dxa"/>
          </w:tcPr>
          <w:p w14:paraId="1D01B2BD" w14:textId="23805116" w:rsidR="009405C7" w:rsidRPr="00C835B2" w:rsidRDefault="00C835B2" w:rsidP="009405C7">
            <w:pPr>
              <w:pStyle w:val="MDPI31text"/>
              <w:ind w:left="0" w:firstLine="0"/>
              <w:rPr>
                <w:rFonts w:asciiTheme="majorBidi" w:hAnsiTheme="majorBidi" w:cstheme="majorBidi"/>
                <w:color w:val="auto"/>
                <w:sz w:val="24"/>
                <w:szCs w:val="24"/>
              </w:rPr>
            </w:pPr>
            <w:r w:rsidRPr="00C835B2">
              <w:rPr>
                <w:rFonts w:asciiTheme="majorBidi" w:hAnsiTheme="majorBidi" w:cstheme="majorBidi"/>
                <w:color w:val="auto"/>
                <w:sz w:val="24"/>
                <w:szCs w:val="24"/>
                <w:lang w:val="en-AU"/>
              </w:rPr>
              <w:t xml:space="preserve">Yoo J, Kim Y, Cha YM, Lee J, Jeong YJ, Kim SH, Maragakis LL, Lee S. Heterologous vaccination (ChAdOx1 and BNT162b2) induces a better immune response against the omicron variant than homologous vaccination. </w:t>
            </w:r>
            <w:r w:rsidRPr="00C835B2">
              <w:rPr>
                <w:rFonts w:asciiTheme="majorBidi" w:hAnsiTheme="majorBidi" w:cstheme="majorBidi"/>
                <w:color w:val="auto"/>
                <w:sz w:val="24"/>
                <w:szCs w:val="24"/>
                <w:lang w:val="nb-NO"/>
              </w:rPr>
              <w:t xml:space="preserve">Journal </w:t>
            </w:r>
            <w:proofErr w:type="spellStart"/>
            <w:r w:rsidRPr="00C835B2">
              <w:rPr>
                <w:rFonts w:asciiTheme="majorBidi" w:hAnsiTheme="majorBidi" w:cstheme="majorBidi"/>
                <w:color w:val="auto"/>
                <w:sz w:val="24"/>
                <w:szCs w:val="24"/>
                <w:lang w:val="nb-NO"/>
              </w:rPr>
              <w:t>of</w:t>
            </w:r>
            <w:proofErr w:type="spellEnd"/>
            <w:r w:rsidRPr="00C835B2">
              <w:rPr>
                <w:rFonts w:asciiTheme="majorBidi" w:hAnsiTheme="majorBidi" w:cstheme="majorBidi"/>
                <w:color w:val="auto"/>
                <w:sz w:val="24"/>
                <w:szCs w:val="24"/>
                <w:lang w:val="nb-NO"/>
              </w:rPr>
              <w:t xml:space="preserve"> </w:t>
            </w:r>
            <w:proofErr w:type="spellStart"/>
            <w:r w:rsidRPr="00C835B2">
              <w:rPr>
                <w:rFonts w:asciiTheme="majorBidi" w:hAnsiTheme="majorBidi" w:cstheme="majorBidi"/>
                <w:color w:val="auto"/>
                <w:sz w:val="24"/>
                <w:szCs w:val="24"/>
                <w:lang w:val="nb-NO"/>
              </w:rPr>
              <w:t>Infection</w:t>
            </w:r>
            <w:proofErr w:type="spellEnd"/>
            <w:r w:rsidRPr="00C835B2">
              <w:rPr>
                <w:rFonts w:asciiTheme="majorBidi" w:hAnsiTheme="majorBidi" w:cstheme="majorBidi"/>
                <w:color w:val="auto"/>
                <w:sz w:val="24"/>
                <w:szCs w:val="24"/>
                <w:lang w:val="nb-NO"/>
              </w:rPr>
              <w:t xml:space="preserve"> and Public Health. 2023;16(10):1537–1543. doi:10.1016/j.jiph.2023.07.017.</w:t>
            </w:r>
          </w:p>
        </w:tc>
        <w:tc>
          <w:tcPr>
            <w:tcW w:w="5938" w:type="dxa"/>
          </w:tcPr>
          <w:p w14:paraId="6532C869" w14:textId="65E036B5" w:rsidR="009405C7" w:rsidRPr="00C835B2" w:rsidRDefault="009405C7" w:rsidP="009405C7">
            <w:pPr>
              <w:pStyle w:val="MDPI31text"/>
              <w:ind w:left="0" w:firstLine="0"/>
              <w:rPr>
                <w:rFonts w:asciiTheme="majorBidi" w:hAnsiTheme="majorBidi" w:cstheme="majorBidi"/>
                <w:color w:val="auto"/>
                <w:sz w:val="24"/>
                <w:szCs w:val="24"/>
              </w:rPr>
            </w:pPr>
            <w:r w:rsidRPr="00C835B2">
              <w:rPr>
                <w:rFonts w:asciiTheme="majorBidi" w:hAnsiTheme="majorBidi" w:cstheme="majorBidi"/>
                <w:color w:val="auto"/>
                <w:sz w:val="24"/>
                <w:szCs w:val="24"/>
              </w:rPr>
              <w:t xml:space="preserve">Outside the prespecified review scope. This study is an immunogenicity (laboratory) analysis evaluating </w:t>
            </w:r>
            <w:r w:rsidR="00A00942" w:rsidRPr="00C835B2">
              <w:rPr>
                <w:rFonts w:asciiTheme="majorBidi" w:hAnsiTheme="majorBidi" w:cstheme="majorBidi"/>
                <w:color w:val="auto"/>
                <w:sz w:val="24"/>
                <w:szCs w:val="24"/>
              </w:rPr>
              <w:t>neutralizing</w:t>
            </w:r>
            <w:r w:rsidRPr="00C835B2">
              <w:rPr>
                <w:rFonts w:asciiTheme="majorBidi" w:hAnsiTheme="majorBidi" w:cstheme="majorBidi"/>
                <w:color w:val="auto"/>
                <w:sz w:val="24"/>
                <w:szCs w:val="24"/>
              </w:rPr>
              <w:t xml:space="preserve"> antibody responses to Omicron using a surrogate virus </w:t>
            </w:r>
            <w:r w:rsidR="00A00942" w:rsidRPr="00C835B2">
              <w:rPr>
                <w:rFonts w:asciiTheme="majorBidi" w:hAnsiTheme="majorBidi" w:cstheme="majorBidi"/>
                <w:color w:val="auto"/>
                <w:sz w:val="24"/>
                <w:szCs w:val="24"/>
              </w:rPr>
              <w:t>neutralization</w:t>
            </w:r>
            <w:r w:rsidRPr="00C835B2">
              <w:rPr>
                <w:rFonts w:asciiTheme="majorBidi" w:hAnsiTheme="majorBidi" w:cstheme="majorBidi"/>
                <w:color w:val="auto"/>
                <w:sz w:val="24"/>
                <w:szCs w:val="24"/>
              </w:rPr>
              <w:t xml:space="preserve"> test. It does not report population-based clinical vaccine effectiveness (VE or </w:t>
            </w:r>
            <w:proofErr w:type="spellStart"/>
            <w:r w:rsidRPr="00C835B2">
              <w:rPr>
                <w:rFonts w:asciiTheme="majorBidi" w:hAnsiTheme="majorBidi" w:cstheme="majorBidi"/>
                <w:color w:val="auto"/>
                <w:sz w:val="24"/>
                <w:szCs w:val="24"/>
              </w:rPr>
              <w:t>rVE</w:t>
            </w:r>
            <w:proofErr w:type="spellEnd"/>
            <w:r w:rsidRPr="00C835B2">
              <w:rPr>
                <w:rFonts w:asciiTheme="majorBidi" w:hAnsiTheme="majorBidi" w:cstheme="majorBidi"/>
                <w:color w:val="auto"/>
                <w:sz w:val="24"/>
                <w:szCs w:val="24"/>
              </w:rPr>
              <w:t>) against infection or severe outcomes derived from cohort, case–control, or test-negative designs and therefore is not eligible for inclusion in the formal VE synthesis.</w:t>
            </w:r>
          </w:p>
        </w:tc>
      </w:tr>
      <w:tr w:rsidR="009405C7" w14:paraId="6504C3D3" w14:textId="77777777" w:rsidTr="00B20255">
        <w:tc>
          <w:tcPr>
            <w:tcW w:w="5403" w:type="dxa"/>
          </w:tcPr>
          <w:p w14:paraId="60E5B3ED" w14:textId="694A407A" w:rsidR="009405C7" w:rsidRPr="00C835B2" w:rsidRDefault="00C835B2" w:rsidP="009405C7">
            <w:pPr>
              <w:pStyle w:val="MDPI31text"/>
              <w:ind w:left="0" w:firstLine="0"/>
              <w:rPr>
                <w:rFonts w:asciiTheme="majorBidi" w:hAnsiTheme="majorBidi" w:cstheme="majorBidi"/>
                <w:color w:val="auto"/>
                <w:sz w:val="24"/>
                <w:szCs w:val="24"/>
              </w:rPr>
            </w:pPr>
            <w:r w:rsidRPr="00C835B2">
              <w:rPr>
                <w:rFonts w:asciiTheme="majorBidi" w:hAnsiTheme="majorBidi" w:cstheme="majorBidi"/>
                <w:color w:val="auto"/>
                <w:sz w:val="24"/>
                <w:szCs w:val="24"/>
              </w:rPr>
              <w:t xml:space="preserve">Young-Xu Y, Zwain GM, Izurieta HS, Korves C, Powell EI, Smith J, Balajee A, </w:t>
            </w:r>
            <w:proofErr w:type="spellStart"/>
            <w:r w:rsidRPr="00C835B2">
              <w:rPr>
                <w:rFonts w:asciiTheme="majorBidi" w:hAnsiTheme="majorBidi" w:cstheme="majorBidi"/>
                <w:color w:val="auto"/>
                <w:sz w:val="24"/>
                <w:szCs w:val="24"/>
              </w:rPr>
              <w:t>Holodniy</w:t>
            </w:r>
            <w:proofErr w:type="spellEnd"/>
            <w:r w:rsidRPr="00C835B2">
              <w:rPr>
                <w:rFonts w:asciiTheme="majorBidi" w:hAnsiTheme="majorBidi" w:cstheme="majorBidi"/>
                <w:color w:val="auto"/>
                <w:sz w:val="24"/>
                <w:szCs w:val="24"/>
              </w:rPr>
              <w:t xml:space="preserve"> M, </w:t>
            </w:r>
            <w:proofErr w:type="spellStart"/>
            <w:r w:rsidRPr="00C835B2">
              <w:rPr>
                <w:rFonts w:asciiTheme="majorBidi" w:hAnsiTheme="majorBidi" w:cstheme="majorBidi"/>
                <w:color w:val="auto"/>
                <w:sz w:val="24"/>
                <w:szCs w:val="24"/>
              </w:rPr>
              <w:t>Beenhouwer</w:t>
            </w:r>
            <w:proofErr w:type="spellEnd"/>
            <w:r w:rsidRPr="00C835B2">
              <w:rPr>
                <w:rFonts w:asciiTheme="majorBidi" w:hAnsiTheme="majorBidi" w:cstheme="majorBidi"/>
                <w:color w:val="auto"/>
                <w:sz w:val="24"/>
                <w:szCs w:val="24"/>
              </w:rPr>
              <w:t xml:space="preserve"> DO, Rodriguez-Barradas MC, Brown ST, Marconi VC. Effectiveness of mRNA COVID-19 vaccines against Omicron and Delta variants in a matched test-negative case-control study among US veterans. BMJ Open. 2022;12:e063935. doi:10.1136/bmjopen-2022-063935.</w:t>
            </w:r>
          </w:p>
        </w:tc>
        <w:tc>
          <w:tcPr>
            <w:tcW w:w="5938" w:type="dxa"/>
          </w:tcPr>
          <w:p w14:paraId="673485FA" w14:textId="6057654D" w:rsidR="009405C7" w:rsidRPr="00C835B2" w:rsidRDefault="009405C7" w:rsidP="009405C7">
            <w:pPr>
              <w:pStyle w:val="MDPI31text"/>
              <w:ind w:left="0" w:firstLine="0"/>
              <w:rPr>
                <w:rFonts w:asciiTheme="majorBidi" w:hAnsiTheme="majorBidi" w:cstheme="majorBidi"/>
                <w:color w:val="auto"/>
                <w:sz w:val="24"/>
                <w:szCs w:val="24"/>
              </w:rPr>
            </w:pPr>
            <w:r w:rsidRPr="00C835B2">
              <w:rPr>
                <w:rFonts w:asciiTheme="majorBidi" w:hAnsiTheme="majorBidi" w:cstheme="majorBidi"/>
                <w:color w:val="auto"/>
                <w:sz w:val="24"/>
                <w:szCs w:val="24"/>
              </w:rPr>
              <w:t xml:space="preserve">Outside the prespecified review scope. The study was conducted during Delta and early Omicron (BA.1) circulation (2021–2022) and evaluates monovalent (ancestral) mRNA vaccines only, with no assessment of variant-adapted vaccines (e.g., bivalent </w:t>
            </w:r>
            <w:r w:rsidR="00A13B79" w:rsidRPr="00C835B2">
              <w:rPr>
                <w:rFonts w:asciiTheme="majorBidi" w:hAnsiTheme="majorBidi" w:cstheme="majorBidi"/>
                <w:color w:val="auto"/>
                <w:sz w:val="24"/>
                <w:szCs w:val="24"/>
              </w:rPr>
              <w:t xml:space="preserve">BA.4/BA.5 </w:t>
            </w:r>
            <w:r w:rsidRPr="00C835B2">
              <w:rPr>
                <w:rFonts w:asciiTheme="majorBidi" w:hAnsiTheme="majorBidi" w:cstheme="majorBidi"/>
                <w:color w:val="auto"/>
                <w:sz w:val="24"/>
                <w:szCs w:val="24"/>
              </w:rPr>
              <w:t>or updated XBB/JN.1 formulations) that are the focus of this review.</w:t>
            </w:r>
          </w:p>
        </w:tc>
      </w:tr>
      <w:tr w:rsidR="009405C7" w14:paraId="77CA485D" w14:textId="77777777" w:rsidTr="00B20255">
        <w:tc>
          <w:tcPr>
            <w:tcW w:w="5403" w:type="dxa"/>
          </w:tcPr>
          <w:p w14:paraId="02D96719" w14:textId="0137BC9A" w:rsidR="009405C7" w:rsidRPr="00C835B2" w:rsidRDefault="00C835B2" w:rsidP="009405C7">
            <w:pPr>
              <w:pStyle w:val="MDPI31text"/>
              <w:ind w:left="0" w:firstLine="0"/>
              <w:rPr>
                <w:rFonts w:asciiTheme="majorBidi" w:hAnsiTheme="majorBidi" w:cstheme="majorBidi"/>
                <w:color w:val="auto"/>
                <w:sz w:val="24"/>
                <w:szCs w:val="24"/>
              </w:rPr>
            </w:pPr>
            <w:proofErr w:type="spellStart"/>
            <w:r w:rsidRPr="00C835B2">
              <w:rPr>
                <w:rFonts w:asciiTheme="majorBidi" w:hAnsiTheme="majorBidi" w:cstheme="majorBidi"/>
                <w:color w:val="auto"/>
                <w:sz w:val="24"/>
                <w:szCs w:val="24"/>
                <w:lang w:val="en-GB"/>
              </w:rPr>
              <w:t>Zaeck</w:t>
            </w:r>
            <w:proofErr w:type="spellEnd"/>
            <w:r w:rsidRPr="00C835B2">
              <w:rPr>
                <w:rFonts w:asciiTheme="majorBidi" w:hAnsiTheme="majorBidi" w:cstheme="majorBidi"/>
                <w:color w:val="auto"/>
                <w:sz w:val="24"/>
                <w:szCs w:val="24"/>
                <w:lang w:val="en-GB"/>
              </w:rPr>
              <w:t xml:space="preserve"> LM, Tan NH, </w:t>
            </w:r>
            <w:proofErr w:type="spellStart"/>
            <w:r w:rsidRPr="00C835B2">
              <w:rPr>
                <w:rFonts w:asciiTheme="majorBidi" w:hAnsiTheme="majorBidi" w:cstheme="majorBidi"/>
                <w:color w:val="auto"/>
                <w:sz w:val="24"/>
                <w:szCs w:val="24"/>
                <w:lang w:val="en-GB"/>
              </w:rPr>
              <w:t>Rietdijk</w:t>
            </w:r>
            <w:proofErr w:type="spellEnd"/>
            <w:r w:rsidRPr="00C835B2">
              <w:rPr>
                <w:rFonts w:asciiTheme="majorBidi" w:hAnsiTheme="majorBidi" w:cstheme="majorBidi"/>
                <w:color w:val="auto"/>
                <w:sz w:val="24"/>
                <w:szCs w:val="24"/>
                <w:lang w:val="en-GB"/>
              </w:rPr>
              <w:t xml:space="preserve"> WJR, Geers D, </w:t>
            </w:r>
            <w:proofErr w:type="spellStart"/>
            <w:r w:rsidRPr="00C835B2">
              <w:rPr>
                <w:rFonts w:asciiTheme="majorBidi" w:hAnsiTheme="majorBidi" w:cstheme="majorBidi"/>
                <w:color w:val="auto"/>
                <w:sz w:val="24"/>
                <w:szCs w:val="24"/>
                <w:lang w:val="en-GB"/>
              </w:rPr>
              <w:t>Sablerolles</w:t>
            </w:r>
            <w:proofErr w:type="spellEnd"/>
            <w:r w:rsidRPr="00C835B2">
              <w:rPr>
                <w:rFonts w:asciiTheme="majorBidi" w:hAnsiTheme="majorBidi" w:cstheme="majorBidi"/>
                <w:color w:val="auto"/>
                <w:sz w:val="24"/>
                <w:szCs w:val="24"/>
                <w:lang w:val="en-GB"/>
              </w:rPr>
              <w:t xml:space="preserve"> RSG, Bogers S, van Dijk LLA, </w:t>
            </w:r>
            <w:proofErr w:type="spellStart"/>
            <w:r w:rsidRPr="00C835B2">
              <w:rPr>
                <w:rFonts w:asciiTheme="majorBidi" w:hAnsiTheme="majorBidi" w:cstheme="majorBidi"/>
                <w:color w:val="auto"/>
                <w:sz w:val="24"/>
                <w:szCs w:val="24"/>
                <w:lang w:val="en-GB"/>
              </w:rPr>
              <w:t>Gommers</w:t>
            </w:r>
            <w:proofErr w:type="spellEnd"/>
            <w:r w:rsidRPr="00C835B2">
              <w:rPr>
                <w:rFonts w:asciiTheme="majorBidi" w:hAnsiTheme="majorBidi" w:cstheme="majorBidi"/>
                <w:color w:val="auto"/>
                <w:sz w:val="24"/>
                <w:szCs w:val="24"/>
                <w:lang w:val="en-GB"/>
              </w:rPr>
              <w:t xml:space="preserve"> L, van Leeuwen LPM, Rugebregt S, </w:t>
            </w:r>
            <w:proofErr w:type="spellStart"/>
            <w:r w:rsidRPr="00C835B2">
              <w:rPr>
                <w:rFonts w:asciiTheme="majorBidi" w:hAnsiTheme="majorBidi" w:cstheme="majorBidi"/>
                <w:color w:val="auto"/>
                <w:sz w:val="24"/>
                <w:szCs w:val="24"/>
                <w:lang w:val="en-GB"/>
              </w:rPr>
              <w:t>Goorhuis</w:t>
            </w:r>
            <w:proofErr w:type="spellEnd"/>
            <w:r w:rsidRPr="00C835B2">
              <w:rPr>
                <w:rFonts w:asciiTheme="majorBidi" w:hAnsiTheme="majorBidi" w:cstheme="majorBidi"/>
                <w:color w:val="auto"/>
                <w:sz w:val="24"/>
                <w:szCs w:val="24"/>
                <w:lang w:val="en-GB"/>
              </w:rPr>
              <w:t xml:space="preserve"> A, Postma DF, Visser LG, </w:t>
            </w:r>
            <w:proofErr w:type="spellStart"/>
            <w:r w:rsidRPr="00C835B2">
              <w:rPr>
                <w:rFonts w:asciiTheme="majorBidi" w:hAnsiTheme="majorBidi" w:cstheme="majorBidi"/>
                <w:color w:val="auto"/>
                <w:sz w:val="24"/>
                <w:szCs w:val="24"/>
                <w:lang w:val="en-GB"/>
              </w:rPr>
              <w:t>Dalm</w:t>
            </w:r>
            <w:proofErr w:type="spellEnd"/>
            <w:r w:rsidRPr="00C835B2">
              <w:rPr>
                <w:rFonts w:asciiTheme="majorBidi" w:hAnsiTheme="majorBidi" w:cstheme="majorBidi"/>
                <w:color w:val="auto"/>
                <w:sz w:val="24"/>
                <w:szCs w:val="24"/>
                <w:lang w:val="en-GB"/>
              </w:rPr>
              <w:t xml:space="preserve"> VASH, Lafeber M, </w:t>
            </w:r>
            <w:proofErr w:type="spellStart"/>
            <w:r w:rsidRPr="00C835B2">
              <w:rPr>
                <w:rFonts w:asciiTheme="majorBidi" w:hAnsiTheme="majorBidi" w:cstheme="majorBidi"/>
                <w:color w:val="auto"/>
                <w:sz w:val="24"/>
                <w:szCs w:val="24"/>
                <w:lang w:val="en-GB"/>
              </w:rPr>
              <w:t>Kootstra</w:t>
            </w:r>
            <w:proofErr w:type="spellEnd"/>
            <w:r w:rsidRPr="00C835B2">
              <w:rPr>
                <w:rFonts w:asciiTheme="majorBidi" w:hAnsiTheme="majorBidi" w:cstheme="majorBidi"/>
                <w:color w:val="auto"/>
                <w:sz w:val="24"/>
                <w:szCs w:val="24"/>
                <w:lang w:val="en-GB"/>
              </w:rPr>
              <w:t xml:space="preserve"> NA, </w:t>
            </w:r>
            <w:proofErr w:type="spellStart"/>
            <w:r w:rsidRPr="00C835B2">
              <w:rPr>
                <w:rFonts w:asciiTheme="majorBidi" w:hAnsiTheme="majorBidi" w:cstheme="majorBidi"/>
                <w:color w:val="auto"/>
                <w:sz w:val="24"/>
                <w:szCs w:val="24"/>
                <w:lang w:val="en-GB"/>
              </w:rPr>
              <w:t>Huckriede</w:t>
            </w:r>
            <w:proofErr w:type="spellEnd"/>
            <w:r w:rsidRPr="00C835B2">
              <w:rPr>
                <w:rFonts w:asciiTheme="majorBidi" w:hAnsiTheme="majorBidi" w:cstheme="majorBidi"/>
                <w:color w:val="auto"/>
                <w:sz w:val="24"/>
                <w:szCs w:val="24"/>
                <w:lang w:val="en-GB"/>
              </w:rPr>
              <w:t xml:space="preserve"> ALW, </w:t>
            </w:r>
            <w:proofErr w:type="spellStart"/>
            <w:r w:rsidRPr="00C835B2">
              <w:rPr>
                <w:rFonts w:asciiTheme="majorBidi" w:hAnsiTheme="majorBidi" w:cstheme="majorBidi"/>
                <w:color w:val="auto"/>
                <w:sz w:val="24"/>
                <w:szCs w:val="24"/>
                <w:lang w:val="en-GB"/>
              </w:rPr>
              <w:t>Haagmans</w:t>
            </w:r>
            <w:proofErr w:type="spellEnd"/>
            <w:r w:rsidRPr="00C835B2">
              <w:rPr>
                <w:rFonts w:asciiTheme="majorBidi" w:hAnsiTheme="majorBidi" w:cstheme="majorBidi"/>
                <w:color w:val="auto"/>
                <w:sz w:val="24"/>
                <w:szCs w:val="24"/>
                <w:lang w:val="en-GB"/>
              </w:rPr>
              <w:t xml:space="preserve"> BL, van Baarle D, Koopmans MPG, van der Kuy PHM, </w:t>
            </w:r>
            <w:proofErr w:type="spellStart"/>
            <w:r w:rsidRPr="00C835B2">
              <w:rPr>
                <w:rFonts w:asciiTheme="majorBidi" w:hAnsiTheme="majorBidi" w:cstheme="majorBidi"/>
                <w:color w:val="auto"/>
                <w:sz w:val="24"/>
                <w:szCs w:val="24"/>
                <w:lang w:val="en-GB"/>
              </w:rPr>
              <w:t>GeurtsvanKessel</w:t>
            </w:r>
            <w:proofErr w:type="spellEnd"/>
            <w:r w:rsidRPr="00C835B2">
              <w:rPr>
                <w:rFonts w:asciiTheme="majorBidi" w:hAnsiTheme="majorBidi" w:cstheme="majorBidi"/>
                <w:color w:val="auto"/>
                <w:sz w:val="24"/>
                <w:szCs w:val="24"/>
                <w:lang w:val="en-GB"/>
              </w:rPr>
              <w:t xml:space="preserve"> CH, de Vries RD. </w:t>
            </w:r>
            <w:r w:rsidRPr="00C835B2">
              <w:rPr>
                <w:rFonts w:asciiTheme="majorBidi" w:hAnsiTheme="majorBidi" w:cstheme="majorBidi"/>
                <w:color w:val="auto"/>
                <w:sz w:val="24"/>
                <w:szCs w:val="24"/>
                <w:lang w:val="en-AU"/>
              </w:rPr>
              <w:t xml:space="preserve">Original COVID-19 priming regimen impacts the immunogenicity of bivalent BA.1 and BA.5 boosters. </w:t>
            </w:r>
            <w:r w:rsidRPr="00C835B2">
              <w:rPr>
                <w:rFonts w:asciiTheme="majorBidi" w:hAnsiTheme="majorBidi" w:cstheme="majorBidi"/>
                <w:color w:val="auto"/>
                <w:sz w:val="24"/>
                <w:szCs w:val="24"/>
                <w:lang w:val="nb-NO"/>
              </w:rPr>
              <w:t>Nature Communications. 2024;15:4224. doi:10.1038/s41467-024-48414-x.</w:t>
            </w:r>
          </w:p>
        </w:tc>
        <w:tc>
          <w:tcPr>
            <w:tcW w:w="5938" w:type="dxa"/>
          </w:tcPr>
          <w:p w14:paraId="6954DDB5" w14:textId="77777777" w:rsidR="009405C7" w:rsidRPr="00C835B2" w:rsidRDefault="009405C7" w:rsidP="009405C7">
            <w:pPr>
              <w:pStyle w:val="MDPI31text"/>
              <w:ind w:left="0" w:firstLine="0"/>
              <w:rPr>
                <w:rFonts w:asciiTheme="majorBidi" w:hAnsiTheme="majorBidi" w:cstheme="majorBidi"/>
                <w:color w:val="auto"/>
                <w:sz w:val="24"/>
                <w:szCs w:val="24"/>
              </w:rPr>
            </w:pPr>
            <w:r w:rsidRPr="00C835B2">
              <w:rPr>
                <w:rFonts w:asciiTheme="majorBidi" w:hAnsiTheme="majorBidi" w:cstheme="majorBidi"/>
                <w:color w:val="auto"/>
                <w:sz w:val="24"/>
                <w:szCs w:val="24"/>
              </w:rPr>
              <w:t xml:space="preserve">Outside the prespecified review scope. This study is an immunogenicity trial assessing antibody and T-cell responses following bivalent BA.1 or BA.5 booster vaccination. It does not report population-based vaccine effectiveness (VE or </w:t>
            </w:r>
            <w:proofErr w:type="spellStart"/>
            <w:r w:rsidRPr="00C835B2">
              <w:rPr>
                <w:rFonts w:asciiTheme="majorBidi" w:hAnsiTheme="majorBidi" w:cstheme="majorBidi"/>
                <w:color w:val="auto"/>
                <w:sz w:val="24"/>
                <w:szCs w:val="24"/>
              </w:rPr>
              <w:t>rVE</w:t>
            </w:r>
            <w:proofErr w:type="spellEnd"/>
            <w:r w:rsidRPr="00C835B2">
              <w:rPr>
                <w:rFonts w:asciiTheme="majorBidi" w:hAnsiTheme="majorBidi" w:cstheme="majorBidi"/>
                <w:color w:val="auto"/>
                <w:sz w:val="24"/>
                <w:szCs w:val="24"/>
              </w:rPr>
              <w:t>) estimates against SARS-CoV-2 infection or severe clinical outcomes derived from cohort, case–control, or test-negative designs. The study focuses on laboratory immune correlates rather than real-world vaccine effectiveness and therefore does not meet the inclusion criteria for this review.</w:t>
            </w:r>
          </w:p>
        </w:tc>
      </w:tr>
      <w:tr w:rsidR="009405C7" w14:paraId="70DA245B" w14:textId="77777777" w:rsidTr="00B20255">
        <w:tc>
          <w:tcPr>
            <w:tcW w:w="5403" w:type="dxa"/>
          </w:tcPr>
          <w:p w14:paraId="2646FFF0" w14:textId="7FBFAE9E" w:rsidR="009405C7" w:rsidRPr="00684899" w:rsidRDefault="00684899"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lang w:val="en-AU"/>
              </w:rPr>
              <w:lastRenderedPageBreak/>
              <w:t xml:space="preserve">Zeng T, Lu Y, Zhao Y, Guo Z, Sun S, Teng Z, Tian M, Wang J, Li S, Fan X, Wang W, Cai Y, Liao G, Liang X, He D, Wang K, Zhao S. Effectiveness of the booster dose of inactivated COVID-19 vaccine against Omicron BA.5 infection: a matched cohort study of adult close contacts. </w:t>
            </w:r>
            <w:proofErr w:type="spellStart"/>
            <w:r w:rsidRPr="00684899">
              <w:rPr>
                <w:rFonts w:asciiTheme="majorBidi" w:hAnsiTheme="majorBidi" w:cstheme="majorBidi"/>
                <w:color w:val="auto"/>
                <w:sz w:val="24"/>
                <w:szCs w:val="24"/>
                <w:lang w:val="nb-NO"/>
              </w:rPr>
              <w:t>Respiratory</w:t>
            </w:r>
            <w:proofErr w:type="spellEnd"/>
            <w:r w:rsidRPr="00684899">
              <w:rPr>
                <w:rFonts w:asciiTheme="majorBidi" w:hAnsiTheme="majorBidi" w:cstheme="majorBidi"/>
                <w:color w:val="auto"/>
                <w:sz w:val="24"/>
                <w:szCs w:val="24"/>
                <w:lang w:val="nb-NO"/>
              </w:rPr>
              <w:t xml:space="preserve"> Research. 2023;24:246. doi:10.1186/s12931-023-02542-y.</w:t>
            </w:r>
          </w:p>
        </w:tc>
        <w:tc>
          <w:tcPr>
            <w:tcW w:w="5938" w:type="dxa"/>
          </w:tcPr>
          <w:p w14:paraId="0CD56040" w14:textId="10BA89FE" w:rsidR="009405C7" w:rsidRPr="00684899" w:rsidRDefault="009405C7"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rPr>
              <w:t>Outside the prespecified review scope. This matched cohort study among adult close contacts assessed the effectiveness of a booster dose of inactivated COVID-19 vaccines against SARS-CoV-2 Omicron BA.5 infection (including asymptomatic and symptomatic infection). The study did not evaluate vaccine effectiveness against hospitali</w:t>
            </w:r>
            <w:r w:rsidR="0004402C" w:rsidRPr="00684899">
              <w:rPr>
                <w:rFonts w:asciiTheme="majorBidi" w:hAnsiTheme="majorBidi" w:cstheme="majorBidi"/>
                <w:color w:val="auto"/>
                <w:sz w:val="24"/>
                <w:szCs w:val="24"/>
              </w:rPr>
              <w:t>z</w:t>
            </w:r>
            <w:r w:rsidRPr="00684899">
              <w:rPr>
                <w:rFonts w:asciiTheme="majorBidi" w:hAnsiTheme="majorBidi" w:cstheme="majorBidi"/>
                <w:color w:val="auto"/>
                <w:sz w:val="24"/>
                <w:szCs w:val="24"/>
              </w:rPr>
              <w:t>ation, severe or critical disease, ICU admission, or mortality, and therefore does not provide extractable effectiveness estimates for severe COVID-19 outcomes suitable for synthesis in this review.</w:t>
            </w:r>
          </w:p>
        </w:tc>
      </w:tr>
      <w:tr w:rsidR="009405C7" w14:paraId="52CB9FF1" w14:textId="77777777" w:rsidTr="00B20255">
        <w:tc>
          <w:tcPr>
            <w:tcW w:w="5403" w:type="dxa"/>
          </w:tcPr>
          <w:p w14:paraId="7BB19E3B" w14:textId="03798D2D" w:rsidR="009405C7" w:rsidRPr="00684899" w:rsidRDefault="00684899"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rPr>
              <w:t>Zhang H, Yan H-F, Xiong W-J, Gao L-L. Real-world effectiveness of inactivated vaccine on COVID-19 patients with comorbidities. Journal of Infection in Developing Countries. 2024;18(9):1329–1337. doi:10.3855/jidc.18128.</w:t>
            </w:r>
          </w:p>
        </w:tc>
        <w:tc>
          <w:tcPr>
            <w:tcW w:w="5938" w:type="dxa"/>
          </w:tcPr>
          <w:p w14:paraId="68104248" w14:textId="77777777" w:rsidR="009405C7" w:rsidRPr="00684899" w:rsidRDefault="009405C7"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rPr>
              <w:t xml:space="preserve">Outside the prespecified review scope. This study is a case-only retrospective cohort restricted to confirmed Omicron-infected patients, evaluating associations between vaccination status and disease severity or prognosis (e.g., aggravation, ICU admission, death). It does not report population-based vaccine effectiveness (VE or </w:t>
            </w:r>
            <w:proofErr w:type="spellStart"/>
            <w:r w:rsidRPr="00684899">
              <w:rPr>
                <w:rFonts w:asciiTheme="majorBidi" w:hAnsiTheme="majorBidi" w:cstheme="majorBidi"/>
                <w:color w:val="auto"/>
                <w:sz w:val="24"/>
                <w:szCs w:val="24"/>
              </w:rPr>
              <w:t>rVE</w:t>
            </w:r>
            <w:proofErr w:type="spellEnd"/>
            <w:r w:rsidRPr="00684899">
              <w:rPr>
                <w:rFonts w:asciiTheme="majorBidi" w:hAnsiTheme="majorBidi" w:cstheme="majorBidi"/>
                <w:color w:val="auto"/>
                <w:sz w:val="24"/>
                <w:szCs w:val="24"/>
              </w:rPr>
              <w:t>) estimates comparing vaccinated and unvaccinated individuals at risk and therefore is not eligible for inclusion in the formal VE synthesis.</w:t>
            </w:r>
          </w:p>
        </w:tc>
      </w:tr>
      <w:tr w:rsidR="009405C7" w14:paraId="0A83AEDB" w14:textId="77777777" w:rsidTr="00B20255">
        <w:tc>
          <w:tcPr>
            <w:tcW w:w="5403" w:type="dxa"/>
          </w:tcPr>
          <w:p w14:paraId="68C3CDF2" w14:textId="09A837ED" w:rsidR="009405C7" w:rsidRPr="00684899" w:rsidRDefault="00684899"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lang w:val="en-AU"/>
              </w:rPr>
              <w:t xml:space="preserve">Zhang Q, Lu C, Chen H, Li M, Bai X, Chen J, Li D, Zhang Y, Lei N, He W, Wang Y, Zhao J, Nie L. Effectiveness of vaccination in reducing hospitalization and mortality rates in dialysis patients with Omicron infection in China: A single-center study. </w:t>
            </w:r>
            <w:r w:rsidRPr="00684899">
              <w:rPr>
                <w:rFonts w:asciiTheme="majorBidi" w:hAnsiTheme="majorBidi" w:cstheme="majorBidi"/>
                <w:color w:val="auto"/>
                <w:sz w:val="24"/>
                <w:szCs w:val="24"/>
                <w:lang w:val="nb-NO"/>
              </w:rPr>
              <w:t xml:space="preserve">Human </w:t>
            </w:r>
            <w:proofErr w:type="spellStart"/>
            <w:r w:rsidRPr="00684899">
              <w:rPr>
                <w:rFonts w:asciiTheme="majorBidi" w:hAnsiTheme="majorBidi" w:cstheme="majorBidi"/>
                <w:color w:val="auto"/>
                <w:sz w:val="24"/>
                <w:szCs w:val="24"/>
                <w:lang w:val="nb-NO"/>
              </w:rPr>
              <w:t>Vaccines</w:t>
            </w:r>
            <w:proofErr w:type="spellEnd"/>
            <w:r w:rsidRPr="00684899">
              <w:rPr>
                <w:rFonts w:asciiTheme="majorBidi" w:hAnsiTheme="majorBidi" w:cstheme="majorBidi"/>
                <w:color w:val="auto"/>
                <w:sz w:val="24"/>
                <w:szCs w:val="24"/>
                <w:lang w:val="nb-NO"/>
              </w:rPr>
              <w:t xml:space="preserve"> &amp; </w:t>
            </w:r>
            <w:proofErr w:type="spellStart"/>
            <w:r w:rsidRPr="00684899">
              <w:rPr>
                <w:rFonts w:asciiTheme="majorBidi" w:hAnsiTheme="majorBidi" w:cstheme="majorBidi"/>
                <w:color w:val="auto"/>
                <w:sz w:val="24"/>
                <w:szCs w:val="24"/>
                <w:lang w:val="nb-NO"/>
              </w:rPr>
              <w:t>Immunotherapeutics</w:t>
            </w:r>
            <w:proofErr w:type="spellEnd"/>
            <w:r w:rsidRPr="00684899">
              <w:rPr>
                <w:rFonts w:asciiTheme="majorBidi" w:hAnsiTheme="majorBidi" w:cstheme="majorBidi"/>
                <w:color w:val="auto"/>
                <w:sz w:val="24"/>
                <w:szCs w:val="24"/>
                <w:lang w:val="nb-NO"/>
              </w:rPr>
              <w:t>. 2023;19(2):2252257. doi:10.1080/21645515.2023.2252257.</w:t>
            </w:r>
          </w:p>
        </w:tc>
        <w:tc>
          <w:tcPr>
            <w:tcW w:w="5938" w:type="dxa"/>
          </w:tcPr>
          <w:p w14:paraId="3AC09E3F" w14:textId="77777777" w:rsidR="009405C7" w:rsidRPr="00684899" w:rsidRDefault="009405C7"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rPr>
              <w:t xml:space="preserve">Outside the prespecified review scope. This single-center retrospective study assessed hospitalization and all-cause mortality among hemodialysis patients already infected with SARS-CoV-2 (Omicron). The analysis is restricted to infected cases and evaluates severity outcomes conditional on infection, rather than estimating population-based vaccine effectiveness (VE or </w:t>
            </w:r>
            <w:proofErr w:type="spellStart"/>
            <w:r w:rsidRPr="00684899">
              <w:rPr>
                <w:rFonts w:asciiTheme="majorBidi" w:hAnsiTheme="majorBidi" w:cstheme="majorBidi"/>
                <w:color w:val="auto"/>
                <w:sz w:val="24"/>
                <w:szCs w:val="24"/>
              </w:rPr>
              <w:t>rVE</w:t>
            </w:r>
            <w:proofErr w:type="spellEnd"/>
            <w:r w:rsidRPr="00684899">
              <w:rPr>
                <w:rFonts w:asciiTheme="majorBidi" w:hAnsiTheme="majorBidi" w:cstheme="majorBidi"/>
                <w:color w:val="auto"/>
                <w:sz w:val="24"/>
                <w:szCs w:val="24"/>
              </w:rPr>
              <w:t>) against hospitalization or death using a cohort or test-negative design with an appropriate denominator. Consequently, the effect estimates are not directly comparable with the vaccine effectiveness framework synthesised in this review.</w:t>
            </w:r>
          </w:p>
        </w:tc>
      </w:tr>
      <w:tr w:rsidR="009405C7" w14:paraId="7BAB2A29" w14:textId="77777777" w:rsidTr="00B20255">
        <w:tc>
          <w:tcPr>
            <w:tcW w:w="5403" w:type="dxa"/>
          </w:tcPr>
          <w:p w14:paraId="78D7C479" w14:textId="1935459C" w:rsidR="009405C7" w:rsidRPr="00684899" w:rsidRDefault="00684899"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lang w:val="en-AU"/>
              </w:rPr>
              <w:t xml:space="preserve">Zhang X, Wang Y, Hu C, Xu P, Ma L, Liu L, Sun J, Liu Y, Yang H, Pan F, Hu J, Cao C, Cheng K, Gao D, Lyu Y, Qin W. Effectiveness of a booster dose of COVID-19 vaccines during an outbreak of SARS-CoV-2 Omicron BA.2.2 in China: A case–control study. </w:t>
            </w:r>
            <w:r w:rsidRPr="00684899">
              <w:rPr>
                <w:rFonts w:asciiTheme="majorBidi" w:hAnsiTheme="majorBidi" w:cstheme="majorBidi"/>
                <w:color w:val="auto"/>
                <w:sz w:val="24"/>
                <w:szCs w:val="24"/>
                <w:lang w:val="nb-NO"/>
              </w:rPr>
              <w:t xml:space="preserve">Human </w:t>
            </w:r>
            <w:proofErr w:type="spellStart"/>
            <w:r w:rsidRPr="00684899">
              <w:rPr>
                <w:rFonts w:asciiTheme="majorBidi" w:hAnsiTheme="majorBidi" w:cstheme="majorBidi"/>
                <w:color w:val="auto"/>
                <w:sz w:val="24"/>
                <w:szCs w:val="24"/>
                <w:lang w:val="nb-NO"/>
              </w:rPr>
              <w:t>Vaccines</w:t>
            </w:r>
            <w:proofErr w:type="spellEnd"/>
            <w:r w:rsidRPr="00684899">
              <w:rPr>
                <w:rFonts w:asciiTheme="majorBidi" w:hAnsiTheme="majorBidi" w:cstheme="majorBidi"/>
                <w:color w:val="auto"/>
                <w:sz w:val="24"/>
                <w:szCs w:val="24"/>
                <w:lang w:val="nb-NO"/>
              </w:rPr>
              <w:t xml:space="preserve"> &amp; </w:t>
            </w:r>
            <w:proofErr w:type="spellStart"/>
            <w:r w:rsidRPr="00684899">
              <w:rPr>
                <w:rFonts w:asciiTheme="majorBidi" w:hAnsiTheme="majorBidi" w:cstheme="majorBidi"/>
                <w:color w:val="auto"/>
                <w:sz w:val="24"/>
                <w:szCs w:val="24"/>
                <w:lang w:val="nb-NO"/>
              </w:rPr>
              <w:t>Immunotherapeutics</w:t>
            </w:r>
            <w:proofErr w:type="spellEnd"/>
            <w:r w:rsidRPr="00684899">
              <w:rPr>
                <w:rFonts w:asciiTheme="majorBidi" w:hAnsiTheme="majorBidi" w:cstheme="majorBidi"/>
                <w:color w:val="auto"/>
                <w:sz w:val="24"/>
                <w:szCs w:val="24"/>
                <w:lang w:val="nb-NO"/>
              </w:rPr>
              <w:t>. 2023;19(1):2194189. doi:10.1080/21645515.2023.2194189.</w:t>
            </w:r>
          </w:p>
        </w:tc>
        <w:tc>
          <w:tcPr>
            <w:tcW w:w="5938" w:type="dxa"/>
          </w:tcPr>
          <w:p w14:paraId="089949A6" w14:textId="1826A868" w:rsidR="009405C7" w:rsidRPr="00684899" w:rsidRDefault="009405C7"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rPr>
              <w:t>Outside the prespecified review scope. This case–control study evaluated vaccine effectiveness against SARS-CoV-2 infection (symptomatic and asymptomatic) during an Omicron BA.2.2 outbreak in China. The study did not estimate vaccine effectiveness against hospitali</w:t>
            </w:r>
            <w:r w:rsidR="0004402C" w:rsidRPr="00684899">
              <w:rPr>
                <w:rFonts w:asciiTheme="majorBidi" w:hAnsiTheme="majorBidi" w:cstheme="majorBidi"/>
                <w:color w:val="auto"/>
                <w:sz w:val="24"/>
                <w:szCs w:val="24"/>
              </w:rPr>
              <w:t>z</w:t>
            </w:r>
            <w:r w:rsidRPr="00684899">
              <w:rPr>
                <w:rFonts w:asciiTheme="majorBidi" w:hAnsiTheme="majorBidi" w:cstheme="majorBidi"/>
                <w:color w:val="auto"/>
                <w:sz w:val="24"/>
                <w:szCs w:val="24"/>
              </w:rPr>
              <w:t>ation, severe or critical disease, ICU admission, or mortality, and therefore does not provide extractable effectiveness estimates for severe COVID-19 outcomes suitable for synthesis in this review.</w:t>
            </w:r>
          </w:p>
        </w:tc>
      </w:tr>
      <w:tr w:rsidR="009405C7" w14:paraId="35E7665E" w14:textId="77777777" w:rsidTr="00B20255">
        <w:tc>
          <w:tcPr>
            <w:tcW w:w="5403" w:type="dxa"/>
          </w:tcPr>
          <w:p w14:paraId="707D6452" w14:textId="160A33A3" w:rsidR="009405C7" w:rsidRPr="00684899" w:rsidRDefault="00684899"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rPr>
              <w:t>Zhang XZ, Wong PHH, Lai KS, Yang B, Song M, Li J, Ung COL. Effectiveness of COVID-19 vaccination against severe symptoms and death among geriatric inpatients: A retrospective cohort study in Macao. Vaccines. 2024;12:933. doi:10.3390/vaccines12080933.</w:t>
            </w:r>
          </w:p>
        </w:tc>
        <w:tc>
          <w:tcPr>
            <w:tcW w:w="5938" w:type="dxa"/>
          </w:tcPr>
          <w:p w14:paraId="157EA0B1" w14:textId="4DC8A1BA" w:rsidR="009405C7" w:rsidRPr="00684899" w:rsidRDefault="009405C7"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rPr>
              <w:t xml:space="preserve">Outside the prespecified review scope. This retrospective cohort study evaluated disease severity and mortality among geriatric patients already </w:t>
            </w:r>
            <w:r w:rsidR="0004402C" w:rsidRPr="00684899">
              <w:rPr>
                <w:rFonts w:asciiTheme="majorBidi" w:hAnsiTheme="majorBidi" w:cstheme="majorBidi"/>
                <w:color w:val="auto"/>
                <w:sz w:val="24"/>
                <w:szCs w:val="24"/>
              </w:rPr>
              <w:t>hospitalized</w:t>
            </w:r>
            <w:r w:rsidRPr="00684899">
              <w:rPr>
                <w:rFonts w:asciiTheme="majorBidi" w:hAnsiTheme="majorBidi" w:cstheme="majorBidi"/>
                <w:color w:val="auto"/>
                <w:sz w:val="24"/>
                <w:szCs w:val="24"/>
              </w:rPr>
              <w:t xml:space="preserve"> with COVID-19 during Omicron BF.7 circulation in Macao. The analysis is restricted to </w:t>
            </w:r>
            <w:r w:rsidR="0004402C" w:rsidRPr="00684899">
              <w:rPr>
                <w:rFonts w:asciiTheme="majorBidi" w:hAnsiTheme="majorBidi" w:cstheme="majorBidi"/>
                <w:color w:val="auto"/>
                <w:sz w:val="24"/>
                <w:szCs w:val="24"/>
              </w:rPr>
              <w:t>hospitalized</w:t>
            </w:r>
            <w:r w:rsidRPr="00684899">
              <w:rPr>
                <w:rFonts w:asciiTheme="majorBidi" w:hAnsiTheme="majorBidi" w:cstheme="majorBidi"/>
                <w:color w:val="auto"/>
                <w:sz w:val="24"/>
                <w:szCs w:val="24"/>
              </w:rPr>
              <w:t xml:space="preserve"> cases and assesses severity modification conditional on admission, rather than estimating population-based vaccine effectiveness (VE or </w:t>
            </w:r>
            <w:proofErr w:type="spellStart"/>
            <w:r w:rsidRPr="00684899">
              <w:rPr>
                <w:rFonts w:asciiTheme="majorBidi" w:hAnsiTheme="majorBidi" w:cstheme="majorBidi"/>
                <w:color w:val="auto"/>
                <w:sz w:val="24"/>
                <w:szCs w:val="24"/>
              </w:rPr>
              <w:t>rVE</w:t>
            </w:r>
            <w:proofErr w:type="spellEnd"/>
            <w:r w:rsidRPr="00684899">
              <w:rPr>
                <w:rFonts w:asciiTheme="majorBidi" w:hAnsiTheme="majorBidi" w:cstheme="majorBidi"/>
                <w:color w:val="auto"/>
                <w:sz w:val="24"/>
                <w:szCs w:val="24"/>
              </w:rPr>
              <w:t>) against hospitali</w:t>
            </w:r>
            <w:r w:rsidR="0004402C" w:rsidRPr="00684899">
              <w:rPr>
                <w:rFonts w:asciiTheme="majorBidi" w:hAnsiTheme="majorBidi" w:cstheme="majorBidi"/>
                <w:color w:val="auto"/>
                <w:sz w:val="24"/>
                <w:szCs w:val="24"/>
              </w:rPr>
              <w:t>z</w:t>
            </w:r>
            <w:r w:rsidRPr="00684899">
              <w:rPr>
                <w:rFonts w:asciiTheme="majorBidi" w:hAnsiTheme="majorBidi" w:cstheme="majorBidi"/>
                <w:color w:val="auto"/>
                <w:sz w:val="24"/>
                <w:szCs w:val="24"/>
              </w:rPr>
              <w:t>ation or death using a cohort or test-negative design with an appropriate non-</w:t>
            </w:r>
            <w:r w:rsidR="0004402C" w:rsidRPr="00684899">
              <w:rPr>
                <w:rFonts w:asciiTheme="majorBidi" w:hAnsiTheme="majorBidi" w:cstheme="majorBidi"/>
                <w:color w:val="auto"/>
                <w:sz w:val="24"/>
                <w:szCs w:val="24"/>
              </w:rPr>
              <w:t>hospitalized</w:t>
            </w:r>
            <w:r w:rsidRPr="00684899">
              <w:rPr>
                <w:rFonts w:asciiTheme="majorBidi" w:hAnsiTheme="majorBidi" w:cstheme="majorBidi"/>
                <w:color w:val="auto"/>
                <w:sz w:val="24"/>
                <w:szCs w:val="24"/>
              </w:rPr>
              <w:t xml:space="preserve"> denominator. Consequently, the effect estimates are not </w:t>
            </w:r>
            <w:r w:rsidRPr="00684899">
              <w:rPr>
                <w:rFonts w:asciiTheme="majorBidi" w:hAnsiTheme="majorBidi" w:cstheme="majorBidi"/>
                <w:color w:val="auto"/>
                <w:sz w:val="24"/>
                <w:szCs w:val="24"/>
              </w:rPr>
              <w:lastRenderedPageBreak/>
              <w:t>directly comparable with the vaccine effectiveness framework synthesised in this review.</w:t>
            </w:r>
          </w:p>
        </w:tc>
      </w:tr>
      <w:tr w:rsidR="009405C7" w14:paraId="1EEF168E" w14:textId="77777777" w:rsidTr="00B20255">
        <w:tc>
          <w:tcPr>
            <w:tcW w:w="5403" w:type="dxa"/>
          </w:tcPr>
          <w:p w14:paraId="094EE33E" w14:textId="4F43C298" w:rsidR="009405C7" w:rsidRPr="00684899" w:rsidRDefault="00684899"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lang w:val="en-AU"/>
              </w:rPr>
              <w:lastRenderedPageBreak/>
              <w:t xml:space="preserve">Zhang Y, Huang Z, Zhuang S, Wu J, Lan M, Guo H, Chen J, Ou S, Zhang Y, Yuan Q. Effectiveness of first and second boost COVID-19 vaccination in healthy adults during BA.5.2/BF.7 surge in China. </w:t>
            </w:r>
            <w:r w:rsidRPr="00684899">
              <w:rPr>
                <w:rFonts w:asciiTheme="majorBidi" w:hAnsiTheme="majorBidi" w:cstheme="majorBidi"/>
                <w:color w:val="auto"/>
                <w:sz w:val="24"/>
                <w:szCs w:val="24"/>
                <w:lang w:val="nb-NO"/>
              </w:rPr>
              <w:t xml:space="preserve">Human </w:t>
            </w:r>
            <w:proofErr w:type="spellStart"/>
            <w:r w:rsidRPr="00684899">
              <w:rPr>
                <w:rFonts w:asciiTheme="majorBidi" w:hAnsiTheme="majorBidi" w:cstheme="majorBidi"/>
                <w:color w:val="auto"/>
                <w:sz w:val="24"/>
                <w:szCs w:val="24"/>
                <w:lang w:val="nb-NO"/>
              </w:rPr>
              <w:t>Vaccines</w:t>
            </w:r>
            <w:proofErr w:type="spellEnd"/>
            <w:r w:rsidRPr="00684899">
              <w:rPr>
                <w:rFonts w:asciiTheme="majorBidi" w:hAnsiTheme="majorBidi" w:cstheme="majorBidi"/>
                <w:color w:val="auto"/>
                <w:sz w:val="24"/>
                <w:szCs w:val="24"/>
                <w:lang w:val="nb-NO"/>
              </w:rPr>
              <w:t xml:space="preserve"> &amp; </w:t>
            </w:r>
            <w:proofErr w:type="spellStart"/>
            <w:r w:rsidRPr="00684899">
              <w:rPr>
                <w:rFonts w:asciiTheme="majorBidi" w:hAnsiTheme="majorBidi" w:cstheme="majorBidi"/>
                <w:color w:val="auto"/>
                <w:sz w:val="24"/>
                <w:szCs w:val="24"/>
                <w:lang w:val="nb-NO"/>
              </w:rPr>
              <w:t>Immunotherapeutics</w:t>
            </w:r>
            <w:proofErr w:type="spellEnd"/>
            <w:r w:rsidRPr="00684899">
              <w:rPr>
                <w:rFonts w:asciiTheme="majorBidi" w:hAnsiTheme="majorBidi" w:cstheme="majorBidi"/>
                <w:color w:val="auto"/>
                <w:sz w:val="24"/>
                <w:szCs w:val="24"/>
                <w:lang w:val="nb-NO"/>
              </w:rPr>
              <w:t>. 2023;19(2):2246483. doi:10.1080/21645515.2023.2246483.</w:t>
            </w:r>
          </w:p>
        </w:tc>
        <w:tc>
          <w:tcPr>
            <w:tcW w:w="5938" w:type="dxa"/>
          </w:tcPr>
          <w:p w14:paraId="327072C1" w14:textId="5833A41D" w:rsidR="009405C7" w:rsidRPr="00684899" w:rsidRDefault="009405C7"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rPr>
              <w:t xml:space="preserve">Outside the prespecified review scope. This retrospective observational study conducted among healthy adult blood donors (18–59 years) evaluated the relative effectiveness of booster vaccination regimens against SARS-CoV-2 infection and mild disease outcomes (e.g., symptomatic infection, symptom duration, fever) during a BA.5.2/BF.7 surge in China. The study reported no </w:t>
            </w:r>
            <w:r w:rsidR="0004402C" w:rsidRPr="00684899">
              <w:rPr>
                <w:rFonts w:asciiTheme="majorBidi" w:hAnsiTheme="majorBidi" w:cstheme="majorBidi"/>
                <w:color w:val="auto"/>
                <w:sz w:val="24"/>
                <w:szCs w:val="24"/>
              </w:rPr>
              <w:t>hospitalizations</w:t>
            </w:r>
            <w:r w:rsidRPr="00684899">
              <w:rPr>
                <w:rFonts w:asciiTheme="majorBidi" w:hAnsiTheme="majorBidi" w:cstheme="majorBidi"/>
                <w:color w:val="auto"/>
                <w:sz w:val="24"/>
                <w:szCs w:val="24"/>
              </w:rPr>
              <w:t xml:space="preserve"> or severe COVID-19 outcomes and therefore does not provide extractable vaccine effectiveness estimates against hospitali</w:t>
            </w:r>
            <w:r w:rsidR="0004402C" w:rsidRPr="00684899">
              <w:rPr>
                <w:rFonts w:asciiTheme="majorBidi" w:hAnsiTheme="majorBidi" w:cstheme="majorBidi"/>
                <w:color w:val="auto"/>
                <w:sz w:val="24"/>
                <w:szCs w:val="24"/>
              </w:rPr>
              <w:t>z</w:t>
            </w:r>
            <w:r w:rsidRPr="00684899">
              <w:rPr>
                <w:rFonts w:asciiTheme="majorBidi" w:hAnsiTheme="majorBidi" w:cstheme="majorBidi"/>
                <w:color w:val="auto"/>
                <w:sz w:val="24"/>
                <w:szCs w:val="24"/>
              </w:rPr>
              <w:t>ation, severe or critical disease, ICU admission, or mortality suitable for synthesis in this review.</w:t>
            </w:r>
          </w:p>
        </w:tc>
      </w:tr>
      <w:tr w:rsidR="009405C7" w14:paraId="665D96A0" w14:textId="77777777" w:rsidTr="00B20255">
        <w:tc>
          <w:tcPr>
            <w:tcW w:w="5403" w:type="dxa"/>
          </w:tcPr>
          <w:p w14:paraId="55410127" w14:textId="4355B2FD" w:rsidR="009405C7" w:rsidRPr="00684899" w:rsidRDefault="00684899"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lang w:val="en-AU"/>
              </w:rPr>
              <w:t xml:space="preserve">Zhang YJ, Liu GJ, Zhang H, Liu C, Chen ZQ, Xian JS, Song DL, Liu Z, Yang X, Wang J, Zhang Z, Zhang LY, Feng H, Zhang YQ, Tan L. Effectiveness of Lianhua Qingwen Granule and </w:t>
            </w:r>
            <w:proofErr w:type="spellStart"/>
            <w:r w:rsidRPr="00684899">
              <w:rPr>
                <w:rFonts w:asciiTheme="majorBidi" w:hAnsiTheme="majorBidi" w:cstheme="majorBidi"/>
                <w:color w:val="auto"/>
                <w:sz w:val="24"/>
                <w:szCs w:val="24"/>
                <w:lang w:val="en-AU"/>
              </w:rPr>
              <w:t>Jingyin</w:t>
            </w:r>
            <w:proofErr w:type="spellEnd"/>
            <w:r w:rsidRPr="00684899">
              <w:rPr>
                <w:rFonts w:asciiTheme="majorBidi" w:hAnsiTheme="majorBidi" w:cstheme="majorBidi"/>
                <w:color w:val="auto"/>
                <w:sz w:val="24"/>
                <w:szCs w:val="24"/>
                <w:lang w:val="en-AU"/>
              </w:rPr>
              <w:t xml:space="preserve"> </w:t>
            </w:r>
            <w:proofErr w:type="spellStart"/>
            <w:r w:rsidRPr="00684899">
              <w:rPr>
                <w:rFonts w:asciiTheme="majorBidi" w:hAnsiTheme="majorBidi" w:cstheme="majorBidi"/>
                <w:color w:val="auto"/>
                <w:sz w:val="24"/>
                <w:szCs w:val="24"/>
                <w:lang w:val="en-AU"/>
              </w:rPr>
              <w:t>Gubiao</w:t>
            </w:r>
            <w:proofErr w:type="spellEnd"/>
            <w:r w:rsidRPr="00684899">
              <w:rPr>
                <w:rFonts w:asciiTheme="majorBidi" w:hAnsiTheme="majorBidi" w:cstheme="majorBidi"/>
                <w:color w:val="auto"/>
                <w:sz w:val="24"/>
                <w:szCs w:val="24"/>
                <w:lang w:val="en-AU"/>
              </w:rPr>
              <w:t xml:space="preserve"> Prescription in Omicron BA.2 infection and hospitalization: A real-world study of 56,244 cases in Shanghai, China. </w:t>
            </w:r>
            <w:proofErr w:type="spellStart"/>
            <w:r w:rsidRPr="00684899">
              <w:rPr>
                <w:rFonts w:asciiTheme="majorBidi" w:hAnsiTheme="majorBidi" w:cstheme="majorBidi"/>
                <w:color w:val="auto"/>
                <w:sz w:val="24"/>
                <w:szCs w:val="24"/>
                <w:lang w:val="nb-NO"/>
              </w:rPr>
              <w:t>Chinese</w:t>
            </w:r>
            <w:proofErr w:type="spellEnd"/>
            <w:r w:rsidRPr="00684899">
              <w:rPr>
                <w:rFonts w:asciiTheme="majorBidi" w:hAnsiTheme="majorBidi" w:cstheme="majorBidi"/>
                <w:color w:val="auto"/>
                <w:sz w:val="24"/>
                <w:szCs w:val="24"/>
                <w:lang w:val="nb-NO"/>
              </w:rPr>
              <w:t xml:space="preserve"> Journal </w:t>
            </w:r>
            <w:proofErr w:type="spellStart"/>
            <w:r w:rsidRPr="00684899">
              <w:rPr>
                <w:rFonts w:asciiTheme="majorBidi" w:hAnsiTheme="majorBidi" w:cstheme="majorBidi"/>
                <w:color w:val="auto"/>
                <w:sz w:val="24"/>
                <w:szCs w:val="24"/>
                <w:lang w:val="nb-NO"/>
              </w:rPr>
              <w:t>of</w:t>
            </w:r>
            <w:proofErr w:type="spellEnd"/>
            <w:r w:rsidRPr="00684899">
              <w:rPr>
                <w:rFonts w:asciiTheme="majorBidi" w:hAnsiTheme="majorBidi" w:cstheme="majorBidi"/>
                <w:color w:val="auto"/>
                <w:sz w:val="24"/>
                <w:szCs w:val="24"/>
                <w:lang w:val="nb-NO"/>
              </w:rPr>
              <w:t xml:space="preserve"> Integrative </w:t>
            </w:r>
            <w:proofErr w:type="spellStart"/>
            <w:r w:rsidRPr="00684899">
              <w:rPr>
                <w:rFonts w:asciiTheme="majorBidi" w:hAnsiTheme="majorBidi" w:cstheme="majorBidi"/>
                <w:color w:val="auto"/>
                <w:sz w:val="24"/>
                <w:szCs w:val="24"/>
                <w:lang w:val="nb-NO"/>
              </w:rPr>
              <w:t>Medicine</w:t>
            </w:r>
            <w:proofErr w:type="spellEnd"/>
            <w:r w:rsidRPr="00684899">
              <w:rPr>
                <w:rFonts w:asciiTheme="majorBidi" w:hAnsiTheme="majorBidi" w:cstheme="majorBidi"/>
                <w:color w:val="auto"/>
                <w:sz w:val="24"/>
                <w:szCs w:val="24"/>
                <w:lang w:val="nb-NO"/>
              </w:rPr>
              <w:t>. 2025;31(1):11–18. doi:10.1007/s11655-024-3901-7.</w:t>
            </w:r>
          </w:p>
        </w:tc>
        <w:tc>
          <w:tcPr>
            <w:tcW w:w="5938" w:type="dxa"/>
          </w:tcPr>
          <w:p w14:paraId="39D61E85" w14:textId="77777777" w:rsidR="009405C7" w:rsidRPr="00684899" w:rsidRDefault="009405C7" w:rsidP="009405C7">
            <w:pPr>
              <w:pStyle w:val="MDPI31text"/>
              <w:ind w:left="0" w:firstLine="0"/>
              <w:rPr>
                <w:rFonts w:asciiTheme="majorBidi" w:hAnsiTheme="majorBidi" w:cstheme="majorBidi"/>
                <w:color w:val="auto"/>
                <w:sz w:val="24"/>
                <w:szCs w:val="24"/>
              </w:rPr>
            </w:pPr>
            <w:r w:rsidRPr="00684899">
              <w:rPr>
                <w:rFonts w:asciiTheme="majorBidi" w:hAnsiTheme="majorBidi" w:cstheme="majorBidi"/>
                <w:color w:val="auto"/>
                <w:sz w:val="24"/>
                <w:szCs w:val="24"/>
              </w:rPr>
              <w:t xml:space="preserve">Outside the prespecified review scope. This retrospective cohort study evaluates the effectiveness of Chinese medicine treatments (Lianhua Qingwen Granule and </w:t>
            </w:r>
            <w:proofErr w:type="spellStart"/>
            <w:r w:rsidRPr="00684899">
              <w:rPr>
                <w:rFonts w:asciiTheme="majorBidi" w:hAnsiTheme="majorBidi" w:cstheme="majorBidi"/>
                <w:color w:val="auto"/>
                <w:sz w:val="24"/>
                <w:szCs w:val="24"/>
              </w:rPr>
              <w:t>Jingyin</w:t>
            </w:r>
            <w:proofErr w:type="spellEnd"/>
            <w:r w:rsidRPr="00684899">
              <w:rPr>
                <w:rFonts w:asciiTheme="majorBidi" w:hAnsiTheme="majorBidi" w:cstheme="majorBidi"/>
                <w:color w:val="auto"/>
                <w:sz w:val="24"/>
                <w:szCs w:val="24"/>
              </w:rPr>
              <w:t xml:space="preserve"> </w:t>
            </w:r>
            <w:proofErr w:type="spellStart"/>
            <w:r w:rsidRPr="00684899">
              <w:rPr>
                <w:rFonts w:asciiTheme="majorBidi" w:hAnsiTheme="majorBidi" w:cstheme="majorBidi"/>
                <w:color w:val="auto"/>
                <w:sz w:val="24"/>
                <w:szCs w:val="24"/>
              </w:rPr>
              <w:t>Gubiao</w:t>
            </w:r>
            <w:proofErr w:type="spellEnd"/>
            <w:r w:rsidRPr="00684899">
              <w:rPr>
                <w:rFonts w:asciiTheme="majorBidi" w:hAnsiTheme="majorBidi" w:cstheme="majorBidi"/>
                <w:color w:val="auto"/>
                <w:sz w:val="24"/>
                <w:szCs w:val="24"/>
              </w:rPr>
              <w:t xml:space="preserve"> Prescription) on length of hospital stay among asymptomatic or mild Omicron-infected patients; vaccination is not the exposure of interest and population-level vaccine effectiveness outcomes are not reported.</w:t>
            </w:r>
          </w:p>
        </w:tc>
      </w:tr>
      <w:tr w:rsidR="009405C7" w14:paraId="656E82B6" w14:textId="77777777" w:rsidTr="00B20255">
        <w:tc>
          <w:tcPr>
            <w:tcW w:w="5403" w:type="dxa"/>
          </w:tcPr>
          <w:p w14:paraId="2F686ED0" w14:textId="468BA080" w:rsidR="009405C7" w:rsidRPr="00FC658D" w:rsidRDefault="00FC658D" w:rsidP="009405C7">
            <w:pPr>
              <w:pStyle w:val="MDPI31text"/>
              <w:ind w:left="0" w:firstLine="0"/>
              <w:rPr>
                <w:rFonts w:asciiTheme="majorBidi" w:hAnsiTheme="majorBidi" w:cstheme="majorBidi"/>
                <w:color w:val="auto"/>
                <w:sz w:val="24"/>
                <w:szCs w:val="24"/>
              </w:rPr>
            </w:pPr>
            <w:r w:rsidRPr="00FC658D">
              <w:rPr>
                <w:rFonts w:asciiTheme="majorBidi" w:hAnsiTheme="majorBidi" w:cstheme="majorBidi"/>
                <w:color w:val="auto"/>
                <w:sz w:val="24"/>
                <w:szCs w:val="24"/>
                <w:lang w:val="en-AU"/>
              </w:rPr>
              <w:t xml:space="preserve">Zhao D, Sun Y, Li J, Li X, Ma Y, Cao Z, Zhang J, Ma J, Li J, Wang Q, Suo L, Zhang D, Yang P. Effectiveness of inactivated COVID-19 vaccines in preventing COVID-19-related hospitalization during the Omicron BF.7-predominant epidemic wave in Beijing, China: A cohort study. </w:t>
            </w:r>
            <w:r w:rsidRPr="00FC658D">
              <w:rPr>
                <w:rFonts w:asciiTheme="majorBidi" w:hAnsiTheme="majorBidi" w:cstheme="majorBidi"/>
                <w:color w:val="auto"/>
                <w:sz w:val="24"/>
                <w:szCs w:val="24"/>
                <w:lang w:val="nb-NO"/>
              </w:rPr>
              <w:t xml:space="preserve">BMC </w:t>
            </w:r>
            <w:proofErr w:type="spellStart"/>
            <w:r w:rsidRPr="00FC658D">
              <w:rPr>
                <w:rFonts w:asciiTheme="majorBidi" w:hAnsiTheme="majorBidi" w:cstheme="majorBidi"/>
                <w:color w:val="auto"/>
                <w:sz w:val="24"/>
                <w:szCs w:val="24"/>
                <w:lang w:val="nb-NO"/>
              </w:rPr>
              <w:t>Infectious</w:t>
            </w:r>
            <w:proofErr w:type="spellEnd"/>
            <w:r w:rsidRPr="00FC658D">
              <w:rPr>
                <w:rFonts w:asciiTheme="majorBidi" w:hAnsiTheme="majorBidi" w:cstheme="majorBidi"/>
                <w:color w:val="auto"/>
                <w:sz w:val="24"/>
                <w:szCs w:val="24"/>
                <w:lang w:val="nb-NO"/>
              </w:rPr>
              <w:t xml:space="preserve"> </w:t>
            </w:r>
            <w:proofErr w:type="spellStart"/>
            <w:r w:rsidRPr="00FC658D">
              <w:rPr>
                <w:rFonts w:asciiTheme="majorBidi" w:hAnsiTheme="majorBidi" w:cstheme="majorBidi"/>
                <w:color w:val="auto"/>
                <w:sz w:val="24"/>
                <w:szCs w:val="24"/>
                <w:lang w:val="nb-NO"/>
              </w:rPr>
              <w:t>Diseases</w:t>
            </w:r>
            <w:proofErr w:type="spellEnd"/>
            <w:r w:rsidRPr="00FC658D">
              <w:rPr>
                <w:rFonts w:asciiTheme="majorBidi" w:hAnsiTheme="majorBidi" w:cstheme="majorBidi"/>
                <w:color w:val="auto"/>
                <w:sz w:val="24"/>
                <w:szCs w:val="24"/>
                <w:lang w:val="nb-NO"/>
              </w:rPr>
              <w:t>. 2024;24:991. doi:10.1186/s12879-024-09889-7.</w:t>
            </w:r>
          </w:p>
        </w:tc>
        <w:tc>
          <w:tcPr>
            <w:tcW w:w="5938" w:type="dxa"/>
          </w:tcPr>
          <w:p w14:paraId="546FF09C" w14:textId="0DA97704" w:rsidR="009405C7" w:rsidRPr="00FC658D" w:rsidRDefault="009405C7" w:rsidP="009405C7">
            <w:pPr>
              <w:pStyle w:val="MDPI31text"/>
              <w:ind w:left="0" w:firstLine="0"/>
              <w:rPr>
                <w:rFonts w:asciiTheme="majorBidi" w:hAnsiTheme="majorBidi" w:cstheme="majorBidi"/>
                <w:color w:val="auto"/>
                <w:sz w:val="24"/>
                <w:szCs w:val="24"/>
              </w:rPr>
            </w:pPr>
            <w:r w:rsidRPr="00FC658D">
              <w:rPr>
                <w:rFonts w:asciiTheme="majorBidi" w:hAnsiTheme="majorBidi" w:cstheme="majorBidi"/>
                <w:color w:val="auto"/>
                <w:sz w:val="24"/>
                <w:szCs w:val="24"/>
              </w:rPr>
              <w:t xml:space="preserve">Outside the prespecified review scope. The study evaluates prototype inactivated COVID-19 vaccines during Omicron BF.7 circulation and does not assess variant-adapted vaccines (e.g., bivalent </w:t>
            </w:r>
            <w:r w:rsidR="00A13B79" w:rsidRPr="00FC658D">
              <w:rPr>
                <w:rFonts w:asciiTheme="majorBidi" w:hAnsiTheme="majorBidi" w:cstheme="majorBidi"/>
                <w:color w:val="auto"/>
                <w:sz w:val="24"/>
                <w:szCs w:val="24"/>
              </w:rPr>
              <w:t xml:space="preserve">BA.4/BA.5 </w:t>
            </w:r>
            <w:r w:rsidRPr="00FC658D">
              <w:rPr>
                <w:rFonts w:asciiTheme="majorBidi" w:hAnsiTheme="majorBidi" w:cstheme="majorBidi"/>
                <w:color w:val="auto"/>
                <w:sz w:val="24"/>
                <w:szCs w:val="24"/>
              </w:rPr>
              <w:t>or updated XBB/JN.1 formulations), which are the focus of this review.</w:t>
            </w:r>
          </w:p>
        </w:tc>
      </w:tr>
      <w:tr w:rsidR="009405C7" w14:paraId="2BCDD9A7" w14:textId="77777777" w:rsidTr="00B20255">
        <w:tc>
          <w:tcPr>
            <w:tcW w:w="5403" w:type="dxa"/>
          </w:tcPr>
          <w:p w14:paraId="5B996B7D" w14:textId="3B70BA5E" w:rsidR="009405C7" w:rsidRPr="00FC658D" w:rsidRDefault="00FC658D" w:rsidP="009405C7">
            <w:pPr>
              <w:pStyle w:val="MDPI31text"/>
              <w:ind w:left="0" w:firstLine="0"/>
              <w:rPr>
                <w:rFonts w:asciiTheme="majorBidi" w:hAnsiTheme="majorBidi" w:cstheme="majorBidi"/>
                <w:color w:val="auto"/>
                <w:sz w:val="24"/>
                <w:szCs w:val="24"/>
              </w:rPr>
            </w:pPr>
            <w:r w:rsidRPr="00FC658D">
              <w:rPr>
                <w:rFonts w:asciiTheme="majorBidi" w:hAnsiTheme="majorBidi" w:cstheme="majorBidi"/>
                <w:color w:val="auto"/>
                <w:sz w:val="24"/>
                <w:szCs w:val="24"/>
              </w:rPr>
              <w:t>Zhao S, Guo Z, Sun S, Hung CT, Leung EYM, Wei Y, Wang H, Li K, Yam CHK, Chow TY, Gao J, Jia KM, Chong KC, Yeoh EK. Effectiveness of BNT162b2 and Sinovac vaccines against the transmission of SARS-CoV-2 during Omicron predominance in Hong Kong: A retrospective cohort study of COVID-19 cases. Journal of Clinical Virology. 2023;166:105547. doi:10.1016/j.jcv.2023.105547.</w:t>
            </w:r>
          </w:p>
        </w:tc>
        <w:tc>
          <w:tcPr>
            <w:tcW w:w="5938" w:type="dxa"/>
          </w:tcPr>
          <w:p w14:paraId="27BD7F6A" w14:textId="3A7481E7" w:rsidR="009405C7" w:rsidRPr="00FC658D" w:rsidRDefault="009405C7" w:rsidP="009405C7">
            <w:pPr>
              <w:pStyle w:val="MDPI31text"/>
              <w:ind w:left="0" w:firstLine="0"/>
              <w:rPr>
                <w:rFonts w:asciiTheme="majorBidi" w:hAnsiTheme="majorBidi" w:cstheme="majorBidi"/>
                <w:color w:val="auto"/>
                <w:sz w:val="24"/>
                <w:szCs w:val="24"/>
              </w:rPr>
            </w:pPr>
            <w:r w:rsidRPr="00FC658D">
              <w:rPr>
                <w:rFonts w:asciiTheme="majorBidi" w:hAnsiTheme="majorBidi" w:cstheme="majorBidi"/>
                <w:color w:val="auto"/>
                <w:sz w:val="24"/>
                <w:szCs w:val="24"/>
              </w:rPr>
              <w:t>Outside the prespecified review scope. This retrospective cohort study used contact-tracing data to estimate vaccine effectiveness against SARS-CoV-2 transmission (infectiousness), measured by the number of secondary cases generated by infected index cases during Omicron BA.2 predominance. The study does not assess vaccine effectiveness against hospitali</w:t>
            </w:r>
            <w:r w:rsidR="0004402C" w:rsidRPr="00FC658D">
              <w:rPr>
                <w:rFonts w:asciiTheme="majorBidi" w:hAnsiTheme="majorBidi" w:cstheme="majorBidi"/>
                <w:color w:val="auto"/>
                <w:sz w:val="24"/>
                <w:szCs w:val="24"/>
              </w:rPr>
              <w:t>z</w:t>
            </w:r>
            <w:r w:rsidRPr="00FC658D">
              <w:rPr>
                <w:rFonts w:asciiTheme="majorBidi" w:hAnsiTheme="majorBidi" w:cstheme="majorBidi"/>
                <w:color w:val="auto"/>
                <w:sz w:val="24"/>
                <w:szCs w:val="24"/>
              </w:rPr>
              <w:t>ation, severe or critical disease, ICU admission, or mortality, and therefore does not provide extractable effectiveness estimates for severe COVID-19 outcomes suitable for synthesis in this review.</w:t>
            </w:r>
          </w:p>
        </w:tc>
      </w:tr>
      <w:tr w:rsidR="009405C7" w14:paraId="4F6350ED" w14:textId="77777777" w:rsidTr="00B20255">
        <w:tc>
          <w:tcPr>
            <w:tcW w:w="5403" w:type="dxa"/>
          </w:tcPr>
          <w:p w14:paraId="1323B4D6" w14:textId="61D74E28" w:rsidR="009405C7" w:rsidRPr="00FC658D" w:rsidRDefault="00FC658D" w:rsidP="009405C7">
            <w:pPr>
              <w:pStyle w:val="MDPI31text"/>
              <w:ind w:left="0" w:firstLine="0"/>
              <w:rPr>
                <w:rFonts w:asciiTheme="majorBidi" w:hAnsiTheme="majorBidi" w:cstheme="majorBidi"/>
                <w:color w:val="auto"/>
                <w:sz w:val="24"/>
                <w:szCs w:val="24"/>
              </w:rPr>
            </w:pPr>
            <w:r w:rsidRPr="00FC658D">
              <w:rPr>
                <w:rFonts w:asciiTheme="majorBidi" w:hAnsiTheme="majorBidi" w:cstheme="majorBidi"/>
                <w:color w:val="auto"/>
                <w:sz w:val="24"/>
                <w:szCs w:val="24"/>
              </w:rPr>
              <w:t xml:space="preserve">Zheng Z, Yousefi M, </w:t>
            </w:r>
            <w:proofErr w:type="spellStart"/>
            <w:r w:rsidRPr="00FC658D">
              <w:rPr>
                <w:rFonts w:asciiTheme="majorBidi" w:hAnsiTheme="majorBidi" w:cstheme="majorBidi"/>
                <w:color w:val="auto"/>
                <w:sz w:val="24"/>
                <w:szCs w:val="24"/>
              </w:rPr>
              <w:t>MacCormac</w:t>
            </w:r>
            <w:proofErr w:type="spellEnd"/>
            <w:r w:rsidRPr="00FC658D">
              <w:rPr>
                <w:rFonts w:asciiTheme="majorBidi" w:hAnsiTheme="majorBidi" w:cstheme="majorBidi"/>
                <w:color w:val="auto"/>
                <w:sz w:val="24"/>
                <w:szCs w:val="24"/>
              </w:rPr>
              <w:t xml:space="preserve"> D, Radin JM, Sun T, Wilson A, Shah R, </w:t>
            </w:r>
            <w:proofErr w:type="spellStart"/>
            <w:r w:rsidRPr="00FC658D">
              <w:rPr>
                <w:rFonts w:asciiTheme="majorBidi" w:hAnsiTheme="majorBidi" w:cstheme="majorBidi"/>
                <w:color w:val="auto"/>
                <w:sz w:val="24"/>
                <w:szCs w:val="24"/>
              </w:rPr>
              <w:t>Skornicki</w:t>
            </w:r>
            <w:proofErr w:type="spellEnd"/>
            <w:r w:rsidRPr="00FC658D">
              <w:rPr>
                <w:rFonts w:asciiTheme="majorBidi" w:hAnsiTheme="majorBidi" w:cstheme="majorBidi"/>
                <w:color w:val="auto"/>
                <w:sz w:val="24"/>
                <w:szCs w:val="24"/>
              </w:rPr>
              <w:t xml:space="preserve"> M, Sheridan P, </w:t>
            </w:r>
            <w:proofErr w:type="spellStart"/>
            <w:r w:rsidRPr="00FC658D">
              <w:rPr>
                <w:rFonts w:asciiTheme="majorBidi" w:hAnsiTheme="majorBidi" w:cstheme="majorBidi"/>
                <w:color w:val="auto"/>
                <w:sz w:val="24"/>
                <w:szCs w:val="24"/>
              </w:rPr>
              <w:t>Toyip</w:t>
            </w:r>
            <w:proofErr w:type="spellEnd"/>
            <w:r w:rsidRPr="00FC658D">
              <w:rPr>
                <w:rFonts w:asciiTheme="majorBidi" w:hAnsiTheme="majorBidi" w:cstheme="majorBidi"/>
                <w:color w:val="auto"/>
                <w:sz w:val="24"/>
                <w:szCs w:val="24"/>
              </w:rPr>
              <w:t xml:space="preserve"> A, Mues K, Esposito D, Araujo A, Anderson E. Effectiveness of 2023–2024 mRNA-1273 XBB.1.5 vaccine against COVID-19–associated hospitalizations and medically attended COVID-19 in the United States. Vaccine: X. 2025;27:100737. doi:10.1016/j.jvacx.2025.100737.</w:t>
            </w:r>
          </w:p>
        </w:tc>
        <w:tc>
          <w:tcPr>
            <w:tcW w:w="5938" w:type="dxa"/>
          </w:tcPr>
          <w:p w14:paraId="5BDD2F10" w14:textId="39AC4FAE" w:rsidR="009405C7" w:rsidRPr="00FC658D" w:rsidRDefault="009405C7" w:rsidP="009405C7">
            <w:pPr>
              <w:pStyle w:val="MDPI31text"/>
              <w:ind w:left="0" w:firstLine="0"/>
              <w:rPr>
                <w:rFonts w:asciiTheme="majorBidi" w:hAnsiTheme="majorBidi" w:cstheme="majorBidi"/>
                <w:color w:val="auto"/>
                <w:sz w:val="24"/>
                <w:szCs w:val="24"/>
              </w:rPr>
            </w:pPr>
            <w:r w:rsidRPr="00FC658D">
              <w:rPr>
                <w:rFonts w:asciiTheme="majorBidi" w:hAnsiTheme="majorBidi" w:cstheme="majorBidi"/>
                <w:color w:val="auto"/>
                <w:sz w:val="24"/>
                <w:szCs w:val="24"/>
              </w:rPr>
              <w:t xml:space="preserve">Outside the prespecified review scope. This retrospective claims-based cohort study estimates the incremental effectiveness of a 2023–2024 mRNA-1273 XBB.1.5 vaccine dose using a mixed comparator (“no updated vaccine”) that includes previously vaccinated individuals. In addition, the outcome framework includes medically attended COVID-19, which is not </w:t>
            </w:r>
            <w:r w:rsidR="00A00942" w:rsidRPr="00FC658D">
              <w:rPr>
                <w:rFonts w:asciiTheme="majorBidi" w:hAnsiTheme="majorBidi" w:cstheme="majorBidi"/>
                <w:color w:val="auto"/>
                <w:sz w:val="24"/>
                <w:szCs w:val="24"/>
              </w:rPr>
              <w:t>harmonized</w:t>
            </w:r>
            <w:r w:rsidRPr="00FC658D">
              <w:rPr>
                <w:rFonts w:asciiTheme="majorBidi" w:hAnsiTheme="majorBidi" w:cstheme="majorBidi"/>
                <w:color w:val="auto"/>
                <w:sz w:val="24"/>
                <w:szCs w:val="24"/>
              </w:rPr>
              <w:t xml:space="preserve"> with the severe clinical outcome definitions synthesised in this </w:t>
            </w:r>
            <w:r w:rsidRPr="00FC658D">
              <w:rPr>
                <w:rFonts w:asciiTheme="majorBidi" w:hAnsiTheme="majorBidi" w:cstheme="majorBidi"/>
                <w:color w:val="auto"/>
                <w:sz w:val="24"/>
                <w:szCs w:val="24"/>
              </w:rPr>
              <w:lastRenderedPageBreak/>
              <w:t>review, limiting comparability with the standardised vaccine-effectiveness analyses applied.</w:t>
            </w:r>
          </w:p>
        </w:tc>
      </w:tr>
      <w:tr w:rsidR="009405C7" w14:paraId="237A1C33" w14:textId="77777777" w:rsidTr="00B20255">
        <w:tc>
          <w:tcPr>
            <w:tcW w:w="5403" w:type="dxa"/>
          </w:tcPr>
          <w:p w14:paraId="30248551" w14:textId="629D236B" w:rsidR="009405C7" w:rsidRPr="00FC658D" w:rsidRDefault="00A14CED" w:rsidP="009405C7">
            <w:pPr>
              <w:pStyle w:val="MDPI31text"/>
              <w:ind w:left="0" w:firstLine="0"/>
              <w:rPr>
                <w:rFonts w:asciiTheme="majorBidi" w:hAnsiTheme="majorBidi" w:cstheme="majorBidi"/>
                <w:color w:val="auto"/>
                <w:sz w:val="24"/>
                <w:szCs w:val="24"/>
              </w:rPr>
            </w:pPr>
            <w:r w:rsidRPr="00A14CED">
              <w:rPr>
                <w:rFonts w:asciiTheme="majorBidi" w:hAnsiTheme="majorBidi" w:cstheme="majorBidi"/>
                <w:color w:val="auto"/>
                <w:sz w:val="24"/>
                <w:szCs w:val="24"/>
              </w:rPr>
              <w:lastRenderedPageBreak/>
              <w:t xml:space="preserve">Šmíd M, Berec L, Přibylová L, </w:t>
            </w:r>
            <w:proofErr w:type="spellStart"/>
            <w:r w:rsidRPr="00A14CED">
              <w:rPr>
                <w:rFonts w:asciiTheme="majorBidi" w:hAnsiTheme="majorBidi" w:cstheme="majorBidi"/>
                <w:color w:val="auto"/>
                <w:sz w:val="24"/>
                <w:szCs w:val="24"/>
              </w:rPr>
              <w:t>Májek</w:t>
            </w:r>
            <w:proofErr w:type="spellEnd"/>
            <w:r w:rsidRPr="00A14CED">
              <w:rPr>
                <w:rFonts w:asciiTheme="majorBidi" w:hAnsiTheme="majorBidi" w:cstheme="majorBidi"/>
                <w:color w:val="auto"/>
                <w:sz w:val="24"/>
                <w:szCs w:val="24"/>
              </w:rPr>
              <w:t xml:space="preserve"> O, Pavlík T, </w:t>
            </w:r>
            <w:proofErr w:type="spellStart"/>
            <w:r w:rsidRPr="00A14CED">
              <w:rPr>
                <w:rFonts w:asciiTheme="majorBidi" w:hAnsiTheme="majorBidi" w:cstheme="majorBidi"/>
                <w:color w:val="auto"/>
                <w:sz w:val="24"/>
                <w:szCs w:val="24"/>
              </w:rPr>
              <w:t>Jarkovský</w:t>
            </w:r>
            <w:proofErr w:type="spellEnd"/>
            <w:r w:rsidRPr="00A14CED">
              <w:rPr>
                <w:rFonts w:asciiTheme="majorBidi" w:hAnsiTheme="majorBidi" w:cstheme="majorBidi"/>
                <w:color w:val="auto"/>
                <w:sz w:val="24"/>
                <w:szCs w:val="24"/>
              </w:rPr>
              <w:t xml:space="preserve"> J, Weiner J, </w:t>
            </w:r>
            <w:proofErr w:type="spellStart"/>
            <w:r w:rsidRPr="00A14CED">
              <w:rPr>
                <w:rFonts w:asciiTheme="majorBidi" w:hAnsiTheme="majorBidi" w:cstheme="majorBidi"/>
                <w:color w:val="auto"/>
                <w:sz w:val="24"/>
                <w:szCs w:val="24"/>
              </w:rPr>
              <w:t>Barusová</w:t>
            </w:r>
            <w:proofErr w:type="spellEnd"/>
            <w:r w:rsidRPr="00A14CED">
              <w:rPr>
                <w:rFonts w:asciiTheme="majorBidi" w:hAnsiTheme="majorBidi" w:cstheme="majorBidi"/>
                <w:color w:val="auto"/>
                <w:sz w:val="24"/>
                <w:szCs w:val="24"/>
              </w:rPr>
              <w:t xml:space="preserve"> T, Trnka J. Protection by vaccines and previous infection against the Omicron variant of SARS-CoV-2. Clinical Infectious Diseases. 2022;ciac578. doi:10.1093/</w:t>
            </w:r>
            <w:proofErr w:type="spellStart"/>
            <w:r w:rsidRPr="00A14CED">
              <w:rPr>
                <w:rFonts w:asciiTheme="majorBidi" w:hAnsiTheme="majorBidi" w:cstheme="majorBidi"/>
                <w:color w:val="auto"/>
                <w:sz w:val="24"/>
                <w:szCs w:val="24"/>
              </w:rPr>
              <w:t>cid</w:t>
            </w:r>
            <w:proofErr w:type="spellEnd"/>
            <w:r w:rsidRPr="00A14CED">
              <w:rPr>
                <w:rFonts w:asciiTheme="majorBidi" w:hAnsiTheme="majorBidi" w:cstheme="majorBidi"/>
                <w:color w:val="auto"/>
                <w:sz w:val="24"/>
                <w:szCs w:val="24"/>
              </w:rPr>
              <w:t>/ciac578.</w:t>
            </w:r>
          </w:p>
        </w:tc>
        <w:tc>
          <w:tcPr>
            <w:tcW w:w="5938" w:type="dxa"/>
          </w:tcPr>
          <w:p w14:paraId="041B3983" w14:textId="764CC43A" w:rsidR="009405C7" w:rsidRPr="00FC658D" w:rsidRDefault="009405C7" w:rsidP="009405C7">
            <w:pPr>
              <w:pStyle w:val="MDPI31text"/>
              <w:ind w:left="0" w:firstLine="0"/>
              <w:rPr>
                <w:rFonts w:asciiTheme="majorBidi" w:hAnsiTheme="majorBidi" w:cstheme="majorBidi"/>
                <w:color w:val="auto"/>
                <w:sz w:val="24"/>
                <w:szCs w:val="24"/>
              </w:rPr>
            </w:pPr>
            <w:r w:rsidRPr="00FC658D">
              <w:rPr>
                <w:rFonts w:asciiTheme="majorBidi" w:hAnsiTheme="majorBidi" w:cstheme="majorBidi"/>
                <w:color w:val="auto"/>
                <w:sz w:val="24"/>
                <w:szCs w:val="24"/>
              </w:rPr>
              <w:t>Outside the prespecified review scope. This nationwide population-based study evaluates protection from ancestral COVID-19 vaccines, early booster doses, and prior infection against early Omicron (BA.1) and Delta during December 2021–February 2022. The study does not assess late-Omicron sub-lineages (e.g., BA.4/BA.5, XBB, JN.1, KP) or the effectiveness of updated, variant-adapted COVID-19 vaccines, which are the focus of this review.</w:t>
            </w:r>
          </w:p>
        </w:tc>
      </w:tr>
    </w:tbl>
    <w:p w14:paraId="69ED433E" w14:textId="4982A1A5" w:rsidR="00410F55" w:rsidRDefault="00410F55" w:rsidP="00495386">
      <w:pPr>
        <w:rPr>
          <w:rFonts w:asciiTheme="majorBidi" w:hAnsiTheme="majorBidi"/>
          <w:b/>
          <w:bCs/>
        </w:rPr>
      </w:pPr>
    </w:p>
    <w:sectPr w:rsidR="00410F55" w:rsidSect="00410F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FDC11" w14:textId="77777777" w:rsidR="00410BB7" w:rsidRDefault="00410BB7" w:rsidP="00514D10">
      <w:r>
        <w:separator/>
      </w:r>
    </w:p>
  </w:endnote>
  <w:endnote w:type="continuationSeparator" w:id="0">
    <w:p w14:paraId="0409267A" w14:textId="77777777" w:rsidR="00410BB7" w:rsidRDefault="00410BB7" w:rsidP="00514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attioli1885 Regular">
    <w:altName w:val="Cambria"/>
    <w:panose1 w:val="00000000000000000000"/>
    <w:charset w:val="00"/>
    <w:family w:val="roman"/>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9EC96" w14:textId="77777777" w:rsidR="00410BB7" w:rsidRDefault="00410BB7" w:rsidP="00514D10">
      <w:r>
        <w:separator/>
      </w:r>
    </w:p>
  </w:footnote>
  <w:footnote w:type="continuationSeparator" w:id="0">
    <w:p w14:paraId="4E1FAD3D" w14:textId="77777777" w:rsidR="00410BB7" w:rsidRDefault="00410BB7" w:rsidP="00514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58071D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F82D64"/>
    <w:multiLevelType w:val="hybridMultilevel"/>
    <w:tmpl w:val="DBA8751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DE1304A"/>
    <w:multiLevelType w:val="multilevel"/>
    <w:tmpl w:val="74C63AC4"/>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1"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A62BA9"/>
    <w:multiLevelType w:val="hybridMultilevel"/>
    <w:tmpl w:val="79B45FC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4" w15:restartNumberingAfterBreak="0">
    <w:nsid w:val="1F23449E"/>
    <w:multiLevelType w:val="singleLevel"/>
    <w:tmpl w:val="9CEE0766"/>
    <w:lvl w:ilvl="0">
      <w:start w:val="1"/>
      <w:numFmt w:val="decimal"/>
      <w:lvlText w:val="%1."/>
      <w:lvlJc w:val="left"/>
      <w:pPr>
        <w:ind w:left="288" w:firstLine="72"/>
      </w:pPr>
      <w:rPr>
        <w:vertAlign w:val="superscript"/>
      </w:rPr>
    </w:lvl>
  </w:abstractNum>
  <w:abstractNum w:abstractNumId="15" w15:restartNumberingAfterBreak="0">
    <w:nsid w:val="21D346B3"/>
    <w:multiLevelType w:val="hybridMultilevel"/>
    <w:tmpl w:val="C05E464C"/>
    <w:lvl w:ilvl="0" w:tplc="1DC214B4">
      <w:start w:val="1"/>
      <w:numFmt w:val="upperLetter"/>
      <w:lvlText w:val="%1."/>
      <w:lvlJc w:val="left"/>
      <w:pPr>
        <w:ind w:left="720" w:hanging="360"/>
      </w:pPr>
      <w:rPr>
        <w:rFonts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6355C0"/>
    <w:multiLevelType w:val="hybridMultilevel"/>
    <w:tmpl w:val="FA068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AB74E3"/>
    <w:multiLevelType w:val="hybridMultilevel"/>
    <w:tmpl w:val="13AE7B3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2" w15:restartNumberingAfterBreak="0">
    <w:nsid w:val="3719072C"/>
    <w:multiLevelType w:val="hybridMultilevel"/>
    <w:tmpl w:val="A5309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7D0313"/>
    <w:multiLevelType w:val="hybridMultilevel"/>
    <w:tmpl w:val="5A921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B434E4"/>
    <w:multiLevelType w:val="hybridMultilevel"/>
    <w:tmpl w:val="B184B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075B53"/>
    <w:multiLevelType w:val="hybridMultilevel"/>
    <w:tmpl w:val="2F10DFB6"/>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7" w15:restartNumberingAfterBreak="0">
    <w:nsid w:val="5E860ACB"/>
    <w:multiLevelType w:val="hybridMultilevel"/>
    <w:tmpl w:val="6BE6BAB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EB09AD"/>
    <w:multiLevelType w:val="multilevel"/>
    <w:tmpl w:val="BAACF8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76320B0"/>
    <w:multiLevelType w:val="multilevel"/>
    <w:tmpl w:val="76E2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A90CC0"/>
    <w:multiLevelType w:val="hybridMultilevel"/>
    <w:tmpl w:val="FB56C0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DDE27BB"/>
    <w:multiLevelType w:val="hybridMultilevel"/>
    <w:tmpl w:val="DA3CD08C"/>
    <w:lvl w:ilvl="0" w:tplc="3312819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5756D3"/>
    <w:multiLevelType w:val="multilevel"/>
    <w:tmpl w:val="6E6ED7F8"/>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3"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4" w15:restartNumberingAfterBreak="0">
    <w:nsid w:val="79452B36"/>
    <w:multiLevelType w:val="hybridMultilevel"/>
    <w:tmpl w:val="D320F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2791193">
    <w:abstractNumId w:val="17"/>
  </w:num>
  <w:num w:numId="2" w16cid:durableId="350374875">
    <w:abstractNumId w:val="21"/>
  </w:num>
  <w:num w:numId="3" w16cid:durableId="1613782487">
    <w:abstractNumId w:val="16"/>
  </w:num>
  <w:num w:numId="4" w16cid:durableId="8888026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935867">
    <w:abstractNumId w:val="18"/>
  </w:num>
  <w:num w:numId="6" w16cid:durableId="1412119290">
    <w:abstractNumId w:val="26"/>
  </w:num>
  <w:num w:numId="7" w16cid:durableId="933131082">
    <w:abstractNumId w:val="13"/>
  </w:num>
  <w:num w:numId="8" w16cid:durableId="1641500528">
    <w:abstractNumId w:val="33"/>
  </w:num>
  <w:num w:numId="9" w16cid:durableId="805513990">
    <w:abstractNumId w:val="11"/>
  </w:num>
  <w:num w:numId="10" w16cid:durableId="82411315">
    <w:abstractNumId w:val="25"/>
  </w:num>
  <w:num w:numId="11" w16cid:durableId="1911425792">
    <w:abstractNumId w:val="10"/>
  </w:num>
  <w:num w:numId="12" w16cid:durableId="1524056608">
    <w:abstractNumId w:val="32"/>
  </w:num>
  <w:num w:numId="13" w16cid:durableId="1976331036">
    <w:abstractNumId w:val="28"/>
  </w:num>
  <w:num w:numId="14" w16cid:durableId="765810171">
    <w:abstractNumId w:val="31"/>
  </w:num>
  <w:num w:numId="15" w16cid:durableId="1564372244">
    <w:abstractNumId w:val="14"/>
  </w:num>
  <w:num w:numId="16" w16cid:durableId="2119641140">
    <w:abstractNumId w:val="30"/>
  </w:num>
  <w:num w:numId="17" w16cid:durableId="1655721294">
    <w:abstractNumId w:val="15"/>
  </w:num>
  <w:num w:numId="18" w16cid:durableId="11107084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4347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8212432">
    <w:abstractNumId w:val="8"/>
  </w:num>
  <w:num w:numId="21" w16cid:durableId="1241480626">
    <w:abstractNumId w:val="29"/>
  </w:num>
  <w:num w:numId="22" w16cid:durableId="2082484201">
    <w:abstractNumId w:val="20"/>
  </w:num>
  <w:num w:numId="23" w16cid:durableId="516583585">
    <w:abstractNumId w:val="12"/>
  </w:num>
  <w:num w:numId="24" w16cid:durableId="1179386571">
    <w:abstractNumId w:val="24"/>
  </w:num>
  <w:num w:numId="25" w16cid:durableId="474447189">
    <w:abstractNumId w:val="9"/>
  </w:num>
  <w:num w:numId="26" w16cid:durableId="2065133107">
    <w:abstractNumId w:val="27"/>
  </w:num>
  <w:num w:numId="27" w16cid:durableId="345903930">
    <w:abstractNumId w:val="23"/>
  </w:num>
  <w:num w:numId="28" w16cid:durableId="535778038">
    <w:abstractNumId w:val="34"/>
  </w:num>
  <w:num w:numId="29" w16cid:durableId="796410678">
    <w:abstractNumId w:val="22"/>
  </w:num>
  <w:num w:numId="30" w16cid:durableId="1159617022">
    <w:abstractNumId w:val="19"/>
  </w:num>
  <w:num w:numId="31" w16cid:durableId="1641570458">
    <w:abstractNumId w:val="6"/>
  </w:num>
  <w:num w:numId="32" w16cid:durableId="1259488509">
    <w:abstractNumId w:val="5"/>
  </w:num>
  <w:num w:numId="33" w16cid:durableId="30496278">
    <w:abstractNumId w:val="4"/>
  </w:num>
  <w:num w:numId="34" w16cid:durableId="1721780842">
    <w:abstractNumId w:val="7"/>
  </w:num>
  <w:num w:numId="35" w16cid:durableId="586229023">
    <w:abstractNumId w:val="3"/>
  </w:num>
  <w:num w:numId="36" w16cid:durableId="594479185">
    <w:abstractNumId w:val="2"/>
  </w:num>
  <w:num w:numId="37" w16cid:durableId="467018393">
    <w:abstractNumId w:val="1"/>
  </w:num>
  <w:num w:numId="38" w16cid:durableId="1841385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all author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fzwstdeoe9sebepzscxxv9frfxfdadazdes&quot;&gt;My EndNote Library&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9&lt;/item&gt;&lt;item&gt;20&lt;/item&gt;&lt;item&gt;21&lt;/item&gt;&lt;item&gt;22&lt;/item&gt;&lt;item&gt;23&lt;/item&gt;&lt;item&gt;24&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record-ids&gt;&lt;/item&gt;&lt;/Libraries&gt;"/>
    <w:docVar w:name="EN.UseJSCitationFormat" w:val="False"/>
  </w:docVars>
  <w:rsids>
    <w:rsidRoot w:val="00D91ECA"/>
    <w:rsid w:val="00000216"/>
    <w:rsid w:val="0000024C"/>
    <w:rsid w:val="000002E8"/>
    <w:rsid w:val="0000032A"/>
    <w:rsid w:val="000004DD"/>
    <w:rsid w:val="0000059E"/>
    <w:rsid w:val="000005AA"/>
    <w:rsid w:val="00000670"/>
    <w:rsid w:val="00000763"/>
    <w:rsid w:val="000009E7"/>
    <w:rsid w:val="00000A3A"/>
    <w:rsid w:val="00000B73"/>
    <w:rsid w:val="00000CAD"/>
    <w:rsid w:val="00000EB0"/>
    <w:rsid w:val="00000F27"/>
    <w:rsid w:val="0000108E"/>
    <w:rsid w:val="00001253"/>
    <w:rsid w:val="000012F1"/>
    <w:rsid w:val="000013C3"/>
    <w:rsid w:val="00001451"/>
    <w:rsid w:val="0000149C"/>
    <w:rsid w:val="000015DA"/>
    <w:rsid w:val="000016E5"/>
    <w:rsid w:val="0000172D"/>
    <w:rsid w:val="00001826"/>
    <w:rsid w:val="00001861"/>
    <w:rsid w:val="000018DF"/>
    <w:rsid w:val="00001954"/>
    <w:rsid w:val="00001B15"/>
    <w:rsid w:val="00001C94"/>
    <w:rsid w:val="00001DAB"/>
    <w:rsid w:val="00001DC6"/>
    <w:rsid w:val="00001F41"/>
    <w:rsid w:val="00001FBE"/>
    <w:rsid w:val="0000202D"/>
    <w:rsid w:val="000020BC"/>
    <w:rsid w:val="0000218C"/>
    <w:rsid w:val="0000228D"/>
    <w:rsid w:val="0000235A"/>
    <w:rsid w:val="000023A4"/>
    <w:rsid w:val="0000274F"/>
    <w:rsid w:val="00002894"/>
    <w:rsid w:val="00002B31"/>
    <w:rsid w:val="00002BF0"/>
    <w:rsid w:val="00002DFC"/>
    <w:rsid w:val="00002E19"/>
    <w:rsid w:val="00002F13"/>
    <w:rsid w:val="000031C5"/>
    <w:rsid w:val="0000323C"/>
    <w:rsid w:val="0000348A"/>
    <w:rsid w:val="0000354B"/>
    <w:rsid w:val="0000356A"/>
    <w:rsid w:val="000035AF"/>
    <w:rsid w:val="0000362B"/>
    <w:rsid w:val="000036A6"/>
    <w:rsid w:val="000036AC"/>
    <w:rsid w:val="00003707"/>
    <w:rsid w:val="000037C9"/>
    <w:rsid w:val="00003844"/>
    <w:rsid w:val="000038D0"/>
    <w:rsid w:val="000039FC"/>
    <w:rsid w:val="00003A4E"/>
    <w:rsid w:val="00003B07"/>
    <w:rsid w:val="00003B14"/>
    <w:rsid w:val="00003B5D"/>
    <w:rsid w:val="00003B6C"/>
    <w:rsid w:val="00003C7F"/>
    <w:rsid w:val="00003D6A"/>
    <w:rsid w:val="00003D7B"/>
    <w:rsid w:val="00003D82"/>
    <w:rsid w:val="00003D8D"/>
    <w:rsid w:val="00003D96"/>
    <w:rsid w:val="00003D97"/>
    <w:rsid w:val="00003EB9"/>
    <w:rsid w:val="00003F72"/>
    <w:rsid w:val="0000408C"/>
    <w:rsid w:val="000040CB"/>
    <w:rsid w:val="000040D5"/>
    <w:rsid w:val="000040D9"/>
    <w:rsid w:val="00004101"/>
    <w:rsid w:val="000041CE"/>
    <w:rsid w:val="000041D0"/>
    <w:rsid w:val="000041FA"/>
    <w:rsid w:val="00004215"/>
    <w:rsid w:val="0000437F"/>
    <w:rsid w:val="0000438A"/>
    <w:rsid w:val="000043F1"/>
    <w:rsid w:val="000044EF"/>
    <w:rsid w:val="00004573"/>
    <w:rsid w:val="000045BD"/>
    <w:rsid w:val="000045D3"/>
    <w:rsid w:val="0000461D"/>
    <w:rsid w:val="00004627"/>
    <w:rsid w:val="000046B7"/>
    <w:rsid w:val="000046D3"/>
    <w:rsid w:val="000047D7"/>
    <w:rsid w:val="00004939"/>
    <w:rsid w:val="00004AB5"/>
    <w:rsid w:val="00004B12"/>
    <w:rsid w:val="00004BEA"/>
    <w:rsid w:val="00004BF4"/>
    <w:rsid w:val="00004C7E"/>
    <w:rsid w:val="00004D2B"/>
    <w:rsid w:val="00004D65"/>
    <w:rsid w:val="00004DCB"/>
    <w:rsid w:val="00004DE8"/>
    <w:rsid w:val="00004EA3"/>
    <w:rsid w:val="00004EC5"/>
    <w:rsid w:val="00004F92"/>
    <w:rsid w:val="0000501A"/>
    <w:rsid w:val="0000503B"/>
    <w:rsid w:val="0000503D"/>
    <w:rsid w:val="0000526A"/>
    <w:rsid w:val="00005390"/>
    <w:rsid w:val="000054A1"/>
    <w:rsid w:val="0000552E"/>
    <w:rsid w:val="00005781"/>
    <w:rsid w:val="00005943"/>
    <w:rsid w:val="00005A4D"/>
    <w:rsid w:val="00005B5D"/>
    <w:rsid w:val="00005B7E"/>
    <w:rsid w:val="00005BAD"/>
    <w:rsid w:val="00005D0B"/>
    <w:rsid w:val="00005D14"/>
    <w:rsid w:val="00005D3D"/>
    <w:rsid w:val="00005D7C"/>
    <w:rsid w:val="00005DD2"/>
    <w:rsid w:val="00005DF9"/>
    <w:rsid w:val="00005E14"/>
    <w:rsid w:val="00005FAC"/>
    <w:rsid w:val="000060F9"/>
    <w:rsid w:val="000061E3"/>
    <w:rsid w:val="0000624C"/>
    <w:rsid w:val="00006288"/>
    <w:rsid w:val="000062C8"/>
    <w:rsid w:val="00006319"/>
    <w:rsid w:val="0000636B"/>
    <w:rsid w:val="00006453"/>
    <w:rsid w:val="0000645A"/>
    <w:rsid w:val="0000649D"/>
    <w:rsid w:val="000065FA"/>
    <w:rsid w:val="00006612"/>
    <w:rsid w:val="00006648"/>
    <w:rsid w:val="000066C9"/>
    <w:rsid w:val="0000681A"/>
    <w:rsid w:val="00006831"/>
    <w:rsid w:val="00006867"/>
    <w:rsid w:val="0000686A"/>
    <w:rsid w:val="00006B5C"/>
    <w:rsid w:val="00006B7C"/>
    <w:rsid w:val="00006BE9"/>
    <w:rsid w:val="00006C5A"/>
    <w:rsid w:val="00006CB9"/>
    <w:rsid w:val="00006D44"/>
    <w:rsid w:val="00006D79"/>
    <w:rsid w:val="00006DA7"/>
    <w:rsid w:val="00006E61"/>
    <w:rsid w:val="00006E7F"/>
    <w:rsid w:val="00006F4E"/>
    <w:rsid w:val="000071A0"/>
    <w:rsid w:val="000071B5"/>
    <w:rsid w:val="000071E0"/>
    <w:rsid w:val="0000723D"/>
    <w:rsid w:val="0000724A"/>
    <w:rsid w:val="0000729B"/>
    <w:rsid w:val="000072A7"/>
    <w:rsid w:val="000073B6"/>
    <w:rsid w:val="000074BF"/>
    <w:rsid w:val="000074EC"/>
    <w:rsid w:val="000075DD"/>
    <w:rsid w:val="00007678"/>
    <w:rsid w:val="00007754"/>
    <w:rsid w:val="00007809"/>
    <w:rsid w:val="00007866"/>
    <w:rsid w:val="0000786A"/>
    <w:rsid w:val="0000786F"/>
    <w:rsid w:val="000079E0"/>
    <w:rsid w:val="000079F7"/>
    <w:rsid w:val="00007A37"/>
    <w:rsid w:val="00007AD7"/>
    <w:rsid w:val="00007B11"/>
    <w:rsid w:val="00007B71"/>
    <w:rsid w:val="00007D0E"/>
    <w:rsid w:val="00007D8E"/>
    <w:rsid w:val="00007DDC"/>
    <w:rsid w:val="00007E0D"/>
    <w:rsid w:val="00007ECC"/>
    <w:rsid w:val="000100E4"/>
    <w:rsid w:val="0001017B"/>
    <w:rsid w:val="000102AB"/>
    <w:rsid w:val="000102FC"/>
    <w:rsid w:val="000103AA"/>
    <w:rsid w:val="00010422"/>
    <w:rsid w:val="000104DF"/>
    <w:rsid w:val="0001050A"/>
    <w:rsid w:val="000105EB"/>
    <w:rsid w:val="0001077E"/>
    <w:rsid w:val="000108A2"/>
    <w:rsid w:val="0001099B"/>
    <w:rsid w:val="00010A1E"/>
    <w:rsid w:val="00010A78"/>
    <w:rsid w:val="00010ABA"/>
    <w:rsid w:val="00010B49"/>
    <w:rsid w:val="00010B61"/>
    <w:rsid w:val="00010BAF"/>
    <w:rsid w:val="00010C07"/>
    <w:rsid w:val="00010CA2"/>
    <w:rsid w:val="00010D43"/>
    <w:rsid w:val="00010DA4"/>
    <w:rsid w:val="00010E35"/>
    <w:rsid w:val="00010F0C"/>
    <w:rsid w:val="00010FD1"/>
    <w:rsid w:val="00011059"/>
    <w:rsid w:val="000110B7"/>
    <w:rsid w:val="000110F2"/>
    <w:rsid w:val="00011110"/>
    <w:rsid w:val="00011126"/>
    <w:rsid w:val="00011177"/>
    <w:rsid w:val="000111DB"/>
    <w:rsid w:val="0001125D"/>
    <w:rsid w:val="000112E5"/>
    <w:rsid w:val="00011310"/>
    <w:rsid w:val="00011373"/>
    <w:rsid w:val="00011396"/>
    <w:rsid w:val="000113B1"/>
    <w:rsid w:val="000113CF"/>
    <w:rsid w:val="000113D9"/>
    <w:rsid w:val="00011427"/>
    <w:rsid w:val="00011451"/>
    <w:rsid w:val="0001145A"/>
    <w:rsid w:val="0001152D"/>
    <w:rsid w:val="00011531"/>
    <w:rsid w:val="0001155E"/>
    <w:rsid w:val="00011853"/>
    <w:rsid w:val="0001186F"/>
    <w:rsid w:val="0001188C"/>
    <w:rsid w:val="000118AD"/>
    <w:rsid w:val="000118E2"/>
    <w:rsid w:val="000118EC"/>
    <w:rsid w:val="000119D5"/>
    <w:rsid w:val="000119F8"/>
    <w:rsid w:val="00011A1E"/>
    <w:rsid w:val="00011AC6"/>
    <w:rsid w:val="00011B2B"/>
    <w:rsid w:val="00011C1E"/>
    <w:rsid w:val="00011C4A"/>
    <w:rsid w:val="00011C9B"/>
    <w:rsid w:val="00011D10"/>
    <w:rsid w:val="00011D23"/>
    <w:rsid w:val="00011DC3"/>
    <w:rsid w:val="00011E0B"/>
    <w:rsid w:val="00011E76"/>
    <w:rsid w:val="00011FC3"/>
    <w:rsid w:val="000120E2"/>
    <w:rsid w:val="0001216A"/>
    <w:rsid w:val="00012194"/>
    <w:rsid w:val="00012204"/>
    <w:rsid w:val="00012291"/>
    <w:rsid w:val="00012304"/>
    <w:rsid w:val="00012317"/>
    <w:rsid w:val="0001238A"/>
    <w:rsid w:val="0001238E"/>
    <w:rsid w:val="000123CE"/>
    <w:rsid w:val="000123DD"/>
    <w:rsid w:val="0001242A"/>
    <w:rsid w:val="000125E6"/>
    <w:rsid w:val="000125EC"/>
    <w:rsid w:val="00012671"/>
    <w:rsid w:val="00012814"/>
    <w:rsid w:val="000128EE"/>
    <w:rsid w:val="00012996"/>
    <w:rsid w:val="000129A0"/>
    <w:rsid w:val="00012A1C"/>
    <w:rsid w:val="00012AE0"/>
    <w:rsid w:val="00012B15"/>
    <w:rsid w:val="00012B5B"/>
    <w:rsid w:val="00012B86"/>
    <w:rsid w:val="00012C0F"/>
    <w:rsid w:val="00012C2E"/>
    <w:rsid w:val="00012EA8"/>
    <w:rsid w:val="00012EED"/>
    <w:rsid w:val="00013188"/>
    <w:rsid w:val="000131DB"/>
    <w:rsid w:val="00013259"/>
    <w:rsid w:val="0001330C"/>
    <w:rsid w:val="00013464"/>
    <w:rsid w:val="000134DF"/>
    <w:rsid w:val="00013665"/>
    <w:rsid w:val="00013699"/>
    <w:rsid w:val="000137F5"/>
    <w:rsid w:val="000138A2"/>
    <w:rsid w:val="00013901"/>
    <w:rsid w:val="0001391A"/>
    <w:rsid w:val="00013A33"/>
    <w:rsid w:val="00013CB6"/>
    <w:rsid w:val="00013E1E"/>
    <w:rsid w:val="00013E39"/>
    <w:rsid w:val="00013E5B"/>
    <w:rsid w:val="00013E61"/>
    <w:rsid w:val="00013E6F"/>
    <w:rsid w:val="00013F6C"/>
    <w:rsid w:val="00013FAB"/>
    <w:rsid w:val="0001412B"/>
    <w:rsid w:val="0001419E"/>
    <w:rsid w:val="00014267"/>
    <w:rsid w:val="00014395"/>
    <w:rsid w:val="000145FA"/>
    <w:rsid w:val="00014673"/>
    <w:rsid w:val="00014694"/>
    <w:rsid w:val="00014872"/>
    <w:rsid w:val="000149F6"/>
    <w:rsid w:val="00014AA3"/>
    <w:rsid w:val="00014C7B"/>
    <w:rsid w:val="00014C8E"/>
    <w:rsid w:val="00014CDD"/>
    <w:rsid w:val="00014CFA"/>
    <w:rsid w:val="00014E46"/>
    <w:rsid w:val="00014EE2"/>
    <w:rsid w:val="00014EED"/>
    <w:rsid w:val="00014F0A"/>
    <w:rsid w:val="00014FF4"/>
    <w:rsid w:val="00015004"/>
    <w:rsid w:val="000150B2"/>
    <w:rsid w:val="000151B2"/>
    <w:rsid w:val="00015252"/>
    <w:rsid w:val="00015336"/>
    <w:rsid w:val="00015398"/>
    <w:rsid w:val="00015403"/>
    <w:rsid w:val="0001546A"/>
    <w:rsid w:val="00015597"/>
    <w:rsid w:val="000155BF"/>
    <w:rsid w:val="00015603"/>
    <w:rsid w:val="000156E4"/>
    <w:rsid w:val="000157D1"/>
    <w:rsid w:val="00015891"/>
    <w:rsid w:val="000159E3"/>
    <w:rsid w:val="00015ADF"/>
    <w:rsid w:val="00015B14"/>
    <w:rsid w:val="00015BCB"/>
    <w:rsid w:val="00015C31"/>
    <w:rsid w:val="00015D20"/>
    <w:rsid w:val="00015DBD"/>
    <w:rsid w:val="00015DD9"/>
    <w:rsid w:val="00015E75"/>
    <w:rsid w:val="00015EAE"/>
    <w:rsid w:val="00015F5A"/>
    <w:rsid w:val="00015FA8"/>
    <w:rsid w:val="000160CF"/>
    <w:rsid w:val="0001614F"/>
    <w:rsid w:val="00016196"/>
    <w:rsid w:val="0001619D"/>
    <w:rsid w:val="00016234"/>
    <w:rsid w:val="000162D7"/>
    <w:rsid w:val="000162EB"/>
    <w:rsid w:val="00016300"/>
    <w:rsid w:val="000163FC"/>
    <w:rsid w:val="000165B3"/>
    <w:rsid w:val="000165B8"/>
    <w:rsid w:val="000165E6"/>
    <w:rsid w:val="0001673C"/>
    <w:rsid w:val="00016754"/>
    <w:rsid w:val="00016834"/>
    <w:rsid w:val="00016918"/>
    <w:rsid w:val="00016976"/>
    <w:rsid w:val="00016A08"/>
    <w:rsid w:val="00016B58"/>
    <w:rsid w:val="00016CDD"/>
    <w:rsid w:val="00016DEF"/>
    <w:rsid w:val="00016E6D"/>
    <w:rsid w:val="00016E7F"/>
    <w:rsid w:val="00016EEF"/>
    <w:rsid w:val="00016EFB"/>
    <w:rsid w:val="0001703D"/>
    <w:rsid w:val="000170FC"/>
    <w:rsid w:val="0001711A"/>
    <w:rsid w:val="00017470"/>
    <w:rsid w:val="00017541"/>
    <w:rsid w:val="00017658"/>
    <w:rsid w:val="00017723"/>
    <w:rsid w:val="00017762"/>
    <w:rsid w:val="00017878"/>
    <w:rsid w:val="0001793B"/>
    <w:rsid w:val="0001798C"/>
    <w:rsid w:val="00017A1A"/>
    <w:rsid w:val="00017A43"/>
    <w:rsid w:val="00017C41"/>
    <w:rsid w:val="00017E3F"/>
    <w:rsid w:val="00017E47"/>
    <w:rsid w:val="00017E6A"/>
    <w:rsid w:val="00017EE6"/>
    <w:rsid w:val="00017EF1"/>
    <w:rsid w:val="00017F36"/>
    <w:rsid w:val="00017FCD"/>
    <w:rsid w:val="0002011E"/>
    <w:rsid w:val="0002017A"/>
    <w:rsid w:val="0002019E"/>
    <w:rsid w:val="00020322"/>
    <w:rsid w:val="00020326"/>
    <w:rsid w:val="00020331"/>
    <w:rsid w:val="0002034D"/>
    <w:rsid w:val="00020379"/>
    <w:rsid w:val="00020380"/>
    <w:rsid w:val="00020620"/>
    <w:rsid w:val="00020746"/>
    <w:rsid w:val="00020780"/>
    <w:rsid w:val="000207F3"/>
    <w:rsid w:val="00020841"/>
    <w:rsid w:val="000208D5"/>
    <w:rsid w:val="0002091E"/>
    <w:rsid w:val="00020981"/>
    <w:rsid w:val="00020A31"/>
    <w:rsid w:val="00020BA0"/>
    <w:rsid w:val="00020C7A"/>
    <w:rsid w:val="00020D3A"/>
    <w:rsid w:val="00020DA3"/>
    <w:rsid w:val="00020E09"/>
    <w:rsid w:val="00020E3E"/>
    <w:rsid w:val="00020E7F"/>
    <w:rsid w:val="00020E80"/>
    <w:rsid w:val="00020EEB"/>
    <w:rsid w:val="00021057"/>
    <w:rsid w:val="00021166"/>
    <w:rsid w:val="000211B5"/>
    <w:rsid w:val="000212F2"/>
    <w:rsid w:val="00021355"/>
    <w:rsid w:val="000213AB"/>
    <w:rsid w:val="000214B1"/>
    <w:rsid w:val="000214C3"/>
    <w:rsid w:val="0002150B"/>
    <w:rsid w:val="000216B6"/>
    <w:rsid w:val="000217A5"/>
    <w:rsid w:val="00021A71"/>
    <w:rsid w:val="00021A82"/>
    <w:rsid w:val="00021AC9"/>
    <w:rsid w:val="00021B33"/>
    <w:rsid w:val="00021BBF"/>
    <w:rsid w:val="00021BF7"/>
    <w:rsid w:val="00021C33"/>
    <w:rsid w:val="00021C9F"/>
    <w:rsid w:val="00021CE5"/>
    <w:rsid w:val="00021CE8"/>
    <w:rsid w:val="00021D5B"/>
    <w:rsid w:val="00021D83"/>
    <w:rsid w:val="00021D8E"/>
    <w:rsid w:val="00021DDA"/>
    <w:rsid w:val="00021DE6"/>
    <w:rsid w:val="00021EC7"/>
    <w:rsid w:val="00021EE8"/>
    <w:rsid w:val="00021F15"/>
    <w:rsid w:val="00021FCD"/>
    <w:rsid w:val="0002209E"/>
    <w:rsid w:val="000220CA"/>
    <w:rsid w:val="00022218"/>
    <w:rsid w:val="00022237"/>
    <w:rsid w:val="00022298"/>
    <w:rsid w:val="000222B4"/>
    <w:rsid w:val="000222EE"/>
    <w:rsid w:val="000223BC"/>
    <w:rsid w:val="000223ED"/>
    <w:rsid w:val="000225DE"/>
    <w:rsid w:val="00022748"/>
    <w:rsid w:val="00022804"/>
    <w:rsid w:val="00022825"/>
    <w:rsid w:val="00022A01"/>
    <w:rsid w:val="00022A1D"/>
    <w:rsid w:val="00022B91"/>
    <w:rsid w:val="00022C30"/>
    <w:rsid w:val="00022EAC"/>
    <w:rsid w:val="00022F9A"/>
    <w:rsid w:val="000230EC"/>
    <w:rsid w:val="00023157"/>
    <w:rsid w:val="00023336"/>
    <w:rsid w:val="000233A9"/>
    <w:rsid w:val="000233F0"/>
    <w:rsid w:val="00023406"/>
    <w:rsid w:val="00023415"/>
    <w:rsid w:val="000234B5"/>
    <w:rsid w:val="00023512"/>
    <w:rsid w:val="0002361B"/>
    <w:rsid w:val="0002362B"/>
    <w:rsid w:val="00023672"/>
    <w:rsid w:val="00023748"/>
    <w:rsid w:val="0002375E"/>
    <w:rsid w:val="000237C3"/>
    <w:rsid w:val="00023864"/>
    <w:rsid w:val="00023895"/>
    <w:rsid w:val="000239B9"/>
    <w:rsid w:val="000239F9"/>
    <w:rsid w:val="00023B99"/>
    <w:rsid w:val="00023C2A"/>
    <w:rsid w:val="00023C61"/>
    <w:rsid w:val="00023C68"/>
    <w:rsid w:val="00023DC2"/>
    <w:rsid w:val="00023F06"/>
    <w:rsid w:val="00023F64"/>
    <w:rsid w:val="00023FAD"/>
    <w:rsid w:val="00023FBE"/>
    <w:rsid w:val="00023FCA"/>
    <w:rsid w:val="00023FCB"/>
    <w:rsid w:val="00023FF2"/>
    <w:rsid w:val="0002407F"/>
    <w:rsid w:val="0002412E"/>
    <w:rsid w:val="0002421F"/>
    <w:rsid w:val="000242D1"/>
    <w:rsid w:val="000242E6"/>
    <w:rsid w:val="00024335"/>
    <w:rsid w:val="000243E3"/>
    <w:rsid w:val="000244C3"/>
    <w:rsid w:val="000244D6"/>
    <w:rsid w:val="000244E6"/>
    <w:rsid w:val="000244FB"/>
    <w:rsid w:val="0002455C"/>
    <w:rsid w:val="000245A4"/>
    <w:rsid w:val="000245C8"/>
    <w:rsid w:val="00024623"/>
    <w:rsid w:val="000247B2"/>
    <w:rsid w:val="0002480F"/>
    <w:rsid w:val="00024907"/>
    <w:rsid w:val="0002497E"/>
    <w:rsid w:val="000249F7"/>
    <w:rsid w:val="00024A3A"/>
    <w:rsid w:val="00024A50"/>
    <w:rsid w:val="00024A80"/>
    <w:rsid w:val="00024A8C"/>
    <w:rsid w:val="00024AEF"/>
    <w:rsid w:val="00024B31"/>
    <w:rsid w:val="00024C4C"/>
    <w:rsid w:val="00024C89"/>
    <w:rsid w:val="00024CDA"/>
    <w:rsid w:val="00024DD0"/>
    <w:rsid w:val="00024E8B"/>
    <w:rsid w:val="00024E8D"/>
    <w:rsid w:val="00024E8E"/>
    <w:rsid w:val="00024EE0"/>
    <w:rsid w:val="00024F8B"/>
    <w:rsid w:val="00024FC8"/>
    <w:rsid w:val="000251F2"/>
    <w:rsid w:val="000252A8"/>
    <w:rsid w:val="00025374"/>
    <w:rsid w:val="00025411"/>
    <w:rsid w:val="00025516"/>
    <w:rsid w:val="0002557A"/>
    <w:rsid w:val="000255C6"/>
    <w:rsid w:val="0002564B"/>
    <w:rsid w:val="000256B7"/>
    <w:rsid w:val="000256FF"/>
    <w:rsid w:val="00025700"/>
    <w:rsid w:val="00025790"/>
    <w:rsid w:val="00025816"/>
    <w:rsid w:val="00025834"/>
    <w:rsid w:val="00025836"/>
    <w:rsid w:val="00025917"/>
    <w:rsid w:val="000259CB"/>
    <w:rsid w:val="000259EA"/>
    <w:rsid w:val="00025A0B"/>
    <w:rsid w:val="00025A89"/>
    <w:rsid w:val="00025B01"/>
    <w:rsid w:val="00025B13"/>
    <w:rsid w:val="00025B92"/>
    <w:rsid w:val="00025C26"/>
    <w:rsid w:val="00025C97"/>
    <w:rsid w:val="00025CCB"/>
    <w:rsid w:val="00025ECF"/>
    <w:rsid w:val="00025ED0"/>
    <w:rsid w:val="00025ED5"/>
    <w:rsid w:val="00025F1B"/>
    <w:rsid w:val="00025F48"/>
    <w:rsid w:val="00025F6C"/>
    <w:rsid w:val="00026023"/>
    <w:rsid w:val="00026443"/>
    <w:rsid w:val="00026475"/>
    <w:rsid w:val="000264C3"/>
    <w:rsid w:val="000266A9"/>
    <w:rsid w:val="0002671D"/>
    <w:rsid w:val="0002672B"/>
    <w:rsid w:val="00026747"/>
    <w:rsid w:val="000267BA"/>
    <w:rsid w:val="0002680D"/>
    <w:rsid w:val="0002680F"/>
    <w:rsid w:val="00026ABB"/>
    <w:rsid w:val="00026ABC"/>
    <w:rsid w:val="00026ADA"/>
    <w:rsid w:val="00026B01"/>
    <w:rsid w:val="00026B5A"/>
    <w:rsid w:val="00026C48"/>
    <w:rsid w:val="00026C83"/>
    <w:rsid w:val="00026D33"/>
    <w:rsid w:val="00026E7E"/>
    <w:rsid w:val="00027041"/>
    <w:rsid w:val="000270D4"/>
    <w:rsid w:val="000270D9"/>
    <w:rsid w:val="0002728A"/>
    <w:rsid w:val="000272E2"/>
    <w:rsid w:val="00027358"/>
    <w:rsid w:val="000274A9"/>
    <w:rsid w:val="000274E7"/>
    <w:rsid w:val="00027512"/>
    <w:rsid w:val="000275B2"/>
    <w:rsid w:val="0002761B"/>
    <w:rsid w:val="0002764E"/>
    <w:rsid w:val="00027800"/>
    <w:rsid w:val="000278B6"/>
    <w:rsid w:val="000278FD"/>
    <w:rsid w:val="00027B19"/>
    <w:rsid w:val="00027C44"/>
    <w:rsid w:val="00027E9C"/>
    <w:rsid w:val="00027F16"/>
    <w:rsid w:val="00030005"/>
    <w:rsid w:val="00030087"/>
    <w:rsid w:val="000300BF"/>
    <w:rsid w:val="000301EE"/>
    <w:rsid w:val="00030264"/>
    <w:rsid w:val="00030316"/>
    <w:rsid w:val="0003031B"/>
    <w:rsid w:val="00030365"/>
    <w:rsid w:val="000303E9"/>
    <w:rsid w:val="000303FA"/>
    <w:rsid w:val="0003043A"/>
    <w:rsid w:val="00030547"/>
    <w:rsid w:val="000305A5"/>
    <w:rsid w:val="00030688"/>
    <w:rsid w:val="000306A8"/>
    <w:rsid w:val="0003076E"/>
    <w:rsid w:val="0003078A"/>
    <w:rsid w:val="00030847"/>
    <w:rsid w:val="00030947"/>
    <w:rsid w:val="000309BA"/>
    <w:rsid w:val="000309F3"/>
    <w:rsid w:val="00030A21"/>
    <w:rsid w:val="00030AD9"/>
    <w:rsid w:val="00030B59"/>
    <w:rsid w:val="00030C7B"/>
    <w:rsid w:val="00030CD2"/>
    <w:rsid w:val="00030CED"/>
    <w:rsid w:val="00030D2A"/>
    <w:rsid w:val="00030E6A"/>
    <w:rsid w:val="00030EE8"/>
    <w:rsid w:val="000310B6"/>
    <w:rsid w:val="00031174"/>
    <w:rsid w:val="000311B1"/>
    <w:rsid w:val="000311DC"/>
    <w:rsid w:val="00031220"/>
    <w:rsid w:val="000312E8"/>
    <w:rsid w:val="00031384"/>
    <w:rsid w:val="000314C7"/>
    <w:rsid w:val="0003162D"/>
    <w:rsid w:val="000316F6"/>
    <w:rsid w:val="000317E2"/>
    <w:rsid w:val="00031832"/>
    <w:rsid w:val="000318FE"/>
    <w:rsid w:val="0003192D"/>
    <w:rsid w:val="00031941"/>
    <w:rsid w:val="0003195E"/>
    <w:rsid w:val="00031ACD"/>
    <w:rsid w:val="00031AF2"/>
    <w:rsid w:val="00031BD3"/>
    <w:rsid w:val="00031BFE"/>
    <w:rsid w:val="00031C10"/>
    <w:rsid w:val="00031CDF"/>
    <w:rsid w:val="00031D14"/>
    <w:rsid w:val="00031D3A"/>
    <w:rsid w:val="00031D46"/>
    <w:rsid w:val="00031E3E"/>
    <w:rsid w:val="00031E50"/>
    <w:rsid w:val="00031F76"/>
    <w:rsid w:val="00031F84"/>
    <w:rsid w:val="00031FF9"/>
    <w:rsid w:val="00032002"/>
    <w:rsid w:val="0003214A"/>
    <w:rsid w:val="00032241"/>
    <w:rsid w:val="00032275"/>
    <w:rsid w:val="0003234E"/>
    <w:rsid w:val="00032394"/>
    <w:rsid w:val="0003239C"/>
    <w:rsid w:val="000323D5"/>
    <w:rsid w:val="000324A4"/>
    <w:rsid w:val="00032505"/>
    <w:rsid w:val="00032610"/>
    <w:rsid w:val="0003274A"/>
    <w:rsid w:val="0003276D"/>
    <w:rsid w:val="0003285E"/>
    <w:rsid w:val="000328F0"/>
    <w:rsid w:val="0003291F"/>
    <w:rsid w:val="00032AE4"/>
    <w:rsid w:val="00032BAA"/>
    <w:rsid w:val="00032BD4"/>
    <w:rsid w:val="00032C0F"/>
    <w:rsid w:val="00032CFB"/>
    <w:rsid w:val="00032DB7"/>
    <w:rsid w:val="00032EA7"/>
    <w:rsid w:val="000330CB"/>
    <w:rsid w:val="000331A8"/>
    <w:rsid w:val="000331BE"/>
    <w:rsid w:val="00033317"/>
    <w:rsid w:val="0003368E"/>
    <w:rsid w:val="000337AD"/>
    <w:rsid w:val="0003393A"/>
    <w:rsid w:val="0003394E"/>
    <w:rsid w:val="000339C5"/>
    <w:rsid w:val="00033BA1"/>
    <w:rsid w:val="00033C81"/>
    <w:rsid w:val="00033CA6"/>
    <w:rsid w:val="00033D4E"/>
    <w:rsid w:val="00033D8E"/>
    <w:rsid w:val="00033DD1"/>
    <w:rsid w:val="00033E64"/>
    <w:rsid w:val="00033E99"/>
    <w:rsid w:val="00033F14"/>
    <w:rsid w:val="0003418B"/>
    <w:rsid w:val="000341D3"/>
    <w:rsid w:val="000341F2"/>
    <w:rsid w:val="000342AB"/>
    <w:rsid w:val="000342CE"/>
    <w:rsid w:val="000342D0"/>
    <w:rsid w:val="0003438E"/>
    <w:rsid w:val="00034671"/>
    <w:rsid w:val="00034822"/>
    <w:rsid w:val="00034A79"/>
    <w:rsid w:val="00034B07"/>
    <w:rsid w:val="00034B5C"/>
    <w:rsid w:val="00034CAE"/>
    <w:rsid w:val="00034CC9"/>
    <w:rsid w:val="00034CD1"/>
    <w:rsid w:val="00034D9D"/>
    <w:rsid w:val="00034E73"/>
    <w:rsid w:val="00034EED"/>
    <w:rsid w:val="00034F85"/>
    <w:rsid w:val="00034FE5"/>
    <w:rsid w:val="000350AE"/>
    <w:rsid w:val="000350D8"/>
    <w:rsid w:val="00035126"/>
    <w:rsid w:val="00035141"/>
    <w:rsid w:val="000351B7"/>
    <w:rsid w:val="000352BA"/>
    <w:rsid w:val="00035303"/>
    <w:rsid w:val="00035387"/>
    <w:rsid w:val="0003540A"/>
    <w:rsid w:val="00035411"/>
    <w:rsid w:val="00035443"/>
    <w:rsid w:val="000354CC"/>
    <w:rsid w:val="00035597"/>
    <w:rsid w:val="000356B0"/>
    <w:rsid w:val="000356DB"/>
    <w:rsid w:val="000357A4"/>
    <w:rsid w:val="000358CA"/>
    <w:rsid w:val="00035A0A"/>
    <w:rsid w:val="00035BA7"/>
    <w:rsid w:val="00035C26"/>
    <w:rsid w:val="00035CE9"/>
    <w:rsid w:val="00035E90"/>
    <w:rsid w:val="00035FA8"/>
    <w:rsid w:val="0003623C"/>
    <w:rsid w:val="000363C4"/>
    <w:rsid w:val="000363CC"/>
    <w:rsid w:val="0003649F"/>
    <w:rsid w:val="00036545"/>
    <w:rsid w:val="0003654D"/>
    <w:rsid w:val="00036611"/>
    <w:rsid w:val="000366C1"/>
    <w:rsid w:val="000366E1"/>
    <w:rsid w:val="0003678A"/>
    <w:rsid w:val="000367D1"/>
    <w:rsid w:val="00036969"/>
    <w:rsid w:val="00036973"/>
    <w:rsid w:val="00036978"/>
    <w:rsid w:val="0003698A"/>
    <w:rsid w:val="00036A16"/>
    <w:rsid w:val="00036A2B"/>
    <w:rsid w:val="00036CAC"/>
    <w:rsid w:val="00036D0D"/>
    <w:rsid w:val="00036ED5"/>
    <w:rsid w:val="00036F3E"/>
    <w:rsid w:val="00036F5D"/>
    <w:rsid w:val="00036FC8"/>
    <w:rsid w:val="00036FF2"/>
    <w:rsid w:val="00037090"/>
    <w:rsid w:val="00037117"/>
    <w:rsid w:val="00037203"/>
    <w:rsid w:val="0003730A"/>
    <w:rsid w:val="0003730E"/>
    <w:rsid w:val="00037426"/>
    <w:rsid w:val="00037521"/>
    <w:rsid w:val="000375D3"/>
    <w:rsid w:val="0003765F"/>
    <w:rsid w:val="000376C2"/>
    <w:rsid w:val="000377E7"/>
    <w:rsid w:val="00037835"/>
    <w:rsid w:val="0003788D"/>
    <w:rsid w:val="0003791A"/>
    <w:rsid w:val="0003794F"/>
    <w:rsid w:val="00037972"/>
    <w:rsid w:val="00037B9A"/>
    <w:rsid w:val="00037BC4"/>
    <w:rsid w:val="00037C45"/>
    <w:rsid w:val="00037C6A"/>
    <w:rsid w:val="00037C6D"/>
    <w:rsid w:val="00037CB2"/>
    <w:rsid w:val="00037CD4"/>
    <w:rsid w:val="00037DBC"/>
    <w:rsid w:val="00037E79"/>
    <w:rsid w:val="00037F42"/>
    <w:rsid w:val="0004008B"/>
    <w:rsid w:val="00040199"/>
    <w:rsid w:val="000401F6"/>
    <w:rsid w:val="00040212"/>
    <w:rsid w:val="00040260"/>
    <w:rsid w:val="00040270"/>
    <w:rsid w:val="00040322"/>
    <w:rsid w:val="00040331"/>
    <w:rsid w:val="0004041F"/>
    <w:rsid w:val="00040453"/>
    <w:rsid w:val="000405D9"/>
    <w:rsid w:val="00040672"/>
    <w:rsid w:val="000406EC"/>
    <w:rsid w:val="00040807"/>
    <w:rsid w:val="0004086F"/>
    <w:rsid w:val="0004090B"/>
    <w:rsid w:val="0004092E"/>
    <w:rsid w:val="00040A03"/>
    <w:rsid w:val="00040A16"/>
    <w:rsid w:val="00040AE9"/>
    <w:rsid w:val="00040B30"/>
    <w:rsid w:val="00040B7F"/>
    <w:rsid w:val="00040BC6"/>
    <w:rsid w:val="00040BDB"/>
    <w:rsid w:val="00040D33"/>
    <w:rsid w:val="00040D8B"/>
    <w:rsid w:val="00040E6B"/>
    <w:rsid w:val="00040EBF"/>
    <w:rsid w:val="00040F4A"/>
    <w:rsid w:val="00040F85"/>
    <w:rsid w:val="000410AF"/>
    <w:rsid w:val="000410DF"/>
    <w:rsid w:val="0004118F"/>
    <w:rsid w:val="000412B8"/>
    <w:rsid w:val="000412C7"/>
    <w:rsid w:val="00041355"/>
    <w:rsid w:val="00041388"/>
    <w:rsid w:val="000413E5"/>
    <w:rsid w:val="00041425"/>
    <w:rsid w:val="00041441"/>
    <w:rsid w:val="00041468"/>
    <w:rsid w:val="0004147D"/>
    <w:rsid w:val="000414E7"/>
    <w:rsid w:val="00041669"/>
    <w:rsid w:val="00041681"/>
    <w:rsid w:val="0004168F"/>
    <w:rsid w:val="000416C9"/>
    <w:rsid w:val="000417BC"/>
    <w:rsid w:val="000417BE"/>
    <w:rsid w:val="000417C3"/>
    <w:rsid w:val="000417C7"/>
    <w:rsid w:val="000417E7"/>
    <w:rsid w:val="000417E8"/>
    <w:rsid w:val="000418D7"/>
    <w:rsid w:val="0004191F"/>
    <w:rsid w:val="000419D8"/>
    <w:rsid w:val="00041A37"/>
    <w:rsid w:val="00041AEB"/>
    <w:rsid w:val="00041BDC"/>
    <w:rsid w:val="00041BE1"/>
    <w:rsid w:val="00041CFE"/>
    <w:rsid w:val="00041D0D"/>
    <w:rsid w:val="00041D12"/>
    <w:rsid w:val="00041D4D"/>
    <w:rsid w:val="00041D59"/>
    <w:rsid w:val="00041EED"/>
    <w:rsid w:val="00041F42"/>
    <w:rsid w:val="00041F5C"/>
    <w:rsid w:val="00041F7C"/>
    <w:rsid w:val="00041FC4"/>
    <w:rsid w:val="00042117"/>
    <w:rsid w:val="00042127"/>
    <w:rsid w:val="000421D2"/>
    <w:rsid w:val="00042203"/>
    <w:rsid w:val="00042233"/>
    <w:rsid w:val="00042236"/>
    <w:rsid w:val="0004229B"/>
    <w:rsid w:val="0004235D"/>
    <w:rsid w:val="000425F9"/>
    <w:rsid w:val="000426D5"/>
    <w:rsid w:val="00042722"/>
    <w:rsid w:val="000427D5"/>
    <w:rsid w:val="0004286E"/>
    <w:rsid w:val="000428EB"/>
    <w:rsid w:val="00042933"/>
    <w:rsid w:val="00042A38"/>
    <w:rsid w:val="00042A77"/>
    <w:rsid w:val="00042B91"/>
    <w:rsid w:val="00042B92"/>
    <w:rsid w:val="00042C75"/>
    <w:rsid w:val="00042C81"/>
    <w:rsid w:val="00042CED"/>
    <w:rsid w:val="00042D8D"/>
    <w:rsid w:val="00042F07"/>
    <w:rsid w:val="00042FF9"/>
    <w:rsid w:val="000430CB"/>
    <w:rsid w:val="00043129"/>
    <w:rsid w:val="00043164"/>
    <w:rsid w:val="000431C6"/>
    <w:rsid w:val="0004324F"/>
    <w:rsid w:val="00043378"/>
    <w:rsid w:val="00043388"/>
    <w:rsid w:val="000433B2"/>
    <w:rsid w:val="0004351F"/>
    <w:rsid w:val="000435C5"/>
    <w:rsid w:val="0004360B"/>
    <w:rsid w:val="00043623"/>
    <w:rsid w:val="00043681"/>
    <w:rsid w:val="0004369F"/>
    <w:rsid w:val="000436D3"/>
    <w:rsid w:val="000437B5"/>
    <w:rsid w:val="00043862"/>
    <w:rsid w:val="000438A7"/>
    <w:rsid w:val="00043968"/>
    <w:rsid w:val="000439AF"/>
    <w:rsid w:val="00043A42"/>
    <w:rsid w:val="00043AA0"/>
    <w:rsid w:val="00043AD7"/>
    <w:rsid w:val="00043B02"/>
    <w:rsid w:val="00043CF0"/>
    <w:rsid w:val="00043E11"/>
    <w:rsid w:val="00044001"/>
    <w:rsid w:val="0004402C"/>
    <w:rsid w:val="0004408D"/>
    <w:rsid w:val="000441AC"/>
    <w:rsid w:val="00044264"/>
    <w:rsid w:val="0004428F"/>
    <w:rsid w:val="000443AF"/>
    <w:rsid w:val="00044517"/>
    <w:rsid w:val="00044526"/>
    <w:rsid w:val="0004460C"/>
    <w:rsid w:val="0004461C"/>
    <w:rsid w:val="0004469A"/>
    <w:rsid w:val="000446E7"/>
    <w:rsid w:val="0004472A"/>
    <w:rsid w:val="000447F2"/>
    <w:rsid w:val="00044814"/>
    <w:rsid w:val="00044873"/>
    <w:rsid w:val="000448B1"/>
    <w:rsid w:val="000448BA"/>
    <w:rsid w:val="000448FE"/>
    <w:rsid w:val="00044968"/>
    <w:rsid w:val="0004497C"/>
    <w:rsid w:val="000449A9"/>
    <w:rsid w:val="00044AB2"/>
    <w:rsid w:val="00044AEF"/>
    <w:rsid w:val="00044B4B"/>
    <w:rsid w:val="00044BDA"/>
    <w:rsid w:val="00044C6A"/>
    <w:rsid w:val="00044C72"/>
    <w:rsid w:val="00044D71"/>
    <w:rsid w:val="00044DB2"/>
    <w:rsid w:val="00044E8A"/>
    <w:rsid w:val="00044EA3"/>
    <w:rsid w:val="00044EEC"/>
    <w:rsid w:val="00044F51"/>
    <w:rsid w:val="00044FC5"/>
    <w:rsid w:val="00044FDC"/>
    <w:rsid w:val="0004500E"/>
    <w:rsid w:val="000450E0"/>
    <w:rsid w:val="0004523E"/>
    <w:rsid w:val="000452B9"/>
    <w:rsid w:val="000452F7"/>
    <w:rsid w:val="00045324"/>
    <w:rsid w:val="0004537A"/>
    <w:rsid w:val="000453D0"/>
    <w:rsid w:val="000454C6"/>
    <w:rsid w:val="00045594"/>
    <w:rsid w:val="00045657"/>
    <w:rsid w:val="000456A4"/>
    <w:rsid w:val="0004575D"/>
    <w:rsid w:val="000458B0"/>
    <w:rsid w:val="000458EC"/>
    <w:rsid w:val="00045920"/>
    <w:rsid w:val="000459A8"/>
    <w:rsid w:val="00045A08"/>
    <w:rsid w:val="00045A3B"/>
    <w:rsid w:val="00045AA9"/>
    <w:rsid w:val="00045ADD"/>
    <w:rsid w:val="00045BB9"/>
    <w:rsid w:val="00045D19"/>
    <w:rsid w:val="00045DAD"/>
    <w:rsid w:val="00045DBD"/>
    <w:rsid w:val="00045E24"/>
    <w:rsid w:val="00045E9F"/>
    <w:rsid w:val="00045F20"/>
    <w:rsid w:val="00045F4B"/>
    <w:rsid w:val="00045FAD"/>
    <w:rsid w:val="000460C4"/>
    <w:rsid w:val="00046109"/>
    <w:rsid w:val="000461B2"/>
    <w:rsid w:val="000461CD"/>
    <w:rsid w:val="00046292"/>
    <w:rsid w:val="000463D8"/>
    <w:rsid w:val="000464C1"/>
    <w:rsid w:val="000464E4"/>
    <w:rsid w:val="000464FA"/>
    <w:rsid w:val="00046511"/>
    <w:rsid w:val="00046614"/>
    <w:rsid w:val="00046642"/>
    <w:rsid w:val="00046668"/>
    <w:rsid w:val="000466C1"/>
    <w:rsid w:val="000467B6"/>
    <w:rsid w:val="000467D6"/>
    <w:rsid w:val="00046842"/>
    <w:rsid w:val="000468D9"/>
    <w:rsid w:val="00046958"/>
    <w:rsid w:val="00046ACD"/>
    <w:rsid w:val="00046C3B"/>
    <w:rsid w:val="00046C51"/>
    <w:rsid w:val="00046D6E"/>
    <w:rsid w:val="00046F7B"/>
    <w:rsid w:val="00046FA7"/>
    <w:rsid w:val="000470EE"/>
    <w:rsid w:val="00047106"/>
    <w:rsid w:val="00047224"/>
    <w:rsid w:val="0004743B"/>
    <w:rsid w:val="000474A8"/>
    <w:rsid w:val="00047560"/>
    <w:rsid w:val="00047575"/>
    <w:rsid w:val="000475BF"/>
    <w:rsid w:val="000476A0"/>
    <w:rsid w:val="00047722"/>
    <w:rsid w:val="00047784"/>
    <w:rsid w:val="000477C1"/>
    <w:rsid w:val="000478F7"/>
    <w:rsid w:val="00047900"/>
    <w:rsid w:val="00047907"/>
    <w:rsid w:val="00047BE1"/>
    <w:rsid w:val="00047C6C"/>
    <w:rsid w:val="00047CA0"/>
    <w:rsid w:val="00047E45"/>
    <w:rsid w:val="00047E6C"/>
    <w:rsid w:val="00047E8B"/>
    <w:rsid w:val="00047EB8"/>
    <w:rsid w:val="00047F3D"/>
    <w:rsid w:val="0005003A"/>
    <w:rsid w:val="00050044"/>
    <w:rsid w:val="0005008E"/>
    <w:rsid w:val="000500E0"/>
    <w:rsid w:val="00050437"/>
    <w:rsid w:val="0005043F"/>
    <w:rsid w:val="0005044A"/>
    <w:rsid w:val="000504A5"/>
    <w:rsid w:val="0005051F"/>
    <w:rsid w:val="00050547"/>
    <w:rsid w:val="0005054D"/>
    <w:rsid w:val="00050601"/>
    <w:rsid w:val="00050635"/>
    <w:rsid w:val="0005065B"/>
    <w:rsid w:val="00050678"/>
    <w:rsid w:val="000506B6"/>
    <w:rsid w:val="000506CC"/>
    <w:rsid w:val="000506E3"/>
    <w:rsid w:val="00050716"/>
    <w:rsid w:val="00050775"/>
    <w:rsid w:val="000507E5"/>
    <w:rsid w:val="00050864"/>
    <w:rsid w:val="000508BC"/>
    <w:rsid w:val="0005097A"/>
    <w:rsid w:val="00050998"/>
    <w:rsid w:val="000509A4"/>
    <w:rsid w:val="00050A2D"/>
    <w:rsid w:val="00050AD0"/>
    <w:rsid w:val="00050B40"/>
    <w:rsid w:val="00050B6C"/>
    <w:rsid w:val="00050C09"/>
    <w:rsid w:val="00050C2E"/>
    <w:rsid w:val="00050D22"/>
    <w:rsid w:val="00050D6A"/>
    <w:rsid w:val="00050DC0"/>
    <w:rsid w:val="00050E2A"/>
    <w:rsid w:val="00050E65"/>
    <w:rsid w:val="00050F7B"/>
    <w:rsid w:val="00050FAF"/>
    <w:rsid w:val="0005109C"/>
    <w:rsid w:val="000511FB"/>
    <w:rsid w:val="00051212"/>
    <w:rsid w:val="0005123C"/>
    <w:rsid w:val="0005129D"/>
    <w:rsid w:val="000512C3"/>
    <w:rsid w:val="000513AE"/>
    <w:rsid w:val="000514D9"/>
    <w:rsid w:val="000515D8"/>
    <w:rsid w:val="000515ED"/>
    <w:rsid w:val="00051674"/>
    <w:rsid w:val="000516EE"/>
    <w:rsid w:val="0005170C"/>
    <w:rsid w:val="00051783"/>
    <w:rsid w:val="000517AE"/>
    <w:rsid w:val="000518DD"/>
    <w:rsid w:val="0005192A"/>
    <w:rsid w:val="00051952"/>
    <w:rsid w:val="0005195B"/>
    <w:rsid w:val="000519F5"/>
    <w:rsid w:val="00051A43"/>
    <w:rsid w:val="00051D7C"/>
    <w:rsid w:val="00051D87"/>
    <w:rsid w:val="00051DE9"/>
    <w:rsid w:val="00051E24"/>
    <w:rsid w:val="00051F1B"/>
    <w:rsid w:val="00051F1F"/>
    <w:rsid w:val="00052047"/>
    <w:rsid w:val="000520A3"/>
    <w:rsid w:val="0005210E"/>
    <w:rsid w:val="00052131"/>
    <w:rsid w:val="000521C1"/>
    <w:rsid w:val="00052241"/>
    <w:rsid w:val="000522A9"/>
    <w:rsid w:val="00052310"/>
    <w:rsid w:val="00052352"/>
    <w:rsid w:val="000524AD"/>
    <w:rsid w:val="000524BF"/>
    <w:rsid w:val="000524FA"/>
    <w:rsid w:val="0005250B"/>
    <w:rsid w:val="00052602"/>
    <w:rsid w:val="00052668"/>
    <w:rsid w:val="00052687"/>
    <w:rsid w:val="00052698"/>
    <w:rsid w:val="000526FE"/>
    <w:rsid w:val="0005278C"/>
    <w:rsid w:val="00052862"/>
    <w:rsid w:val="000528AD"/>
    <w:rsid w:val="0005291E"/>
    <w:rsid w:val="0005297D"/>
    <w:rsid w:val="000529B0"/>
    <w:rsid w:val="000529FF"/>
    <w:rsid w:val="00052A32"/>
    <w:rsid w:val="00052ACF"/>
    <w:rsid w:val="00052AEE"/>
    <w:rsid w:val="00052C10"/>
    <w:rsid w:val="00052C2F"/>
    <w:rsid w:val="00052D6C"/>
    <w:rsid w:val="00052D98"/>
    <w:rsid w:val="00052E3A"/>
    <w:rsid w:val="0005311F"/>
    <w:rsid w:val="00053198"/>
    <w:rsid w:val="000531BF"/>
    <w:rsid w:val="00053267"/>
    <w:rsid w:val="00053347"/>
    <w:rsid w:val="000533B3"/>
    <w:rsid w:val="00053492"/>
    <w:rsid w:val="000534D8"/>
    <w:rsid w:val="00053509"/>
    <w:rsid w:val="000535B6"/>
    <w:rsid w:val="00053628"/>
    <w:rsid w:val="00053659"/>
    <w:rsid w:val="000536A6"/>
    <w:rsid w:val="000537BA"/>
    <w:rsid w:val="00053B27"/>
    <w:rsid w:val="00053B58"/>
    <w:rsid w:val="00053B6B"/>
    <w:rsid w:val="00053C07"/>
    <w:rsid w:val="00053D16"/>
    <w:rsid w:val="00053D91"/>
    <w:rsid w:val="00053DBE"/>
    <w:rsid w:val="00053DC5"/>
    <w:rsid w:val="00053E6C"/>
    <w:rsid w:val="00053FE4"/>
    <w:rsid w:val="00054088"/>
    <w:rsid w:val="000541BF"/>
    <w:rsid w:val="0005429D"/>
    <w:rsid w:val="000542FB"/>
    <w:rsid w:val="00054379"/>
    <w:rsid w:val="00054387"/>
    <w:rsid w:val="00054388"/>
    <w:rsid w:val="000543EA"/>
    <w:rsid w:val="00054413"/>
    <w:rsid w:val="00054432"/>
    <w:rsid w:val="000544DE"/>
    <w:rsid w:val="0005456D"/>
    <w:rsid w:val="000545BE"/>
    <w:rsid w:val="000546FB"/>
    <w:rsid w:val="00054757"/>
    <w:rsid w:val="0005475E"/>
    <w:rsid w:val="000547E8"/>
    <w:rsid w:val="0005483C"/>
    <w:rsid w:val="000548B5"/>
    <w:rsid w:val="0005495D"/>
    <w:rsid w:val="000549D7"/>
    <w:rsid w:val="00054AC4"/>
    <w:rsid w:val="00054B68"/>
    <w:rsid w:val="00054D53"/>
    <w:rsid w:val="00054D8F"/>
    <w:rsid w:val="00054DD1"/>
    <w:rsid w:val="00054E5A"/>
    <w:rsid w:val="00054F68"/>
    <w:rsid w:val="00054FF8"/>
    <w:rsid w:val="00055048"/>
    <w:rsid w:val="00055073"/>
    <w:rsid w:val="00055142"/>
    <w:rsid w:val="00055267"/>
    <w:rsid w:val="0005540A"/>
    <w:rsid w:val="000554A4"/>
    <w:rsid w:val="00055537"/>
    <w:rsid w:val="00055635"/>
    <w:rsid w:val="0005563F"/>
    <w:rsid w:val="00055786"/>
    <w:rsid w:val="00055856"/>
    <w:rsid w:val="0005587D"/>
    <w:rsid w:val="000558D2"/>
    <w:rsid w:val="00055995"/>
    <w:rsid w:val="00055A0A"/>
    <w:rsid w:val="00055AD3"/>
    <w:rsid w:val="00055B76"/>
    <w:rsid w:val="00055BA9"/>
    <w:rsid w:val="00055D21"/>
    <w:rsid w:val="00055F64"/>
    <w:rsid w:val="00055F70"/>
    <w:rsid w:val="00055F89"/>
    <w:rsid w:val="00056002"/>
    <w:rsid w:val="0005616B"/>
    <w:rsid w:val="00056205"/>
    <w:rsid w:val="00056338"/>
    <w:rsid w:val="00056340"/>
    <w:rsid w:val="00056371"/>
    <w:rsid w:val="000563EF"/>
    <w:rsid w:val="000563FC"/>
    <w:rsid w:val="0005641C"/>
    <w:rsid w:val="00056428"/>
    <w:rsid w:val="000564D3"/>
    <w:rsid w:val="0005653D"/>
    <w:rsid w:val="0005662C"/>
    <w:rsid w:val="00056670"/>
    <w:rsid w:val="000566E8"/>
    <w:rsid w:val="00056774"/>
    <w:rsid w:val="000567B6"/>
    <w:rsid w:val="00056824"/>
    <w:rsid w:val="00056874"/>
    <w:rsid w:val="000568F0"/>
    <w:rsid w:val="00056937"/>
    <w:rsid w:val="000569D9"/>
    <w:rsid w:val="00056A61"/>
    <w:rsid w:val="00056AAC"/>
    <w:rsid w:val="00056B3B"/>
    <w:rsid w:val="00056B54"/>
    <w:rsid w:val="00056CC2"/>
    <w:rsid w:val="00056D1F"/>
    <w:rsid w:val="00056D73"/>
    <w:rsid w:val="00056DD8"/>
    <w:rsid w:val="00056E8D"/>
    <w:rsid w:val="00056F5D"/>
    <w:rsid w:val="000570C7"/>
    <w:rsid w:val="00057128"/>
    <w:rsid w:val="0005725C"/>
    <w:rsid w:val="00057303"/>
    <w:rsid w:val="0005752F"/>
    <w:rsid w:val="00057558"/>
    <w:rsid w:val="000575AC"/>
    <w:rsid w:val="0005761F"/>
    <w:rsid w:val="0005767E"/>
    <w:rsid w:val="000576E0"/>
    <w:rsid w:val="00057708"/>
    <w:rsid w:val="00057710"/>
    <w:rsid w:val="000577BB"/>
    <w:rsid w:val="000577D2"/>
    <w:rsid w:val="00057875"/>
    <w:rsid w:val="000578D7"/>
    <w:rsid w:val="00057928"/>
    <w:rsid w:val="00057A81"/>
    <w:rsid w:val="00057A87"/>
    <w:rsid w:val="00057AA8"/>
    <w:rsid w:val="00057AAF"/>
    <w:rsid w:val="00057B15"/>
    <w:rsid w:val="00057B77"/>
    <w:rsid w:val="00057BFE"/>
    <w:rsid w:val="00057CA6"/>
    <w:rsid w:val="00057CD4"/>
    <w:rsid w:val="00057D52"/>
    <w:rsid w:val="00057E1A"/>
    <w:rsid w:val="00057E83"/>
    <w:rsid w:val="00057F3F"/>
    <w:rsid w:val="00057FBF"/>
    <w:rsid w:val="00057FCB"/>
    <w:rsid w:val="00057FCF"/>
    <w:rsid w:val="00057FDF"/>
    <w:rsid w:val="00060231"/>
    <w:rsid w:val="00060297"/>
    <w:rsid w:val="000602D7"/>
    <w:rsid w:val="000602EF"/>
    <w:rsid w:val="00060314"/>
    <w:rsid w:val="000603A8"/>
    <w:rsid w:val="000604AB"/>
    <w:rsid w:val="000604C4"/>
    <w:rsid w:val="0006063E"/>
    <w:rsid w:val="0006063F"/>
    <w:rsid w:val="00060718"/>
    <w:rsid w:val="00060736"/>
    <w:rsid w:val="000607C1"/>
    <w:rsid w:val="000607C7"/>
    <w:rsid w:val="000607E3"/>
    <w:rsid w:val="000607E4"/>
    <w:rsid w:val="00060801"/>
    <w:rsid w:val="000608DC"/>
    <w:rsid w:val="000608F8"/>
    <w:rsid w:val="00060907"/>
    <w:rsid w:val="000609FE"/>
    <w:rsid w:val="00060A02"/>
    <w:rsid w:val="00060A9D"/>
    <w:rsid w:val="00060E12"/>
    <w:rsid w:val="00060E37"/>
    <w:rsid w:val="00060E71"/>
    <w:rsid w:val="00060E8D"/>
    <w:rsid w:val="00060ED2"/>
    <w:rsid w:val="00060FD2"/>
    <w:rsid w:val="0006102F"/>
    <w:rsid w:val="000610CC"/>
    <w:rsid w:val="00061298"/>
    <w:rsid w:val="000612E0"/>
    <w:rsid w:val="00061318"/>
    <w:rsid w:val="0006131D"/>
    <w:rsid w:val="0006136B"/>
    <w:rsid w:val="000613CF"/>
    <w:rsid w:val="0006146C"/>
    <w:rsid w:val="000614B7"/>
    <w:rsid w:val="00061501"/>
    <w:rsid w:val="0006168B"/>
    <w:rsid w:val="000616CA"/>
    <w:rsid w:val="00061786"/>
    <w:rsid w:val="000617F7"/>
    <w:rsid w:val="00061864"/>
    <w:rsid w:val="000618D4"/>
    <w:rsid w:val="000619B0"/>
    <w:rsid w:val="00061AE2"/>
    <w:rsid w:val="00061C40"/>
    <w:rsid w:val="00061D28"/>
    <w:rsid w:val="00061DCF"/>
    <w:rsid w:val="00061DDF"/>
    <w:rsid w:val="00061EAD"/>
    <w:rsid w:val="00061F02"/>
    <w:rsid w:val="00061FD7"/>
    <w:rsid w:val="00062007"/>
    <w:rsid w:val="0006208F"/>
    <w:rsid w:val="000620FF"/>
    <w:rsid w:val="000621A7"/>
    <w:rsid w:val="00062214"/>
    <w:rsid w:val="00062298"/>
    <w:rsid w:val="00062326"/>
    <w:rsid w:val="00062488"/>
    <w:rsid w:val="00062557"/>
    <w:rsid w:val="000625C8"/>
    <w:rsid w:val="000626C4"/>
    <w:rsid w:val="00062778"/>
    <w:rsid w:val="000628B4"/>
    <w:rsid w:val="00062956"/>
    <w:rsid w:val="00062A49"/>
    <w:rsid w:val="00062BA2"/>
    <w:rsid w:val="00062BCD"/>
    <w:rsid w:val="00062BDB"/>
    <w:rsid w:val="00062C5F"/>
    <w:rsid w:val="00062CC3"/>
    <w:rsid w:val="00062D35"/>
    <w:rsid w:val="00062F20"/>
    <w:rsid w:val="00063034"/>
    <w:rsid w:val="000630D4"/>
    <w:rsid w:val="00063111"/>
    <w:rsid w:val="00063158"/>
    <w:rsid w:val="0006324A"/>
    <w:rsid w:val="000632F5"/>
    <w:rsid w:val="00063370"/>
    <w:rsid w:val="000633D7"/>
    <w:rsid w:val="00063521"/>
    <w:rsid w:val="00063530"/>
    <w:rsid w:val="00063579"/>
    <w:rsid w:val="000635B0"/>
    <w:rsid w:val="000635C6"/>
    <w:rsid w:val="000635E0"/>
    <w:rsid w:val="000635EB"/>
    <w:rsid w:val="000636A8"/>
    <w:rsid w:val="000637EB"/>
    <w:rsid w:val="00063828"/>
    <w:rsid w:val="00063842"/>
    <w:rsid w:val="0006386B"/>
    <w:rsid w:val="000638E5"/>
    <w:rsid w:val="0006391C"/>
    <w:rsid w:val="00063969"/>
    <w:rsid w:val="00063A30"/>
    <w:rsid w:val="00063A96"/>
    <w:rsid w:val="00063B0A"/>
    <w:rsid w:val="00063C8D"/>
    <w:rsid w:val="00063CC4"/>
    <w:rsid w:val="00063CF4"/>
    <w:rsid w:val="00063D10"/>
    <w:rsid w:val="00063D37"/>
    <w:rsid w:val="00063DDD"/>
    <w:rsid w:val="00063E4B"/>
    <w:rsid w:val="00063EE9"/>
    <w:rsid w:val="00063F91"/>
    <w:rsid w:val="00063FD9"/>
    <w:rsid w:val="00063FE6"/>
    <w:rsid w:val="00064169"/>
    <w:rsid w:val="0006420D"/>
    <w:rsid w:val="0006436F"/>
    <w:rsid w:val="000643AA"/>
    <w:rsid w:val="000643D2"/>
    <w:rsid w:val="00064497"/>
    <w:rsid w:val="00064713"/>
    <w:rsid w:val="0006474E"/>
    <w:rsid w:val="00064766"/>
    <w:rsid w:val="000648A6"/>
    <w:rsid w:val="00064903"/>
    <w:rsid w:val="00064993"/>
    <w:rsid w:val="0006499C"/>
    <w:rsid w:val="000649D2"/>
    <w:rsid w:val="00064A79"/>
    <w:rsid w:val="00064BF7"/>
    <w:rsid w:val="00064E31"/>
    <w:rsid w:val="00064E90"/>
    <w:rsid w:val="00064F82"/>
    <w:rsid w:val="000650F6"/>
    <w:rsid w:val="00065110"/>
    <w:rsid w:val="00065139"/>
    <w:rsid w:val="000652B7"/>
    <w:rsid w:val="00065318"/>
    <w:rsid w:val="0006546A"/>
    <w:rsid w:val="00065521"/>
    <w:rsid w:val="00065565"/>
    <w:rsid w:val="000656C2"/>
    <w:rsid w:val="000656C8"/>
    <w:rsid w:val="00065818"/>
    <w:rsid w:val="000659D9"/>
    <w:rsid w:val="00065B55"/>
    <w:rsid w:val="00065CAF"/>
    <w:rsid w:val="00065CF8"/>
    <w:rsid w:val="00065D18"/>
    <w:rsid w:val="00065D19"/>
    <w:rsid w:val="00065D6F"/>
    <w:rsid w:val="00065DAE"/>
    <w:rsid w:val="00065E06"/>
    <w:rsid w:val="00065E20"/>
    <w:rsid w:val="00066251"/>
    <w:rsid w:val="0006625E"/>
    <w:rsid w:val="0006647F"/>
    <w:rsid w:val="000665AA"/>
    <w:rsid w:val="0006660A"/>
    <w:rsid w:val="000668A2"/>
    <w:rsid w:val="000668D5"/>
    <w:rsid w:val="00066900"/>
    <w:rsid w:val="0006698B"/>
    <w:rsid w:val="00066ABE"/>
    <w:rsid w:val="00066B14"/>
    <w:rsid w:val="00066B1E"/>
    <w:rsid w:val="00066B48"/>
    <w:rsid w:val="00066B52"/>
    <w:rsid w:val="00066C36"/>
    <w:rsid w:val="00066C6A"/>
    <w:rsid w:val="00066C6F"/>
    <w:rsid w:val="00066C94"/>
    <w:rsid w:val="00066CD9"/>
    <w:rsid w:val="00066D03"/>
    <w:rsid w:val="00066D1E"/>
    <w:rsid w:val="00066D3D"/>
    <w:rsid w:val="00066EAE"/>
    <w:rsid w:val="00066EC8"/>
    <w:rsid w:val="00066F5C"/>
    <w:rsid w:val="00066F84"/>
    <w:rsid w:val="0006713C"/>
    <w:rsid w:val="000672DA"/>
    <w:rsid w:val="00067328"/>
    <w:rsid w:val="0006736F"/>
    <w:rsid w:val="00067427"/>
    <w:rsid w:val="00067433"/>
    <w:rsid w:val="0006746C"/>
    <w:rsid w:val="00067681"/>
    <w:rsid w:val="00067737"/>
    <w:rsid w:val="00067738"/>
    <w:rsid w:val="000678B2"/>
    <w:rsid w:val="000678C3"/>
    <w:rsid w:val="000679F7"/>
    <w:rsid w:val="00067A12"/>
    <w:rsid w:val="00067A58"/>
    <w:rsid w:val="00067B70"/>
    <w:rsid w:val="00067BE8"/>
    <w:rsid w:val="00067C42"/>
    <w:rsid w:val="00067C9B"/>
    <w:rsid w:val="00067CAA"/>
    <w:rsid w:val="00067D1F"/>
    <w:rsid w:val="00067DFE"/>
    <w:rsid w:val="00067E03"/>
    <w:rsid w:val="00067E33"/>
    <w:rsid w:val="00067EB6"/>
    <w:rsid w:val="00070150"/>
    <w:rsid w:val="0007015B"/>
    <w:rsid w:val="00070179"/>
    <w:rsid w:val="000701AA"/>
    <w:rsid w:val="000703AB"/>
    <w:rsid w:val="00070412"/>
    <w:rsid w:val="00070436"/>
    <w:rsid w:val="0007050B"/>
    <w:rsid w:val="00070546"/>
    <w:rsid w:val="00070579"/>
    <w:rsid w:val="000705C7"/>
    <w:rsid w:val="00070624"/>
    <w:rsid w:val="0007077E"/>
    <w:rsid w:val="000707B1"/>
    <w:rsid w:val="00070A91"/>
    <w:rsid w:val="00070B6B"/>
    <w:rsid w:val="00070C04"/>
    <w:rsid w:val="00070C7A"/>
    <w:rsid w:val="00070CB1"/>
    <w:rsid w:val="00070CFA"/>
    <w:rsid w:val="00070D15"/>
    <w:rsid w:val="00070DE5"/>
    <w:rsid w:val="00070EEF"/>
    <w:rsid w:val="00070F7E"/>
    <w:rsid w:val="00070FFC"/>
    <w:rsid w:val="00071038"/>
    <w:rsid w:val="00071060"/>
    <w:rsid w:val="0007106C"/>
    <w:rsid w:val="000711E1"/>
    <w:rsid w:val="00071209"/>
    <w:rsid w:val="0007122E"/>
    <w:rsid w:val="00071247"/>
    <w:rsid w:val="00071277"/>
    <w:rsid w:val="000712F8"/>
    <w:rsid w:val="00071314"/>
    <w:rsid w:val="00071492"/>
    <w:rsid w:val="000715CA"/>
    <w:rsid w:val="000715D0"/>
    <w:rsid w:val="000716CF"/>
    <w:rsid w:val="000716E7"/>
    <w:rsid w:val="0007170B"/>
    <w:rsid w:val="00071793"/>
    <w:rsid w:val="0007198D"/>
    <w:rsid w:val="000719EA"/>
    <w:rsid w:val="000719F5"/>
    <w:rsid w:val="00071A6A"/>
    <w:rsid w:val="00071B4E"/>
    <w:rsid w:val="00071D2F"/>
    <w:rsid w:val="00071D98"/>
    <w:rsid w:val="00071DAE"/>
    <w:rsid w:val="00071E62"/>
    <w:rsid w:val="00071F3F"/>
    <w:rsid w:val="00071F9A"/>
    <w:rsid w:val="00071FE8"/>
    <w:rsid w:val="00072060"/>
    <w:rsid w:val="00072074"/>
    <w:rsid w:val="0007207E"/>
    <w:rsid w:val="00072137"/>
    <w:rsid w:val="000721A4"/>
    <w:rsid w:val="000722FA"/>
    <w:rsid w:val="0007234A"/>
    <w:rsid w:val="00072420"/>
    <w:rsid w:val="000724D7"/>
    <w:rsid w:val="0007270D"/>
    <w:rsid w:val="00072776"/>
    <w:rsid w:val="000727D9"/>
    <w:rsid w:val="000729F8"/>
    <w:rsid w:val="00072A3A"/>
    <w:rsid w:val="00072AC0"/>
    <w:rsid w:val="00072B6A"/>
    <w:rsid w:val="00072C9C"/>
    <w:rsid w:val="00072D1E"/>
    <w:rsid w:val="00072D2D"/>
    <w:rsid w:val="00072D2F"/>
    <w:rsid w:val="00072EC3"/>
    <w:rsid w:val="00072FA8"/>
    <w:rsid w:val="00073018"/>
    <w:rsid w:val="000730CF"/>
    <w:rsid w:val="000731AF"/>
    <w:rsid w:val="00073240"/>
    <w:rsid w:val="0007336C"/>
    <w:rsid w:val="000733C0"/>
    <w:rsid w:val="00073532"/>
    <w:rsid w:val="0007354E"/>
    <w:rsid w:val="000736B3"/>
    <w:rsid w:val="000736CC"/>
    <w:rsid w:val="00073727"/>
    <w:rsid w:val="00073789"/>
    <w:rsid w:val="000737D6"/>
    <w:rsid w:val="00073854"/>
    <w:rsid w:val="000738AB"/>
    <w:rsid w:val="00073985"/>
    <w:rsid w:val="00073A7B"/>
    <w:rsid w:val="00073AA4"/>
    <w:rsid w:val="00073AAF"/>
    <w:rsid w:val="00073B18"/>
    <w:rsid w:val="00073B1C"/>
    <w:rsid w:val="00073B71"/>
    <w:rsid w:val="00073BE4"/>
    <w:rsid w:val="00073EE1"/>
    <w:rsid w:val="00073F72"/>
    <w:rsid w:val="00073FC8"/>
    <w:rsid w:val="00073FD0"/>
    <w:rsid w:val="00074004"/>
    <w:rsid w:val="00074025"/>
    <w:rsid w:val="0007415A"/>
    <w:rsid w:val="000741B6"/>
    <w:rsid w:val="000742F0"/>
    <w:rsid w:val="00074363"/>
    <w:rsid w:val="000743CD"/>
    <w:rsid w:val="000743EE"/>
    <w:rsid w:val="0007457F"/>
    <w:rsid w:val="0007466F"/>
    <w:rsid w:val="000746A8"/>
    <w:rsid w:val="000746F7"/>
    <w:rsid w:val="0007474D"/>
    <w:rsid w:val="000747AF"/>
    <w:rsid w:val="00074808"/>
    <w:rsid w:val="0007486C"/>
    <w:rsid w:val="000749D3"/>
    <w:rsid w:val="00074B3E"/>
    <w:rsid w:val="00074B45"/>
    <w:rsid w:val="00074B4F"/>
    <w:rsid w:val="00074B53"/>
    <w:rsid w:val="00074BEA"/>
    <w:rsid w:val="00074CC7"/>
    <w:rsid w:val="00074D15"/>
    <w:rsid w:val="00074D24"/>
    <w:rsid w:val="00074D5A"/>
    <w:rsid w:val="00074E7B"/>
    <w:rsid w:val="00074ED2"/>
    <w:rsid w:val="00074EE3"/>
    <w:rsid w:val="00075104"/>
    <w:rsid w:val="00075107"/>
    <w:rsid w:val="000752F1"/>
    <w:rsid w:val="000752F2"/>
    <w:rsid w:val="0007538B"/>
    <w:rsid w:val="00075452"/>
    <w:rsid w:val="000754AB"/>
    <w:rsid w:val="0007553A"/>
    <w:rsid w:val="000755CC"/>
    <w:rsid w:val="000755CD"/>
    <w:rsid w:val="0007567C"/>
    <w:rsid w:val="000756BB"/>
    <w:rsid w:val="000757B0"/>
    <w:rsid w:val="00075812"/>
    <w:rsid w:val="0007582F"/>
    <w:rsid w:val="000758B3"/>
    <w:rsid w:val="000758BE"/>
    <w:rsid w:val="000758E5"/>
    <w:rsid w:val="00075930"/>
    <w:rsid w:val="00075965"/>
    <w:rsid w:val="00075A31"/>
    <w:rsid w:val="00075AED"/>
    <w:rsid w:val="00075BEE"/>
    <w:rsid w:val="00075CD8"/>
    <w:rsid w:val="00075DB0"/>
    <w:rsid w:val="00075E0F"/>
    <w:rsid w:val="00075E10"/>
    <w:rsid w:val="00075FB6"/>
    <w:rsid w:val="0007607E"/>
    <w:rsid w:val="000760B8"/>
    <w:rsid w:val="0007621A"/>
    <w:rsid w:val="000762AE"/>
    <w:rsid w:val="000762EE"/>
    <w:rsid w:val="00076312"/>
    <w:rsid w:val="0007633A"/>
    <w:rsid w:val="0007638E"/>
    <w:rsid w:val="0007639E"/>
    <w:rsid w:val="000763CF"/>
    <w:rsid w:val="000763EC"/>
    <w:rsid w:val="00076502"/>
    <w:rsid w:val="0007655D"/>
    <w:rsid w:val="000765B2"/>
    <w:rsid w:val="000765E5"/>
    <w:rsid w:val="000766D7"/>
    <w:rsid w:val="0007692F"/>
    <w:rsid w:val="00076978"/>
    <w:rsid w:val="000769A4"/>
    <w:rsid w:val="000769A8"/>
    <w:rsid w:val="00076C2E"/>
    <w:rsid w:val="00076C9B"/>
    <w:rsid w:val="00076D80"/>
    <w:rsid w:val="00076E18"/>
    <w:rsid w:val="000770B5"/>
    <w:rsid w:val="000770DC"/>
    <w:rsid w:val="00077196"/>
    <w:rsid w:val="000771A5"/>
    <w:rsid w:val="00077260"/>
    <w:rsid w:val="000772E6"/>
    <w:rsid w:val="00077391"/>
    <w:rsid w:val="00077485"/>
    <w:rsid w:val="000776EB"/>
    <w:rsid w:val="0007773E"/>
    <w:rsid w:val="00077743"/>
    <w:rsid w:val="0007776B"/>
    <w:rsid w:val="000778FA"/>
    <w:rsid w:val="000779A1"/>
    <w:rsid w:val="00077A94"/>
    <w:rsid w:val="00077B35"/>
    <w:rsid w:val="00077B6B"/>
    <w:rsid w:val="00077BF0"/>
    <w:rsid w:val="00077C43"/>
    <w:rsid w:val="00077CB2"/>
    <w:rsid w:val="00077D7B"/>
    <w:rsid w:val="00077DFC"/>
    <w:rsid w:val="00077FD1"/>
    <w:rsid w:val="00080085"/>
    <w:rsid w:val="00080198"/>
    <w:rsid w:val="000802BE"/>
    <w:rsid w:val="00080359"/>
    <w:rsid w:val="00080371"/>
    <w:rsid w:val="000803B1"/>
    <w:rsid w:val="00080455"/>
    <w:rsid w:val="00080479"/>
    <w:rsid w:val="0008049F"/>
    <w:rsid w:val="00080511"/>
    <w:rsid w:val="00080526"/>
    <w:rsid w:val="000805F6"/>
    <w:rsid w:val="00080607"/>
    <w:rsid w:val="00080751"/>
    <w:rsid w:val="000807D0"/>
    <w:rsid w:val="000807E0"/>
    <w:rsid w:val="00080835"/>
    <w:rsid w:val="0008083D"/>
    <w:rsid w:val="00080884"/>
    <w:rsid w:val="00080960"/>
    <w:rsid w:val="000809C7"/>
    <w:rsid w:val="00080A04"/>
    <w:rsid w:val="00080A2E"/>
    <w:rsid w:val="00080A90"/>
    <w:rsid w:val="00080ACC"/>
    <w:rsid w:val="00080B3D"/>
    <w:rsid w:val="00080B75"/>
    <w:rsid w:val="00080D8B"/>
    <w:rsid w:val="00080DCD"/>
    <w:rsid w:val="00080E39"/>
    <w:rsid w:val="00080E3E"/>
    <w:rsid w:val="00080E66"/>
    <w:rsid w:val="00080E83"/>
    <w:rsid w:val="00080EE5"/>
    <w:rsid w:val="00081010"/>
    <w:rsid w:val="00081068"/>
    <w:rsid w:val="00081111"/>
    <w:rsid w:val="00081141"/>
    <w:rsid w:val="000812DD"/>
    <w:rsid w:val="00081316"/>
    <w:rsid w:val="00081387"/>
    <w:rsid w:val="000813DA"/>
    <w:rsid w:val="000814C0"/>
    <w:rsid w:val="00081554"/>
    <w:rsid w:val="000815AB"/>
    <w:rsid w:val="000815BF"/>
    <w:rsid w:val="00081721"/>
    <w:rsid w:val="00081767"/>
    <w:rsid w:val="000817FC"/>
    <w:rsid w:val="00081905"/>
    <w:rsid w:val="000819DE"/>
    <w:rsid w:val="00081A27"/>
    <w:rsid w:val="00081A85"/>
    <w:rsid w:val="00081B27"/>
    <w:rsid w:val="00081B62"/>
    <w:rsid w:val="00081B9A"/>
    <w:rsid w:val="00081CD3"/>
    <w:rsid w:val="00081DC6"/>
    <w:rsid w:val="00081E1F"/>
    <w:rsid w:val="00081E48"/>
    <w:rsid w:val="00081E8E"/>
    <w:rsid w:val="00081F21"/>
    <w:rsid w:val="00081FB0"/>
    <w:rsid w:val="00081FC4"/>
    <w:rsid w:val="00082152"/>
    <w:rsid w:val="000822AD"/>
    <w:rsid w:val="0008230B"/>
    <w:rsid w:val="000824CF"/>
    <w:rsid w:val="0008284C"/>
    <w:rsid w:val="0008285B"/>
    <w:rsid w:val="000828FF"/>
    <w:rsid w:val="00082920"/>
    <w:rsid w:val="00082996"/>
    <w:rsid w:val="00082A2F"/>
    <w:rsid w:val="00082A4C"/>
    <w:rsid w:val="00082B01"/>
    <w:rsid w:val="00082BFD"/>
    <w:rsid w:val="00082C84"/>
    <w:rsid w:val="00082D79"/>
    <w:rsid w:val="00082D88"/>
    <w:rsid w:val="00082DE3"/>
    <w:rsid w:val="00082EF9"/>
    <w:rsid w:val="00082FC8"/>
    <w:rsid w:val="00083051"/>
    <w:rsid w:val="000831CE"/>
    <w:rsid w:val="00083216"/>
    <w:rsid w:val="000832A5"/>
    <w:rsid w:val="00083398"/>
    <w:rsid w:val="000833E3"/>
    <w:rsid w:val="00083403"/>
    <w:rsid w:val="00083410"/>
    <w:rsid w:val="000834A1"/>
    <w:rsid w:val="0008359D"/>
    <w:rsid w:val="000835BE"/>
    <w:rsid w:val="000837EF"/>
    <w:rsid w:val="000838DA"/>
    <w:rsid w:val="000839B1"/>
    <w:rsid w:val="000839D0"/>
    <w:rsid w:val="000839D4"/>
    <w:rsid w:val="00083B82"/>
    <w:rsid w:val="00083C49"/>
    <w:rsid w:val="00083CBF"/>
    <w:rsid w:val="00083D3A"/>
    <w:rsid w:val="00083DB2"/>
    <w:rsid w:val="00083E5C"/>
    <w:rsid w:val="00083E78"/>
    <w:rsid w:val="00083FDD"/>
    <w:rsid w:val="000840C7"/>
    <w:rsid w:val="000840CB"/>
    <w:rsid w:val="000841A4"/>
    <w:rsid w:val="0008432F"/>
    <w:rsid w:val="0008437B"/>
    <w:rsid w:val="0008442D"/>
    <w:rsid w:val="00084474"/>
    <w:rsid w:val="000844C2"/>
    <w:rsid w:val="000845EA"/>
    <w:rsid w:val="00084683"/>
    <w:rsid w:val="000846F2"/>
    <w:rsid w:val="00084799"/>
    <w:rsid w:val="000847C5"/>
    <w:rsid w:val="0008487A"/>
    <w:rsid w:val="0008490B"/>
    <w:rsid w:val="00084A8F"/>
    <w:rsid w:val="00084D31"/>
    <w:rsid w:val="00084D5D"/>
    <w:rsid w:val="00084D70"/>
    <w:rsid w:val="00084E67"/>
    <w:rsid w:val="00084E8D"/>
    <w:rsid w:val="00084ED2"/>
    <w:rsid w:val="00084FA8"/>
    <w:rsid w:val="000850DA"/>
    <w:rsid w:val="000850FF"/>
    <w:rsid w:val="00085101"/>
    <w:rsid w:val="00085107"/>
    <w:rsid w:val="0008517D"/>
    <w:rsid w:val="00085182"/>
    <w:rsid w:val="00085296"/>
    <w:rsid w:val="000853CF"/>
    <w:rsid w:val="000853ED"/>
    <w:rsid w:val="00085518"/>
    <w:rsid w:val="0008554D"/>
    <w:rsid w:val="0008555D"/>
    <w:rsid w:val="00085588"/>
    <w:rsid w:val="0008565D"/>
    <w:rsid w:val="0008578C"/>
    <w:rsid w:val="000857E6"/>
    <w:rsid w:val="000857F1"/>
    <w:rsid w:val="00085997"/>
    <w:rsid w:val="00085A97"/>
    <w:rsid w:val="00085C82"/>
    <w:rsid w:val="00085D14"/>
    <w:rsid w:val="00085D16"/>
    <w:rsid w:val="00085DD2"/>
    <w:rsid w:val="00085E00"/>
    <w:rsid w:val="00085E08"/>
    <w:rsid w:val="00085E3A"/>
    <w:rsid w:val="00085E87"/>
    <w:rsid w:val="00086305"/>
    <w:rsid w:val="00086356"/>
    <w:rsid w:val="00086441"/>
    <w:rsid w:val="00086442"/>
    <w:rsid w:val="000864CA"/>
    <w:rsid w:val="000865C4"/>
    <w:rsid w:val="00086636"/>
    <w:rsid w:val="00086743"/>
    <w:rsid w:val="0008674A"/>
    <w:rsid w:val="000867E6"/>
    <w:rsid w:val="00086812"/>
    <w:rsid w:val="00086842"/>
    <w:rsid w:val="000868E4"/>
    <w:rsid w:val="00086983"/>
    <w:rsid w:val="000869FE"/>
    <w:rsid w:val="00086B16"/>
    <w:rsid w:val="00086C32"/>
    <w:rsid w:val="00086DB2"/>
    <w:rsid w:val="00086DF0"/>
    <w:rsid w:val="00086E2A"/>
    <w:rsid w:val="00086E4F"/>
    <w:rsid w:val="00086E5B"/>
    <w:rsid w:val="00086E8B"/>
    <w:rsid w:val="00086EF4"/>
    <w:rsid w:val="00086F42"/>
    <w:rsid w:val="00087139"/>
    <w:rsid w:val="00087354"/>
    <w:rsid w:val="00087359"/>
    <w:rsid w:val="000873A7"/>
    <w:rsid w:val="000873BD"/>
    <w:rsid w:val="00087580"/>
    <w:rsid w:val="000875D7"/>
    <w:rsid w:val="0008771B"/>
    <w:rsid w:val="0008774C"/>
    <w:rsid w:val="000877AA"/>
    <w:rsid w:val="00087AA6"/>
    <w:rsid w:val="00087AB6"/>
    <w:rsid w:val="00087BCB"/>
    <w:rsid w:val="00087C52"/>
    <w:rsid w:val="00087D35"/>
    <w:rsid w:val="00087D4F"/>
    <w:rsid w:val="00087E72"/>
    <w:rsid w:val="00087EA1"/>
    <w:rsid w:val="00087EEC"/>
    <w:rsid w:val="00087FAB"/>
    <w:rsid w:val="00090230"/>
    <w:rsid w:val="00090248"/>
    <w:rsid w:val="000902B5"/>
    <w:rsid w:val="00090365"/>
    <w:rsid w:val="00090389"/>
    <w:rsid w:val="000903B8"/>
    <w:rsid w:val="0009040C"/>
    <w:rsid w:val="00090510"/>
    <w:rsid w:val="00090539"/>
    <w:rsid w:val="00090582"/>
    <w:rsid w:val="0009062E"/>
    <w:rsid w:val="00090688"/>
    <w:rsid w:val="00090832"/>
    <w:rsid w:val="0009085A"/>
    <w:rsid w:val="000908A5"/>
    <w:rsid w:val="000908BD"/>
    <w:rsid w:val="000908D3"/>
    <w:rsid w:val="000909DF"/>
    <w:rsid w:val="00090C10"/>
    <w:rsid w:val="00090CD9"/>
    <w:rsid w:val="00090DC1"/>
    <w:rsid w:val="00090EA8"/>
    <w:rsid w:val="00091157"/>
    <w:rsid w:val="00091198"/>
    <w:rsid w:val="0009119D"/>
    <w:rsid w:val="0009123E"/>
    <w:rsid w:val="0009129B"/>
    <w:rsid w:val="0009134E"/>
    <w:rsid w:val="000913E5"/>
    <w:rsid w:val="00091591"/>
    <w:rsid w:val="00091642"/>
    <w:rsid w:val="000916C1"/>
    <w:rsid w:val="000917A3"/>
    <w:rsid w:val="0009180D"/>
    <w:rsid w:val="00091823"/>
    <w:rsid w:val="0009183A"/>
    <w:rsid w:val="000918FC"/>
    <w:rsid w:val="00091904"/>
    <w:rsid w:val="000919DC"/>
    <w:rsid w:val="00091B3B"/>
    <w:rsid w:val="00091C58"/>
    <w:rsid w:val="00091DD5"/>
    <w:rsid w:val="00091E84"/>
    <w:rsid w:val="00091EB3"/>
    <w:rsid w:val="00091F36"/>
    <w:rsid w:val="00091FB6"/>
    <w:rsid w:val="00092330"/>
    <w:rsid w:val="00092345"/>
    <w:rsid w:val="0009234D"/>
    <w:rsid w:val="000923CA"/>
    <w:rsid w:val="0009241C"/>
    <w:rsid w:val="000924A5"/>
    <w:rsid w:val="000924DF"/>
    <w:rsid w:val="000924E1"/>
    <w:rsid w:val="0009254A"/>
    <w:rsid w:val="000927DC"/>
    <w:rsid w:val="000927ED"/>
    <w:rsid w:val="00092817"/>
    <w:rsid w:val="0009282F"/>
    <w:rsid w:val="0009293E"/>
    <w:rsid w:val="00092993"/>
    <w:rsid w:val="00092A5B"/>
    <w:rsid w:val="00092AC4"/>
    <w:rsid w:val="00092B59"/>
    <w:rsid w:val="00092B5A"/>
    <w:rsid w:val="00092B9C"/>
    <w:rsid w:val="00092BB3"/>
    <w:rsid w:val="00092C13"/>
    <w:rsid w:val="00092C4F"/>
    <w:rsid w:val="00092D82"/>
    <w:rsid w:val="00092DAF"/>
    <w:rsid w:val="00093018"/>
    <w:rsid w:val="00093025"/>
    <w:rsid w:val="00093199"/>
    <w:rsid w:val="00093202"/>
    <w:rsid w:val="0009322F"/>
    <w:rsid w:val="0009350B"/>
    <w:rsid w:val="0009351B"/>
    <w:rsid w:val="0009358B"/>
    <w:rsid w:val="000935AF"/>
    <w:rsid w:val="00093719"/>
    <w:rsid w:val="0009371C"/>
    <w:rsid w:val="00093839"/>
    <w:rsid w:val="00093891"/>
    <w:rsid w:val="000938D4"/>
    <w:rsid w:val="00093936"/>
    <w:rsid w:val="000939F9"/>
    <w:rsid w:val="00093AA8"/>
    <w:rsid w:val="00093B67"/>
    <w:rsid w:val="00093B7A"/>
    <w:rsid w:val="00093B9E"/>
    <w:rsid w:val="00093D12"/>
    <w:rsid w:val="00093D1F"/>
    <w:rsid w:val="00093D6A"/>
    <w:rsid w:val="00093D99"/>
    <w:rsid w:val="00093F5F"/>
    <w:rsid w:val="00094085"/>
    <w:rsid w:val="00094100"/>
    <w:rsid w:val="000941C1"/>
    <w:rsid w:val="000941C2"/>
    <w:rsid w:val="000942EB"/>
    <w:rsid w:val="00094382"/>
    <w:rsid w:val="00094392"/>
    <w:rsid w:val="000944B6"/>
    <w:rsid w:val="0009466F"/>
    <w:rsid w:val="00094885"/>
    <w:rsid w:val="00094900"/>
    <w:rsid w:val="0009495F"/>
    <w:rsid w:val="000949A1"/>
    <w:rsid w:val="000949F4"/>
    <w:rsid w:val="00094A2A"/>
    <w:rsid w:val="00094B3B"/>
    <w:rsid w:val="00094B4C"/>
    <w:rsid w:val="00094D29"/>
    <w:rsid w:val="00094D59"/>
    <w:rsid w:val="00094E28"/>
    <w:rsid w:val="00094E8B"/>
    <w:rsid w:val="00094EEF"/>
    <w:rsid w:val="00094F4E"/>
    <w:rsid w:val="00094FC6"/>
    <w:rsid w:val="00095016"/>
    <w:rsid w:val="0009507F"/>
    <w:rsid w:val="000950D8"/>
    <w:rsid w:val="00095110"/>
    <w:rsid w:val="0009511B"/>
    <w:rsid w:val="000951E3"/>
    <w:rsid w:val="00095301"/>
    <w:rsid w:val="0009531F"/>
    <w:rsid w:val="00095685"/>
    <w:rsid w:val="000956C0"/>
    <w:rsid w:val="0009570A"/>
    <w:rsid w:val="00095964"/>
    <w:rsid w:val="00095966"/>
    <w:rsid w:val="000959DC"/>
    <w:rsid w:val="00095A01"/>
    <w:rsid w:val="00095A3C"/>
    <w:rsid w:val="00095A4B"/>
    <w:rsid w:val="00095ACD"/>
    <w:rsid w:val="00095B0D"/>
    <w:rsid w:val="00095B76"/>
    <w:rsid w:val="00095B8D"/>
    <w:rsid w:val="00095C4C"/>
    <w:rsid w:val="00095D72"/>
    <w:rsid w:val="00095DA9"/>
    <w:rsid w:val="00095E01"/>
    <w:rsid w:val="00095E62"/>
    <w:rsid w:val="00095EB4"/>
    <w:rsid w:val="00095F63"/>
    <w:rsid w:val="00095FD6"/>
    <w:rsid w:val="00096053"/>
    <w:rsid w:val="00096095"/>
    <w:rsid w:val="0009617A"/>
    <w:rsid w:val="0009620B"/>
    <w:rsid w:val="00096281"/>
    <w:rsid w:val="00096356"/>
    <w:rsid w:val="000963E7"/>
    <w:rsid w:val="00096593"/>
    <w:rsid w:val="000965AA"/>
    <w:rsid w:val="00096639"/>
    <w:rsid w:val="00096837"/>
    <w:rsid w:val="00096866"/>
    <w:rsid w:val="000968AC"/>
    <w:rsid w:val="00096937"/>
    <w:rsid w:val="000969C3"/>
    <w:rsid w:val="000969C4"/>
    <w:rsid w:val="00096A8D"/>
    <w:rsid w:val="00096B28"/>
    <w:rsid w:val="00096C0C"/>
    <w:rsid w:val="00096C2C"/>
    <w:rsid w:val="00096C54"/>
    <w:rsid w:val="00096CE1"/>
    <w:rsid w:val="00096D3F"/>
    <w:rsid w:val="00096D61"/>
    <w:rsid w:val="00096E35"/>
    <w:rsid w:val="00096E3C"/>
    <w:rsid w:val="00096ECF"/>
    <w:rsid w:val="00096ED8"/>
    <w:rsid w:val="00097102"/>
    <w:rsid w:val="00097175"/>
    <w:rsid w:val="00097229"/>
    <w:rsid w:val="0009726E"/>
    <w:rsid w:val="00097286"/>
    <w:rsid w:val="000972A0"/>
    <w:rsid w:val="000972A3"/>
    <w:rsid w:val="000972BA"/>
    <w:rsid w:val="00097409"/>
    <w:rsid w:val="0009748D"/>
    <w:rsid w:val="000974AB"/>
    <w:rsid w:val="0009752C"/>
    <w:rsid w:val="00097560"/>
    <w:rsid w:val="0009759C"/>
    <w:rsid w:val="000975C0"/>
    <w:rsid w:val="00097617"/>
    <w:rsid w:val="00097623"/>
    <w:rsid w:val="0009764C"/>
    <w:rsid w:val="000977B4"/>
    <w:rsid w:val="00097A6E"/>
    <w:rsid w:val="00097AEC"/>
    <w:rsid w:val="00097B67"/>
    <w:rsid w:val="00097C8E"/>
    <w:rsid w:val="00097D2E"/>
    <w:rsid w:val="00097D8D"/>
    <w:rsid w:val="00097DD3"/>
    <w:rsid w:val="00097E7A"/>
    <w:rsid w:val="00097F62"/>
    <w:rsid w:val="000A00A6"/>
    <w:rsid w:val="000A00AA"/>
    <w:rsid w:val="000A0107"/>
    <w:rsid w:val="000A011D"/>
    <w:rsid w:val="000A0167"/>
    <w:rsid w:val="000A01DE"/>
    <w:rsid w:val="000A025D"/>
    <w:rsid w:val="000A02BE"/>
    <w:rsid w:val="000A02C8"/>
    <w:rsid w:val="000A04EA"/>
    <w:rsid w:val="000A05D1"/>
    <w:rsid w:val="000A06BC"/>
    <w:rsid w:val="000A06D9"/>
    <w:rsid w:val="000A0794"/>
    <w:rsid w:val="000A09D1"/>
    <w:rsid w:val="000A09DB"/>
    <w:rsid w:val="000A0A8D"/>
    <w:rsid w:val="000A0B16"/>
    <w:rsid w:val="000A0B18"/>
    <w:rsid w:val="000A0BCB"/>
    <w:rsid w:val="000A0BFD"/>
    <w:rsid w:val="000A0CA4"/>
    <w:rsid w:val="000A0CB7"/>
    <w:rsid w:val="000A0D4C"/>
    <w:rsid w:val="000A0D52"/>
    <w:rsid w:val="000A0FDB"/>
    <w:rsid w:val="000A105C"/>
    <w:rsid w:val="000A1150"/>
    <w:rsid w:val="000A11A8"/>
    <w:rsid w:val="000A1279"/>
    <w:rsid w:val="000A1289"/>
    <w:rsid w:val="000A1307"/>
    <w:rsid w:val="000A1381"/>
    <w:rsid w:val="000A1385"/>
    <w:rsid w:val="000A13C6"/>
    <w:rsid w:val="000A1484"/>
    <w:rsid w:val="000A148C"/>
    <w:rsid w:val="000A15AA"/>
    <w:rsid w:val="000A16A3"/>
    <w:rsid w:val="000A172C"/>
    <w:rsid w:val="000A1740"/>
    <w:rsid w:val="000A1762"/>
    <w:rsid w:val="000A17D9"/>
    <w:rsid w:val="000A1859"/>
    <w:rsid w:val="000A1874"/>
    <w:rsid w:val="000A18D5"/>
    <w:rsid w:val="000A1A5D"/>
    <w:rsid w:val="000A1A7A"/>
    <w:rsid w:val="000A1B2E"/>
    <w:rsid w:val="000A1B66"/>
    <w:rsid w:val="000A1B83"/>
    <w:rsid w:val="000A1D03"/>
    <w:rsid w:val="000A1DC8"/>
    <w:rsid w:val="000A1E16"/>
    <w:rsid w:val="000A2005"/>
    <w:rsid w:val="000A20AF"/>
    <w:rsid w:val="000A21B2"/>
    <w:rsid w:val="000A21B5"/>
    <w:rsid w:val="000A234E"/>
    <w:rsid w:val="000A23C8"/>
    <w:rsid w:val="000A24AF"/>
    <w:rsid w:val="000A24C2"/>
    <w:rsid w:val="000A25C9"/>
    <w:rsid w:val="000A26C1"/>
    <w:rsid w:val="000A2780"/>
    <w:rsid w:val="000A27CE"/>
    <w:rsid w:val="000A2943"/>
    <w:rsid w:val="000A2AD2"/>
    <w:rsid w:val="000A2B1E"/>
    <w:rsid w:val="000A2C5A"/>
    <w:rsid w:val="000A2E28"/>
    <w:rsid w:val="000A2F07"/>
    <w:rsid w:val="000A2F98"/>
    <w:rsid w:val="000A333A"/>
    <w:rsid w:val="000A337D"/>
    <w:rsid w:val="000A3380"/>
    <w:rsid w:val="000A3398"/>
    <w:rsid w:val="000A3403"/>
    <w:rsid w:val="000A34C5"/>
    <w:rsid w:val="000A3633"/>
    <w:rsid w:val="000A367C"/>
    <w:rsid w:val="000A36C1"/>
    <w:rsid w:val="000A3710"/>
    <w:rsid w:val="000A3813"/>
    <w:rsid w:val="000A388C"/>
    <w:rsid w:val="000A3895"/>
    <w:rsid w:val="000A38A3"/>
    <w:rsid w:val="000A398E"/>
    <w:rsid w:val="000A3AAC"/>
    <w:rsid w:val="000A3B23"/>
    <w:rsid w:val="000A3B29"/>
    <w:rsid w:val="000A3C33"/>
    <w:rsid w:val="000A3C37"/>
    <w:rsid w:val="000A3CBC"/>
    <w:rsid w:val="000A3D30"/>
    <w:rsid w:val="000A3DAA"/>
    <w:rsid w:val="000A3E88"/>
    <w:rsid w:val="000A402D"/>
    <w:rsid w:val="000A4066"/>
    <w:rsid w:val="000A4071"/>
    <w:rsid w:val="000A4076"/>
    <w:rsid w:val="000A40AF"/>
    <w:rsid w:val="000A412B"/>
    <w:rsid w:val="000A4133"/>
    <w:rsid w:val="000A4140"/>
    <w:rsid w:val="000A4149"/>
    <w:rsid w:val="000A4152"/>
    <w:rsid w:val="000A41B2"/>
    <w:rsid w:val="000A4254"/>
    <w:rsid w:val="000A454D"/>
    <w:rsid w:val="000A4599"/>
    <w:rsid w:val="000A46DD"/>
    <w:rsid w:val="000A476C"/>
    <w:rsid w:val="000A49AE"/>
    <w:rsid w:val="000A4A05"/>
    <w:rsid w:val="000A4AE2"/>
    <w:rsid w:val="000A4B83"/>
    <w:rsid w:val="000A4BDC"/>
    <w:rsid w:val="000A4C06"/>
    <w:rsid w:val="000A4CBB"/>
    <w:rsid w:val="000A4D1E"/>
    <w:rsid w:val="000A4DE7"/>
    <w:rsid w:val="000A50AE"/>
    <w:rsid w:val="000A50B5"/>
    <w:rsid w:val="000A50C5"/>
    <w:rsid w:val="000A5140"/>
    <w:rsid w:val="000A51D2"/>
    <w:rsid w:val="000A522E"/>
    <w:rsid w:val="000A52AB"/>
    <w:rsid w:val="000A5370"/>
    <w:rsid w:val="000A5402"/>
    <w:rsid w:val="000A54A0"/>
    <w:rsid w:val="000A560C"/>
    <w:rsid w:val="000A56E6"/>
    <w:rsid w:val="000A57F2"/>
    <w:rsid w:val="000A590E"/>
    <w:rsid w:val="000A595C"/>
    <w:rsid w:val="000A5AAB"/>
    <w:rsid w:val="000A5AC3"/>
    <w:rsid w:val="000A5CAB"/>
    <w:rsid w:val="000A5DCF"/>
    <w:rsid w:val="000A5E23"/>
    <w:rsid w:val="000A5FE9"/>
    <w:rsid w:val="000A61A5"/>
    <w:rsid w:val="000A61FD"/>
    <w:rsid w:val="000A62B2"/>
    <w:rsid w:val="000A62F3"/>
    <w:rsid w:val="000A637B"/>
    <w:rsid w:val="000A6430"/>
    <w:rsid w:val="000A64D6"/>
    <w:rsid w:val="000A64F3"/>
    <w:rsid w:val="000A6536"/>
    <w:rsid w:val="000A66FD"/>
    <w:rsid w:val="000A67AE"/>
    <w:rsid w:val="000A67B2"/>
    <w:rsid w:val="000A67F2"/>
    <w:rsid w:val="000A67F3"/>
    <w:rsid w:val="000A684E"/>
    <w:rsid w:val="000A6934"/>
    <w:rsid w:val="000A6975"/>
    <w:rsid w:val="000A69C0"/>
    <w:rsid w:val="000A6A86"/>
    <w:rsid w:val="000A6AF0"/>
    <w:rsid w:val="000A6C96"/>
    <w:rsid w:val="000A6D14"/>
    <w:rsid w:val="000A6DA1"/>
    <w:rsid w:val="000A6E47"/>
    <w:rsid w:val="000A6EC0"/>
    <w:rsid w:val="000A6EFB"/>
    <w:rsid w:val="000A6F00"/>
    <w:rsid w:val="000A6F47"/>
    <w:rsid w:val="000A703D"/>
    <w:rsid w:val="000A70B9"/>
    <w:rsid w:val="000A70DA"/>
    <w:rsid w:val="000A716C"/>
    <w:rsid w:val="000A7216"/>
    <w:rsid w:val="000A72E3"/>
    <w:rsid w:val="000A735A"/>
    <w:rsid w:val="000A73DA"/>
    <w:rsid w:val="000A755E"/>
    <w:rsid w:val="000A7606"/>
    <w:rsid w:val="000A76AB"/>
    <w:rsid w:val="000A7719"/>
    <w:rsid w:val="000A772A"/>
    <w:rsid w:val="000A778B"/>
    <w:rsid w:val="000A7872"/>
    <w:rsid w:val="000A7920"/>
    <w:rsid w:val="000A7929"/>
    <w:rsid w:val="000A79ED"/>
    <w:rsid w:val="000A7A6F"/>
    <w:rsid w:val="000A7A98"/>
    <w:rsid w:val="000A7A99"/>
    <w:rsid w:val="000A7B0C"/>
    <w:rsid w:val="000A7B57"/>
    <w:rsid w:val="000A7BF2"/>
    <w:rsid w:val="000A7C3F"/>
    <w:rsid w:val="000A7C76"/>
    <w:rsid w:val="000A7CA6"/>
    <w:rsid w:val="000A7CA8"/>
    <w:rsid w:val="000A7D03"/>
    <w:rsid w:val="000A7D83"/>
    <w:rsid w:val="000A7E5D"/>
    <w:rsid w:val="000A7EBD"/>
    <w:rsid w:val="000A7EC0"/>
    <w:rsid w:val="000A7FD4"/>
    <w:rsid w:val="000B0018"/>
    <w:rsid w:val="000B01EF"/>
    <w:rsid w:val="000B03D7"/>
    <w:rsid w:val="000B0458"/>
    <w:rsid w:val="000B04B6"/>
    <w:rsid w:val="000B05D5"/>
    <w:rsid w:val="000B0638"/>
    <w:rsid w:val="000B069F"/>
    <w:rsid w:val="000B06F7"/>
    <w:rsid w:val="000B075C"/>
    <w:rsid w:val="000B07B0"/>
    <w:rsid w:val="000B08B2"/>
    <w:rsid w:val="000B0913"/>
    <w:rsid w:val="000B0941"/>
    <w:rsid w:val="000B095F"/>
    <w:rsid w:val="000B0AB1"/>
    <w:rsid w:val="000B0B4B"/>
    <w:rsid w:val="000B0B7F"/>
    <w:rsid w:val="000B0BE0"/>
    <w:rsid w:val="000B0C0E"/>
    <w:rsid w:val="000B0CCE"/>
    <w:rsid w:val="000B0DBE"/>
    <w:rsid w:val="000B0EBB"/>
    <w:rsid w:val="000B0F3E"/>
    <w:rsid w:val="000B1097"/>
    <w:rsid w:val="000B110F"/>
    <w:rsid w:val="000B121F"/>
    <w:rsid w:val="000B127C"/>
    <w:rsid w:val="000B12E2"/>
    <w:rsid w:val="000B1347"/>
    <w:rsid w:val="000B13B3"/>
    <w:rsid w:val="000B1581"/>
    <w:rsid w:val="000B15BF"/>
    <w:rsid w:val="000B1607"/>
    <w:rsid w:val="000B1618"/>
    <w:rsid w:val="000B166E"/>
    <w:rsid w:val="000B16D3"/>
    <w:rsid w:val="000B16FF"/>
    <w:rsid w:val="000B17F3"/>
    <w:rsid w:val="000B18E8"/>
    <w:rsid w:val="000B19CA"/>
    <w:rsid w:val="000B1AD9"/>
    <w:rsid w:val="000B1B47"/>
    <w:rsid w:val="000B1C6A"/>
    <w:rsid w:val="000B1CAA"/>
    <w:rsid w:val="000B1D03"/>
    <w:rsid w:val="000B1DBD"/>
    <w:rsid w:val="000B1DEB"/>
    <w:rsid w:val="000B1EAB"/>
    <w:rsid w:val="000B1ECB"/>
    <w:rsid w:val="000B1EF2"/>
    <w:rsid w:val="000B1F1C"/>
    <w:rsid w:val="000B1FF6"/>
    <w:rsid w:val="000B205E"/>
    <w:rsid w:val="000B206F"/>
    <w:rsid w:val="000B2095"/>
    <w:rsid w:val="000B20CA"/>
    <w:rsid w:val="000B2145"/>
    <w:rsid w:val="000B2146"/>
    <w:rsid w:val="000B21C0"/>
    <w:rsid w:val="000B2203"/>
    <w:rsid w:val="000B230A"/>
    <w:rsid w:val="000B2388"/>
    <w:rsid w:val="000B23E0"/>
    <w:rsid w:val="000B23EE"/>
    <w:rsid w:val="000B2530"/>
    <w:rsid w:val="000B2556"/>
    <w:rsid w:val="000B25BF"/>
    <w:rsid w:val="000B26AB"/>
    <w:rsid w:val="000B270B"/>
    <w:rsid w:val="000B28E7"/>
    <w:rsid w:val="000B2A90"/>
    <w:rsid w:val="000B2AEA"/>
    <w:rsid w:val="000B2BA4"/>
    <w:rsid w:val="000B2BFD"/>
    <w:rsid w:val="000B2C3A"/>
    <w:rsid w:val="000B2DB6"/>
    <w:rsid w:val="000B2DBF"/>
    <w:rsid w:val="000B2DC5"/>
    <w:rsid w:val="000B2E43"/>
    <w:rsid w:val="000B2EAB"/>
    <w:rsid w:val="000B2EF7"/>
    <w:rsid w:val="000B2FA1"/>
    <w:rsid w:val="000B30BB"/>
    <w:rsid w:val="000B30F2"/>
    <w:rsid w:val="000B325B"/>
    <w:rsid w:val="000B3280"/>
    <w:rsid w:val="000B3495"/>
    <w:rsid w:val="000B3598"/>
    <w:rsid w:val="000B36FB"/>
    <w:rsid w:val="000B37AF"/>
    <w:rsid w:val="000B381B"/>
    <w:rsid w:val="000B3872"/>
    <w:rsid w:val="000B38A0"/>
    <w:rsid w:val="000B39F0"/>
    <w:rsid w:val="000B3A53"/>
    <w:rsid w:val="000B3A73"/>
    <w:rsid w:val="000B3AE2"/>
    <w:rsid w:val="000B3C2E"/>
    <w:rsid w:val="000B3D2E"/>
    <w:rsid w:val="000B3D98"/>
    <w:rsid w:val="000B3DC2"/>
    <w:rsid w:val="000B3F2B"/>
    <w:rsid w:val="000B3FCC"/>
    <w:rsid w:val="000B4046"/>
    <w:rsid w:val="000B40E5"/>
    <w:rsid w:val="000B4212"/>
    <w:rsid w:val="000B4305"/>
    <w:rsid w:val="000B430A"/>
    <w:rsid w:val="000B4310"/>
    <w:rsid w:val="000B4505"/>
    <w:rsid w:val="000B453D"/>
    <w:rsid w:val="000B4596"/>
    <w:rsid w:val="000B461A"/>
    <w:rsid w:val="000B464C"/>
    <w:rsid w:val="000B4721"/>
    <w:rsid w:val="000B47A1"/>
    <w:rsid w:val="000B47B2"/>
    <w:rsid w:val="000B47C3"/>
    <w:rsid w:val="000B4838"/>
    <w:rsid w:val="000B4871"/>
    <w:rsid w:val="000B49F0"/>
    <w:rsid w:val="000B4A11"/>
    <w:rsid w:val="000B4AE3"/>
    <w:rsid w:val="000B4B6D"/>
    <w:rsid w:val="000B4D48"/>
    <w:rsid w:val="000B4D6C"/>
    <w:rsid w:val="000B4E55"/>
    <w:rsid w:val="000B4F59"/>
    <w:rsid w:val="000B4FA9"/>
    <w:rsid w:val="000B506F"/>
    <w:rsid w:val="000B5084"/>
    <w:rsid w:val="000B519D"/>
    <w:rsid w:val="000B51A0"/>
    <w:rsid w:val="000B52D0"/>
    <w:rsid w:val="000B539F"/>
    <w:rsid w:val="000B541B"/>
    <w:rsid w:val="000B5428"/>
    <w:rsid w:val="000B55DD"/>
    <w:rsid w:val="000B5739"/>
    <w:rsid w:val="000B574E"/>
    <w:rsid w:val="000B5878"/>
    <w:rsid w:val="000B5955"/>
    <w:rsid w:val="000B5A1E"/>
    <w:rsid w:val="000B5A8E"/>
    <w:rsid w:val="000B5AE1"/>
    <w:rsid w:val="000B5CE1"/>
    <w:rsid w:val="000B5E72"/>
    <w:rsid w:val="000B5E78"/>
    <w:rsid w:val="000B5ED6"/>
    <w:rsid w:val="000B5F2C"/>
    <w:rsid w:val="000B5FAB"/>
    <w:rsid w:val="000B6067"/>
    <w:rsid w:val="000B60B2"/>
    <w:rsid w:val="000B6204"/>
    <w:rsid w:val="000B6414"/>
    <w:rsid w:val="000B6462"/>
    <w:rsid w:val="000B64F6"/>
    <w:rsid w:val="000B6515"/>
    <w:rsid w:val="000B6577"/>
    <w:rsid w:val="000B65C7"/>
    <w:rsid w:val="000B65DF"/>
    <w:rsid w:val="000B6A4F"/>
    <w:rsid w:val="000B6A79"/>
    <w:rsid w:val="000B6BD0"/>
    <w:rsid w:val="000B6BDF"/>
    <w:rsid w:val="000B6C7D"/>
    <w:rsid w:val="000B6CB5"/>
    <w:rsid w:val="000B6D40"/>
    <w:rsid w:val="000B6DDA"/>
    <w:rsid w:val="000B70EE"/>
    <w:rsid w:val="000B714F"/>
    <w:rsid w:val="000B7189"/>
    <w:rsid w:val="000B71AF"/>
    <w:rsid w:val="000B7228"/>
    <w:rsid w:val="000B728F"/>
    <w:rsid w:val="000B72C3"/>
    <w:rsid w:val="000B72F2"/>
    <w:rsid w:val="000B734D"/>
    <w:rsid w:val="000B76BD"/>
    <w:rsid w:val="000B7716"/>
    <w:rsid w:val="000B7757"/>
    <w:rsid w:val="000B77B8"/>
    <w:rsid w:val="000B77DB"/>
    <w:rsid w:val="000B77F5"/>
    <w:rsid w:val="000B78C0"/>
    <w:rsid w:val="000B78DE"/>
    <w:rsid w:val="000B78E7"/>
    <w:rsid w:val="000B78E9"/>
    <w:rsid w:val="000B7A1A"/>
    <w:rsid w:val="000B7A81"/>
    <w:rsid w:val="000B7A8D"/>
    <w:rsid w:val="000B7AC4"/>
    <w:rsid w:val="000B7C4A"/>
    <w:rsid w:val="000B7C57"/>
    <w:rsid w:val="000B7C8C"/>
    <w:rsid w:val="000B7D70"/>
    <w:rsid w:val="000B7F46"/>
    <w:rsid w:val="000B7FC6"/>
    <w:rsid w:val="000B7FCD"/>
    <w:rsid w:val="000C00D3"/>
    <w:rsid w:val="000C0192"/>
    <w:rsid w:val="000C01D9"/>
    <w:rsid w:val="000C02FF"/>
    <w:rsid w:val="000C03ED"/>
    <w:rsid w:val="000C0435"/>
    <w:rsid w:val="000C0449"/>
    <w:rsid w:val="000C0557"/>
    <w:rsid w:val="000C05C6"/>
    <w:rsid w:val="000C063B"/>
    <w:rsid w:val="000C0755"/>
    <w:rsid w:val="000C07DA"/>
    <w:rsid w:val="000C07E8"/>
    <w:rsid w:val="000C07FF"/>
    <w:rsid w:val="000C0960"/>
    <w:rsid w:val="000C0A71"/>
    <w:rsid w:val="000C0BEF"/>
    <w:rsid w:val="000C0C3F"/>
    <w:rsid w:val="000C0C60"/>
    <w:rsid w:val="000C0DC7"/>
    <w:rsid w:val="000C0E19"/>
    <w:rsid w:val="000C0EE1"/>
    <w:rsid w:val="000C10EA"/>
    <w:rsid w:val="000C1131"/>
    <w:rsid w:val="000C115B"/>
    <w:rsid w:val="000C116A"/>
    <w:rsid w:val="000C118C"/>
    <w:rsid w:val="000C11CF"/>
    <w:rsid w:val="000C14DA"/>
    <w:rsid w:val="000C1566"/>
    <w:rsid w:val="000C159E"/>
    <w:rsid w:val="000C166C"/>
    <w:rsid w:val="000C1682"/>
    <w:rsid w:val="000C169D"/>
    <w:rsid w:val="000C1722"/>
    <w:rsid w:val="000C175B"/>
    <w:rsid w:val="000C17E6"/>
    <w:rsid w:val="000C18EF"/>
    <w:rsid w:val="000C1A1F"/>
    <w:rsid w:val="000C1B5E"/>
    <w:rsid w:val="000C1BC0"/>
    <w:rsid w:val="000C1BD3"/>
    <w:rsid w:val="000C1C8A"/>
    <w:rsid w:val="000C1CBE"/>
    <w:rsid w:val="000C1CCC"/>
    <w:rsid w:val="000C1E8E"/>
    <w:rsid w:val="000C1EE6"/>
    <w:rsid w:val="000C1EF1"/>
    <w:rsid w:val="000C1F1A"/>
    <w:rsid w:val="000C1FCB"/>
    <w:rsid w:val="000C2059"/>
    <w:rsid w:val="000C2104"/>
    <w:rsid w:val="000C21B0"/>
    <w:rsid w:val="000C21BA"/>
    <w:rsid w:val="000C2343"/>
    <w:rsid w:val="000C2360"/>
    <w:rsid w:val="000C2441"/>
    <w:rsid w:val="000C244A"/>
    <w:rsid w:val="000C248C"/>
    <w:rsid w:val="000C250D"/>
    <w:rsid w:val="000C2543"/>
    <w:rsid w:val="000C25A2"/>
    <w:rsid w:val="000C25CD"/>
    <w:rsid w:val="000C2767"/>
    <w:rsid w:val="000C280C"/>
    <w:rsid w:val="000C281B"/>
    <w:rsid w:val="000C28B5"/>
    <w:rsid w:val="000C28F5"/>
    <w:rsid w:val="000C297B"/>
    <w:rsid w:val="000C2983"/>
    <w:rsid w:val="000C2A2D"/>
    <w:rsid w:val="000C2D8C"/>
    <w:rsid w:val="000C2DE9"/>
    <w:rsid w:val="000C2E0D"/>
    <w:rsid w:val="000C2F5E"/>
    <w:rsid w:val="000C2F68"/>
    <w:rsid w:val="000C2F83"/>
    <w:rsid w:val="000C3013"/>
    <w:rsid w:val="000C3083"/>
    <w:rsid w:val="000C3088"/>
    <w:rsid w:val="000C30D6"/>
    <w:rsid w:val="000C3160"/>
    <w:rsid w:val="000C3172"/>
    <w:rsid w:val="000C31D5"/>
    <w:rsid w:val="000C3332"/>
    <w:rsid w:val="000C33E6"/>
    <w:rsid w:val="000C3405"/>
    <w:rsid w:val="000C3407"/>
    <w:rsid w:val="000C34AE"/>
    <w:rsid w:val="000C34B1"/>
    <w:rsid w:val="000C34FB"/>
    <w:rsid w:val="000C3579"/>
    <w:rsid w:val="000C3666"/>
    <w:rsid w:val="000C36C4"/>
    <w:rsid w:val="000C3769"/>
    <w:rsid w:val="000C3854"/>
    <w:rsid w:val="000C394C"/>
    <w:rsid w:val="000C39B9"/>
    <w:rsid w:val="000C3A17"/>
    <w:rsid w:val="000C3A2F"/>
    <w:rsid w:val="000C3AA3"/>
    <w:rsid w:val="000C3B1F"/>
    <w:rsid w:val="000C3B9B"/>
    <w:rsid w:val="000C3BA1"/>
    <w:rsid w:val="000C3BA5"/>
    <w:rsid w:val="000C3C85"/>
    <w:rsid w:val="000C3CA3"/>
    <w:rsid w:val="000C3CB5"/>
    <w:rsid w:val="000C3CD8"/>
    <w:rsid w:val="000C3D0B"/>
    <w:rsid w:val="000C3DFA"/>
    <w:rsid w:val="000C3EB5"/>
    <w:rsid w:val="000C3FAA"/>
    <w:rsid w:val="000C3FC5"/>
    <w:rsid w:val="000C404A"/>
    <w:rsid w:val="000C408D"/>
    <w:rsid w:val="000C4105"/>
    <w:rsid w:val="000C419B"/>
    <w:rsid w:val="000C4217"/>
    <w:rsid w:val="000C4330"/>
    <w:rsid w:val="000C43CB"/>
    <w:rsid w:val="000C445B"/>
    <w:rsid w:val="000C45FB"/>
    <w:rsid w:val="000C471B"/>
    <w:rsid w:val="000C4752"/>
    <w:rsid w:val="000C4804"/>
    <w:rsid w:val="000C4908"/>
    <w:rsid w:val="000C495F"/>
    <w:rsid w:val="000C49D5"/>
    <w:rsid w:val="000C4A3F"/>
    <w:rsid w:val="000C4A9C"/>
    <w:rsid w:val="000C4BFB"/>
    <w:rsid w:val="000C4DA2"/>
    <w:rsid w:val="000C4E11"/>
    <w:rsid w:val="000C4E3E"/>
    <w:rsid w:val="000C4EC1"/>
    <w:rsid w:val="000C4EFD"/>
    <w:rsid w:val="000C5294"/>
    <w:rsid w:val="000C52CA"/>
    <w:rsid w:val="000C535C"/>
    <w:rsid w:val="000C5431"/>
    <w:rsid w:val="000C5458"/>
    <w:rsid w:val="000C5465"/>
    <w:rsid w:val="000C5600"/>
    <w:rsid w:val="000C56D9"/>
    <w:rsid w:val="000C5710"/>
    <w:rsid w:val="000C591A"/>
    <w:rsid w:val="000C5A62"/>
    <w:rsid w:val="000C5ADC"/>
    <w:rsid w:val="000C5B67"/>
    <w:rsid w:val="000C5BE7"/>
    <w:rsid w:val="000C5BFC"/>
    <w:rsid w:val="000C5C9F"/>
    <w:rsid w:val="000C5CF5"/>
    <w:rsid w:val="000C5D56"/>
    <w:rsid w:val="000C5DC7"/>
    <w:rsid w:val="000C5E8F"/>
    <w:rsid w:val="000C5F27"/>
    <w:rsid w:val="000C5F76"/>
    <w:rsid w:val="000C5FA6"/>
    <w:rsid w:val="000C6060"/>
    <w:rsid w:val="000C6080"/>
    <w:rsid w:val="000C60AF"/>
    <w:rsid w:val="000C60EE"/>
    <w:rsid w:val="000C6102"/>
    <w:rsid w:val="000C61AD"/>
    <w:rsid w:val="000C61E8"/>
    <w:rsid w:val="000C623A"/>
    <w:rsid w:val="000C625C"/>
    <w:rsid w:val="000C6260"/>
    <w:rsid w:val="000C6382"/>
    <w:rsid w:val="000C644B"/>
    <w:rsid w:val="000C6600"/>
    <w:rsid w:val="000C6619"/>
    <w:rsid w:val="000C67FB"/>
    <w:rsid w:val="000C687A"/>
    <w:rsid w:val="000C68D3"/>
    <w:rsid w:val="000C6912"/>
    <w:rsid w:val="000C6978"/>
    <w:rsid w:val="000C6987"/>
    <w:rsid w:val="000C69C7"/>
    <w:rsid w:val="000C6A4C"/>
    <w:rsid w:val="000C6A7F"/>
    <w:rsid w:val="000C6BB8"/>
    <w:rsid w:val="000C6C30"/>
    <w:rsid w:val="000C6C5C"/>
    <w:rsid w:val="000C6C7A"/>
    <w:rsid w:val="000C6CB6"/>
    <w:rsid w:val="000C6CC9"/>
    <w:rsid w:val="000C6DBC"/>
    <w:rsid w:val="000C6DEB"/>
    <w:rsid w:val="000C6E0C"/>
    <w:rsid w:val="000C6F00"/>
    <w:rsid w:val="000C7028"/>
    <w:rsid w:val="000C7123"/>
    <w:rsid w:val="000C7570"/>
    <w:rsid w:val="000C766C"/>
    <w:rsid w:val="000C7682"/>
    <w:rsid w:val="000C76FB"/>
    <w:rsid w:val="000C7793"/>
    <w:rsid w:val="000C781F"/>
    <w:rsid w:val="000C7832"/>
    <w:rsid w:val="000C7893"/>
    <w:rsid w:val="000C79D6"/>
    <w:rsid w:val="000C7A47"/>
    <w:rsid w:val="000C7A85"/>
    <w:rsid w:val="000C7AB3"/>
    <w:rsid w:val="000C7B49"/>
    <w:rsid w:val="000C7BE4"/>
    <w:rsid w:val="000C7BF8"/>
    <w:rsid w:val="000C7C4D"/>
    <w:rsid w:val="000C7C87"/>
    <w:rsid w:val="000C7C8F"/>
    <w:rsid w:val="000C7CCD"/>
    <w:rsid w:val="000C7DAB"/>
    <w:rsid w:val="000C7E37"/>
    <w:rsid w:val="000C7E51"/>
    <w:rsid w:val="000C7E5A"/>
    <w:rsid w:val="000C7EB3"/>
    <w:rsid w:val="000C7EF1"/>
    <w:rsid w:val="000C7EF3"/>
    <w:rsid w:val="000C7F4D"/>
    <w:rsid w:val="000C7FB3"/>
    <w:rsid w:val="000D0004"/>
    <w:rsid w:val="000D0035"/>
    <w:rsid w:val="000D00D8"/>
    <w:rsid w:val="000D01BB"/>
    <w:rsid w:val="000D01EC"/>
    <w:rsid w:val="000D0250"/>
    <w:rsid w:val="000D02A6"/>
    <w:rsid w:val="000D035C"/>
    <w:rsid w:val="000D038A"/>
    <w:rsid w:val="000D039B"/>
    <w:rsid w:val="000D04C0"/>
    <w:rsid w:val="000D04F2"/>
    <w:rsid w:val="000D0522"/>
    <w:rsid w:val="000D058A"/>
    <w:rsid w:val="000D065B"/>
    <w:rsid w:val="000D0662"/>
    <w:rsid w:val="000D069E"/>
    <w:rsid w:val="000D076F"/>
    <w:rsid w:val="000D07BE"/>
    <w:rsid w:val="000D08A5"/>
    <w:rsid w:val="000D0946"/>
    <w:rsid w:val="000D0A0A"/>
    <w:rsid w:val="000D0A97"/>
    <w:rsid w:val="000D0B14"/>
    <w:rsid w:val="000D0B2A"/>
    <w:rsid w:val="000D0B76"/>
    <w:rsid w:val="000D0C58"/>
    <w:rsid w:val="000D0C92"/>
    <w:rsid w:val="000D0D24"/>
    <w:rsid w:val="000D0D25"/>
    <w:rsid w:val="000D0D34"/>
    <w:rsid w:val="000D0D57"/>
    <w:rsid w:val="000D0D5F"/>
    <w:rsid w:val="000D0E1E"/>
    <w:rsid w:val="000D0FD0"/>
    <w:rsid w:val="000D0FD2"/>
    <w:rsid w:val="000D0FFB"/>
    <w:rsid w:val="000D102B"/>
    <w:rsid w:val="000D1108"/>
    <w:rsid w:val="000D11C0"/>
    <w:rsid w:val="000D1267"/>
    <w:rsid w:val="000D134D"/>
    <w:rsid w:val="000D14E4"/>
    <w:rsid w:val="000D1572"/>
    <w:rsid w:val="000D1630"/>
    <w:rsid w:val="000D1632"/>
    <w:rsid w:val="000D1654"/>
    <w:rsid w:val="000D16D4"/>
    <w:rsid w:val="000D1733"/>
    <w:rsid w:val="000D1789"/>
    <w:rsid w:val="000D17E3"/>
    <w:rsid w:val="000D17E5"/>
    <w:rsid w:val="000D1838"/>
    <w:rsid w:val="000D1909"/>
    <w:rsid w:val="000D190B"/>
    <w:rsid w:val="000D1A5D"/>
    <w:rsid w:val="000D1B15"/>
    <w:rsid w:val="000D1BB3"/>
    <w:rsid w:val="000D1C68"/>
    <w:rsid w:val="000D1D27"/>
    <w:rsid w:val="000D1E54"/>
    <w:rsid w:val="000D2112"/>
    <w:rsid w:val="000D216A"/>
    <w:rsid w:val="000D2283"/>
    <w:rsid w:val="000D22B9"/>
    <w:rsid w:val="000D22C7"/>
    <w:rsid w:val="000D2382"/>
    <w:rsid w:val="000D23EA"/>
    <w:rsid w:val="000D23F8"/>
    <w:rsid w:val="000D24E2"/>
    <w:rsid w:val="000D250D"/>
    <w:rsid w:val="000D2570"/>
    <w:rsid w:val="000D258E"/>
    <w:rsid w:val="000D25E5"/>
    <w:rsid w:val="000D2626"/>
    <w:rsid w:val="000D2628"/>
    <w:rsid w:val="000D2741"/>
    <w:rsid w:val="000D2777"/>
    <w:rsid w:val="000D27BB"/>
    <w:rsid w:val="000D29BD"/>
    <w:rsid w:val="000D2ADF"/>
    <w:rsid w:val="000D2CC1"/>
    <w:rsid w:val="000D2EB1"/>
    <w:rsid w:val="000D2EDD"/>
    <w:rsid w:val="000D2F3E"/>
    <w:rsid w:val="000D2F83"/>
    <w:rsid w:val="000D300A"/>
    <w:rsid w:val="000D3047"/>
    <w:rsid w:val="000D30BF"/>
    <w:rsid w:val="000D316D"/>
    <w:rsid w:val="000D31D1"/>
    <w:rsid w:val="000D31F1"/>
    <w:rsid w:val="000D3275"/>
    <w:rsid w:val="000D3361"/>
    <w:rsid w:val="000D3388"/>
    <w:rsid w:val="000D3426"/>
    <w:rsid w:val="000D3528"/>
    <w:rsid w:val="000D358F"/>
    <w:rsid w:val="000D35D6"/>
    <w:rsid w:val="000D3697"/>
    <w:rsid w:val="000D374A"/>
    <w:rsid w:val="000D3764"/>
    <w:rsid w:val="000D3774"/>
    <w:rsid w:val="000D379C"/>
    <w:rsid w:val="000D37F4"/>
    <w:rsid w:val="000D386D"/>
    <w:rsid w:val="000D38E1"/>
    <w:rsid w:val="000D39C3"/>
    <w:rsid w:val="000D39C9"/>
    <w:rsid w:val="000D39EE"/>
    <w:rsid w:val="000D3AF7"/>
    <w:rsid w:val="000D3D84"/>
    <w:rsid w:val="000D3DB3"/>
    <w:rsid w:val="000D3F06"/>
    <w:rsid w:val="000D3F96"/>
    <w:rsid w:val="000D4164"/>
    <w:rsid w:val="000D41C1"/>
    <w:rsid w:val="000D4205"/>
    <w:rsid w:val="000D4239"/>
    <w:rsid w:val="000D44C8"/>
    <w:rsid w:val="000D46A4"/>
    <w:rsid w:val="000D46BA"/>
    <w:rsid w:val="000D4770"/>
    <w:rsid w:val="000D487C"/>
    <w:rsid w:val="000D4975"/>
    <w:rsid w:val="000D4A11"/>
    <w:rsid w:val="000D4AB2"/>
    <w:rsid w:val="000D4B38"/>
    <w:rsid w:val="000D4C82"/>
    <w:rsid w:val="000D4D02"/>
    <w:rsid w:val="000D4D1A"/>
    <w:rsid w:val="000D4D9E"/>
    <w:rsid w:val="000D4DC4"/>
    <w:rsid w:val="000D4EA3"/>
    <w:rsid w:val="000D4EC3"/>
    <w:rsid w:val="000D502F"/>
    <w:rsid w:val="000D5062"/>
    <w:rsid w:val="000D514F"/>
    <w:rsid w:val="000D5166"/>
    <w:rsid w:val="000D5219"/>
    <w:rsid w:val="000D5298"/>
    <w:rsid w:val="000D53AA"/>
    <w:rsid w:val="000D53FF"/>
    <w:rsid w:val="000D5452"/>
    <w:rsid w:val="000D5481"/>
    <w:rsid w:val="000D552F"/>
    <w:rsid w:val="000D55B5"/>
    <w:rsid w:val="000D55F3"/>
    <w:rsid w:val="000D562C"/>
    <w:rsid w:val="000D5651"/>
    <w:rsid w:val="000D5694"/>
    <w:rsid w:val="000D5786"/>
    <w:rsid w:val="000D57CF"/>
    <w:rsid w:val="000D57D3"/>
    <w:rsid w:val="000D57E6"/>
    <w:rsid w:val="000D5845"/>
    <w:rsid w:val="000D595E"/>
    <w:rsid w:val="000D5A34"/>
    <w:rsid w:val="000D5D13"/>
    <w:rsid w:val="000D5D76"/>
    <w:rsid w:val="000D5DBE"/>
    <w:rsid w:val="000D5E92"/>
    <w:rsid w:val="000D5F4F"/>
    <w:rsid w:val="000D6076"/>
    <w:rsid w:val="000D609D"/>
    <w:rsid w:val="000D6151"/>
    <w:rsid w:val="000D61EB"/>
    <w:rsid w:val="000D638F"/>
    <w:rsid w:val="000D63B1"/>
    <w:rsid w:val="000D6409"/>
    <w:rsid w:val="000D64A6"/>
    <w:rsid w:val="000D67C8"/>
    <w:rsid w:val="000D6884"/>
    <w:rsid w:val="000D69D2"/>
    <w:rsid w:val="000D6A1E"/>
    <w:rsid w:val="000D6A9E"/>
    <w:rsid w:val="000D6B00"/>
    <w:rsid w:val="000D6BF6"/>
    <w:rsid w:val="000D6C98"/>
    <w:rsid w:val="000D6D4C"/>
    <w:rsid w:val="000D6D7F"/>
    <w:rsid w:val="000D6D92"/>
    <w:rsid w:val="000D6DA5"/>
    <w:rsid w:val="000D6E7D"/>
    <w:rsid w:val="000D6EAB"/>
    <w:rsid w:val="000D6F27"/>
    <w:rsid w:val="000D70A1"/>
    <w:rsid w:val="000D70C9"/>
    <w:rsid w:val="000D7117"/>
    <w:rsid w:val="000D7243"/>
    <w:rsid w:val="000D726E"/>
    <w:rsid w:val="000D7368"/>
    <w:rsid w:val="000D748B"/>
    <w:rsid w:val="000D7581"/>
    <w:rsid w:val="000D75DF"/>
    <w:rsid w:val="000D761F"/>
    <w:rsid w:val="000D786E"/>
    <w:rsid w:val="000D78A8"/>
    <w:rsid w:val="000D78B3"/>
    <w:rsid w:val="000D7951"/>
    <w:rsid w:val="000D7994"/>
    <w:rsid w:val="000D7AD0"/>
    <w:rsid w:val="000D7AE0"/>
    <w:rsid w:val="000D7B80"/>
    <w:rsid w:val="000D7B94"/>
    <w:rsid w:val="000D7BA9"/>
    <w:rsid w:val="000D7BEE"/>
    <w:rsid w:val="000D7C46"/>
    <w:rsid w:val="000D7CBE"/>
    <w:rsid w:val="000D7DFA"/>
    <w:rsid w:val="000D7E6B"/>
    <w:rsid w:val="000D7F4E"/>
    <w:rsid w:val="000D7F80"/>
    <w:rsid w:val="000E0094"/>
    <w:rsid w:val="000E013D"/>
    <w:rsid w:val="000E0415"/>
    <w:rsid w:val="000E0556"/>
    <w:rsid w:val="000E0565"/>
    <w:rsid w:val="000E062A"/>
    <w:rsid w:val="000E0738"/>
    <w:rsid w:val="000E0774"/>
    <w:rsid w:val="000E0829"/>
    <w:rsid w:val="000E08B5"/>
    <w:rsid w:val="000E09B0"/>
    <w:rsid w:val="000E09B1"/>
    <w:rsid w:val="000E0C42"/>
    <w:rsid w:val="000E0C6B"/>
    <w:rsid w:val="000E0C8F"/>
    <w:rsid w:val="000E0CBC"/>
    <w:rsid w:val="000E0D58"/>
    <w:rsid w:val="000E0D84"/>
    <w:rsid w:val="000E0D8F"/>
    <w:rsid w:val="000E0E98"/>
    <w:rsid w:val="000E0FBF"/>
    <w:rsid w:val="000E0FE2"/>
    <w:rsid w:val="000E112D"/>
    <w:rsid w:val="000E1210"/>
    <w:rsid w:val="000E1233"/>
    <w:rsid w:val="000E1342"/>
    <w:rsid w:val="000E13A2"/>
    <w:rsid w:val="000E13C2"/>
    <w:rsid w:val="000E14D7"/>
    <w:rsid w:val="000E1663"/>
    <w:rsid w:val="000E1866"/>
    <w:rsid w:val="000E1880"/>
    <w:rsid w:val="000E18BF"/>
    <w:rsid w:val="000E196B"/>
    <w:rsid w:val="000E19BA"/>
    <w:rsid w:val="000E1B6C"/>
    <w:rsid w:val="000E1B70"/>
    <w:rsid w:val="000E1B90"/>
    <w:rsid w:val="000E1C94"/>
    <w:rsid w:val="000E1D79"/>
    <w:rsid w:val="000E1DC2"/>
    <w:rsid w:val="000E1DED"/>
    <w:rsid w:val="000E1DF1"/>
    <w:rsid w:val="000E1E31"/>
    <w:rsid w:val="000E1E89"/>
    <w:rsid w:val="000E1F3B"/>
    <w:rsid w:val="000E1F41"/>
    <w:rsid w:val="000E1FA7"/>
    <w:rsid w:val="000E229E"/>
    <w:rsid w:val="000E22FD"/>
    <w:rsid w:val="000E2329"/>
    <w:rsid w:val="000E237C"/>
    <w:rsid w:val="000E2390"/>
    <w:rsid w:val="000E2463"/>
    <w:rsid w:val="000E25F1"/>
    <w:rsid w:val="000E2629"/>
    <w:rsid w:val="000E2630"/>
    <w:rsid w:val="000E26C8"/>
    <w:rsid w:val="000E274D"/>
    <w:rsid w:val="000E27E4"/>
    <w:rsid w:val="000E27E9"/>
    <w:rsid w:val="000E293C"/>
    <w:rsid w:val="000E2AB5"/>
    <w:rsid w:val="000E2AC9"/>
    <w:rsid w:val="000E2B27"/>
    <w:rsid w:val="000E2B64"/>
    <w:rsid w:val="000E2D92"/>
    <w:rsid w:val="000E2F31"/>
    <w:rsid w:val="000E3016"/>
    <w:rsid w:val="000E3038"/>
    <w:rsid w:val="000E307F"/>
    <w:rsid w:val="000E3211"/>
    <w:rsid w:val="000E3344"/>
    <w:rsid w:val="000E33C4"/>
    <w:rsid w:val="000E33FC"/>
    <w:rsid w:val="000E3439"/>
    <w:rsid w:val="000E3487"/>
    <w:rsid w:val="000E3493"/>
    <w:rsid w:val="000E35AD"/>
    <w:rsid w:val="000E35F2"/>
    <w:rsid w:val="000E36A5"/>
    <w:rsid w:val="000E379B"/>
    <w:rsid w:val="000E37A7"/>
    <w:rsid w:val="000E395B"/>
    <w:rsid w:val="000E3A6F"/>
    <w:rsid w:val="000E3A7F"/>
    <w:rsid w:val="000E3B79"/>
    <w:rsid w:val="000E3B9F"/>
    <w:rsid w:val="000E3C02"/>
    <w:rsid w:val="000E3D09"/>
    <w:rsid w:val="000E3D70"/>
    <w:rsid w:val="000E3DEF"/>
    <w:rsid w:val="000E3F47"/>
    <w:rsid w:val="000E4082"/>
    <w:rsid w:val="000E4136"/>
    <w:rsid w:val="000E4185"/>
    <w:rsid w:val="000E423C"/>
    <w:rsid w:val="000E43F0"/>
    <w:rsid w:val="000E4480"/>
    <w:rsid w:val="000E449F"/>
    <w:rsid w:val="000E44D3"/>
    <w:rsid w:val="000E4630"/>
    <w:rsid w:val="000E4726"/>
    <w:rsid w:val="000E4770"/>
    <w:rsid w:val="000E4786"/>
    <w:rsid w:val="000E4852"/>
    <w:rsid w:val="000E4957"/>
    <w:rsid w:val="000E49E9"/>
    <w:rsid w:val="000E4CA9"/>
    <w:rsid w:val="000E4CAB"/>
    <w:rsid w:val="000E4CDF"/>
    <w:rsid w:val="000E4D1F"/>
    <w:rsid w:val="000E4D97"/>
    <w:rsid w:val="000E4E84"/>
    <w:rsid w:val="000E4EE8"/>
    <w:rsid w:val="000E50CA"/>
    <w:rsid w:val="000E514E"/>
    <w:rsid w:val="000E5187"/>
    <w:rsid w:val="000E51B8"/>
    <w:rsid w:val="000E5342"/>
    <w:rsid w:val="000E552B"/>
    <w:rsid w:val="000E5572"/>
    <w:rsid w:val="000E55D8"/>
    <w:rsid w:val="000E5644"/>
    <w:rsid w:val="000E56B9"/>
    <w:rsid w:val="000E5776"/>
    <w:rsid w:val="000E5819"/>
    <w:rsid w:val="000E5827"/>
    <w:rsid w:val="000E59D6"/>
    <w:rsid w:val="000E5AE5"/>
    <w:rsid w:val="000E5B8E"/>
    <w:rsid w:val="000E5C67"/>
    <w:rsid w:val="000E5CA4"/>
    <w:rsid w:val="000E5D16"/>
    <w:rsid w:val="000E5D23"/>
    <w:rsid w:val="000E5E2A"/>
    <w:rsid w:val="000E5E8C"/>
    <w:rsid w:val="000E5EF6"/>
    <w:rsid w:val="000E5F1F"/>
    <w:rsid w:val="000E5F21"/>
    <w:rsid w:val="000E5F9D"/>
    <w:rsid w:val="000E600A"/>
    <w:rsid w:val="000E60A2"/>
    <w:rsid w:val="000E60CD"/>
    <w:rsid w:val="000E60EE"/>
    <w:rsid w:val="000E629C"/>
    <w:rsid w:val="000E63EE"/>
    <w:rsid w:val="000E64C6"/>
    <w:rsid w:val="000E654D"/>
    <w:rsid w:val="000E6567"/>
    <w:rsid w:val="000E65A8"/>
    <w:rsid w:val="000E6631"/>
    <w:rsid w:val="000E6635"/>
    <w:rsid w:val="000E6687"/>
    <w:rsid w:val="000E671E"/>
    <w:rsid w:val="000E6738"/>
    <w:rsid w:val="000E6868"/>
    <w:rsid w:val="000E68A7"/>
    <w:rsid w:val="000E6991"/>
    <w:rsid w:val="000E6A9B"/>
    <w:rsid w:val="000E6B4C"/>
    <w:rsid w:val="000E6B88"/>
    <w:rsid w:val="000E6BC5"/>
    <w:rsid w:val="000E6BCA"/>
    <w:rsid w:val="000E6C91"/>
    <w:rsid w:val="000E6C9F"/>
    <w:rsid w:val="000E6CA6"/>
    <w:rsid w:val="000E6D55"/>
    <w:rsid w:val="000E6EA8"/>
    <w:rsid w:val="000E6EF3"/>
    <w:rsid w:val="000E6F49"/>
    <w:rsid w:val="000E6F4A"/>
    <w:rsid w:val="000E6F9D"/>
    <w:rsid w:val="000E70F3"/>
    <w:rsid w:val="000E711F"/>
    <w:rsid w:val="000E720A"/>
    <w:rsid w:val="000E73FA"/>
    <w:rsid w:val="000E74F9"/>
    <w:rsid w:val="000E7513"/>
    <w:rsid w:val="000E75A2"/>
    <w:rsid w:val="000E75C7"/>
    <w:rsid w:val="000E75D3"/>
    <w:rsid w:val="000E75FB"/>
    <w:rsid w:val="000E761C"/>
    <w:rsid w:val="000E762D"/>
    <w:rsid w:val="000E768B"/>
    <w:rsid w:val="000E76A2"/>
    <w:rsid w:val="000E7717"/>
    <w:rsid w:val="000E7800"/>
    <w:rsid w:val="000E79BD"/>
    <w:rsid w:val="000E7A16"/>
    <w:rsid w:val="000E7A3E"/>
    <w:rsid w:val="000E7A95"/>
    <w:rsid w:val="000E7B72"/>
    <w:rsid w:val="000E7BD3"/>
    <w:rsid w:val="000E7BD6"/>
    <w:rsid w:val="000E7C71"/>
    <w:rsid w:val="000E7E1B"/>
    <w:rsid w:val="000E7E2E"/>
    <w:rsid w:val="000E7F56"/>
    <w:rsid w:val="000E7FFD"/>
    <w:rsid w:val="000F016A"/>
    <w:rsid w:val="000F0173"/>
    <w:rsid w:val="000F01BB"/>
    <w:rsid w:val="000F0291"/>
    <w:rsid w:val="000F02F5"/>
    <w:rsid w:val="000F0579"/>
    <w:rsid w:val="000F05C9"/>
    <w:rsid w:val="000F0631"/>
    <w:rsid w:val="000F0645"/>
    <w:rsid w:val="000F0659"/>
    <w:rsid w:val="000F0670"/>
    <w:rsid w:val="000F06E3"/>
    <w:rsid w:val="000F0722"/>
    <w:rsid w:val="000F077D"/>
    <w:rsid w:val="000F0808"/>
    <w:rsid w:val="000F0920"/>
    <w:rsid w:val="000F0947"/>
    <w:rsid w:val="000F0A7F"/>
    <w:rsid w:val="000F0C81"/>
    <w:rsid w:val="000F0D5B"/>
    <w:rsid w:val="000F0D9F"/>
    <w:rsid w:val="000F0DC4"/>
    <w:rsid w:val="000F0E44"/>
    <w:rsid w:val="000F0EA5"/>
    <w:rsid w:val="000F1082"/>
    <w:rsid w:val="000F1099"/>
    <w:rsid w:val="000F11B5"/>
    <w:rsid w:val="000F1273"/>
    <w:rsid w:val="000F12AF"/>
    <w:rsid w:val="000F12B9"/>
    <w:rsid w:val="000F12F6"/>
    <w:rsid w:val="000F1370"/>
    <w:rsid w:val="000F1385"/>
    <w:rsid w:val="000F13D9"/>
    <w:rsid w:val="000F143C"/>
    <w:rsid w:val="000F160B"/>
    <w:rsid w:val="000F168C"/>
    <w:rsid w:val="000F16D1"/>
    <w:rsid w:val="000F1723"/>
    <w:rsid w:val="000F17DB"/>
    <w:rsid w:val="000F1809"/>
    <w:rsid w:val="000F1814"/>
    <w:rsid w:val="000F18D0"/>
    <w:rsid w:val="000F1A4E"/>
    <w:rsid w:val="000F1A5D"/>
    <w:rsid w:val="000F1B36"/>
    <w:rsid w:val="000F1C4C"/>
    <w:rsid w:val="000F1C82"/>
    <w:rsid w:val="000F1CC8"/>
    <w:rsid w:val="000F1D3B"/>
    <w:rsid w:val="000F1D5E"/>
    <w:rsid w:val="000F1F6D"/>
    <w:rsid w:val="000F2088"/>
    <w:rsid w:val="000F20A5"/>
    <w:rsid w:val="000F2118"/>
    <w:rsid w:val="000F21E0"/>
    <w:rsid w:val="000F2267"/>
    <w:rsid w:val="000F2280"/>
    <w:rsid w:val="000F2306"/>
    <w:rsid w:val="000F2350"/>
    <w:rsid w:val="000F23D6"/>
    <w:rsid w:val="000F23F0"/>
    <w:rsid w:val="000F23FF"/>
    <w:rsid w:val="000F245C"/>
    <w:rsid w:val="000F24B9"/>
    <w:rsid w:val="000F2562"/>
    <w:rsid w:val="000F2639"/>
    <w:rsid w:val="000F273D"/>
    <w:rsid w:val="000F2782"/>
    <w:rsid w:val="000F27C9"/>
    <w:rsid w:val="000F28E0"/>
    <w:rsid w:val="000F2946"/>
    <w:rsid w:val="000F2969"/>
    <w:rsid w:val="000F2A5E"/>
    <w:rsid w:val="000F2BC7"/>
    <w:rsid w:val="000F2C9A"/>
    <w:rsid w:val="000F2D9F"/>
    <w:rsid w:val="000F2E8D"/>
    <w:rsid w:val="000F2F52"/>
    <w:rsid w:val="000F2FC6"/>
    <w:rsid w:val="000F3055"/>
    <w:rsid w:val="000F3070"/>
    <w:rsid w:val="000F30F9"/>
    <w:rsid w:val="000F315E"/>
    <w:rsid w:val="000F3179"/>
    <w:rsid w:val="000F32AD"/>
    <w:rsid w:val="000F32FD"/>
    <w:rsid w:val="000F3309"/>
    <w:rsid w:val="000F3310"/>
    <w:rsid w:val="000F3335"/>
    <w:rsid w:val="000F335A"/>
    <w:rsid w:val="000F3473"/>
    <w:rsid w:val="000F3525"/>
    <w:rsid w:val="000F360C"/>
    <w:rsid w:val="000F3658"/>
    <w:rsid w:val="000F36B1"/>
    <w:rsid w:val="000F370B"/>
    <w:rsid w:val="000F37C8"/>
    <w:rsid w:val="000F3832"/>
    <w:rsid w:val="000F38A1"/>
    <w:rsid w:val="000F3912"/>
    <w:rsid w:val="000F3915"/>
    <w:rsid w:val="000F395F"/>
    <w:rsid w:val="000F3960"/>
    <w:rsid w:val="000F39A9"/>
    <w:rsid w:val="000F3A82"/>
    <w:rsid w:val="000F3C1C"/>
    <w:rsid w:val="000F3CB3"/>
    <w:rsid w:val="000F3D1B"/>
    <w:rsid w:val="000F3D72"/>
    <w:rsid w:val="000F3E34"/>
    <w:rsid w:val="000F3ECE"/>
    <w:rsid w:val="000F3F12"/>
    <w:rsid w:val="000F3F31"/>
    <w:rsid w:val="000F40BD"/>
    <w:rsid w:val="000F40CB"/>
    <w:rsid w:val="000F440A"/>
    <w:rsid w:val="000F4483"/>
    <w:rsid w:val="000F457E"/>
    <w:rsid w:val="000F4685"/>
    <w:rsid w:val="000F4688"/>
    <w:rsid w:val="000F4719"/>
    <w:rsid w:val="000F4924"/>
    <w:rsid w:val="000F4996"/>
    <w:rsid w:val="000F49B6"/>
    <w:rsid w:val="000F4B0D"/>
    <w:rsid w:val="000F4B82"/>
    <w:rsid w:val="000F4BC6"/>
    <w:rsid w:val="000F4BF0"/>
    <w:rsid w:val="000F4CFD"/>
    <w:rsid w:val="000F4D9A"/>
    <w:rsid w:val="000F4E42"/>
    <w:rsid w:val="000F4E77"/>
    <w:rsid w:val="000F4EB4"/>
    <w:rsid w:val="000F4F80"/>
    <w:rsid w:val="000F5012"/>
    <w:rsid w:val="000F50B9"/>
    <w:rsid w:val="000F5103"/>
    <w:rsid w:val="000F5109"/>
    <w:rsid w:val="000F5115"/>
    <w:rsid w:val="000F517A"/>
    <w:rsid w:val="000F5296"/>
    <w:rsid w:val="000F53C8"/>
    <w:rsid w:val="000F53CB"/>
    <w:rsid w:val="000F542F"/>
    <w:rsid w:val="000F5454"/>
    <w:rsid w:val="000F5516"/>
    <w:rsid w:val="000F5519"/>
    <w:rsid w:val="000F5545"/>
    <w:rsid w:val="000F5556"/>
    <w:rsid w:val="000F5607"/>
    <w:rsid w:val="000F56D0"/>
    <w:rsid w:val="000F574D"/>
    <w:rsid w:val="000F579A"/>
    <w:rsid w:val="000F57B7"/>
    <w:rsid w:val="000F581E"/>
    <w:rsid w:val="000F5918"/>
    <w:rsid w:val="000F5949"/>
    <w:rsid w:val="000F5993"/>
    <w:rsid w:val="000F599D"/>
    <w:rsid w:val="000F599E"/>
    <w:rsid w:val="000F59AF"/>
    <w:rsid w:val="000F59F6"/>
    <w:rsid w:val="000F5A6D"/>
    <w:rsid w:val="000F5A88"/>
    <w:rsid w:val="000F5B35"/>
    <w:rsid w:val="000F5B72"/>
    <w:rsid w:val="000F5BD4"/>
    <w:rsid w:val="000F5D90"/>
    <w:rsid w:val="000F5EE6"/>
    <w:rsid w:val="000F6021"/>
    <w:rsid w:val="000F605D"/>
    <w:rsid w:val="000F608D"/>
    <w:rsid w:val="000F6137"/>
    <w:rsid w:val="000F618B"/>
    <w:rsid w:val="000F61E0"/>
    <w:rsid w:val="000F641A"/>
    <w:rsid w:val="000F6453"/>
    <w:rsid w:val="000F64EA"/>
    <w:rsid w:val="000F6504"/>
    <w:rsid w:val="000F65C0"/>
    <w:rsid w:val="000F6684"/>
    <w:rsid w:val="000F679E"/>
    <w:rsid w:val="000F67E8"/>
    <w:rsid w:val="000F68A7"/>
    <w:rsid w:val="000F699E"/>
    <w:rsid w:val="000F6A42"/>
    <w:rsid w:val="000F6A55"/>
    <w:rsid w:val="000F6AF4"/>
    <w:rsid w:val="000F6BAE"/>
    <w:rsid w:val="000F6D3C"/>
    <w:rsid w:val="000F6D69"/>
    <w:rsid w:val="000F6E98"/>
    <w:rsid w:val="000F6F6A"/>
    <w:rsid w:val="000F6F72"/>
    <w:rsid w:val="000F7011"/>
    <w:rsid w:val="000F70F7"/>
    <w:rsid w:val="000F710C"/>
    <w:rsid w:val="000F7112"/>
    <w:rsid w:val="000F7191"/>
    <w:rsid w:val="000F74AB"/>
    <w:rsid w:val="000F74DB"/>
    <w:rsid w:val="000F7634"/>
    <w:rsid w:val="000F77F6"/>
    <w:rsid w:val="000F799F"/>
    <w:rsid w:val="000F7A64"/>
    <w:rsid w:val="000F7BB5"/>
    <w:rsid w:val="000F7C6B"/>
    <w:rsid w:val="000F7DD3"/>
    <w:rsid w:val="000F7DE7"/>
    <w:rsid w:val="000F7F09"/>
    <w:rsid w:val="000F7F97"/>
    <w:rsid w:val="00100108"/>
    <w:rsid w:val="001001A1"/>
    <w:rsid w:val="0010028F"/>
    <w:rsid w:val="001002C1"/>
    <w:rsid w:val="00100360"/>
    <w:rsid w:val="001004E7"/>
    <w:rsid w:val="00100556"/>
    <w:rsid w:val="001005A6"/>
    <w:rsid w:val="001005F4"/>
    <w:rsid w:val="0010062A"/>
    <w:rsid w:val="00100715"/>
    <w:rsid w:val="00100891"/>
    <w:rsid w:val="001008EF"/>
    <w:rsid w:val="001009AA"/>
    <w:rsid w:val="00100C9E"/>
    <w:rsid w:val="00100CD0"/>
    <w:rsid w:val="00100CD5"/>
    <w:rsid w:val="00100CF1"/>
    <w:rsid w:val="00100D24"/>
    <w:rsid w:val="00100F4C"/>
    <w:rsid w:val="00100F59"/>
    <w:rsid w:val="00100FEC"/>
    <w:rsid w:val="00100FF5"/>
    <w:rsid w:val="001010E8"/>
    <w:rsid w:val="00101183"/>
    <w:rsid w:val="0010119F"/>
    <w:rsid w:val="0010130B"/>
    <w:rsid w:val="0010132F"/>
    <w:rsid w:val="0010138D"/>
    <w:rsid w:val="001013BF"/>
    <w:rsid w:val="0010147A"/>
    <w:rsid w:val="00101483"/>
    <w:rsid w:val="0010148B"/>
    <w:rsid w:val="001014BC"/>
    <w:rsid w:val="00101648"/>
    <w:rsid w:val="001016A7"/>
    <w:rsid w:val="00101745"/>
    <w:rsid w:val="001018FA"/>
    <w:rsid w:val="00101904"/>
    <w:rsid w:val="0010191C"/>
    <w:rsid w:val="00101A23"/>
    <w:rsid w:val="00101A70"/>
    <w:rsid w:val="00101AC8"/>
    <w:rsid w:val="00101AD6"/>
    <w:rsid w:val="00101BA9"/>
    <w:rsid w:val="00101C22"/>
    <w:rsid w:val="00101D96"/>
    <w:rsid w:val="00101E62"/>
    <w:rsid w:val="00101F99"/>
    <w:rsid w:val="0010205A"/>
    <w:rsid w:val="00102063"/>
    <w:rsid w:val="00102188"/>
    <w:rsid w:val="00102318"/>
    <w:rsid w:val="0010234A"/>
    <w:rsid w:val="00102369"/>
    <w:rsid w:val="001023BE"/>
    <w:rsid w:val="001023E6"/>
    <w:rsid w:val="001024F7"/>
    <w:rsid w:val="0010253D"/>
    <w:rsid w:val="00102627"/>
    <w:rsid w:val="0010271F"/>
    <w:rsid w:val="00102738"/>
    <w:rsid w:val="00102752"/>
    <w:rsid w:val="00102761"/>
    <w:rsid w:val="00102805"/>
    <w:rsid w:val="001028D2"/>
    <w:rsid w:val="00102976"/>
    <w:rsid w:val="00102ABA"/>
    <w:rsid w:val="00102B79"/>
    <w:rsid w:val="00102C7E"/>
    <w:rsid w:val="00102D2D"/>
    <w:rsid w:val="00102E13"/>
    <w:rsid w:val="00102E9F"/>
    <w:rsid w:val="00102ECD"/>
    <w:rsid w:val="00102EED"/>
    <w:rsid w:val="00102F7E"/>
    <w:rsid w:val="00102F8F"/>
    <w:rsid w:val="00102FA9"/>
    <w:rsid w:val="001031B7"/>
    <w:rsid w:val="00103227"/>
    <w:rsid w:val="001032BB"/>
    <w:rsid w:val="001032E0"/>
    <w:rsid w:val="001033CC"/>
    <w:rsid w:val="001033D5"/>
    <w:rsid w:val="00103411"/>
    <w:rsid w:val="00103463"/>
    <w:rsid w:val="0010357F"/>
    <w:rsid w:val="001036B2"/>
    <w:rsid w:val="001036CB"/>
    <w:rsid w:val="00103790"/>
    <w:rsid w:val="0010383B"/>
    <w:rsid w:val="0010385E"/>
    <w:rsid w:val="001039D4"/>
    <w:rsid w:val="001039ED"/>
    <w:rsid w:val="00103A53"/>
    <w:rsid w:val="00103B91"/>
    <w:rsid w:val="00103BA1"/>
    <w:rsid w:val="00103C0A"/>
    <w:rsid w:val="00103C78"/>
    <w:rsid w:val="00103DBB"/>
    <w:rsid w:val="00103DE0"/>
    <w:rsid w:val="00103EB1"/>
    <w:rsid w:val="00103F4F"/>
    <w:rsid w:val="00103FEF"/>
    <w:rsid w:val="00104001"/>
    <w:rsid w:val="00104034"/>
    <w:rsid w:val="0010408B"/>
    <w:rsid w:val="00104336"/>
    <w:rsid w:val="00104359"/>
    <w:rsid w:val="00104516"/>
    <w:rsid w:val="00104587"/>
    <w:rsid w:val="001045A6"/>
    <w:rsid w:val="001045D8"/>
    <w:rsid w:val="00104654"/>
    <w:rsid w:val="0010472A"/>
    <w:rsid w:val="0010476E"/>
    <w:rsid w:val="0010479E"/>
    <w:rsid w:val="00104974"/>
    <w:rsid w:val="0010497E"/>
    <w:rsid w:val="00104988"/>
    <w:rsid w:val="00104996"/>
    <w:rsid w:val="001049E9"/>
    <w:rsid w:val="00104A90"/>
    <w:rsid w:val="00104BC4"/>
    <w:rsid w:val="00104C4D"/>
    <w:rsid w:val="00104C59"/>
    <w:rsid w:val="00104D13"/>
    <w:rsid w:val="00104D51"/>
    <w:rsid w:val="00104DA7"/>
    <w:rsid w:val="00104E25"/>
    <w:rsid w:val="00104F1C"/>
    <w:rsid w:val="001050C6"/>
    <w:rsid w:val="001050FE"/>
    <w:rsid w:val="00105118"/>
    <w:rsid w:val="0010519E"/>
    <w:rsid w:val="0010532E"/>
    <w:rsid w:val="001053C8"/>
    <w:rsid w:val="00105432"/>
    <w:rsid w:val="00105436"/>
    <w:rsid w:val="00105495"/>
    <w:rsid w:val="001054A0"/>
    <w:rsid w:val="0010553E"/>
    <w:rsid w:val="00105564"/>
    <w:rsid w:val="001056D2"/>
    <w:rsid w:val="00105749"/>
    <w:rsid w:val="00105824"/>
    <w:rsid w:val="00105946"/>
    <w:rsid w:val="00105A1D"/>
    <w:rsid w:val="00105A42"/>
    <w:rsid w:val="00105A64"/>
    <w:rsid w:val="00105C09"/>
    <w:rsid w:val="00105C5E"/>
    <w:rsid w:val="00105C7F"/>
    <w:rsid w:val="00105D81"/>
    <w:rsid w:val="00105DB5"/>
    <w:rsid w:val="00105E5E"/>
    <w:rsid w:val="0010612D"/>
    <w:rsid w:val="0010613C"/>
    <w:rsid w:val="001061D0"/>
    <w:rsid w:val="00106208"/>
    <w:rsid w:val="00106296"/>
    <w:rsid w:val="001062B0"/>
    <w:rsid w:val="00106367"/>
    <w:rsid w:val="001064AA"/>
    <w:rsid w:val="001064C1"/>
    <w:rsid w:val="00106578"/>
    <w:rsid w:val="001065C4"/>
    <w:rsid w:val="001065E7"/>
    <w:rsid w:val="001066CE"/>
    <w:rsid w:val="00106706"/>
    <w:rsid w:val="00106777"/>
    <w:rsid w:val="001067CB"/>
    <w:rsid w:val="00106824"/>
    <w:rsid w:val="00106848"/>
    <w:rsid w:val="00106864"/>
    <w:rsid w:val="00106895"/>
    <w:rsid w:val="001068C6"/>
    <w:rsid w:val="00106978"/>
    <w:rsid w:val="001069D8"/>
    <w:rsid w:val="00106B25"/>
    <w:rsid w:val="00106BF4"/>
    <w:rsid w:val="00106BFE"/>
    <w:rsid w:val="00106C08"/>
    <w:rsid w:val="00106D5A"/>
    <w:rsid w:val="00106D8A"/>
    <w:rsid w:val="00106E83"/>
    <w:rsid w:val="00106ECC"/>
    <w:rsid w:val="00107035"/>
    <w:rsid w:val="001070C5"/>
    <w:rsid w:val="00107183"/>
    <w:rsid w:val="0010723E"/>
    <w:rsid w:val="001074AF"/>
    <w:rsid w:val="001074BB"/>
    <w:rsid w:val="001075D2"/>
    <w:rsid w:val="00107610"/>
    <w:rsid w:val="00107644"/>
    <w:rsid w:val="00107699"/>
    <w:rsid w:val="001076F7"/>
    <w:rsid w:val="0010770E"/>
    <w:rsid w:val="001077C6"/>
    <w:rsid w:val="0010785C"/>
    <w:rsid w:val="001079A8"/>
    <w:rsid w:val="00107A85"/>
    <w:rsid w:val="00107AD2"/>
    <w:rsid w:val="00107B56"/>
    <w:rsid w:val="00107BE5"/>
    <w:rsid w:val="00107D17"/>
    <w:rsid w:val="00107E10"/>
    <w:rsid w:val="00107FEE"/>
    <w:rsid w:val="00110057"/>
    <w:rsid w:val="0011017B"/>
    <w:rsid w:val="00110194"/>
    <w:rsid w:val="00110292"/>
    <w:rsid w:val="0011033D"/>
    <w:rsid w:val="001103CF"/>
    <w:rsid w:val="001103D0"/>
    <w:rsid w:val="00110475"/>
    <w:rsid w:val="001104A3"/>
    <w:rsid w:val="00110540"/>
    <w:rsid w:val="0011081D"/>
    <w:rsid w:val="00110831"/>
    <w:rsid w:val="00110840"/>
    <w:rsid w:val="00110976"/>
    <w:rsid w:val="00110A49"/>
    <w:rsid w:val="00110B10"/>
    <w:rsid w:val="00110CE7"/>
    <w:rsid w:val="00110E1C"/>
    <w:rsid w:val="00110E64"/>
    <w:rsid w:val="00110E77"/>
    <w:rsid w:val="00110F62"/>
    <w:rsid w:val="00110FB5"/>
    <w:rsid w:val="001110A4"/>
    <w:rsid w:val="001110F5"/>
    <w:rsid w:val="001110F9"/>
    <w:rsid w:val="0011110E"/>
    <w:rsid w:val="001111BA"/>
    <w:rsid w:val="0011121F"/>
    <w:rsid w:val="00111244"/>
    <w:rsid w:val="00111297"/>
    <w:rsid w:val="00111375"/>
    <w:rsid w:val="001114FF"/>
    <w:rsid w:val="00111542"/>
    <w:rsid w:val="0011159A"/>
    <w:rsid w:val="0011159E"/>
    <w:rsid w:val="001115CB"/>
    <w:rsid w:val="001115E6"/>
    <w:rsid w:val="001115EC"/>
    <w:rsid w:val="001116FD"/>
    <w:rsid w:val="00111780"/>
    <w:rsid w:val="001117D0"/>
    <w:rsid w:val="0011188A"/>
    <w:rsid w:val="001119CB"/>
    <w:rsid w:val="00111A0F"/>
    <w:rsid w:val="00111A25"/>
    <w:rsid w:val="00111A3A"/>
    <w:rsid w:val="00111AD5"/>
    <w:rsid w:val="00111AE7"/>
    <w:rsid w:val="00111AEF"/>
    <w:rsid w:val="00111B38"/>
    <w:rsid w:val="00111BDA"/>
    <w:rsid w:val="00111CDC"/>
    <w:rsid w:val="00111E09"/>
    <w:rsid w:val="00111E86"/>
    <w:rsid w:val="00111ECD"/>
    <w:rsid w:val="00111F08"/>
    <w:rsid w:val="00111F2D"/>
    <w:rsid w:val="00111F48"/>
    <w:rsid w:val="00111F79"/>
    <w:rsid w:val="00111F81"/>
    <w:rsid w:val="0011203C"/>
    <w:rsid w:val="0011204E"/>
    <w:rsid w:val="00112182"/>
    <w:rsid w:val="001121F5"/>
    <w:rsid w:val="001122ED"/>
    <w:rsid w:val="001122F4"/>
    <w:rsid w:val="001123C5"/>
    <w:rsid w:val="00112415"/>
    <w:rsid w:val="001124AD"/>
    <w:rsid w:val="001124C4"/>
    <w:rsid w:val="001124E4"/>
    <w:rsid w:val="00112518"/>
    <w:rsid w:val="00112558"/>
    <w:rsid w:val="00112602"/>
    <w:rsid w:val="001126B1"/>
    <w:rsid w:val="00112709"/>
    <w:rsid w:val="00112778"/>
    <w:rsid w:val="00112807"/>
    <w:rsid w:val="0011284F"/>
    <w:rsid w:val="001129BF"/>
    <w:rsid w:val="001129DB"/>
    <w:rsid w:val="00112A90"/>
    <w:rsid w:val="00112ADE"/>
    <w:rsid w:val="00112CCC"/>
    <w:rsid w:val="00112D1F"/>
    <w:rsid w:val="00112DD4"/>
    <w:rsid w:val="00112DE8"/>
    <w:rsid w:val="00112E13"/>
    <w:rsid w:val="00112E24"/>
    <w:rsid w:val="00112EF5"/>
    <w:rsid w:val="001130C4"/>
    <w:rsid w:val="0011310F"/>
    <w:rsid w:val="0011312A"/>
    <w:rsid w:val="00113277"/>
    <w:rsid w:val="00113289"/>
    <w:rsid w:val="001132CF"/>
    <w:rsid w:val="001132FE"/>
    <w:rsid w:val="0011334C"/>
    <w:rsid w:val="0011335E"/>
    <w:rsid w:val="0011341C"/>
    <w:rsid w:val="001134BF"/>
    <w:rsid w:val="00113567"/>
    <w:rsid w:val="0011356F"/>
    <w:rsid w:val="001136FE"/>
    <w:rsid w:val="0011370E"/>
    <w:rsid w:val="001137AA"/>
    <w:rsid w:val="00113AD8"/>
    <w:rsid w:val="00113C1D"/>
    <w:rsid w:val="00113CAF"/>
    <w:rsid w:val="00113CDD"/>
    <w:rsid w:val="00113D31"/>
    <w:rsid w:val="00113DA5"/>
    <w:rsid w:val="00113E25"/>
    <w:rsid w:val="00113EC0"/>
    <w:rsid w:val="00113EDF"/>
    <w:rsid w:val="00113FF8"/>
    <w:rsid w:val="001140FB"/>
    <w:rsid w:val="00114185"/>
    <w:rsid w:val="001142C5"/>
    <w:rsid w:val="00114321"/>
    <w:rsid w:val="0011432F"/>
    <w:rsid w:val="00114381"/>
    <w:rsid w:val="0011462B"/>
    <w:rsid w:val="001147B5"/>
    <w:rsid w:val="001147B6"/>
    <w:rsid w:val="001148F2"/>
    <w:rsid w:val="00114917"/>
    <w:rsid w:val="00114945"/>
    <w:rsid w:val="00114AB7"/>
    <w:rsid w:val="00114ABD"/>
    <w:rsid w:val="00114B9D"/>
    <w:rsid w:val="00114BD3"/>
    <w:rsid w:val="00114C9B"/>
    <w:rsid w:val="00114EA8"/>
    <w:rsid w:val="00114EE6"/>
    <w:rsid w:val="00114F65"/>
    <w:rsid w:val="0011520B"/>
    <w:rsid w:val="00115211"/>
    <w:rsid w:val="00115234"/>
    <w:rsid w:val="00115303"/>
    <w:rsid w:val="0011543F"/>
    <w:rsid w:val="001154B1"/>
    <w:rsid w:val="001154B9"/>
    <w:rsid w:val="00115561"/>
    <w:rsid w:val="00115585"/>
    <w:rsid w:val="00115594"/>
    <w:rsid w:val="001155DD"/>
    <w:rsid w:val="00115640"/>
    <w:rsid w:val="00115691"/>
    <w:rsid w:val="001156E9"/>
    <w:rsid w:val="00115744"/>
    <w:rsid w:val="001157CA"/>
    <w:rsid w:val="00115877"/>
    <w:rsid w:val="0011587D"/>
    <w:rsid w:val="001158D8"/>
    <w:rsid w:val="001158E9"/>
    <w:rsid w:val="00115927"/>
    <w:rsid w:val="0011599B"/>
    <w:rsid w:val="001159C5"/>
    <w:rsid w:val="001159D5"/>
    <w:rsid w:val="00115BC5"/>
    <w:rsid w:val="00115C36"/>
    <w:rsid w:val="00115C3D"/>
    <w:rsid w:val="00115D46"/>
    <w:rsid w:val="00115D9E"/>
    <w:rsid w:val="00115EDD"/>
    <w:rsid w:val="00115F02"/>
    <w:rsid w:val="00116132"/>
    <w:rsid w:val="00116186"/>
    <w:rsid w:val="00116269"/>
    <w:rsid w:val="001162AB"/>
    <w:rsid w:val="00116381"/>
    <w:rsid w:val="00116459"/>
    <w:rsid w:val="0011657F"/>
    <w:rsid w:val="001165F8"/>
    <w:rsid w:val="00116A92"/>
    <w:rsid w:val="00116B4D"/>
    <w:rsid w:val="00116B51"/>
    <w:rsid w:val="00116B75"/>
    <w:rsid w:val="00116BBB"/>
    <w:rsid w:val="00116BD7"/>
    <w:rsid w:val="00116CF0"/>
    <w:rsid w:val="00116D28"/>
    <w:rsid w:val="00116D35"/>
    <w:rsid w:val="00116D66"/>
    <w:rsid w:val="00116E08"/>
    <w:rsid w:val="00116E31"/>
    <w:rsid w:val="00116EA4"/>
    <w:rsid w:val="00116F89"/>
    <w:rsid w:val="00116FF3"/>
    <w:rsid w:val="0011701A"/>
    <w:rsid w:val="00117024"/>
    <w:rsid w:val="0011718F"/>
    <w:rsid w:val="00117243"/>
    <w:rsid w:val="0011727A"/>
    <w:rsid w:val="00117283"/>
    <w:rsid w:val="00117373"/>
    <w:rsid w:val="00117461"/>
    <w:rsid w:val="0011754A"/>
    <w:rsid w:val="001175A5"/>
    <w:rsid w:val="00117626"/>
    <w:rsid w:val="00117638"/>
    <w:rsid w:val="0011774E"/>
    <w:rsid w:val="00117A67"/>
    <w:rsid w:val="00117B46"/>
    <w:rsid w:val="00117C46"/>
    <w:rsid w:val="00117CAB"/>
    <w:rsid w:val="00117E91"/>
    <w:rsid w:val="00117EA5"/>
    <w:rsid w:val="00117FEE"/>
    <w:rsid w:val="00120044"/>
    <w:rsid w:val="001200C9"/>
    <w:rsid w:val="0012011D"/>
    <w:rsid w:val="001201AD"/>
    <w:rsid w:val="00120261"/>
    <w:rsid w:val="0012027D"/>
    <w:rsid w:val="00120370"/>
    <w:rsid w:val="001204B0"/>
    <w:rsid w:val="001204D8"/>
    <w:rsid w:val="00120502"/>
    <w:rsid w:val="00120748"/>
    <w:rsid w:val="00120754"/>
    <w:rsid w:val="00120824"/>
    <w:rsid w:val="00120857"/>
    <w:rsid w:val="00120868"/>
    <w:rsid w:val="00120872"/>
    <w:rsid w:val="0012088F"/>
    <w:rsid w:val="001208A3"/>
    <w:rsid w:val="001208E3"/>
    <w:rsid w:val="0012096C"/>
    <w:rsid w:val="001209FE"/>
    <w:rsid w:val="00120AE0"/>
    <w:rsid w:val="00120AE8"/>
    <w:rsid w:val="00120B37"/>
    <w:rsid w:val="00120BA6"/>
    <w:rsid w:val="00120BE5"/>
    <w:rsid w:val="00120C18"/>
    <w:rsid w:val="00120C22"/>
    <w:rsid w:val="00120C88"/>
    <w:rsid w:val="00120D0B"/>
    <w:rsid w:val="00120D67"/>
    <w:rsid w:val="00120E4A"/>
    <w:rsid w:val="00120E9A"/>
    <w:rsid w:val="00120FBB"/>
    <w:rsid w:val="0012112C"/>
    <w:rsid w:val="001211D0"/>
    <w:rsid w:val="0012122A"/>
    <w:rsid w:val="00121456"/>
    <w:rsid w:val="00121549"/>
    <w:rsid w:val="00121657"/>
    <w:rsid w:val="00121668"/>
    <w:rsid w:val="00121746"/>
    <w:rsid w:val="0012176C"/>
    <w:rsid w:val="00121790"/>
    <w:rsid w:val="001218BC"/>
    <w:rsid w:val="001218FA"/>
    <w:rsid w:val="001219C7"/>
    <w:rsid w:val="00121A27"/>
    <w:rsid w:val="00121A2F"/>
    <w:rsid w:val="00121A32"/>
    <w:rsid w:val="00121A40"/>
    <w:rsid w:val="00121A4C"/>
    <w:rsid w:val="00121CDB"/>
    <w:rsid w:val="00121E5F"/>
    <w:rsid w:val="00121F00"/>
    <w:rsid w:val="00121F4F"/>
    <w:rsid w:val="00122035"/>
    <w:rsid w:val="0012231C"/>
    <w:rsid w:val="0012232D"/>
    <w:rsid w:val="0012237F"/>
    <w:rsid w:val="00122451"/>
    <w:rsid w:val="001224DA"/>
    <w:rsid w:val="0012264B"/>
    <w:rsid w:val="001226AE"/>
    <w:rsid w:val="00122786"/>
    <w:rsid w:val="001227A4"/>
    <w:rsid w:val="00122832"/>
    <w:rsid w:val="001228B3"/>
    <w:rsid w:val="00122A09"/>
    <w:rsid w:val="00122A0E"/>
    <w:rsid w:val="00122C25"/>
    <w:rsid w:val="00122C43"/>
    <w:rsid w:val="00122DA9"/>
    <w:rsid w:val="00122DF0"/>
    <w:rsid w:val="00122E5E"/>
    <w:rsid w:val="00123003"/>
    <w:rsid w:val="00123076"/>
    <w:rsid w:val="001230A3"/>
    <w:rsid w:val="00123116"/>
    <w:rsid w:val="00123198"/>
    <w:rsid w:val="001231D0"/>
    <w:rsid w:val="00123249"/>
    <w:rsid w:val="00123282"/>
    <w:rsid w:val="00123378"/>
    <w:rsid w:val="0012339E"/>
    <w:rsid w:val="0012344A"/>
    <w:rsid w:val="00123615"/>
    <w:rsid w:val="001236E5"/>
    <w:rsid w:val="00123737"/>
    <w:rsid w:val="001237ED"/>
    <w:rsid w:val="001239FB"/>
    <w:rsid w:val="00123B09"/>
    <w:rsid w:val="00123B0C"/>
    <w:rsid w:val="00123BF5"/>
    <w:rsid w:val="00123DEC"/>
    <w:rsid w:val="00123E66"/>
    <w:rsid w:val="00123EE7"/>
    <w:rsid w:val="00123FEE"/>
    <w:rsid w:val="00124081"/>
    <w:rsid w:val="0012410D"/>
    <w:rsid w:val="001241BD"/>
    <w:rsid w:val="001241C5"/>
    <w:rsid w:val="00124282"/>
    <w:rsid w:val="0012429F"/>
    <w:rsid w:val="001242D1"/>
    <w:rsid w:val="00124343"/>
    <w:rsid w:val="00124352"/>
    <w:rsid w:val="00124393"/>
    <w:rsid w:val="001243D7"/>
    <w:rsid w:val="00124420"/>
    <w:rsid w:val="00124421"/>
    <w:rsid w:val="001244CA"/>
    <w:rsid w:val="001245EF"/>
    <w:rsid w:val="001245FC"/>
    <w:rsid w:val="00124654"/>
    <w:rsid w:val="0012465A"/>
    <w:rsid w:val="0012466B"/>
    <w:rsid w:val="001246EC"/>
    <w:rsid w:val="001246EF"/>
    <w:rsid w:val="0012477F"/>
    <w:rsid w:val="0012478F"/>
    <w:rsid w:val="001248D3"/>
    <w:rsid w:val="0012491E"/>
    <w:rsid w:val="00124A09"/>
    <w:rsid w:val="00124A84"/>
    <w:rsid w:val="00124AD8"/>
    <w:rsid w:val="00124AF6"/>
    <w:rsid w:val="00124B58"/>
    <w:rsid w:val="00124C30"/>
    <w:rsid w:val="00124C4D"/>
    <w:rsid w:val="00124CE6"/>
    <w:rsid w:val="00124CFD"/>
    <w:rsid w:val="00124D22"/>
    <w:rsid w:val="00124D99"/>
    <w:rsid w:val="00124E3C"/>
    <w:rsid w:val="00124E45"/>
    <w:rsid w:val="00124F6F"/>
    <w:rsid w:val="0012513C"/>
    <w:rsid w:val="001251BD"/>
    <w:rsid w:val="00125241"/>
    <w:rsid w:val="001252FD"/>
    <w:rsid w:val="0012532A"/>
    <w:rsid w:val="0012539E"/>
    <w:rsid w:val="0012543A"/>
    <w:rsid w:val="0012546C"/>
    <w:rsid w:val="001254FE"/>
    <w:rsid w:val="0012553B"/>
    <w:rsid w:val="00125630"/>
    <w:rsid w:val="0012572A"/>
    <w:rsid w:val="001257B6"/>
    <w:rsid w:val="001257C5"/>
    <w:rsid w:val="001257EA"/>
    <w:rsid w:val="00125862"/>
    <w:rsid w:val="001258F2"/>
    <w:rsid w:val="0012590D"/>
    <w:rsid w:val="00125917"/>
    <w:rsid w:val="00125B34"/>
    <w:rsid w:val="00125B5B"/>
    <w:rsid w:val="00125BA3"/>
    <w:rsid w:val="00125BA6"/>
    <w:rsid w:val="00125C32"/>
    <w:rsid w:val="00125DDD"/>
    <w:rsid w:val="00125F10"/>
    <w:rsid w:val="00126034"/>
    <w:rsid w:val="00126073"/>
    <w:rsid w:val="0012613E"/>
    <w:rsid w:val="00126183"/>
    <w:rsid w:val="001261DC"/>
    <w:rsid w:val="00126311"/>
    <w:rsid w:val="0012638F"/>
    <w:rsid w:val="001263EF"/>
    <w:rsid w:val="00126401"/>
    <w:rsid w:val="00126443"/>
    <w:rsid w:val="00126504"/>
    <w:rsid w:val="0012656E"/>
    <w:rsid w:val="0012658A"/>
    <w:rsid w:val="00126599"/>
    <w:rsid w:val="001265EE"/>
    <w:rsid w:val="001265F0"/>
    <w:rsid w:val="00126621"/>
    <w:rsid w:val="001266B3"/>
    <w:rsid w:val="00126893"/>
    <w:rsid w:val="0012694E"/>
    <w:rsid w:val="00126954"/>
    <w:rsid w:val="00126960"/>
    <w:rsid w:val="001269C0"/>
    <w:rsid w:val="00126AC7"/>
    <w:rsid w:val="00126AF8"/>
    <w:rsid w:val="00126B56"/>
    <w:rsid w:val="00126BBA"/>
    <w:rsid w:val="00126BFB"/>
    <w:rsid w:val="00126C57"/>
    <w:rsid w:val="00126D48"/>
    <w:rsid w:val="00126DA4"/>
    <w:rsid w:val="00126ED7"/>
    <w:rsid w:val="00126F2E"/>
    <w:rsid w:val="00126F81"/>
    <w:rsid w:val="00126F9D"/>
    <w:rsid w:val="0012701F"/>
    <w:rsid w:val="00127077"/>
    <w:rsid w:val="0012714B"/>
    <w:rsid w:val="001272F0"/>
    <w:rsid w:val="001272FE"/>
    <w:rsid w:val="00127343"/>
    <w:rsid w:val="001274C6"/>
    <w:rsid w:val="00127556"/>
    <w:rsid w:val="001275D1"/>
    <w:rsid w:val="001275DD"/>
    <w:rsid w:val="001275EC"/>
    <w:rsid w:val="00127711"/>
    <w:rsid w:val="00127762"/>
    <w:rsid w:val="001277BA"/>
    <w:rsid w:val="001277FD"/>
    <w:rsid w:val="00127870"/>
    <w:rsid w:val="0012793A"/>
    <w:rsid w:val="001279C4"/>
    <w:rsid w:val="00127BFA"/>
    <w:rsid w:val="00127C0C"/>
    <w:rsid w:val="00127C3D"/>
    <w:rsid w:val="00127D9C"/>
    <w:rsid w:val="00127DC7"/>
    <w:rsid w:val="00127DF0"/>
    <w:rsid w:val="00127F00"/>
    <w:rsid w:val="00127F02"/>
    <w:rsid w:val="00127FB1"/>
    <w:rsid w:val="00130169"/>
    <w:rsid w:val="001304E8"/>
    <w:rsid w:val="0013062E"/>
    <w:rsid w:val="00130687"/>
    <w:rsid w:val="0013072E"/>
    <w:rsid w:val="001307B1"/>
    <w:rsid w:val="00130807"/>
    <w:rsid w:val="00130848"/>
    <w:rsid w:val="0013090C"/>
    <w:rsid w:val="0013092B"/>
    <w:rsid w:val="001309B9"/>
    <w:rsid w:val="00130A00"/>
    <w:rsid w:val="00130AA6"/>
    <w:rsid w:val="00130ACD"/>
    <w:rsid w:val="00130C93"/>
    <w:rsid w:val="00130CB1"/>
    <w:rsid w:val="00130D86"/>
    <w:rsid w:val="00130DFF"/>
    <w:rsid w:val="00130E02"/>
    <w:rsid w:val="00130E40"/>
    <w:rsid w:val="00130EAD"/>
    <w:rsid w:val="00130EED"/>
    <w:rsid w:val="00131054"/>
    <w:rsid w:val="001310EC"/>
    <w:rsid w:val="00131172"/>
    <w:rsid w:val="00131184"/>
    <w:rsid w:val="00131347"/>
    <w:rsid w:val="001313CD"/>
    <w:rsid w:val="001313D2"/>
    <w:rsid w:val="0013142B"/>
    <w:rsid w:val="0013146D"/>
    <w:rsid w:val="00131514"/>
    <w:rsid w:val="0013161A"/>
    <w:rsid w:val="0013162A"/>
    <w:rsid w:val="001316CA"/>
    <w:rsid w:val="001317B7"/>
    <w:rsid w:val="00131880"/>
    <w:rsid w:val="001318FA"/>
    <w:rsid w:val="0013190C"/>
    <w:rsid w:val="001319E0"/>
    <w:rsid w:val="001319ED"/>
    <w:rsid w:val="00131A79"/>
    <w:rsid w:val="00131ACC"/>
    <w:rsid w:val="00131AFC"/>
    <w:rsid w:val="00131CA1"/>
    <w:rsid w:val="00131D07"/>
    <w:rsid w:val="00131DD2"/>
    <w:rsid w:val="00131EBD"/>
    <w:rsid w:val="00131FDE"/>
    <w:rsid w:val="001320CF"/>
    <w:rsid w:val="00132208"/>
    <w:rsid w:val="001322CB"/>
    <w:rsid w:val="00132456"/>
    <w:rsid w:val="00132524"/>
    <w:rsid w:val="0013265B"/>
    <w:rsid w:val="00132662"/>
    <w:rsid w:val="001326DC"/>
    <w:rsid w:val="0013276C"/>
    <w:rsid w:val="001327D2"/>
    <w:rsid w:val="00132A68"/>
    <w:rsid w:val="00132A76"/>
    <w:rsid w:val="00132AFB"/>
    <w:rsid w:val="00132B2E"/>
    <w:rsid w:val="00132B36"/>
    <w:rsid w:val="00132B74"/>
    <w:rsid w:val="00132C04"/>
    <w:rsid w:val="00132C4F"/>
    <w:rsid w:val="00132C62"/>
    <w:rsid w:val="00132D48"/>
    <w:rsid w:val="00132DBD"/>
    <w:rsid w:val="00132E45"/>
    <w:rsid w:val="00132E54"/>
    <w:rsid w:val="00132F37"/>
    <w:rsid w:val="00132FEF"/>
    <w:rsid w:val="00133015"/>
    <w:rsid w:val="001330E0"/>
    <w:rsid w:val="00133100"/>
    <w:rsid w:val="001332EF"/>
    <w:rsid w:val="00133356"/>
    <w:rsid w:val="00133357"/>
    <w:rsid w:val="001333E3"/>
    <w:rsid w:val="00133417"/>
    <w:rsid w:val="0013343F"/>
    <w:rsid w:val="001335D2"/>
    <w:rsid w:val="001337C9"/>
    <w:rsid w:val="00133849"/>
    <w:rsid w:val="00133A10"/>
    <w:rsid w:val="00133A5A"/>
    <w:rsid w:val="00133B10"/>
    <w:rsid w:val="00133B30"/>
    <w:rsid w:val="00133BAB"/>
    <w:rsid w:val="00133C0A"/>
    <w:rsid w:val="00133C2A"/>
    <w:rsid w:val="00133D1B"/>
    <w:rsid w:val="00133D67"/>
    <w:rsid w:val="00133D89"/>
    <w:rsid w:val="00133DA3"/>
    <w:rsid w:val="00133E3F"/>
    <w:rsid w:val="00133E8F"/>
    <w:rsid w:val="00133EE6"/>
    <w:rsid w:val="00133FA1"/>
    <w:rsid w:val="00134326"/>
    <w:rsid w:val="0013434D"/>
    <w:rsid w:val="001343B4"/>
    <w:rsid w:val="001345E3"/>
    <w:rsid w:val="00134600"/>
    <w:rsid w:val="00134632"/>
    <w:rsid w:val="00134650"/>
    <w:rsid w:val="00134727"/>
    <w:rsid w:val="00134795"/>
    <w:rsid w:val="001347D6"/>
    <w:rsid w:val="00134894"/>
    <w:rsid w:val="001348D8"/>
    <w:rsid w:val="00134903"/>
    <w:rsid w:val="00134B36"/>
    <w:rsid w:val="00134B9C"/>
    <w:rsid w:val="00134CBE"/>
    <w:rsid w:val="00134DB2"/>
    <w:rsid w:val="00134E5D"/>
    <w:rsid w:val="00134ED6"/>
    <w:rsid w:val="00134EDF"/>
    <w:rsid w:val="0013510F"/>
    <w:rsid w:val="001351B7"/>
    <w:rsid w:val="001351D3"/>
    <w:rsid w:val="001351DC"/>
    <w:rsid w:val="00135269"/>
    <w:rsid w:val="00135304"/>
    <w:rsid w:val="0013533E"/>
    <w:rsid w:val="00135366"/>
    <w:rsid w:val="0013542D"/>
    <w:rsid w:val="00135437"/>
    <w:rsid w:val="00135456"/>
    <w:rsid w:val="001354ED"/>
    <w:rsid w:val="001355F2"/>
    <w:rsid w:val="00135625"/>
    <w:rsid w:val="00135634"/>
    <w:rsid w:val="00135661"/>
    <w:rsid w:val="001356F5"/>
    <w:rsid w:val="0013573A"/>
    <w:rsid w:val="00135798"/>
    <w:rsid w:val="0013581C"/>
    <w:rsid w:val="001358E7"/>
    <w:rsid w:val="00135917"/>
    <w:rsid w:val="00135AA3"/>
    <w:rsid w:val="00135B41"/>
    <w:rsid w:val="00135C0B"/>
    <w:rsid w:val="00135CC3"/>
    <w:rsid w:val="00135D2D"/>
    <w:rsid w:val="00135D5F"/>
    <w:rsid w:val="00135DBF"/>
    <w:rsid w:val="00135DC5"/>
    <w:rsid w:val="00135DFB"/>
    <w:rsid w:val="00135E4E"/>
    <w:rsid w:val="00135F82"/>
    <w:rsid w:val="00136090"/>
    <w:rsid w:val="00136156"/>
    <w:rsid w:val="00136160"/>
    <w:rsid w:val="00136195"/>
    <w:rsid w:val="00136256"/>
    <w:rsid w:val="001362B0"/>
    <w:rsid w:val="001362B4"/>
    <w:rsid w:val="001362D1"/>
    <w:rsid w:val="00136397"/>
    <w:rsid w:val="00136406"/>
    <w:rsid w:val="00136483"/>
    <w:rsid w:val="001365E3"/>
    <w:rsid w:val="00136682"/>
    <w:rsid w:val="00136686"/>
    <w:rsid w:val="00136780"/>
    <w:rsid w:val="0013678D"/>
    <w:rsid w:val="00136837"/>
    <w:rsid w:val="0013684B"/>
    <w:rsid w:val="0013684F"/>
    <w:rsid w:val="0013687B"/>
    <w:rsid w:val="00136A62"/>
    <w:rsid w:val="00136ACA"/>
    <w:rsid w:val="00136BF7"/>
    <w:rsid w:val="00136CC6"/>
    <w:rsid w:val="00136DE6"/>
    <w:rsid w:val="00136E3B"/>
    <w:rsid w:val="00136E91"/>
    <w:rsid w:val="00136F1D"/>
    <w:rsid w:val="00136F26"/>
    <w:rsid w:val="00136F62"/>
    <w:rsid w:val="00136FCD"/>
    <w:rsid w:val="00137094"/>
    <w:rsid w:val="00137177"/>
    <w:rsid w:val="00137263"/>
    <w:rsid w:val="001372F3"/>
    <w:rsid w:val="0013738B"/>
    <w:rsid w:val="00137568"/>
    <w:rsid w:val="00137580"/>
    <w:rsid w:val="001375B3"/>
    <w:rsid w:val="001375D7"/>
    <w:rsid w:val="001376C2"/>
    <w:rsid w:val="001377E7"/>
    <w:rsid w:val="00137889"/>
    <w:rsid w:val="001378FF"/>
    <w:rsid w:val="00137A23"/>
    <w:rsid w:val="00137A37"/>
    <w:rsid w:val="00137B1E"/>
    <w:rsid w:val="00137B5C"/>
    <w:rsid w:val="00137BCC"/>
    <w:rsid w:val="00137C0F"/>
    <w:rsid w:val="00137C30"/>
    <w:rsid w:val="00137C9C"/>
    <w:rsid w:val="00137CDF"/>
    <w:rsid w:val="00137DBC"/>
    <w:rsid w:val="0014004C"/>
    <w:rsid w:val="0014006B"/>
    <w:rsid w:val="001400EA"/>
    <w:rsid w:val="00140130"/>
    <w:rsid w:val="001401B9"/>
    <w:rsid w:val="00140301"/>
    <w:rsid w:val="0014033A"/>
    <w:rsid w:val="00140348"/>
    <w:rsid w:val="001404D7"/>
    <w:rsid w:val="001404F7"/>
    <w:rsid w:val="00140559"/>
    <w:rsid w:val="00140622"/>
    <w:rsid w:val="00140858"/>
    <w:rsid w:val="0014087F"/>
    <w:rsid w:val="001408B9"/>
    <w:rsid w:val="0014090C"/>
    <w:rsid w:val="00140984"/>
    <w:rsid w:val="001409AE"/>
    <w:rsid w:val="001409E8"/>
    <w:rsid w:val="00140A12"/>
    <w:rsid w:val="00140A34"/>
    <w:rsid w:val="00140AFF"/>
    <w:rsid w:val="00140CEC"/>
    <w:rsid w:val="00140D7F"/>
    <w:rsid w:val="00140DC5"/>
    <w:rsid w:val="00140FA1"/>
    <w:rsid w:val="00141004"/>
    <w:rsid w:val="0014100B"/>
    <w:rsid w:val="001410A2"/>
    <w:rsid w:val="001410C6"/>
    <w:rsid w:val="0014118B"/>
    <w:rsid w:val="0014123F"/>
    <w:rsid w:val="0014137E"/>
    <w:rsid w:val="001414A9"/>
    <w:rsid w:val="001414BF"/>
    <w:rsid w:val="00141548"/>
    <w:rsid w:val="00141640"/>
    <w:rsid w:val="0014164B"/>
    <w:rsid w:val="0014187D"/>
    <w:rsid w:val="001418F1"/>
    <w:rsid w:val="00141904"/>
    <w:rsid w:val="001419CF"/>
    <w:rsid w:val="00141AA4"/>
    <w:rsid w:val="00141D06"/>
    <w:rsid w:val="00141D41"/>
    <w:rsid w:val="00141E03"/>
    <w:rsid w:val="00141E2B"/>
    <w:rsid w:val="00141EF5"/>
    <w:rsid w:val="00141FCC"/>
    <w:rsid w:val="0014204E"/>
    <w:rsid w:val="00142079"/>
    <w:rsid w:val="001423BC"/>
    <w:rsid w:val="00142477"/>
    <w:rsid w:val="00142512"/>
    <w:rsid w:val="00142520"/>
    <w:rsid w:val="00142579"/>
    <w:rsid w:val="00142618"/>
    <w:rsid w:val="00142764"/>
    <w:rsid w:val="00142791"/>
    <w:rsid w:val="00142A2C"/>
    <w:rsid w:val="00142A38"/>
    <w:rsid w:val="00142B4D"/>
    <w:rsid w:val="00142B75"/>
    <w:rsid w:val="00142D2D"/>
    <w:rsid w:val="00142D77"/>
    <w:rsid w:val="00142E6D"/>
    <w:rsid w:val="00142EAB"/>
    <w:rsid w:val="00142F52"/>
    <w:rsid w:val="00142FDA"/>
    <w:rsid w:val="001430C5"/>
    <w:rsid w:val="001430D7"/>
    <w:rsid w:val="0014318B"/>
    <w:rsid w:val="00143191"/>
    <w:rsid w:val="00143202"/>
    <w:rsid w:val="00143358"/>
    <w:rsid w:val="0014344D"/>
    <w:rsid w:val="0014354F"/>
    <w:rsid w:val="001435B2"/>
    <w:rsid w:val="001435F1"/>
    <w:rsid w:val="0014382B"/>
    <w:rsid w:val="0014388A"/>
    <w:rsid w:val="00143931"/>
    <w:rsid w:val="001439B5"/>
    <w:rsid w:val="00143A0B"/>
    <w:rsid w:val="00143C21"/>
    <w:rsid w:val="00143CBB"/>
    <w:rsid w:val="00143CD5"/>
    <w:rsid w:val="00143D8D"/>
    <w:rsid w:val="00143D99"/>
    <w:rsid w:val="00143FA3"/>
    <w:rsid w:val="00144095"/>
    <w:rsid w:val="001440AC"/>
    <w:rsid w:val="00144162"/>
    <w:rsid w:val="0014419D"/>
    <w:rsid w:val="001441FA"/>
    <w:rsid w:val="0014430D"/>
    <w:rsid w:val="0014454C"/>
    <w:rsid w:val="001445C2"/>
    <w:rsid w:val="0014463B"/>
    <w:rsid w:val="00144647"/>
    <w:rsid w:val="00144775"/>
    <w:rsid w:val="001447B7"/>
    <w:rsid w:val="001447CB"/>
    <w:rsid w:val="001448EA"/>
    <w:rsid w:val="001448F5"/>
    <w:rsid w:val="00144958"/>
    <w:rsid w:val="0014499D"/>
    <w:rsid w:val="001449E3"/>
    <w:rsid w:val="00144A08"/>
    <w:rsid w:val="00144A4B"/>
    <w:rsid w:val="00144A82"/>
    <w:rsid w:val="00144A9C"/>
    <w:rsid w:val="00144ABA"/>
    <w:rsid w:val="00144BE6"/>
    <w:rsid w:val="00144C58"/>
    <w:rsid w:val="00144C6D"/>
    <w:rsid w:val="00144CA7"/>
    <w:rsid w:val="00144D5A"/>
    <w:rsid w:val="00144DEB"/>
    <w:rsid w:val="00144FD6"/>
    <w:rsid w:val="0014518B"/>
    <w:rsid w:val="001452FD"/>
    <w:rsid w:val="0014533A"/>
    <w:rsid w:val="001453C0"/>
    <w:rsid w:val="001453C2"/>
    <w:rsid w:val="001453EF"/>
    <w:rsid w:val="00145419"/>
    <w:rsid w:val="0014554A"/>
    <w:rsid w:val="0014572D"/>
    <w:rsid w:val="00145765"/>
    <w:rsid w:val="001457E2"/>
    <w:rsid w:val="0014582A"/>
    <w:rsid w:val="001458CB"/>
    <w:rsid w:val="001458F6"/>
    <w:rsid w:val="0014592D"/>
    <w:rsid w:val="001459DB"/>
    <w:rsid w:val="001459E1"/>
    <w:rsid w:val="001459EC"/>
    <w:rsid w:val="00145A15"/>
    <w:rsid w:val="00145A1B"/>
    <w:rsid w:val="00145A25"/>
    <w:rsid w:val="00145B2D"/>
    <w:rsid w:val="00145C2B"/>
    <w:rsid w:val="00145DF6"/>
    <w:rsid w:val="00145DFC"/>
    <w:rsid w:val="00145E0D"/>
    <w:rsid w:val="00145E0F"/>
    <w:rsid w:val="00145E82"/>
    <w:rsid w:val="00145EB8"/>
    <w:rsid w:val="00145F77"/>
    <w:rsid w:val="00145F97"/>
    <w:rsid w:val="00146061"/>
    <w:rsid w:val="001460E5"/>
    <w:rsid w:val="001460F2"/>
    <w:rsid w:val="00146123"/>
    <w:rsid w:val="0014613A"/>
    <w:rsid w:val="00146153"/>
    <w:rsid w:val="0014617B"/>
    <w:rsid w:val="0014620F"/>
    <w:rsid w:val="0014631D"/>
    <w:rsid w:val="00146371"/>
    <w:rsid w:val="0014638A"/>
    <w:rsid w:val="00146393"/>
    <w:rsid w:val="0014645F"/>
    <w:rsid w:val="00146474"/>
    <w:rsid w:val="00146489"/>
    <w:rsid w:val="001464FE"/>
    <w:rsid w:val="00146632"/>
    <w:rsid w:val="0014673F"/>
    <w:rsid w:val="0014679E"/>
    <w:rsid w:val="0014695F"/>
    <w:rsid w:val="00146981"/>
    <w:rsid w:val="00146C7F"/>
    <w:rsid w:val="00146C96"/>
    <w:rsid w:val="00146D36"/>
    <w:rsid w:val="00146D75"/>
    <w:rsid w:val="00146EDC"/>
    <w:rsid w:val="00146F04"/>
    <w:rsid w:val="001470D3"/>
    <w:rsid w:val="00147126"/>
    <w:rsid w:val="0014713F"/>
    <w:rsid w:val="001471DB"/>
    <w:rsid w:val="0014733F"/>
    <w:rsid w:val="00147390"/>
    <w:rsid w:val="001473CA"/>
    <w:rsid w:val="00147488"/>
    <w:rsid w:val="001474E7"/>
    <w:rsid w:val="0014754A"/>
    <w:rsid w:val="0014754F"/>
    <w:rsid w:val="001476AE"/>
    <w:rsid w:val="001476CD"/>
    <w:rsid w:val="0014778D"/>
    <w:rsid w:val="001477D8"/>
    <w:rsid w:val="00147869"/>
    <w:rsid w:val="001478B6"/>
    <w:rsid w:val="00147979"/>
    <w:rsid w:val="0014797D"/>
    <w:rsid w:val="001479C0"/>
    <w:rsid w:val="00147BBA"/>
    <w:rsid w:val="00147C97"/>
    <w:rsid w:val="00147CC6"/>
    <w:rsid w:val="00147CCB"/>
    <w:rsid w:val="00147D3A"/>
    <w:rsid w:val="00147D88"/>
    <w:rsid w:val="00147E84"/>
    <w:rsid w:val="00147EBC"/>
    <w:rsid w:val="00147EE0"/>
    <w:rsid w:val="0015009D"/>
    <w:rsid w:val="001500D2"/>
    <w:rsid w:val="0015010E"/>
    <w:rsid w:val="0015019F"/>
    <w:rsid w:val="001501A6"/>
    <w:rsid w:val="001501BC"/>
    <w:rsid w:val="001501EE"/>
    <w:rsid w:val="001502F9"/>
    <w:rsid w:val="00150345"/>
    <w:rsid w:val="00150392"/>
    <w:rsid w:val="00150484"/>
    <w:rsid w:val="001504E0"/>
    <w:rsid w:val="001504E8"/>
    <w:rsid w:val="00150599"/>
    <w:rsid w:val="001505EB"/>
    <w:rsid w:val="00150622"/>
    <w:rsid w:val="001506A0"/>
    <w:rsid w:val="00150709"/>
    <w:rsid w:val="00150740"/>
    <w:rsid w:val="00150764"/>
    <w:rsid w:val="001507AA"/>
    <w:rsid w:val="001507CB"/>
    <w:rsid w:val="00150802"/>
    <w:rsid w:val="00150853"/>
    <w:rsid w:val="00150D01"/>
    <w:rsid w:val="00150D32"/>
    <w:rsid w:val="00150E91"/>
    <w:rsid w:val="00150F0F"/>
    <w:rsid w:val="00150F42"/>
    <w:rsid w:val="00150F7B"/>
    <w:rsid w:val="001510E6"/>
    <w:rsid w:val="00151102"/>
    <w:rsid w:val="0015114A"/>
    <w:rsid w:val="001511DE"/>
    <w:rsid w:val="00151294"/>
    <w:rsid w:val="001512B7"/>
    <w:rsid w:val="00151319"/>
    <w:rsid w:val="00151340"/>
    <w:rsid w:val="001513A5"/>
    <w:rsid w:val="001515BB"/>
    <w:rsid w:val="00151608"/>
    <w:rsid w:val="00151655"/>
    <w:rsid w:val="0015171E"/>
    <w:rsid w:val="00151791"/>
    <w:rsid w:val="0015187A"/>
    <w:rsid w:val="0015187D"/>
    <w:rsid w:val="00151982"/>
    <w:rsid w:val="00151A13"/>
    <w:rsid w:val="00151A1B"/>
    <w:rsid w:val="00151A51"/>
    <w:rsid w:val="00151AAF"/>
    <w:rsid w:val="00151B2F"/>
    <w:rsid w:val="00151B82"/>
    <w:rsid w:val="00151B8D"/>
    <w:rsid w:val="00151D71"/>
    <w:rsid w:val="00151E50"/>
    <w:rsid w:val="00151EF3"/>
    <w:rsid w:val="00152104"/>
    <w:rsid w:val="00152166"/>
    <w:rsid w:val="00152269"/>
    <w:rsid w:val="0015227F"/>
    <w:rsid w:val="0015232C"/>
    <w:rsid w:val="0015247E"/>
    <w:rsid w:val="00152516"/>
    <w:rsid w:val="001525AC"/>
    <w:rsid w:val="001526E2"/>
    <w:rsid w:val="001526EA"/>
    <w:rsid w:val="00152771"/>
    <w:rsid w:val="001527A8"/>
    <w:rsid w:val="001528DE"/>
    <w:rsid w:val="001529A3"/>
    <w:rsid w:val="00152A08"/>
    <w:rsid w:val="00152A2A"/>
    <w:rsid w:val="00152A8B"/>
    <w:rsid w:val="00152A94"/>
    <w:rsid w:val="00152B24"/>
    <w:rsid w:val="00152B47"/>
    <w:rsid w:val="00152BFB"/>
    <w:rsid w:val="00152D49"/>
    <w:rsid w:val="00152E16"/>
    <w:rsid w:val="00152EF0"/>
    <w:rsid w:val="00152F2A"/>
    <w:rsid w:val="0015306E"/>
    <w:rsid w:val="001530C0"/>
    <w:rsid w:val="00153190"/>
    <w:rsid w:val="001531D0"/>
    <w:rsid w:val="00153201"/>
    <w:rsid w:val="00153412"/>
    <w:rsid w:val="00153565"/>
    <w:rsid w:val="0015358E"/>
    <w:rsid w:val="001535FF"/>
    <w:rsid w:val="001536F3"/>
    <w:rsid w:val="00153838"/>
    <w:rsid w:val="001538F2"/>
    <w:rsid w:val="001539CE"/>
    <w:rsid w:val="00153B00"/>
    <w:rsid w:val="00153B61"/>
    <w:rsid w:val="00153CB1"/>
    <w:rsid w:val="00153CDA"/>
    <w:rsid w:val="00153D9B"/>
    <w:rsid w:val="00153DAB"/>
    <w:rsid w:val="00153EAB"/>
    <w:rsid w:val="00153FEC"/>
    <w:rsid w:val="00154015"/>
    <w:rsid w:val="00154078"/>
    <w:rsid w:val="0015408F"/>
    <w:rsid w:val="00154108"/>
    <w:rsid w:val="0015413C"/>
    <w:rsid w:val="001541AE"/>
    <w:rsid w:val="001541D0"/>
    <w:rsid w:val="00154226"/>
    <w:rsid w:val="00154292"/>
    <w:rsid w:val="001542AC"/>
    <w:rsid w:val="00154366"/>
    <w:rsid w:val="00154370"/>
    <w:rsid w:val="00154438"/>
    <w:rsid w:val="00154465"/>
    <w:rsid w:val="0015446E"/>
    <w:rsid w:val="00154553"/>
    <w:rsid w:val="00154663"/>
    <w:rsid w:val="0015469C"/>
    <w:rsid w:val="001546CD"/>
    <w:rsid w:val="001546DA"/>
    <w:rsid w:val="001547B9"/>
    <w:rsid w:val="00154802"/>
    <w:rsid w:val="0015484A"/>
    <w:rsid w:val="00154ADC"/>
    <w:rsid w:val="00154B42"/>
    <w:rsid w:val="00154C2E"/>
    <w:rsid w:val="00154DDA"/>
    <w:rsid w:val="00154E2A"/>
    <w:rsid w:val="00154E9F"/>
    <w:rsid w:val="00154F27"/>
    <w:rsid w:val="00154F47"/>
    <w:rsid w:val="00154F5B"/>
    <w:rsid w:val="0015505E"/>
    <w:rsid w:val="001550EF"/>
    <w:rsid w:val="0015515D"/>
    <w:rsid w:val="00155202"/>
    <w:rsid w:val="00155245"/>
    <w:rsid w:val="001552FE"/>
    <w:rsid w:val="0015532B"/>
    <w:rsid w:val="001553FD"/>
    <w:rsid w:val="001555E0"/>
    <w:rsid w:val="00155706"/>
    <w:rsid w:val="001557F9"/>
    <w:rsid w:val="0015584E"/>
    <w:rsid w:val="00155897"/>
    <w:rsid w:val="001558F0"/>
    <w:rsid w:val="00155922"/>
    <w:rsid w:val="00155989"/>
    <w:rsid w:val="00155A21"/>
    <w:rsid w:val="00155B5E"/>
    <w:rsid w:val="00155B96"/>
    <w:rsid w:val="00155CE7"/>
    <w:rsid w:val="00155D25"/>
    <w:rsid w:val="00155DC4"/>
    <w:rsid w:val="00155DD3"/>
    <w:rsid w:val="00155DFC"/>
    <w:rsid w:val="00155E48"/>
    <w:rsid w:val="00155ECD"/>
    <w:rsid w:val="00155ED5"/>
    <w:rsid w:val="00155ED8"/>
    <w:rsid w:val="00155F02"/>
    <w:rsid w:val="001560BB"/>
    <w:rsid w:val="001560FC"/>
    <w:rsid w:val="00156137"/>
    <w:rsid w:val="0015624E"/>
    <w:rsid w:val="00156282"/>
    <w:rsid w:val="0015632F"/>
    <w:rsid w:val="00156365"/>
    <w:rsid w:val="0015641F"/>
    <w:rsid w:val="00156435"/>
    <w:rsid w:val="00156544"/>
    <w:rsid w:val="00156661"/>
    <w:rsid w:val="00156700"/>
    <w:rsid w:val="00156780"/>
    <w:rsid w:val="00156826"/>
    <w:rsid w:val="001568C4"/>
    <w:rsid w:val="00156953"/>
    <w:rsid w:val="00156A45"/>
    <w:rsid w:val="00156B8C"/>
    <w:rsid w:val="00156B93"/>
    <w:rsid w:val="00156BA0"/>
    <w:rsid w:val="00156C3E"/>
    <w:rsid w:val="00156E11"/>
    <w:rsid w:val="00156E59"/>
    <w:rsid w:val="00156E6B"/>
    <w:rsid w:val="00156F07"/>
    <w:rsid w:val="00156F6C"/>
    <w:rsid w:val="00156FD8"/>
    <w:rsid w:val="0015705B"/>
    <w:rsid w:val="0015711D"/>
    <w:rsid w:val="001571CB"/>
    <w:rsid w:val="001571DD"/>
    <w:rsid w:val="0015724A"/>
    <w:rsid w:val="00157289"/>
    <w:rsid w:val="001572CF"/>
    <w:rsid w:val="00157374"/>
    <w:rsid w:val="0015746F"/>
    <w:rsid w:val="00157491"/>
    <w:rsid w:val="0015779A"/>
    <w:rsid w:val="001577F7"/>
    <w:rsid w:val="00157873"/>
    <w:rsid w:val="0015790E"/>
    <w:rsid w:val="00157919"/>
    <w:rsid w:val="001579C5"/>
    <w:rsid w:val="00157A1B"/>
    <w:rsid w:val="00157A84"/>
    <w:rsid w:val="00157AFE"/>
    <w:rsid w:val="00157B29"/>
    <w:rsid w:val="00157B63"/>
    <w:rsid w:val="00157B7F"/>
    <w:rsid w:val="00157DD6"/>
    <w:rsid w:val="00157E90"/>
    <w:rsid w:val="00157F18"/>
    <w:rsid w:val="00157FA0"/>
    <w:rsid w:val="0016003A"/>
    <w:rsid w:val="0016004B"/>
    <w:rsid w:val="00160052"/>
    <w:rsid w:val="001600A9"/>
    <w:rsid w:val="00160141"/>
    <w:rsid w:val="0016028F"/>
    <w:rsid w:val="0016031E"/>
    <w:rsid w:val="00160327"/>
    <w:rsid w:val="0016035C"/>
    <w:rsid w:val="0016037B"/>
    <w:rsid w:val="001603ED"/>
    <w:rsid w:val="0016051E"/>
    <w:rsid w:val="001605FD"/>
    <w:rsid w:val="00160661"/>
    <w:rsid w:val="0016073A"/>
    <w:rsid w:val="001607A9"/>
    <w:rsid w:val="001609C1"/>
    <w:rsid w:val="001609E1"/>
    <w:rsid w:val="00160A8F"/>
    <w:rsid w:val="00160AAF"/>
    <w:rsid w:val="00160AB4"/>
    <w:rsid w:val="00160B2E"/>
    <w:rsid w:val="00160B86"/>
    <w:rsid w:val="00160C5E"/>
    <w:rsid w:val="00160C92"/>
    <w:rsid w:val="00160D43"/>
    <w:rsid w:val="00160EFD"/>
    <w:rsid w:val="00160F0B"/>
    <w:rsid w:val="00160FD7"/>
    <w:rsid w:val="00160FEE"/>
    <w:rsid w:val="00161182"/>
    <w:rsid w:val="0016122B"/>
    <w:rsid w:val="001612DC"/>
    <w:rsid w:val="001612EC"/>
    <w:rsid w:val="0016138A"/>
    <w:rsid w:val="00161414"/>
    <w:rsid w:val="00161525"/>
    <w:rsid w:val="0016156F"/>
    <w:rsid w:val="0016159F"/>
    <w:rsid w:val="001615D8"/>
    <w:rsid w:val="00161601"/>
    <w:rsid w:val="00161635"/>
    <w:rsid w:val="001616E2"/>
    <w:rsid w:val="00161716"/>
    <w:rsid w:val="00161741"/>
    <w:rsid w:val="001617C0"/>
    <w:rsid w:val="001617F7"/>
    <w:rsid w:val="00161886"/>
    <w:rsid w:val="001618D3"/>
    <w:rsid w:val="00161929"/>
    <w:rsid w:val="00161939"/>
    <w:rsid w:val="00161AC7"/>
    <w:rsid w:val="00161B78"/>
    <w:rsid w:val="00161B7D"/>
    <w:rsid w:val="00161C12"/>
    <w:rsid w:val="00161D4D"/>
    <w:rsid w:val="00161F2E"/>
    <w:rsid w:val="0016217F"/>
    <w:rsid w:val="001621BB"/>
    <w:rsid w:val="00162301"/>
    <w:rsid w:val="00162420"/>
    <w:rsid w:val="0016245B"/>
    <w:rsid w:val="0016253A"/>
    <w:rsid w:val="00162556"/>
    <w:rsid w:val="00162626"/>
    <w:rsid w:val="00162655"/>
    <w:rsid w:val="001627AA"/>
    <w:rsid w:val="00162820"/>
    <w:rsid w:val="00162824"/>
    <w:rsid w:val="00162847"/>
    <w:rsid w:val="00162864"/>
    <w:rsid w:val="00162906"/>
    <w:rsid w:val="0016292D"/>
    <w:rsid w:val="00162986"/>
    <w:rsid w:val="00162A5D"/>
    <w:rsid w:val="00162AC7"/>
    <w:rsid w:val="00162B21"/>
    <w:rsid w:val="00162C00"/>
    <w:rsid w:val="00162C5C"/>
    <w:rsid w:val="00162C6B"/>
    <w:rsid w:val="00162D5C"/>
    <w:rsid w:val="00162DD7"/>
    <w:rsid w:val="00162E11"/>
    <w:rsid w:val="00162E29"/>
    <w:rsid w:val="0016306B"/>
    <w:rsid w:val="00163097"/>
    <w:rsid w:val="001630A3"/>
    <w:rsid w:val="001631C8"/>
    <w:rsid w:val="0016329B"/>
    <w:rsid w:val="001632CC"/>
    <w:rsid w:val="00163381"/>
    <w:rsid w:val="001633A2"/>
    <w:rsid w:val="001633FA"/>
    <w:rsid w:val="00163439"/>
    <w:rsid w:val="001635CA"/>
    <w:rsid w:val="001636A7"/>
    <w:rsid w:val="0016377E"/>
    <w:rsid w:val="00163862"/>
    <w:rsid w:val="001638EF"/>
    <w:rsid w:val="0016394F"/>
    <w:rsid w:val="001639BB"/>
    <w:rsid w:val="00163A33"/>
    <w:rsid w:val="00163ABC"/>
    <w:rsid w:val="00163B87"/>
    <w:rsid w:val="00163BEA"/>
    <w:rsid w:val="00163C2F"/>
    <w:rsid w:val="00163CA0"/>
    <w:rsid w:val="00163F7E"/>
    <w:rsid w:val="00164045"/>
    <w:rsid w:val="00164074"/>
    <w:rsid w:val="00164132"/>
    <w:rsid w:val="0016421E"/>
    <w:rsid w:val="00164277"/>
    <w:rsid w:val="00164366"/>
    <w:rsid w:val="001643B5"/>
    <w:rsid w:val="001643C2"/>
    <w:rsid w:val="0016442A"/>
    <w:rsid w:val="00164587"/>
    <w:rsid w:val="001646FD"/>
    <w:rsid w:val="0016479D"/>
    <w:rsid w:val="0016493C"/>
    <w:rsid w:val="00164971"/>
    <w:rsid w:val="001649C8"/>
    <w:rsid w:val="001649CF"/>
    <w:rsid w:val="00164A1E"/>
    <w:rsid w:val="00164A28"/>
    <w:rsid w:val="00164AB5"/>
    <w:rsid w:val="00164B63"/>
    <w:rsid w:val="00164B75"/>
    <w:rsid w:val="00164BD7"/>
    <w:rsid w:val="00164D46"/>
    <w:rsid w:val="00164E95"/>
    <w:rsid w:val="00164F99"/>
    <w:rsid w:val="00164FE2"/>
    <w:rsid w:val="00165051"/>
    <w:rsid w:val="001652F1"/>
    <w:rsid w:val="0016533B"/>
    <w:rsid w:val="00165341"/>
    <w:rsid w:val="001653F7"/>
    <w:rsid w:val="001653F9"/>
    <w:rsid w:val="0016543C"/>
    <w:rsid w:val="00165480"/>
    <w:rsid w:val="0016548E"/>
    <w:rsid w:val="0016549A"/>
    <w:rsid w:val="001654B4"/>
    <w:rsid w:val="001655BB"/>
    <w:rsid w:val="00165608"/>
    <w:rsid w:val="001656D0"/>
    <w:rsid w:val="00165746"/>
    <w:rsid w:val="00165771"/>
    <w:rsid w:val="001657D7"/>
    <w:rsid w:val="00165877"/>
    <w:rsid w:val="00165887"/>
    <w:rsid w:val="001658EE"/>
    <w:rsid w:val="00165910"/>
    <w:rsid w:val="0016591E"/>
    <w:rsid w:val="0016598D"/>
    <w:rsid w:val="00165A12"/>
    <w:rsid w:val="00165AFD"/>
    <w:rsid w:val="00165BCF"/>
    <w:rsid w:val="00165C98"/>
    <w:rsid w:val="00165D56"/>
    <w:rsid w:val="00165E07"/>
    <w:rsid w:val="00165E37"/>
    <w:rsid w:val="00165ECD"/>
    <w:rsid w:val="00165EDA"/>
    <w:rsid w:val="00165FC8"/>
    <w:rsid w:val="001660A5"/>
    <w:rsid w:val="001660DA"/>
    <w:rsid w:val="00166220"/>
    <w:rsid w:val="00166260"/>
    <w:rsid w:val="00166286"/>
    <w:rsid w:val="001662D7"/>
    <w:rsid w:val="00166556"/>
    <w:rsid w:val="00166667"/>
    <w:rsid w:val="0016670E"/>
    <w:rsid w:val="0016671B"/>
    <w:rsid w:val="001667BE"/>
    <w:rsid w:val="0016682B"/>
    <w:rsid w:val="00166875"/>
    <w:rsid w:val="001668B1"/>
    <w:rsid w:val="00166983"/>
    <w:rsid w:val="001669BB"/>
    <w:rsid w:val="001669C6"/>
    <w:rsid w:val="00166A02"/>
    <w:rsid w:val="00166BE7"/>
    <w:rsid w:val="00166C90"/>
    <w:rsid w:val="00166D96"/>
    <w:rsid w:val="00166E5F"/>
    <w:rsid w:val="00166F7E"/>
    <w:rsid w:val="00166F87"/>
    <w:rsid w:val="0016705A"/>
    <w:rsid w:val="00167100"/>
    <w:rsid w:val="00167143"/>
    <w:rsid w:val="001671CF"/>
    <w:rsid w:val="00167233"/>
    <w:rsid w:val="0016728D"/>
    <w:rsid w:val="001672BC"/>
    <w:rsid w:val="00167401"/>
    <w:rsid w:val="00167484"/>
    <w:rsid w:val="001674E0"/>
    <w:rsid w:val="00167542"/>
    <w:rsid w:val="0016758F"/>
    <w:rsid w:val="00167591"/>
    <w:rsid w:val="0016759F"/>
    <w:rsid w:val="0016767A"/>
    <w:rsid w:val="001676C1"/>
    <w:rsid w:val="001677BF"/>
    <w:rsid w:val="001677EC"/>
    <w:rsid w:val="0016786D"/>
    <w:rsid w:val="0016792D"/>
    <w:rsid w:val="001679C7"/>
    <w:rsid w:val="00167AE1"/>
    <w:rsid w:val="00167C6D"/>
    <w:rsid w:val="00167CD7"/>
    <w:rsid w:val="00167D4F"/>
    <w:rsid w:val="00167E62"/>
    <w:rsid w:val="00170156"/>
    <w:rsid w:val="001701BD"/>
    <w:rsid w:val="00170280"/>
    <w:rsid w:val="00170290"/>
    <w:rsid w:val="00170357"/>
    <w:rsid w:val="0017035D"/>
    <w:rsid w:val="001704A6"/>
    <w:rsid w:val="0017058D"/>
    <w:rsid w:val="001705ED"/>
    <w:rsid w:val="001705F6"/>
    <w:rsid w:val="00170700"/>
    <w:rsid w:val="0017084A"/>
    <w:rsid w:val="001709C9"/>
    <w:rsid w:val="00170A4D"/>
    <w:rsid w:val="00170B16"/>
    <w:rsid w:val="00170BA5"/>
    <w:rsid w:val="00170D17"/>
    <w:rsid w:val="00170DEB"/>
    <w:rsid w:val="00170F12"/>
    <w:rsid w:val="00170F3D"/>
    <w:rsid w:val="001710C1"/>
    <w:rsid w:val="00171137"/>
    <w:rsid w:val="00171191"/>
    <w:rsid w:val="001711D5"/>
    <w:rsid w:val="001711DB"/>
    <w:rsid w:val="001711F1"/>
    <w:rsid w:val="0017121B"/>
    <w:rsid w:val="00171260"/>
    <w:rsid w:val="001712C6"/>
    <w:rsid w:val="001713B6"/>
    <w:rsid w:val="00171470"/>
    <w:rsid w:val="00171496"/>
    <w:rsid w:val="0017150D"/>
    <w:rsid w:val="00171525"/>
    <w:rsid w:val="00171566"/>
    <w:rsid w:val="0017156C"/>
    <w:rsid w:val="0017156F"/>
    <w:rsid w:val="001715D4"/>
    <w:rsid w:val="0017170F"/>
    <w:rsid w:val="00171742"/>
    <w:rsid w:val="00171782"/>
    <w:rsid w:val="00171960"/>
    <w:rsid w:val="00171A11"/>
    <w:rsid w:val="00171A67"/>
    <w:rsid w:val="00171BBB"/>
    <w:rsid w:val="00171D6B"/>
    <w:rsid w:val="00171E5C"/>
    <w:rsid w:val="00171F17"/>
    <w:rsid w:val="00171F2E"/>
    <w:rsid w:val="00171FA4"/>
    <w:rsid w:val="00171FA9"/>
    <w:rsid w:val="00172169"/>
    <w:rsid w:val="001721FA"/>
    <w:rsid w:val="0017223C"/>
    <w:rsid w:val="0017224B"/>
    <w:rsid w:val="0017229E"/>
    <w:rsid w:val="00172389"/>
    <w:rsid w:val="001723EC"/>
    <w:rsid w:val="0017243F"/>
    <w:rsid w:val="001724A1"/>
    <w:rsid w:val="0017258A"/>
    <w:rsid w:val="001725D4"/>
    <w:rsid w:val="00172601"/>
    <w:rsid w:val="00172617"/>
    <w:rsid w:val="001726A5"/>
    <w:rsid w:val="001726A7"/>
    <w:rsid w:val="001726D4"/>
    <w:rsid w:val="001727AE"/>
    <w:rsid w:val="001729A0"/>
    <w:rsid w:val="00172A4E"/>
    <w:rsid w:val="00172A5D"/>
    <w:rsid w:val="00172BC8"/>
    <w:rsid w:val="00172C1C"/>
    <w:rsid w:val="00172CDB"/>
    <w:rsid w:val="00172CF3"/>
    <w:rsid w:val="00172D3D"/>
    <w:rsid w:val="00172D7E"/>
    <w:rsid w:val="00172E61"/>
    <w:rsid w:val="00172F12"/>
    <w:rsid w:val="00172F60"/>
    <w:rsid w:val="00173017"/>
    <w:rsid w:val="001730B7"/>
    <w:rsid w:val="001730C7"/>
    <w:rsid w:val="001731E4"/>
    <w:rsid w:val="0017328F"/>
    <w:rsid w:val="001732E0"/>
    <w:rsid w:val="0017330E"/>
    <w:rsid w:val="00173327"/>
    <w:rsid w:val="00173439"/>
    <w:rsid w:val="0017346F"/>
    <w:rsid w:val="00173508"/>
    <w:rsid w:val="00173522"/>
    <w:rsid w:val="00173603"/>
    <w:rsid w:val="00173613"/>
    <w:rsid w:val="0017364D"/>
    <w:rsid w:val="001736C3"/>
    <w:rsid w:val="001736D1"/>
    <w:rsid w:val="001736DF"/>
    <w:rsid w:val="001736FC"/>
    <w:rsid w:val="00173741"/>
    <w:rsid w:val="00173810"/>
    <w:rsid w:val="00173902"/>
    <w:rsid w:val="00173B74"/>
    <w:rsid w:val="00173B82"/>
    <w:rsid w:val="00173B9F"/>
    <w:rsid w:val="00173C3C"/>
    <w:rsid w:val="00173D49"/>
    <w:rsid w:val="00173FA6"/>
    <w:rsid w:val="001740E1"/>
    <w:rsid w:val="001740E8"/>
    <w:rsid w:val="00174149"/>
    <w:rsid w:val="00174160"/>
    <w:rsid w:val="001741C7"/>
    <w:rsid w:val="00174210"/>
    <w:rsid w:val="0017424F"/>
    <w:rsid w:val="00174351"/>
    <w:rsid w:val="00174459"/>
    <w:rsid w:val="001744F2"/>
    <w:rsid w:val="001745C3"/>
    <w:rsid w:val="00174634"/>
    <w:rsid w:val="00174725"/>
    <w:rsid w:val="0017483B"/>
    <w:rsid w:val="00174875"/>
    <w:rsid w:val="001749D7"/>
    <w:rsid w:val="001749E3"/>
    <w:rsid w:val="00174A51"/>
    <w:rsid w:val="00174B61"/>
    <w:rsid w:val="00174D23"/>
    <w:rsid w:val="00174D6C"/>
    <w:rsid w:val="00174D7F"/>
    <w:rsid w:val="00174E40"/>
    <w:rsid w:val="00174FF9"/>
    <w:rsid w:val="0017525E"/>
    <w:rsid w:val="00175334"/>
    <w:rsid w:val="00175380"/>
    <w:rsid w:val="00175590"/>
    <w:rsid w:val="001755A3"/>
    <w:rsid w:val="00175653"/>
    <w:rsid w:val="00175686"/>
    <w:rsid w:val="00175AED"/>
    <w:rsid w:val="00175CE4"/>
    <w:rsid w:val="00175D31"/>
    <w:rsid w:val="00175D32"/>
    <w:rsid w:val="00175E97"/>
    <w:rsid w:val="00175ECD"/>
    <w:rsid w:val="00175F22"/>
    <w:rsid w:val="00176064"/>
    <w:rsid w:val="001760C1"/>
    <w:rsid w:val="00176213"/>
    <w:rsid w:val="00176441"/>
    <w:rsid w:val="001764B4"/>
    <w:rsid w:val="001764B5"/>
    <w:rsid w:val="001765C0"/>
    <w:rsid w:val="001765EF"/>
    <w:rsid w:val="0017672D"/>
    <w:rsid w:val="0017678D"/>
    <w:rsid w:val="001769AB"/>
    <w:rsid w:val="001769FA"/>
    <w:rsid w:val="00176A2B"/>
    <w:rsid w:val="00176AD4"/>
    <w:rsid w:val="00176B14"/>
    <w:rsid w:val="00176B3A"/>
    <w:rsid w:val="00176B56"/>
    <w:rsid w:val="00176CE3"/>
    <w:rsid w:val="00176D5E"/>
    <w:rsid w:val="00176DCD"/>
    <w:rsid w:val="00176E32"/>
    <w:rsid w:val="00176ED0"/>
    <w:rsid w:val="00176ED5"/>
    <w:rsid w:val="00176EE0"/>
    <w:rsid w:val="00176FD4"/>
    <w:rsid w:val="0017700D"/>
    <w:rsid w:val="00177070"/>
    <w:rsid w:val="00177087"/>
    <w:rsid w:val="0017719A"/>
    <w:rsid w:val="001771B1"/>
    <w:rsid w:val="001771F4"/>
    <w:rsid w:val="001772E1"/>
    <w:rsid w:val="00177378"/>
    <w:rsid w:val="0017742D"/>
    <w:rsid w:val="00177495"/>
    <w:rsid w:val="001775DC"/>
    <w:rsid w:val="001776E1"/>
    <w:rsid w:val="0017776A"/>
    <w:rsid w:val="001778BB"/>
    <w:rsid w:val="001778C6"/>
    <w:rsid w:val="001779E1"/>
    <w:rsid w:val="00177A3B"/>
    <w:rsid w:val="00177AB5"/>
    <w:rsid w:val="00177B6B"/>
    <w:rsid w:val="00177D78"/>
    <w:rsid w:val="00177E9C"/>
    <w:rsid w:val="00177EBF"/>
    <w:rsid w:val="00177F7C"/>
    <w:rsid w:val="00177FA1"/>
    <w:rsid w:val="0018005E"/>
    <w:rsid w:val="00180063"/>
    <w:rsid w:val="001800DB"/>
    <w:rsid w:val="00180147"/>
    <w:rsid w:val="00180205"/>
    <w:rsid w:val="001802F2"/>
    <w:rsid w:val="001803BF"/>
    <w:rsid w:val="001803D2"/>
    <w:rsid w:val="00180417"/>
    <w:rsid w:val="00180419"/>
    <w:rsid w:val="0018041E"/>
    <w:rsid w:val="0018058A"/>
    <w:rsid w:val="001805B0"/>
    <w:rsid w:val="001806F1"/>
    <w:rsid w:val="0018088E"/>
    <w:rsid w:val="00180897"/>
    <w:rsid w:val="0018094A"/>
    <w:rsid w:val="001809A6"/>
    <w:rsid w:val="001809DA"/>
    <w:rsid w:val="001809E7"/>
    <w:rsid w:val="00180A12"/>
    <w:rsid w:val="00180A99"/>
    <w:rsid w:val="00180B41"/>
    <w:rsid w:val="00180C98"/>
    <w:rsid w:val="00180CDB"/>
    <w:rsid w:val="00180DCF"/>
    <w:rsid w:val="00180E3C"/>
    <w:rsid w:val="00180E88"/>
    <w:rsid w:val="00180F28"/>
    <w:rsid w:val="00181033"/>
    <w:rsid w:val="00181125"/>
    <w:rsid w:val="001811AF"/>
    <w:rsid w:val="00181295"/>
    <w:rsid w:val="001813A1"/>
    <w:rsid w:val="00181507"/>
    <w:rsid w:val="00181525"/>
    <w:rsid w:val="00181534"/>
    <w:rsid w:val="0018165B"/>
    <w:rsid w:val="00181679"/>
    <w:rsid w:val="001816A3"/>
    <w:rsid w:val="001816B2"/>
    <w:rsid w:val="001819A4"/>
    <w:rsid w:val="001819B7"/>
    <w:rsid w:val="00181B62"/>
    <w:rsid w:val="00181B88"/>
    <w:rsid w:val="00181BDC"/>
    <w:rsid w:val="00181C1C"/>
    <w:rsid w:val="00181C4E"/>
    <w:rsid w:val="00181CB4"/>
    <w:rsid w:val="00181D55"/>
    <w:rsid w:val="00181D58"/>
    <w:rsid w:val="00181D97"/>
    <w:rsid w:val="00181DF1"/>
    <w:rsid w:val="00181E67"/>
    <w:rsid w:val="00181E9D"/>
    <w:rsid w:val="00181EF3"/>
    <w:rsid w:val="0018203E"/>
    <w:rsid w:val="001820B6"/>
    <w:rsid w:val="00182143"/>
    <w:rsid w:val="001822F6"/>
    <w:rsid w:val="001822FC"/>
    <w:rsid w:val="0018234D"/>
    <w:rsid w:val="001823EF"/>
    <w:rsid w:val="00182441"/>
    <w:rsid w:val="00182447"/>
    <w:rsid w:val="0018250F"/>
    <w:rsid w:val="00182658"/>
    <w:rsid w:val="0018269A"/>
    <w:rsid w:val="001826C2"/>
    <w:rsid w:val="0018274F"/>
    <w:rsid w:val="0018295D"/>
    <w:rsid w:val="00182BBC"/>
    <w:rsid w:val="00182C02"/>
    <w:rsid w:val="00182C33"/>
    <w:rsid w:val="00182D46"/>
    <w:rsid w:val="00182DB7"/>
    <w:rsid w:val="00182DDA"/>
    <w:rsid w:val="00182E0D"/>
    <w:rsid w:val="00182E5D"/>
    <w:rsid w:val="00182EFA"/>
    <w:rsid w:val="00182F3F"/>
    <w:rsid w:val="00182F9D"/>
    <w:rsid w:val="00183034"/>
    <w:rsid w:val="00183118"/>
    <w:rsid w:val="001831DE"/>
    <w:rsid w:val="00183217"/>
    <w:rsid w:val="00183283"/>
    <w:rsid w:val="0018328D"/>
    <w:rsid w:val="001832DA"/>
    <w:rsid w:val="00183306"/>
    <w:rsid w:val="00183465"/>
    <w:rsid w:val="001834AC"/>
    <w:rsid w:val="001834FF"/>
    <w:rsid w:val="0018367D"/>
    <w:rsid w:val="001836AA"/>
    <w:rsid w:val="001836F3"/>
    <w:rsid w:val="001836FC"/>
    <w:rsid w:val="00183749"/>
    <w:rsid w:val="00183777"/>
    <w:rsid w:val="00183884"/>
    <w:rsid w:val="00183895"/>
    <w:rsid w:val="0018393F"/>
    <w:rsid w:val="00183990"/>
    <w:rsid w:val="001839AE"/>
    <w:rsid w:val="001839F6"/>
    <w:rsid w:val="00183A0B"/>
    <w:rsid w:val="00183AA3"/>
    <w:rsid w:val="00183B7C"/>
    <w:rsid w:val="00183C22"/>
    <w:rsid w:val="00183C48"/>
    <w:rsid w:val="00183D3F"/>
    <w:rsid w:val="00183D4C"/>
    <w:rsid w:val="00183D75"/>
    <w:rsid w:val="00183DD6"/>
    <w:rsid w:val="00183E0F"/>
    <w:rsid w:val="00183F60"/>
    <w:rsid w:val="0018400A"/>
    <w:rsid w:val="00184137"/>
    <w:rsid w:val="00184142"/>
    <w:rsid w:val="00184196"/>
    <w:rsid w:val="001841F1"/>
    <w:rsid w:val="0018421E"/>
    <w:rsid w:val="001843D8"/>
    <w:rsid w:val="0018452B"/>
    <w:rsid w:val="001846FD"/>
    <w:rsid w:val="00184721"/>
    <w:rsid w:val="00184830"/>
    <w:rsid w:val="00184848"/>
    <w:rsid w:val="001848CA"/>
    <w:rsid w:val="001849B2"/>
    <w:rsid w:val="00184A76"/>
    <w:rsid w:val="00184B16"/>
    <w:rsid w:val="00184BD0"/>
    <w:rsid w:val="00184BD7"/>
    <w:rsid w:val="00184BE4"/>
    <w:rsid w:val="00184C40"/>
    <w:rsid w:val="00184C51"/>
    <w:rsid w:val="00184C70"/>
    <w:rsid w:val="00184CAA"/>
    <w:rsid w:val="00184D56"/>
    <w:rsid w:val="0018500D"/>
    <w:rsid w:val="00185040"/>
    <w:rsid w:val="00185187"/>
    <w:rsid w:val="00185319"/>
    <w:rsid w:val="00185336"/>
    <w:rsid w:val="001853CC"/>
    <w:rsid w:val="00185445"/>
    <w:rsid w:val="0018559A"/>
    <w:rsid w:val="001855CD"/>
    <w:rsid w:val="001856D3"/>
    <w:rsid w:val="0018574F"/>
    <w:rsid w:val="00185779"/>
    <w:rsid w:val="001858E3"/>
    <w:rsid w:val="001858FC"/>
    <w:rsid w:val="00185A11"/>
    <w:rsid w:val="00185A7F"/>
    <w:rsid w:val="00185B00"/>
    <w:rsid w:val="00185B14"/>
    <w:rsid w:val="00185CFC"/>
    <w:rsid w:val="00185EDD"/>
    <w:rsid w:val="001861FD"/>
    <w:rsid w:val="0018626F"/>
    <w:rsid w:val="001862D9"/>
    <w:rsid w:val="0018634D"/>
    <w:rsid w:val="00186364"/>
    <w:rsid w:val="00186519"/>
    <w:rsid w:val="00186622"/>
    <w:rsid w:val="0018666F"/>
    <w:rsid w:val="0018667D"/>
    <w:rsid w:val="00186688"/>
    <w:rsid w:val="0018678C"/>
    <w:rsid w:val="001867C1"/>
    <w:rsid w:val="001867D8"/>
    <w:rsid w:val="00186802"/>
    <w:rsid w:val="0018682C"/>
    <w:rsid w:val="0018693B"/>
    <w:rsid w:val="00186AF2"/>
    <w:rsid w:val="00186B5A"/>
    <w:rsid w:val="00186D58"/>
    <w:rsid w:val="00186E01"/>
    <w:rsid w:val="00186E2C"/>
    <w:rsid w:val="00186E82"/>
    <w:rsid w:val="00187276"/>
    <w:rsid w:val="001872CA"/>
    <w:rsid w:val="0018733D"/>
    <w:rsid w:val="00187359"/>
    <w:rsid w:val="0018747C"/>
    <w:rsid w:val="001875C0"/>
    <w:rsid w:val="0018763F"/>
    <w:rsid w:val="00187693"/>
    <w:rsid w:val="00187743"/>
    <w:rsid w:val="00187799"/>
    <w:rsid w:val="001877AB"/>
    <w:rsid w:val="00187834"/>
    <w:rsid w:val="0018799B"/>
    <w:rsid w:val="00187A00"/>
    <w:rsid w:val="00187A49"/>
    <w:rsid w:val="00187B79"/>
    <w:rsid w:val="00187B7E"/>
    <w:rsid w:val="00187C96"/>
    <w:rsid w:val="00187D05"/>
    <w:rsid w:val="00187D4F"/>
    <w:rsid w:val="00187D6D"/>
    <w:rsid w:val="00187D6E"/>
    <w:rsid w:val="00187E8A"/>
    <w:rsid w:val="00187EB0"/>
    <w:rsid w:val="00187F4D"/>
    <w:rsid w:val="00187F99"/>
    <w:rsid w:val="00190151"/>
    <w:rsid w:val="001901D8"/>
    <w:rsid w:val="00190237"/>
    <w:rsid w:val="0019025F"/>
    <w:rsid w:val="00190273"/>
    <w:rsid w:val="001902A1"/>
    <w:rsid w:val="0019043F"/>
    <w:rsid w:val="0019050E"/>
    <w:rsid w:val="00190704"/>
    <w:rsid w:val="00190770"/>
    <w:rsid w:val="001907BE"/>
    <w:rsid w:val="001907FF"/>
    <w:rsid w:val="00190858"/>
    <w:rsid w:val="0019089D"/>
    <w:rsid w:val="0019090A"/>
    <w:rsid w:val="00190A1B"/>
    <w:rsid w:val="00190A44"/>
    <w:rsid w:val="00190A75"/>
    <w:rsid w:val="00190B65"/>
    <w:rsid w:val="00190C56"/>
    <w:rsid w:val="00190C6F"/>
    <w:rsid w:val="00190C99"/>
    <w:rsid w:val="00190E4D"/>
    <w:rsid w:val="00190E91"/>
    <w:rsid w:val="00190F5C"/>
    <w:rsid w:val="00190F99"/>
    <w:rsid w:val="00190FAA"/>
    <w:rsid w:val="00191128"/>
    <w:rsid w:val="0019115C"/>
    <w:rsid w:val="00191210"/>
    <w:rsid w:val="00191217"/>
    <w:rsid w:val="0019126C"/>
    <w:rsid w:val="00191351"/>
    <w:rsid w:val="001913D6"/>
    <w:rsid w:val="001913DC"/>
    <w:rsid w:val="0019145A"/>
    <w:rsid w:val="00191542"/>
    <w:rsid w:val="0019154F"/>
    <w:rsid w:val="0019155C"/>
    <w:rsid w:val="001915F7"/>
    <w:rsid w:val="0019160D"/>
    <w:rsid w:val="0019161B"/>
    <w:rsid w:val="0019162E"/>
    <w:rsid w:val="00191631"/>
    <w:rsid w:val="001916C5"/>
    <w:rsid w:val="00191792"/>
    <w:rsid w:val="001917A5"/>
    <w:rsid w:val="00191918"/>
    <w:rsid w:val="001919C7"/>
    <w:rsid w:val="00191A11"/>
    <w:rsid w:val="00191A24"/>
    <w:rsid w:val="00191D7D"/>
    <w:rsid w:val="00191FFF"/>
    <w:rsid w:val="0019203D"/>
    <w:rsid w:val="00192108"/>
    <w:rsid w:val="00192154"/>
    <w:rsid w:val="00192195"/>
    <w:rsid w:val="001921D7"/>
    <w:rsid w:val="0019223B"/>
    <w:rsid w:val="0019224C"/>
    <w:rsid w:val="001922C1"/>
    <w:rsid w:val="00192483"/>
    <w:rsid w:val="00192574"/>
    <w:rsid w:val="00192759"/>
    <w:rsid w:val="001927EA"/>
    <w:rsid w:val="00192A49"/>
    <w:rsid w:val="00192B97"/>
    <w:rsid w:val="00192CAE"/>
    <w:rsid w:val="00192CF2"/>
    <w:rsid w:val="00192E4E"/>
    <w:rsid w:val="00192E9D"/>
    <w:rsid w:val="00192F4E"/>
    <w:rsid w:val="00192F51"/>
    <w:rsid w:val="00192FC0"/>
    <w:rsid w:val="00192FED"/>
    <w:rsid w:val="00193007"/>
    <w:rsid w:val="00193151"/>
    <w:rsid w:val="00193200"/>
    <w:rsid w:val="00193215"/>
    <w:rsid w:val="001932BE"/>
    <w:rsid w:val="00193321"/>
    <w:rsid w:val="001933A7"/>
    <w:rsid w:val="001933B4"/>
    <w:rsid w:val="00193539"/>
    <w:rsid w:val="00193545"/>
    <w:rsid w:val="001935A7"/>
    <w:rsid w:val="0019362F"/>
    <w:rsid w:val="00193719"/>
    <w:rsid w:val="00193727"/>
    <w:rsid w:val="00193742"/>
    <w:rsid w:val="0019375E"/>
    <w:rsid w:val="0019375F"/>
    <w:rsid w:val="001937BA"/>
    <w:rsid w:val="001937DF"/>
    <w:rsid w:val="00193809"/>
    <w:rsid w:val="0019386B"/>
    <w:rsid w:val="001939A1"/>
    <w:rsid w:val="00193A82"/>
    <w:rsid w:val="00193A8C"/>
    <w:rsid w:val="00193B4D"/>
    <w:rsid w:val="00193B76"/>
    <w:rsid w:val="00193B9C"/>
    <w:rsid w:val="00193BC1"/>
    <w:rsid w:val="00193C19"/>
    <w:rsid w:val="00193C64"/>
    <w:rsid w:val="00193CCD"/>
    <w:rsid w:val="00193D77"/>
    <w:rsid w:val="00193DF1"/>
    <w:rsid w:val="00193E69"/>
    <w:rsid w:val="00193F0C"/>
    <w:rsid w:val="00193F19"/>
    <w:rsid w:val="00193FFE"/>
    <w:rsid w:val="0019400F"/>
    <w:rsid w:val="0019407D"/>
    <w:rsid w:val="001941C6"/>
    <w:rsid w:val="00194363"/>
    <w:rsid w:val="0019445D"/>
    <w:rsid w:val="00194466"/>
    <w:rsid w:val="001944B4"/>
    <w:rsid w:val="001945D1"/>
    <w:rsid w:val="00194709"/>
    <w:rsid w:val="00194737"/>
    <w:rsid w:val="00194823"/>
    <w:rsid w:val="0019482B"/>
    <w:rsid w:val="001949B9"/>
    <w:rsid w:val="001949F6"/>
    <w:rsid w:val="00194A55"/>
    <w:rsid w:val="00194B59"/>
    <w:rsid w:val="00194BCF"/>
    <w:rsid w:val="00194C4F"/>
    <w:rsid w:val="00194CBC"/>
    <w:rsid w:val="00194CD1"/>
    <w:rsid w:val="00194CE3"/>
    <w:rsid w:val="00194E50"/>
    <w:rsid w:val="00194EF1"/>
    <w:rsid w:val="00194F3E"/>
    <w:rsid w:val="00194FC9"/>
    <w:rsid w:val="0019507E"/>
    <w:rsid w:val="00195211"/>
    <w:rsid w:val="00195241"/>
    <w:rsid w:val="00195354"/>
    <w:rsid w:val="0019537A"/>
    <w:rsid w:val="00195460"/>
    <w:rsid w:val="001955A7"/>
    <w:rsid w:val="00195643"/>
    <w:rsid w:val="001956C9"/>
    <w:rsid w:val="001956D6"/>
    <w:rsid w:val="0019572A"/>
    <w:rsid w:val="0019582A"/>
    <w:rsid w:val="00195848"/>
    <w:rsid w:val="00195919"/>
    <w:rsid w:val="00195938"/>
    <w:rsid w:val="0019598A"/>
    <w:rsid w:val="00195A33"/>
    <w:rsid w:val="00195A5D"/>
    <w:rsid w:val="00195B2C"/>
    <w:rsid w:val="00195C61"/>
    <w:rsid w:val="00195C63"/>
    <w:rsid w:val="00195CA4"/>
    <w:rsid w:val="00195CF7"/>
    <w:rsid w:val="00195DC4"/>
    <w:rsid w:val="00195DC8"/>
    <w:rsid w:val="00195E6E"/>
    <w:rsid w:val="00195EC6"/>
    <w:rsid w:val="00195EEF"/>
    <w:rsid w:val="00195F6F"/>
    <w:rsid w:val="00196180"/>
    <w:rsid w:val="001961FF"/>
    <w:rsid w:val="00196200"/>
    <w:rsid w:val="0019625B"/>
    <w:rsid w:val="00196286"/>
    <w:rsid w:val="001962B7"/>
    <w:rsid w:val="001962DE"/>
    <w:rsid w:val="001962F2"/>
    <w:rsid w:val="001964C4"/>
    <w:rsid w:val="0019658C"/>
    <w:rsid w:val="001966FE"/>
    <w:rsid w:val="0019691D"/>
    <w:rsid w:val="00196931"/>
    <w:rsid w:val="00196978"/>
    <w:rsid w:val="0019697D"/>
    <w:rsid w:val="00196A55"/>
    <w:rsid w:val="00196A90"/>
    <w:rsid w:val="00196A9B"/>
    <w:rsid w:val="00196B8E"/>
    <w:rsid w:val="00196C01"/>
    <w:rsid w:val="00196C12"/>
    <w:rsid w:val="00196D70"/>
    <w:rsid w:val="00196E1F"/>
    <w:rsid w:val="00196E51"/>
    <w:rsid w:val="00196F7B"/>
    <w:rsid w:val="00197055"/>
    <w:rsid w:val="001970C3"/>
    <w:rsid w:val="001970C7"/>
    <w:rsid w:val="00197143"/>
    <w:rsid w:val="00197240"/>
    <w:rsid w:val="001972CA"/>
    <w:rsid w:val="0019737C"/>
    <w:rsid w:val="00197396"/>
    <w:rsid w:val="0019749E"/>
    <w:rsid w:val="001974CE"/>
    <w:rsid w:val="0019755E"/>
    <w:rsid w:val="0019757A"/>
    <w:rsid w:val="001975F6"/>
    <w:rsid w:val="00197BB5"/>
    <w:rsid w:val="00197C1D"/>
    <w:rsid w:val="00197CD0"/>
    <w:rsid w:val="00197E22"/>
    <w:rsid w:val="00197F19"/>
    <w:rsid w:val="00197F68"/>
    <w:rsid w:val="00197F6C"/>
    <w:rsid w:val="00197FE1"/>
    <w:rsid w:val="001A0048"/>
    <w:rsid w:val="001A005C"/>
    <w:rsid w:val="001A039E"/>
    <w:rsid w:val="001A0469"/>
    <w:rsid w:val="001A0471"/>
    <w:rsid w:val="001A047E"/>
    <w:rsid w:val="001A04AA"/>
    <w:rsid w:val="001A0559"/>
    <w:rsid w:val="001A05D0"/>
    <w:rsid w:val="001A0652"/>
    <w:rsid w:val="001A081E"/>
    <w:rsid w:val="001A0947"/>
    <w:rsid w:val="001A0956"/>
    <w:rsid w:val="001A09CA"/>
    <w:rsid w:val="001A0A59"/>
    <w:rsid w:val="001A0A78"/>
    <w:rsid w:val="001A0A96"/>
    <w:rsid w:val="001A0BEB"/>
    <w:rsid w:val="001A0CEA"/>
    <w:rsid w:val="001A0E42"/>
    <w:rsid w:val="001A0E93"/>
    <w:rsid w:val="001A0EA5"/>
    <w:rsid w:val="001A0F02"/>
    <w:rsid w:val="001A0F3C"/>
    <w:rsid w:val="001A0F56"/>
    <w:rsid w:val="001A0FAB"/>
    <w:rsid w:val="001A1065"/>
    <w:rsid w:val="001A10F9"/>
    <w:rsid w:val="001A1103"/>
    <w:rsid w:val="001A118C"/>
    <w:rsid w:val="001A1195"/>
    <w:rsid w:val="001A1212"/>
    <w:rsid w:val="001A1428"/>
    <w:rsid w:val="001A1531"/>
    <w:rsid w:val="001A1575"/>
    <w:rsid w:val="001A1663"/>
    <w:rsid w:val="001A1691"/>
    <w:rsid w:val="001A1813"/>
    <w:rsid w:val="001A1816"/>
    <w:rsid w:val="001A18BF"/>
    <w:rsid w:val="001A194F"/>
    <w:rsid w:val="001A1D0F"/>
    <w:rsid w:val="001A1D97"/>
    <w:rsid w:val="001A1E59"/>
    <w:rsid w:val="001A1EA2"/>
    <w:rsid w:val="001A1EBD"/>
    <w:rsid w:val="001A1ED4"/>
    <w:rsid w:val="001A1EFE"/>
    <w:rsid w:val="001A1F11"/>
    <w:rsid w:val="001A20BE"/>
    <w:rsid w:val="001A212C"/>
    <w:rsid w:val="001A22C6"/>
    <w:rsid w:val="001A2308"/>
    <w:rsid w:val="001A23B4"/>
    <w:rsid w:val="001A23FE"/>
    <w:rsid w:val="001A2689"/>
    <w:rsid w:val="001A2751"/>
    <w:rsid w:val="001A2769"/>
    <w:rsid w:val="001A281A"/>
    <w:rsid w:val="001A28F7"/>
    <w:rsid w:val="001A2980"/>
    <w:rsid w:val="001A299E"/>
    <w:rsid w:val="001A29B0"/>
    <w:rsid w:val="001A2A80"/>
    <w:rsid w:val="001A2A84"/>
    <w:rsid w:val="001A2ADB"/>
    <w:rsid w:val="001A2BCF"/>
    <w:rsid w:val="001A2C7C"/>
    <w:rsid w:val="001A2CF8"/>
    <w:rsid w:val="001A2D29"/>
    <w:rsid w:val="001A2D58"/>
    <w:rsid w:val="001A2D72"/>
    <w:rsid w:val="001A2E6A"/>
    <w:rsid w:val="001A2EE8"/>
    <w:rsid w:val="001A3029"/>
    <w:rsid w:val="001A309B"/>
    <w:rsid w:val="001A31D1"/>
    <w:rsid w:val="001A3202"/>
    <w:rsid w:val="001A320F"/>
    <w:rsid w:val="001A3230"/>
    <w:rsid w:val="001A325E"/>
    <w:rsid w:val="001A327E"/>
    <w:rsid w:val="001A32C1"/>
    <w:rsid w:val="001A3309"/>
    <w:rsid w:val="001A3313"/>
    <w:rsid w:val="001A332C"/>
    <w:rsid w:val="001A3460"/>
    <w:rsid w:val="001A3A45"/>
    <w:rsid w:val="001A3A58"/>
    <w:rsid w:val="001A3A79"/>
    <w:rsid w:val="001A3B21"/>
    <w:rsid w:val="001A3BE2"/>
    <w:rsid w:val="001A3C9D"/>
    <w:rsid w:val="001A3DB9"/>
    <w:rsid w:val="001A3E7E"/>
    <w:rsid w:val="001A3F97"/>
    <w:rsid w:val="001A3FEA"/>
    <w:rsid w:val="001A40B4"/>
    <w:rsid w:val="001A4145"/>
    <w:rsid w:val="001A41B7"/>
    <w:rsid w:val="001A4270"/>
    <w:rsid w:val="001A44F6"/>
    <w:rsid w:val="001A452C"/>
    <w:rsid w:val="001A4558"/>
    <w:rsid w:val="001A457D"/>
    <w:rsid w:val="001A45E6"/>
    <w:rsid w:val="001A46EA"/>
    <w:rsid w:val="001A48B1"/>
    <w:rsid w:val="001A4A2D"/>
    <w:rsid w:val="001A4A67"/>
    <w:rsid w:val="001A4AB5"/>
    <w:rsid w:val="001A4ADC"/>
    <w:rsid w:val="001A4BF2"/>
    <w:rsid w:val="001A4C5F"/>
    <w:rsid w:val="001A4C65"/>
    <w:rsid w:val="001A4CEE"/>
    <w:rsid w:val="001A4D1A"/>
    <w:rsid w:val="001A4D4C"/>
    <w:rsid w:val="001A4E39"/>
    <w:rsid w:val="001A4E40"/>
    <w:rsid w:val="001A4E83"/>
    <w:rsid w:val="001A4F74"/>
    <w:rsid w:val="001A536D"/>
    <w:rsid w:val="001A5398"/>
    <w:rsid w:val="001A53EB"/>
    <w:rsid w:val="001A5407"/>
    <w:rsid w:val="001A54C6"/>
    <w:rsid w:val="001A556F"/>
    <w:rsid w:val="001A558F"/>
    <w:rsid w:val="001A55C5"/>
    <w:rsid w:val="001A56E8"/>
    <w:rsid w:val="001A56EE"/>
    <w:rsid w:val="001A56F8"/>
    <w:rsid w:val="001A5700"/>
    <w:rsid w:val="001A5724"/>
    <w:rsid w:val="001A57D8"/>
    <w:rsid w:val="001A583D"/>
    <w:rsid w:val="001A58BC"/>
    <w:rsid w:val="001A591B"/>
    <w:rsid w:val="001A597C"/>
    <w:rsid w:val="001A5A40"/>
    <w:rsid w:val="001A5B24"/>
    <w:rsid w:val="001A5B39"/>
    <w:rsid w:val="001A5B56"/>
    <w:rsid w:val="001A5BA3"/>
    <w:rsid w:val="001A5C23"/>
    <w:rsid w:val="001A5C2E"/>
    <w:rsid w:val="001A5C7C"/>
    <w:rsid w:val="001A5D35"/>
    <w:rsid w:val="001A5E72"/>
    <w:rsid w:val="001A5E7D"/>
    <w:rsid w:val="001A5EDF"/>
    <w:rsid w:val="001A6099"/>
    <w:rsid w:val="001A61A8"/>
    <w:rsid w:val="001A6239"/>
    <w:rsid w:val="001A62FD"/>
    <w:rsid w:val="001A6303"/>
    <w:rsid w:val="001A632A"/>
    <w:rsid w:val="001A63AB"/>
    <w:rsid w:val="001A6451"/>
    <w:rsid w:val="001A64B6"/>
    <w:rsid w:val="001A6626"/>
    <w:rsid w:val="001A6736"/>
    <w:rsid w:val="001A67DB"/>
    <w:rsid w:val="001A6863"/>
    <w:rsid w:val="001A68CF"/>
    <w:rsid w:val="001A69B3"/>
    <w:rsid w:val="001A6A5A"/>
    <w:rsid w:val="001A6A6A"/>
    <w:rsid w:val="001A6AB8"/>
    <w:rsid w:val="001A6ACA"/>
    <w:rsid w:val="001A6B63"/>
    <w:rsid w:val="001A6BD3"/>
    <w:rsid w:val="001A6D8D"/>
    <w:rsid w:val="001A6E92"/>
    <w:rsid w:val="001A6EF4"/>
    <w:rsid w:val="001A6F3C"/>
    <w:rsid w:val="001A6F49"/>
    <w:rsid w:val="001A6F80"/>
    <w:rsid w:val="001A6FAA"/>
    <w:rsid w:val="001A714A"/>
    <w:rsid w:val="001A7179"/>
    <w:rsid w:val="001A717D"/>
    <w:rsid w:val="001A7353"/>
    <w:rsid w:val="001A74C9"/>
    <w:rsid w:val="001A74FF"/>
    <w:rsid w:val="001A751D"/>
    <w:rsid w:val="001A7752"/>
    <w:rsid w:val="001A7757"/>
    <w:rsid w:val="001A7830"/>
    <w:rsid w:val="001A78B9"/>
    <w:rsid w:val="001A7B2A"/>
    <w:rsid w:val="001A7BF7"/>
    <w:rsid w:val="001A7C35"/>
    <w:rsid w:val="001A7C84"/>
    <w:rsid w:val="001A7C89"/>
    <w:rsid w:val="001A7C9A"/>
    <w:rsid w:val="001A7CC7"/>
    <w:rsid w:val="001A7D43"/>
    <w:rsid w:val="001A7D54"/>
    <w:rsid w:val="001A7E6B"/>
    <w:rsid w:val="001A7EAB"/>
    <w:rsid w:val="001A7F0F"/>
    <w:rsid w:val="001B0032"/>
    <w:rsid w:val="001B00CC"/>
    <w:rsid w:val="001B0122"/>
    <w:rsid w:val="001B01B4"/>
    <w:rsid w:val="001B026B"/>
    <w:rsid w:val="001B02A2"/>
    <w:rsid w:val="001B033D"/>
    <w:rsid w:val="001B0388"/>
    <w:rsid w:val="001B0408"/>
    <w:rsid w:val="001B040A"/>
    <w:rsid w:val="001B045B"/>
    <w:rsid w:val="001B051B"/>
    <w:rsid w:val="001B05DC"/>
    <w:rsid w:val="001B0747"/>
    <w:rsid w:val="001B08E7"/>
    <w:rsid w:val="001B09A9"/>
    <w:rsid w:val="001B0A07"/>
    <w:rsid w:val="001B0BAD"/>
    <w:rsid w:val="001B0C47"/>
    <w:rsid w:val="001B0C85"/>
    <w:rsid w:val="001B0CCA"/>
    <w:rsid w:val="001B0D01"/>
    <w:rsid w:val="001B0D21"/>
    <w:rsid w:val="001B0D48"/>
    <w:rsid w:val="001B0DE3"/>
    <w:rsid w:val="001B0DF5"/>
    <w:rsid w:val="001B0E0B"/>
    <w:rsid w:val="001B0FBA"/>
    <w:rsid w:val="001B0FC7"/>
    <w:rsid w:val="001B1106"/>
    <w:rsid w:val="001B1114"/>
    <w:rsid w:val="001B1140"/>
    <w:rsid w:val="001B1148"/>
    <w:rsid w:val="001B1175"/>
    <w:rsid w:val="001B11C2"/>
    <w:rsid w:val="001B1305"/>
    <w:rsid w:val="001B1365"/>
    <w:rsid w:val="001B1368"/>
    <w:rsid w:val="001B1373"/>
    <w:rsid w:val="001B139C"/>
    <w:rsid w:val="001B142B"/>
    <w:rsid w:val="001B146D"/>
    <w:rsid w:val="001B14A2"/>
    <w:rsid w:val="001B14EB"/>
    <w:rsid w:val="001B15CA"/>
    <w:rsid w:val="001B15D8"/>
    <w:rsid w:val="001B1739"/>
    <w:rsid w:val="001B177D"/>
    <w:rsid w:val="001B1795"/>
    <w:rsid w:val="001B1820"/>
    <w:rsid w:val="001B192A"/>
    <w:rsid w:val="001B19C4"/>
    <w:rsid w:val="001B1A1C"/>
    <w:rsid w:val="001B1AE8"/>
    <w:rsid w:val="001B1BA2"/>
    <w:rsid w:val="001B1C75"/>
    <w:rsid w:val="001B1C81"/>
    <w:rsid w:val="001B1CDD"/>
    <w:rsid w:val="001B1D8E"/>
    <w:rsid w:val="001B1DA9"/>
    <w:rsid w:val="001B1DC4"/>
    <w:rsid w:val="001B1DE4"/>
    <w:rsid w:val="001B1EF7"/>
    <w:rsid w:val="001B1F53"/>
    <w:rsid w:val="001B1F8F"/>
    <w:rsid w:val="001B1FB5"/>
    <w:rsid w:val="001B1FBD"/>
    <w:rsid w:val="001B2010"/>
    <w:rsid w:val="001B2028"/>
    <w:rsid w:val="001B21D9"/>
    <w:rsid w:val="001B2211"/>
    <w:rsid w:val="001B2266"/>
    <w:rsid w:val="001B2291"/>
    <w:rsid w:val="001B22FC"/>
    <w:rsid w:val="001B2394"/>
    <w:rsid w:val="001B239E"/>
    <w:rsid w:val="001B2501"/>
    <w:rsid w:val="001B2525"/>
    <w:rsid w:val="001B25F8"/>
    <w:rsid w:val="001B268C"/>
    <w:rsid w:val="001B2699"/>
    <w:rsid w:val="001B26C4"/>
    <w:rsid w:val="001B279F"/>
    <w:rsid w:val="001B2851"/>
    <w:rsid w:val="001B28F0"/>
    <w:rsid w:val="001B2934"/>
    <w:rsid w:val="001B2A53"/>
    <w:rsid w:val="001B2AAB"/>
    <w:rsid w:val="001B2C75"/>
    <w:rsid w:val="001B2C92"/>
    <w:rsid w:val="001B2E2B"/>
    <w:rsid w:val="001B2EEE"/>
    <w:rsid w:val="001B2EFE"/>
    <w:rsid w:val="001B2F21"/>
    <w:rsid w:val="001B317A"/>
    <w:rsid w:val="001B3222"/>
    <w:rsid w:val="001B3238"/>
    <w:rsid w:val="001B32F4"/>
    <w:rsid w:val="001B3426"/>
    <w:rsid w:val="001B353D"/>
    <w:rsid w:val="001B3590"/>
    <w:rsid w:val="001B361A"/>
    <w:rsid w:val="001B36AD"/>
    <w:rsid w:val="001B36DC"/>
    <w:rsid w:val="001B37AD"/>
    <w:rsid w:val="001B37D6"/>
    <w:rsid w:val="001B3932"/>
    <w:rsid w:val="001B3A1B"/>
    <w:rsid w:val="001B3B21"/>
    <w:rsid w:val="001B3BD7"/>
    <w:rsid w:val="001B3CFD"/>
    <w:rsid w:val="001B3D8E"/>
    <w:rsid w:val="001B3D96"/>
    <w:rsid w:val="001B3E3D"/>
    <w:rsid w:val="001B3E9E"/>
    <w:rsid w:val="001B3F48"/>
    <w:rsid w:val="001B3F60"/>
    <w:rsid w:val="001B40E7"/>
    <w:rsid w:val="001B41BE"/>
    <w:rsid w:val="001B420A"/>
    <w:rsid w:val="001B422F"/>
    <w:rsid w:val="001B4251"/>
    <w:rsid w:val="001B4286"/>
    <w:rsid w:val="001B42CF"/>
    <w:rsid w:val="001B4560"/>
    <w:rsid w:val="001B45FF"/>
    <w:rsid w:val="001B46D9"/>
    <w:rsid w:val="001B4777"/>
    <w:rsid w:val="001B493A"/>
    <w:rsid w:val="001B4AD2"/>
    <w:rsid w:val="001B4B7C"/>
    <w:rsid w:val="001B4B9C"/>
    <w:rsid w:val="001B4C23"/>
    <w:rsid w:val="001B4CE1"/>
    <w:rsid w:val="001B4CE2"/>
    <w:rsid w:val="001B4DC7"/>
    <w:rsid w:val="001B4DE9"/>
    <w:rsid w:val="001B4E50"/>
    <w:rsid w:val="001B4EEE"/>
    <w:rsid w:val="001B4F8C"/>
    <w:rsid w:val="001B4FC8"/>
    <w:rsid w:val="001B5024"/>
    <w:rsid w:val="001B5104"/>
    <w:rsid w:val="001B5199"/>
    <w:rsid w:val="001B51C8"/>
    <w:rsid w:val="001B52CE"/>
    <w:rsid w:val="001B538C"/>
    <w:rsid w:val="001B5393"/>
    <w:rsid w:val="001B5397"/>
    <w:rsid w:val="001B5398"/>
    <w:rsid w:val="001B53F8"/>
    <w:rsid w:val="001B5407"/>
    <w:rsid w:val="001B559E"/>
    <w:rsid w:val="001B55C0"/>
    <w:rsid w:val="001B55C1"/>
    <w:rsid w:val="001B5663"/>
    <w:rsid w:val="001B567D"/>
    <w:rsid w:val="001B56D7"/>
    <w:rsid w:val="001B574E"/>
    <w:rsid w:val="001B58E2"/>
    <w:rsid w:val="001B591E"/>
    <w:rsid w:val="001B5925"/>
    <w:rsid w:val="001B599D"/>
    <w:rsid w:val="001B5A45"/>
    <w:rsid w:val="001B5A52"/>
    <w:rsid w:val="001B5B84"/>
    <w:rsid w:val="001B5BE6"/>
    <w:rsid w:val="001B5C44"/>
    <w:rsid w:val="001B5C56"/>
    <w:rsid w:val="001B5CA5"/>
    <w:rsid w:val="001B5E36"/>
    <w:rsid w:val="001B5EB6"/>
    <w:rsid w:val="001B5FA5"/>
    <w:rsid w:val="001B6005"/>
    <w:rsid w:val="001B61C7"/>
    <w:rsid w:val="001B61EF"/>
    <w:rsid w:val="001B6215"/>
    <w:rsid w:val="001B62BA"/>
    <w:rsid w:val="001B62D0"/>
    <w:rsid w:val="001B6371"/>
    <w:rsid w:val="001B63F8"/>
    <w:rsid w:val="001B6424"/>
    <w:rsid w:val="001B64C3"/>
    <w:rsid w:val="001B6517"/>
    <w:rsid w:val="001B6748"/>
    <w:rsid w:val="001B675E"/>
    <w:rsid w:val="001B6769"/>
    <w:rsid w:val="001B67FD"/>
    <w:rsid w:val="001B68D7"/>
    <w:rsid w:val="001B6A6C"/>
    <w:rsid w:val="001B6AA9"/>
    <w:rsid w:val="001B6AB9"/>
    <w:rsid w:val="001B6ADA"/>
    <w:rsid w:val="001B6AFE"/>
    <w:rsid w:val="001B6B25"/>
    <w:rsid w:val="001B6B54"/>
    <w:rsid w:val="001B6B61"/>
    <w:rsid w:val="001B6C68"/>
    <w:rsid w:val="001B6CCE"/>
    <w:rsid w:val="001B6D07"/>
    <w:rsid w:val="001B6D55"/>
    <w:rsid w:val="001B6D8C"/>
    <w:rsid w:val="001B6DB7"/>
    <w:rsid w:val="001B6DBE"/>
    <w:rsid w:val="001B6E3A"/>
    <w:rsid w:val="001B6EAF"/>
    <w:rsid w:val="001B6EFA"/>
    <w:rsid w:val="001B6F3A"/>
    <w:rsid w:val="001B707A"/>
    <w:rsid w:val="001B70AC"/>
    <w:rsid w:val="001B71A2"/>
    <w:rsid w:val="001B71D8"/>
    <w:rsid w:val="001B725C"/>
    <w:rsid w:val="001B7348"/>
    <w:rsid w:val="001B734B"/>
    <w:rsid w:val="001B73DB"/>
    <w:rsid w:val="001B73E1"/>
    <w:rsid w:val="001B7445"/>
    <w:rsid w:val="001B7461"/>
    <w:rsid w:val="001B757C"/>
    <w:rsid w:val="001B7601"/>
    <w:rsid w:val="001B7620"/>
    <w:rsid w:val="001B772C"/>
    <w:rsid w:val="001B773F"/>
    <w:rsid w:val="001B778C"/>
    <w:rsid w:val="001B77D6"/>
    <w:rsid w:val="001B787A"/>
    <w:rsid w:val="001B78A2"/>
    <w:rsid w:val="001B78D6"/>
    <w:rsid w:val="001B7A62"/>
    <w:rsid w:val="001B7B01"/>
    <w:rsid w:val="001B7B53"/>
    <w:rsid w:val="001B7C14"/>
    <w:rsid w:val="001B7C6F"/>
    <w:rsid w:val="001B7C97"/>
    <w:rsid w:val="001B7D0A"/>
    <w:rsid w:val="001B7F84"/>
    <w:rsid w:val="001B7FA5"/>
    <w:rsid w:val="001B7FC4"/>
    <w:rsid w:val="001C005F"/>
    <w:rsid w:val="001C0093"/>
    <w:rsid w:val="001C011E"/>
    <w:rsid w:val="001C014E"/>
    <w:rsid w:val="001C0174"/>
    <w:rsid w:val="001C01B0"/>
    <w:rsid w:val="001C01DC"/>
    <w:rsid w:val="001C025F"/>
    <w:rsid w:val="001C0280"/>
    <w:rsid w:val="001C02AD"/>
    <w:rsid w:val="001C0313"/>
    <w:rsid w:val="001C0355"/>
    <w:rsid w:val="001C038B"/>
    <w:rsid w:val="001C03CC"/>
    <w:rsid w:val="001C0461"/>
    <w:rsid w:val="001C0512"/>
    <w:rsid w:val="001C05C0"/>
    <w:rsid w:val="001C05D3"/>
    <w:rsid w:val="001C06A5"/>
    <w:rsid w:val="001C077A"/>
    <w:rsid w:val="001C07A8"/>
    <w:rsid w:val="001C0931"/>
    <w:rsid w:val="001C0964"/>
    <w:rsid w:val="001C0A1E"/>
    <w:rsid w:val="001C0A77"/>
    <w:rsid w:val="001C0C23"/>
    <w:rsid w:val="001C0C83"/>
    <w:rsid w:val="001C0CCD"/>
    <w:rsid w:val="001C0D4A"/>
    <w:rsid w:val="001C0DBD"/>
    <w:rsid w:val="001C0E00"/>
    <w:rsid w:val="001C0E93"/>
    <w:rsid w:val="001C102D"/>
    <w:rsid w:val="001C105B"/>
    <w:rsid w:val="001C114B"/>
    <w:rsid w:val="001C116D"/>
    <w:rsid w:val="001C1290"/>
    <w:rsid w:val="001C12DE"/>
    <w:rsid w:val="001C163E"/>
    <w:rsid w:val="001C17C3"/>
    <w:rsid w:val="001C18CF"/>
    <w:rsid w:val="001C19EE"/>
    <w:rsid w:val="001C1A56"/>
    <w:rsid w:val="001C1B41"/>
    <w:rsid w:val="001C1BAC"/>
    <w:rsid w:val="001C1C3F"/>
    <w:rsid w:val="001C1E76"/>
    <w:rsid w:val="001C1F5E"/>
    <w:rsid w:val="001C1F8E"/>
    <w:rsid w:val="001C20B8"/>
    <w:rsid w:val="001C20FE"/>
    <w:rsid w:val="001C226F"/>
    <w:rsid w:val="001C22EB"/>
    <w:rsid w:val="001C22F1"/>
    <w:rsid w:val="001C23B5"/>
    <w:rsid w:val="001C25E4"/>
    <w:rsid w:val="001C26AC"/>
    <w:rsid w:val="001C2773"/>
    <w:rsid w:val="001C27B2"/>
    <w:rsid w:val="001C27C8"/>
    <w:rsid w:val="001C2920"/>
    <w:rsid w:val="001C299A"/>
    <w:rsid w:val="001C2A6D"/>
    <w:rsid w:val="001C2B81"/>
    <w:rsid w:val="001C2C1C"/>
    <w:rsid w:val="001C2C22"/>
    <w:rsid w:val="001C2C61"/>
    <w:rsid w:val="001C2C72"/>
    <w:rsid w:val="001C2CBB"/>
    <w:rsid w:val="001C2CF1"/>
    <w:rsid w:val="001C2D1F"/>
    <w:rsid w:val="001C2D99"/>
    <w:rsid w:val="001C2DCD"/>
    <w:rsid w:val="001C2EA2"/>
    <w:rsid w:val="001C2EAA"/>
    <w:rsid w:val="001C2EAF"/>
    <w:rsid w:val="001C2FD9"/>
    <w:rsid w:val="001C3018"/>
    <w:rsid w:val="001C3022"/>
    <w:rsid w:val="001C3064"/>
    <w:rsid w:val="001C3065"/>
    <w:rsid w:val="001C3167"/>
    <w:rsid w:val="001C32F3"/>
    <w:rsid w:val="001C339B"/>
    <w:rsid w:val="001C33AF"/>
    <w:rsid w:val="001C33C9"/>
    <w:rsid w:val="001C3583"/>
    <w:rsid w:val="001C35AC"/>
    <w:rsid w:val="001C3730"/>
    <w:rsid w:val="001C37D3"/>
    <w:rsid w:val="001C37F4"/>
    <w:rsid w:val="001C3881"/>
    <w:rsid w:val="001C3A50"/>
    <w:rsid w:val="001C3A65"/>
    <w:rsid w:val="001C3AED"/>
    <w:rsid w:val="001C3B36"/>
    <w:rsid w:val="001C3B85"/>
    <w:rsid w:val="001C3C20"/>
    <w:rsid w:val="001C3DB7"/>
    <w:rsid w:val="001C3F1C"/>
    <w:rsid w:val="001C3F23"/>
    <w:rsid w:val="001C3FE7"/>
    <w:rsid w:val="001C40B7"/>
    <w:rsid w:val="001C41A7"/>
    <w:rsid w:val="001C41C5"/>
    <w:rsid w:val="001C42EB"/>
    <w:rsid w:val="001C4333"/>
    <w:rsid w:val="001C43CF"/>
    <w:rsid w:val="001C44E4"/>
    <w:rsid w:val="001C45B5"/>
    <w:rsid w:val="001C46AF"/>
    <w:rsid w:val="001C47D6"/>
    <w:rsid w:val="001C48AF"/>
    <w:rsid w:val="001C48B7"/>
    <w:rsid w:val="001C48BF"/>
    <w:rsid w:val="001C49D4"/>
    <w:rsid w:val="001C4B36"/>
    <w:rsid w:val="001C4D8C"/>
    <w:rsid w:val="001C4E3B"/>
    <w:rsid w:val="001C4E87"/>
    <w:rsid w:val="001C4EAE"/>
    <w:rsid w:val="001C4ED4"/>
    <w:rsid w:val="001C4F10"/>
    <w:rsid w:val="001C4F7C"/>
    <w:rsid w:val="001C4FED"/>
    <w:rsid w:val="001C50B5"/>
    <w:rsid w:val="001C51ED"/>
    <w:rsid w:val="001C5245"/>
    <w:rsid w:val="001C5281"/>
    <w:rsid w:val="001C5282"/>
    <w:rsid w:val="001C52DD"/>
    <w:rsid w:val="001C53DB"/>
    <w:rsid w:val="001C541B"/>
    <w:rsid w:val="001C5471"/>
    <w:rsid w:val="001C54C8"/>
    <w:rsid w:val="001C54F3"/>
    <w:rsid w:val="001C5501"/>
    <w:rsid w:val="001C5578"/>
    <w:rsid w:val="001C5582"/>
    <w:rsid w:val="001C55D3"/>
    <w:rsid w:val="001C55E5"/>
    <w:rsid w:val="001C56AC"/>
    <w:rsid w:val="001C56E0"/>
    <w:rsid w:val="001C575E"/>
    <w:rsid w:val="001C57A6"/>
    <w:rsid w:val="001C5885"/>
    <w:rsid w:val="001C58D4"/>
    <w:rsid w:val="001C58DD"/>
    <w:rsid w:val="001C5919"/>
    <w:rsid w:val="001C5B9A"/>
    <w:rsid w:val="001C5BAB"/>
    <w:rsid w:val="001C5DDF"/>
    <w:rsid w:val="001C5ECB"/>
    <w:rsid w:val="001C5EFE"/>
    <w:rsid w:val="001C5F2D"/>
    <w:rsid w:val="001C601F"/>
    <w:rsid w:val="001C6097"/>
    <w:rsid w:val="001C6252"/>
    <w:rsid w:val="001C62AD"/>
    <w:rsid w:val="001C642B"/>
    <w:rsid w:val="001C655A"/>
    <w:rsid w:val="001C65F0"/>
    <w:rsid w:val="001C664D"/>
    <w:rsid w:val="001C665C"/>
    <w:rsid w:val="001C66C1"/>
    <w:rsid w:val="001C672B"/>
    <w:rsid w:val="001C67AA"/>
    <w:rsid w:val="001C67B2"/>
    <w:rsid w:val="001C6898"/>
    <w:rsid w:val="001C68C5"/>
    <w:rsid w:val="001C68CD"/>
    <w:rsid w:val="001C690E"/>
    <w:rsid w:val="001C6956"/>
    <w:rsid w:val="001C6977"/>
    <w:rsid w:val="001C69D6"/>
    <w:rsid w:val="001C6ABA"/>
    <w:rsid w:val="001C6B77"/>
    <w:rsid w:val="001C6BF7"/>
    <w:rsid w:val="001C6C22"/>
    <w:rsid w:val="001C6C4A"/>
    <w:rsid w:val="001C6CAE"/>
    <w:rsid w:val="001C6DAF"/>
    <w:rsid w:val="001C6F9B"/>
    <w:rsid w:val="001C7077"/>
    <w:rsid w:val="001C716F"/>
    <w:rsid w:val="001C71AD"/>
    <w:rsid w:val="001C730C"/>
    <w:rsid w:val="001C7310"/>
    <w:rsid w:val="001C73F0"/>
    <w:rsid w:val="001C747F"/>
    <w:rsid w:val="001C74BA"/>
    <w:rsid w:val="001C75A4"/>
    <w:rsid w:val="001C75D6"/>
    <w:rsid w:val="001C76B9"/>
    <w:rsid w:val="001C76BF"/>
    <w:rsid w:val="001C776B"/>
    <w:rsid w:val="001C77EE"/>
    <w:rsid w:val="001C78D3"/>
    <w:rsid w:val="001C7AFB"/>
    <w:rsid w:val="001C7BAA"/>
    <w:rsid w:val="001C7BC4"/>
    <w:rsid w:val="001C7CA4"/>
    <w:rsid w:val="001C7D2C"/>
    <w:rsid w:val="001C7E35"/>
    <w:rsid w:val="001C7EAE"/>
    <w:rsid w:val="001C7F5A"/>
    <w:rsid w:val="001D0011"/>
    <w:rsid w:val="001D0033"/>
    <w:rsid w:val="001D0116"/>
    <w:rsid w:val="001D0190"/>
    <w:rsid w:val="001D02E4"/>
    <w:rsid w:val="001D0342"/>
    <w:rsid w:val="001D0370"/>
    <w:rsid w:val="001D044A"/>
    <w:rsid w:val="001D0494"/>
    <w:rsid w:val="001D0510"/>
    <w:rsid w:val="001D0555"/>
    <w:rsid w:val="001D06B2"/>
    <w:rsid w:val="001D06FC"/>
    <w:rsid w:val="001D072F"/>
    <w:rsid w:val="001D0730"/>
    <w:rsid w:val="001D07C5"/>
    <w:rsid w:val="001D087E"/>
    <w:rsid w:val="001D0BE2"/>
    <w:rsid w:val="001D0BF2"/>
    <w:rsid w:val="001D0D14"/>
    <w:rsid w:val="001D0DA3"/>
    <w:rsid w:val="001D0DE8"/>
    <w:rsid w:val="001D0E39"/>
    <w:rsid w:val="001D0E57"/>
    <w:rsid w:val="001D0E71"/>
    <w:rsid w:val="001D0E80"/>
    <w:rsid w:val="001D1001"/>
    <w:rsid w:val="001D1085"/>
    <w:rsid w:val="001D11A2"/>
    <w:rsid w:val="001D11DC"/>
    <w:rsid w:val="001D1317"/>
    <w:rsid w:val="001D139B"/>
    <w:rsid w:val="001D1563"/>
    <w:rsid w:val="001D178C"/>
    <w:rsid w:val="001D17F8"/>
    <w:rsid w:val="001D1819"/>
    <w:rsid w:val="001D186F"/>
    <w:rsid w:val="001D1974"/>
    <w:rsid w:val="001D1A8B"/>
    <w:rsid w:val="001D1B6D"/>
    <w:rsid w:val="001D1C3C"/>
    <w:rsid w:val="001D1C59"/>
    <w:rsid w:val="001D1CF4"/>
    <w:rsid w:val="001D1D2A"/>
    <w:rsid w:val="001D1D6B"/>
    <w:rsid w:val="001D1FB2"/>
    <w:rsid w:val="001D2095"/>
    <w:rsid w:val="001D21B6"/>
    <w:rsid w:val="001D22B7"/>
    <w:rsid w:val="001D2320"/>
    <w:rsid w:val="001D232C"/>
    <w:rsid w:val="001D23C2"/>
    <w:rsid w:val="001D23E1"/>
    <w:rsid w:val="001D2483"/>
    <w:rsid w:val="001D24CC"/>
    <w:rsid w:val="001D25AD"/>
    <w:rsid w:val="001D25EB"/>
    <w:rsid w:val="001D2613"/>
    <w:rsid w:val="001D26E0"/>
    <w:rsid w:val="001D276C"/>
    <w:rsid w:val="001D2778"/>
    <w:rsid w:val="001D2838"/>
    <w:rsid w:val="001D2896"/>
    <w:rsid w:val="001D2913"/>
    <w:rsid w:val="001D29FB"/>
    <w:rsid w:val="001D2A60"/>
    <w:rsid w:val="001D2A91"/>
    <w:rsid w:val="001D2B06"/>
    <w:rsid w:val="001D2CA0"/>
    <w:rsid w:val="001D2CB6"/>
    <w:rsid w:val="001D2D86"/>
    <w:rsid w:val="001D2E3A"/>
    <w:rsid w:val="001D2E61"/>
    <w:rsid w:val="001D2E69"/>
    <w:rsid w:val="001D2E86"/>
    <w:rsid w:val="001D3045"/>
    <w:rsid w:val="001D309F"/>
    <w:rsid w:val="001D3115"/>
    <w:rsid w:val="001D3134"/>
    <w:rsid w:val="001D3191"/>
    <w:rsid w:val="001D332A"/>
    <w:rsid w:val="001D3369"/>
    <w:rsid w:val="001D33DA"/>
    <w:rsid w:val="001D33E0"/>
    <w:rsid w:val="001D33EF"/>
    <w:rsid w:val="001D34AF"/>
    <w:rsid w:val="001D3915"/>
    <w:rsid w:val="001D3943"/>
    <w:rsid w:val="001D3AD9"/>
    <w:rsid w:val="001D3AE8"/>
    <w:rsid w:val="001D3C59"/>
    <w:rsid w:val="001D3C6A"/>
    <w:rsid w:val="001D3C97"/>
    <w:rsid w:val="001D3D1B"/>
    <w:rsid w:val="001D3E3D"/>
    <w:rsid w:val="001D3F4E"/>
    <w:rsid w:val="001D4067"/>
    <w:rsid w:val="001D4086"/>
    <w:rsid w:val="001D40E2"/>
    <w:rsid w:val="001D40EB"/>
    <w:rsid w:val="001D412A"/>
    <w:rsid w:val="001D41E4"/>
    <w:rsid w:val="001D426C"/>
    <w:rsid w:val="001D43CD"/>
    <w:rsid w:val="001D43D1"/>
    <w:rsid w:val="001D4424"/>
    <w:rsid w:val="001D45A5"/>
    <w:rsid w:val="001D4619"/>
    <w:rsid w:val="001D4648"/>
    <w:rsid w:val="001D46C3"/>
    <w:rsid w:val="001D4703"/>
    <w:rsid w:val="001D48E4"/>
    <w:rsid w:val="001D4945"/>
    <w:rsid w:val="001D494C"/>
    <w:rsid w:val="001D49C7"/>
    <w:rsid w:val="001D4A2A"/>
    <w:rsid w:val="001D4A79"/>
    <w:rsid w:val="001D4B40"/>
    <w:rsid w:val="001D4D0B"/>
    <w:rsid w:val="001D4D89"/>
    <w:rsid w:val="001D4D8E"/>
    <w:rsid w:val="001D4DEF"/>
    <w:rsid w:val="001D4ED8"/>
    <w:rsid w:val="001D4F78"/>
    <w:rsid w:val="001D50B1"/>
    <w:rsid w:val="001D50D8"/>
    <w:rsid w:val="001D5377"/>
    <w:rsid w:val="001D53E4"/>
    <w:rsid w:val="001D542B"/>
    <w:rsid w:val="001D54CD"/>
    <w:rsid w:val="001D54D1"/>
    <w:rsid w:val="001D54F1"/>
    <w:rsid w:val="001D55FE"/>
    <w:rsid w:val="001D5676"/>
    <w:rsid w:val="001D57D0"/>
    <w:rsid w:val="001D5820"/>
    <w:rsid w:val="001D5867"/>
    <w:rsid w:val="001D5977"/>
    <w:rsid w:val="001D5C6C"/>
    <w:rsid w:val="001D5D20"/>
    <w:rsid w:val="001D5DA0"/>
    <w:rsid w:val="001D6275"/>
    <w:rsid w:val="001D6305"/>
    <w:rsid w:val="001D634C"/>
    <w:rsid w:val="001D6434"/>
    <w:rsid w:val="001D65EE"/>
    <w:rsid w:val="001D6657"/>
    <w:rsid w:val="001D668E"/>
    <w:rsid w:val="001D671B"/>
    <w:rsid w:val="001D6798"/>
    <w:rsid w:val="001D67BF"/>
    <w:rsid w:val="001D687B"/>
    <w:rsid w:val="001D6943"/>
    <w:rsid w:val="001D6A60"/>
    <w:rsid w:val="001D6A9D"/>
    <w:rsid w:val="001D6B0A"/>
    <w:rsid w:val="001D6B52"/>
    <w:rsid w:val="001D6B58"/>
    <w:rsid w:val="001D6BD8"/>
    <w:rsid w:val="001D6C1F"/>
    <w:rsid w:val="001D6CC6"/>
    <w:rsid w:val="001D6DA9"/>
    <w:rsid w:val="001D6DE4"/>
    <w:rsid w:val="001D6E71"/>
    <w:rsid w:val="001D6E85"/>
    <w:rsid w:val="001D6F52"/>
    <w:rsid w:val="001D6F96"/>
    <w:rsid w:val="001D6FBF"/>
    <w:rsid w:val="001D70DD"/>
    <w:rsid w:val="001D7268"/>
    <w:rsid w:val="001D7286"/>
    <w:rsid w:val="001D7359"/>
    <w:rsid w:val="001D7624"/>
    <w:rsid w:val="001D762B"/>
    <w:rsid w:val="001D764F"/>
    <w:rsid w:val="001D768B"/>
    <w:rsid w:val="001D76B9"/>
    <w:rsid w:val="001D7794"/>
    <w:rsid w:val="001D7857"/>
    <w:rsid w:val="001D78CB"/>
    <w:rsid w:val="001D7AD1"/>
    <w:rsid w:val="001D7BE0"/>
    <w:rsid w:val="001D7BF1"/>
    <w:rsid w:val="001D7C3B"/>
    <w:rsid w:val="001D7C87"/>
    <w:rsid w:val="001D7CCB"/>
    <w:rsid w:val="001D7D02"/>
    <w:rsid w:val="001D7D24"/>
    <w:rsid w:val="001D7D25"/>
    <w:rsid w:val="001D7DDC"/>
    <w:rsid w:val="001D7E3A"/>
    <w:rsid w:val="001D7E80"/>
    <w:rsid w:val="001D7EEB"/>
    <w:rsid w:val="001D7F45"/>
    <w:rsid w:val="001D7F52"/>
    <w:rsid w:val="001D7FE6"/>
    <w:rsid w:val="001E0155"/>
    <w:rsid w:val="001E02CF"/>
    <w:rsid w:val="001E0309"/>
    <w:rsid w:val="001E03A1"/>
    <w:rsid w:val="001E03E3"/>
    <w:rsid w:val="001E03E5"/>
    <w:rsid w:val="001E046A"/>
    <w:rsid w:val="001E05D3"/>
    <w:rsid w:val="001E0650"/>
    <w:rsid w:val="001E06B3"/>
    <w:rsid w:val="001E0784"/>
    <w:rsid w:val="001E0813"/>
    <w:rsid w:val="001E081E"/>
    <w:rsid w:val="001E0835"/>
    <w:rsid w:val="001E088E"/>
    <w:rsid w:val="001E0986"/>
    <w:rsid w:val="001E09FF"/>
    <w:rsid w:val="001E0A4E"/>
    <w:rsid w:val="001E0AEA"/>
    <w:rsid w:val="001E0B10"/>
    <w:rsid w:val="001E0C83"/>
    <w:rsid w:val="001E0CFD"/>
    <w:rsid w:val="001E0D00"/>
    <w:rsid w:val="001E0D52"/>
    <w:rsid w:val="001E0DB7"/>
    <w:rsid w:val="001E0E00"/>
    <w:rsid w:val="001E0EC3"/>
    <w:rsid w:val="001E0EF4"/>
    <w:rsid w:val="001E0EFA"/>
    <w:rsid w:val="001E0F64"/>
    <w:rsid w:val="001E102C"/>
    <w:rsid w:val="001E1030"/>
    <w:rsid w:val="001E1071"/>
    <w:rsid w:val="001E10AD"/>
    <w:rsid w:val="001E10CA"/>
    <w:rsid w:val="001E1107"/>
    <w:rsid w:val="001E1152"/>
    <w:rsid w:val="001E1155"/>
    <w:rsid w:val="001E1196"/>
    <w:rsid w:val="001E11FF"/>
    <w:rsid w:val="001E1202"/>
    <w:rsid w:val="001E122C"/>
    <w:rsid w:val="001E12AD"/>
    <w:rsid w:val="001E12B5"/>
    <w:rsid w:val="001E12CC"/>
    <w:rsid w:val="001E12F9"/>
    <w:rsid w:val="001E1303"/>
    <w:rsid w:val="001E13DE"/>
    <w:rsid w:val="001E1461"/>
    <w:rsid w:val="001E148C"/>
    <w:rsid w:val="001E148E"/>
    <w:rsid w:val="001E14BE"/>
    <w:rsid w:val="001E151C"/>
    <w:rsid w:val="001E156B"/>
    <w:rsid w:val="001E1632"/>
    <w:rsid w:val="001E177D"/>
    <w:rsid w:val="001E17C9"/>
    <w:rsid w:val="001E1864"/>
    <w:rsid w:val="001E1877"/>
    <w:rsid w:val="001E187D"/>
    <w:rsid w:val="001E1954"/>
    <w:rsid w:val="001E1975"/>
    <w:rsid w:val="001E1C0A"/>
    <w:rsid w:val="001E1CA9"/>
    <w:rsid w:val="001E1D8A"/>
    <w:rsid w:val="001E1E26"/>
    <w:rsid w:val="001E1E47"/>
    <w:rsid w:val="001E21DE"/>
    <w:rsid w:val="001E2211"/>
    <w:rsid w:val="001E2291"/>
    <w:rsid w:val="001E257C"/>
    <w:rsid w:val="001E2588"/>
    <w:rsid w:val="001E25A1"/>
    <w:rsid w:val="001E26F7"/>
    <w:rsid w:val="001E270F"/>
    <w:rsid w:val="001E275E"/>
    <w:rsid w:val="001E2814"/>
    <w:rsid w:val="001E294B"/>
    <w:rsid w:val="001E29A8"/>
    <w:rsid w:val="001E29CF"/>
    <w:rsid w:val="001E29E5"/>
    <w:rsid w:val="001E2A30"/>
    <w:rsid w:val="001E2A94"/>
    <w:rsid w:val="001E2B41"/>
    <w:rsid w:val="001E2C24"/>
    <w:rsid w:val="001E2C4D"/>
    <w:rsid w:val="001E2EBF"/>
    <w:rsid w:val="001E2EDD"/>
    <w:rsid w:val="001E2F2F"/>
    <w:rsid w:val="001E2FCC"/>
    <w:rsid w:val="001E2FD5"/>
    <w:rsid w:val="001E2FEC"/>
    <w:rsid w:val="001E30B2"/>
    <w:rsid w:val="001E34CD"/>
    <w:rsid w:val="001E3529"/>
    <w:rsid w:val="001E369E"/>
    <w:rsid w:val="001E36F9"/>
    <w:rsid w:val="001E37F6"/>
    <w:rsid w:val="001E3889"/>
    <w:rsid w:val="001E3895"/>
    <w:rsid w:val="001E3955"/>
    <w:rsid w:val="001E39AF"/>
    <w:rsid w:val="001E3B45"/>
    <w:rsid w:val="001E3DD6"/>
    <w:rsid w:val="001E3DE4"/>
    <w:rsid w:val="001E3E4E"/>
    <w:rsid w:val="001E3EC6"/>
    <w:rsid w:val="001E3F8B"/>
    <w:rsid w:val="001E3FF0"/>
    <w:rsid w:val="001E40A2"/>
    <w:rsid w:val="001E413D"/>
    <w:rsid w:val="001E4195"/>
    <w:rsid w:val="001E41EA"/>
    <w:rsid w:val="001E4225"/>
    <w:rsid w:val="001E432B"/>
    <w:rsid w:val="001E4495"/>
    <w:rsid w:val="001E44B3"/>
    <w:rsid w:val="001E458B"/>
    <w:rsid w:val="001E45AE"/>
    <w:rsid w:val="001E461B"/>
    <w:rsid w:val="001E4630"/>
    <w:rsid w:val="001E4771"/>
    <w:rsid w:val="001E47FF"/>
    <w:rsid w:val="001E483D"/>
    <w:rsid w:val="001E4861"/>
    <w:rsid w:val="001E4A46"/>
    <w:rsid w:val="001E4AE3"/>
    <w:rsid w:val="001E4E0F"/>
    <w:rsid w:val="001E4E8B"/>
    <w:rsid w:val="001E4F04"/>
    <w:rsid w:val="001E4F5F"/>
    <w:rsid w:val="001E4F73"/>
    <w:rsid w:val="001E5086"/>
    <w:rsid w:val="001E50AA"/>
    <w:rsid w:val="001E5155"/>
    <w:rsid w:val="001E5199"/>
    <w:rsid w:val="001E51D2"/>
    <w:rsid w:val="001E533D"/>
    <w:rsid w:val="001E5374"/>
    <w:rsid w:val="001E5396"/>
    <w:rsid w:val="001E546E"/>
    <w:rsid w:val="001E5532"/>
    <w:rsid w:val="001E55C7"/>
    <w:rsid w:val="001E55EB"/>
    <w:rsid w:val="001E55FE"/>
    <w:rsid w:val="001E56C1"/>
    <w:rsid w:val="001E5703"/>
    <w:rsid w:val="001E572D"/>
    <w:rsid w:val="001E5847"/>
    <w:rsid w:val="001E585C"/>
    <w:rsid w:val="001E587A"/>
    <w:rsid w:val="001E58BE"/>
    <w:rsid w:val="001E58F9"/>
    <w:rsid w:val="001E5949"/>
    <w:rsid w:val="001E5A2E"/>
    <w:rsid w:val="001E5ACC"/>
    <w:rsid w:val="001E5AF4"/>
    <w:rsid w:val="001E5BA3"/>
    <w:rsid w:val="001E5C07"/>
    <w:rsid w:val="001E5C76"/>
    <w:rsid w:val="001E5CCE"/>
    <w:rsid w:val="001E5E5A"/>
    <w:rsid w:val="001E5EFF"/>
    <w:rsid w:val="001E5F26"/>
    <w:rsid w:val="001E5F9C"/>
    <w:rsid w:val="001E5FFD"/>
    <w:rsid w:val="001E605B"/>
    <w:rsid w:val="001E60DD"/>
    <w:rsid w:val="001E6196"/>
    <w:rsid w:val="001E61F7"/>
    <w:rsid w:val="001E629A"/>
    <w:rsid w:val="001E638E"/>
    <w:rsid w:val="001E63F3"/>
    <w:rsid w:val="001E6400"/>
    <w:rsid w:val="001E6402"/>
    <w:rsid w:val="001E658C"/>
    <w:rsid w:val="001E65A5"/>
    <w:rsid w:val="001E6676"/>
    <w:rsid w:val="001E66DB"/>
    <w:rsid w:val="001E677F"/>
    <w:rsid w:val="001E683C"/>
    <w:rsid w:val="001E684B"/>
    <w:rsid w:val="001E6882"/>
    <w:rsid w:val="001E68BE"/>
    <w:rsid w:val="001E6BB2"/>
    <w:rsid w:val="001E6C00"/>
    <w:rsid w:val="001E6D70"/>
    <w:rsid w:val="001E6DBB"/>
    <w:rsid w:val="001E6F43"/>
    <w:rsid w:val="001E6F62"/>
    <w:rsid w:val="001E7282"/>
    <w:rsid w:val="001E745A"/>
    <w:rsid w:val="001E7768"/>
    <w:rsid w:val="001E778A"/>
    <w:rsid w:val="001E7819"/>
    <w:rsid w:val="001E7B44"/>
    <w:rsid w:val="001E7B48"/>
    <w:rsid w:val="001E7B4A"/>
    <w:rsid w:val="001E7BB4"/>
    <w:rsid w:val="001E7BDC"/>
    <w:rsid w:val="001E7C24"/>
    <w:rsid w:val="001E7CEE"/>
    <w:rsid w:val="001E7D16"/>
    <w:rsid w:val="001E7D67"/>
    <w:rsid w:val="001E7D6D"/>
    <w:rsid w:val="001E7F1F"/>
    <w:rsid w:val="001F0077"/>
    <w:rsid w:val="001F00EF"/>
    <w:rsid w:val="001F0122"/>
    <w:rsid w:val="001F01A6"/>
    <w:rsid w:val="001F0223"/>
    <w:rsid w:val="001F0226"/>
    <w:rsid w:val="001F022F"/>
    <w:rsid w:val="001F02CE"/>
    <w:rsid w:val="001F0443"/>
    <w:rsid w:val="001F0444"/>
    <w:rsid w:val="001F044B"/>
    <w:rsid w:val="001F0544"/>
    <w:rsid w:val="001F05C9"/>
    <w:rsid w:val="001F071B"/>
    <w:rsid w:val="001F0730"/>
    <w:rsid w:val="001F0840"/>
    <w:rsid w:val="001F08BD"/>
    <w:rsid w:val="001F08F8"/>
    <w:rsid w:val="001F093D"/>
    <w:rsid w:val="001F09BB"/>
    <w:rsid w:val="001F09E5"/>
    <w:rsid w:val="001F0A8C"/>
    <w:rsid w:val="001F0AB5"/>
    <w:rsid w:val="001F0B6C"/>
    <w:rsid w:val="001F0C0D"/>
    <w:rsid w:val="001F0C2E"/>
    <w:rsid w:val="001F0D82"/>
    <w:rsid w:val="001F0E25"/>
    <w:rsid w:val="001F0E9C"/>
    <w:rsid w:val="001F0EC9"/>
    <w:rsid w:val="001F1016"/>
    <w:rsid w:val="001F1112"/>
    <w:rsid w:val="001F117E"/>
    <w:rsid w:val="001F11C3"/>
    <w:rsid w:val="001F127C"/>
    <w:rsid w:val="001F12B2"/>
    <w:rsid w:val="001F1350"/>
    <w:rsid w:val="001F139B"/>
    <w:rsid w:val="001F1558"/>
    <w:rsid w:val="001F1718"/>
    <w:rsid w:val="001F18A2"/>
    <w:rsid w:val="001F18DF"/>
    <w:rsid w:val="001F1AE6"/>
    <w:rsid w:val="001F1BA1"/>
    <w:rsid w:val="001F1BA2"/>
    <w:rsid w:val="001F1C19"/>
    <w:rsid w:val="001F1C1B"/>
    <w:rsid w:val="001F1D04"/>
    <w:rsid w:val="001F1DCB"/>
    <w:rsid w:val="001F1E31"/>
    <w:rsid w:val="001F1E7E"/>
    <w:rsid w:val="001F1EDA"/>
    <w:rsid w:val="001F1F32"/>
    <w:rsid w:val="001F200E"/>
    <w:rsid w:val="001F20A8"/>
    <w:rsid w:val="001F20F8"/>
    <w:rsid w:val="001F2113"/>
    <w:rsid w:val="001F236C"/>
    <w:rsid w:val="001F241D"/>
    <w:rsid w:val="001F246E"/>
    <w:rsid w:val="001F2537"/>
    <w:rsid w:val="001F256F"/>
    <w:rsid w:val="001F2588"/>
    <w:rsid w:val="001F261A"/>
    <w:rsid w:val="001F27DB"/>
    <w:rsid w:val="001F2847"/>
    <w:rsid w:val="001F2948"/>
    <w:rsid w:val="001F2995"/>
    <w:rsid w:val="001F2B4F"/>
    <w:rsid w:val="001F2B79"/>
    <w:rsid w:val="001F2B96"/>
    <w:rsid w:val="001F2BDC"/>
    <w:rsid w:val="001F2BF8"/>
    <w:rsid w:val="001F2C04"/>
    <w:rsid w:val="001F2C41"/>
    <w:rsid w:val="001F2C94"/>
    <w:rsid w:val="001F2CC1"/>
    <w:rsid w:val="001F2CD7"/>
    <w:rsid w:val="001F2CDE"/>
    <w:rsid w:val="001F2D00"/>
    <w:rsid w:val="001F2E0E"/>
    <w:rsid w:val="001F2E81"/>
    <w:rsid w:val="001F2ECF"/>
    <w:rsid w:val="001F2FB6"/>
    <w:rsid w:val="001F2FC4"/>
    <w:rsid w:val="001F3125"/>
    <w:rsid w:val="001F31CF"/>
    <w:rsid w:val="001F3238"/>
    <w:rsid w:val="001F332F"/>
    <w:rsid w:val="001F33A8"/>
    <w:rsid w:val="001F342A"/>
    <w:rsid w:val="001F34E0"/>
    <w:rsid w:val="001F350C"/>
    <w:rsid w:val="001F369F"/>
    <w:rsid w:val="001F3771"/>
    <w:rsid w:val="001F3864"/>
    <w:rsid w:val="001F38A7"/>
    <w:rsid w:val="001F38BF"/>
    <w:rsid w:val="001F39E6"/>
    <w:rsid w:val="001F3A52"/>
    <w:rsid w:val="001F3A9F"/>
    <w:rsid w:val="001F3AD9"/>
    <w:rsid w:val="001F3BB9"/>
    <w:rsid w:val="001F3D39"/>
    <w:rsid w:val="001F3E6A"/>
    <w:rsid w:val="001F4137"/>
    <w:rsid w:val="001F4168"/>
    <w:rsid w:val="001F41E3"/>
    <w:rsid w:val="001F422D"/>
    <w:rsid w:val="001F4239"/>
    <w:rsid w:val="001F43A2"/>
    <w:rsid w:val="001F443A"/>
    <w:rsid w:val="001F444C"/>
    <w:rsid w:val="001F4454"/>
    <w:rsid w:val="001F45A2"/>
    <w:rsid w:val="001F4631"/>
    <w:rsid w:val="001F46F2"/>
    <w:rsid w:val="001F473E"/>
    <w:rsid w:val="001F48A3"/>
    <w:rsid w:val="001F4922"/>
    <w:rsid w:val="001F49FA"/>
    <w:rsid w:val="001F4A01"/>
    <w:rsid w:val="001F4A3E"/>
    <w:rsid w:val="001F4C8C"/>
    <w:rsid w:val="001F4E3F"/>
    <w:rsid w:val="001F4E99"/>
    <w:rsid w:val="001F4EB7"/>
    <w:rsid w:val="001F4F6C"/>
    <w:rsid w:val="001F5095"/>
    <w:rsid w:val="001F50A3"/>
    <w:rsid w:val="001F50B7"/>
    <w:rsid w:val="001F515C"/>
    <w:rsid w:val="001F51C3"/>
    <w:rsid w:val="001F51FC"/>
    <w:rsid w:val="001F52DB"/>
    <w:rsid w:val="001F5398"/>
    <w:rsid w:val="001F53AA"/>
    <w:rsid w:val="001F53AB"/>
    <w:rsid w:val="001F5463"/>
    <w:rsid w:val="001F5502"/>
    <w:rsid w:val="001F553E"/>
    <w:rsid w:val="001F55DE"/>
    <w:rsid w:val="001F5620"/>
    <w:rsid w:val="001F5691"/>
    <w:rsid w:val="001F56D0"/>
    <w:rsid w:val="001F5726"/>
    <w:rsid w:val="001F5743"/>
    <w:rsid w:val="001F57D5"/>
    <w:rsid w:val="001F5892"/>
    <w:rsid w:val="001F59A1"/>
    <w:rsid w:val="001F5A27"/>
    <w:rsid w:val="001F5A45"/>
    <w:rsid w:val="001F5A81"/>
    <w:rsid w:val="001F5AAA"/>
    <w:rsid w:val="001F5AFB"/>
    <w:rsid w:val="001F5BB3"/>
    <w:rsid w:val="001F5DF0"/>
    <w:rsid w:val="001F5E9A"/>
    <w:rsid w:val="001F5F8E"/>
    <w:rsid w:val="001F5FA0"/>
    <w:rsid w:val="001F5FFC"/>
    <w:rsid w:val="001F6036"/>
    <w:rsid w:val="001F60D7"/>
    <w:rsid w:val="001F60F1"/>
    <w:rsid w:val="001F6173"/>
    <w:rsid w:val="001F61D1"/>
    <w:rsid w:val="001F6232"/>
    <w:rsid w:val="001F633B"/>
    <w:rsid w:val="001F63A3"/>
    <w:rsid w:val="001F657C"/>
    <w:rsid w:val="001F65EB"/>
    <w:rsid w:val="001F65F2"/>
    <w:rsid w:val="001F663C"/>
    <w:rsid w:val="001F671A"/>
    <w:rsid w:val="001F68B7"/>
    <w:rsid w:val="001F694B"/>
    <w:rsid w:val="001F69DF"/>
    <w:rsid w:val="001F6AA9"/>
    <w:rsid w:val="001F6AD6"/>
    <w:rsid w:val="001F6B62"/>
    <w:rsid w:val="001F6B75"/>
    <w:rsid w:val="001F6C52"/>
    <w:rsid w:val="001F6CAB"/>
    <w:rsid w:val="001F6D99"/>
    <w:rsid w:val="001F6DCE"/>
    <w:rsid w:val="001F6F3B"/>
    <w:rsid w:val="001F703D"/>
    <w:rsid w:val="001F7078"/>
    <w:rsid w:val="001F70C1"/>
    <w:rsid w:val="001F70CD"/>
    <w:rsid w:val="001F7110"/>
    <w:rsid w:val="001F7211"/>
    <w:rsid w:val="001F7233"/>
    <w:rsid w:val="001F73D8"/>
    <w:rsid w:val="001F7431"/>
    <w:rsid w:val="001F753A"/>
    <w:rsid w:val="001F754A"/>
    <w:rsid w:val="001F7644"/>
    <w:rsid w:val="001F76A5"/>
    <w:rsid w:val="001F770F"/>
    <w:rsid w:val="001F7744"/>
    <w:rsid w:val="001F7748"/>
    <w:rsid w:val="001F77C7"/>
    <w:rsid w:val="001F79B6"/>
    <w:rsid w:val="001F79E7"/>
    <w:rsid w:val="001F79F2"/>
    <w:rsid w:val="001F7A41"/>
    <w:rsid w:val="001F7AB6"/>
    <w:rsid w:val="001F7B48"/>
    <w:rsid w:val="001F7B65"/>
    <w:rsid w:val="001F7C1F"/>
    <w:rsid w:val="001F7C42"/>
    <w:rsid w:val="001F7C89"/>
    <w:rsid w:val="001F7C92"/>
    <w:rsid w:val="001F7D5E"/>
    <w:rsid w:val="001F7DAB"/>
    <w:rsid w:val="001F7EDE"/>
    <w:rsid w:val="001F7FA2"/>
    <w:rsid w:val="001F7FDC"/>
    <w:rsid w:val="002000BC"/>
    <w:rsid w:val="002000DE"/>
    <w:rsid w:val="002000EB"/>
    <w:rsid w:val="0020014D"/>
    <w:rsid w:val="002001FD"/>
    <w:rsid w:val="0020027E"/>
    <w:rsid w:val="00200323"/>
    <w:rsid w:val="00200329"/>
    <w:rsid w:val="0020036B"/>
    <w:rsid w:val="00200406"/>
    <w:rsid w:val="0020040F"/>
    <w:rsid w:val="002004AE"/>
    <w:rsid w:val="002006EE"/>
    <w:rsid w:val="00200946"/>
    <w:rsid w:val="00200962"/>
    <w:rsid w:val="00200999"/>
    <w:rsid w:val="00200A06"/>
    <w:rsid w:val="00200A4C"/>
    <w:rsid w:val="00200A7E"/>
    <w:rsid w:val="00200C1E"/>
    <w:rsid w:val="00200D13"/>
    <w:rsid w:val="00200D63"/>
    <w:rsid w:val="00200E44"/>
    <w:rsid w:val="002011CE"/>
    <w:rsid w:val="002011E6"/>
    <w:rsid w:val="00201220"/>
    <w:rsid w:val="00201334"/>
    <w:rsid w:val="00201353"/>
    <w:rsid w:val="00201453"/>
    <w:rsid w:val="00201473"/>
    <w:rsid w:val="002014BC"/>
    <w:rsid w:val="002014DA"/>
    <w:rsid w:val="00201516"/>
    <w:rsid w:val="00201528"/>
    <w:rsid w:val="00201629"/>
    <w:rsid w:val="00201686"/>
    <w:rsid w:val="002016B8"/>
    <w:rsid w:val="002016DF"/>
    <w:rsid w:val="00201719"/>
    <w:rsid w:val="002017CC"/>
    <w:rsid w:val="002017F6"/>
    <w:rsid w:val="002018A4"/>
    <w:rsid w:val="0020194E"/>
    <w:rsid w:val="0020195F"/>
    <w:rsid w:val="00201A0A"/>
    <w:rsid w:val="00201B48"/>
    <w:rsid w:val="00201B51"/>
    <w:rsid w:val="00201BDE"/>
    <w:rsid w:val="00201C23"/>
    <w:rsid w:val="00201CAD"/>
    <w:rsid w:val="00201D98"/>
    <w:rsid w:val="00201EA4"/>
    <w:rsid w:val="00202007"/>
    <w:rsid w:val="002021FD"/>
    <w:rsid w:val="00202294"/>
    <w:rsid w:val="002022BD"/>
    <w:rsid w:val="002023D1"/>
    <w:rsid w:val="00202424"/>
    <w:rsid w:val="0020243C"/>
    <w:rsid w:val="0020272B"/>
    <w:rsid w:val="002028B4"/>
    <w:rsid w:val="0020290C"/>
    <w:rsid w:val="00202A3F"/>
    <w:rsid w:val="00202A7D"/>
    <w:rsid w:val="00202ABD"/>
    <w:rsid w:val="00202E35"/>
    <w:rsid w:val="00202E83"/>
    <w:rsid w:val="00202EE6"/>
    <w:rsid w:val="00202F18"/>
    <w:rsid w:val="002031D0"/>
    <w:rsid w:val="002031F6"/>
    <w:rsid w:val="00203248"/>
    <w:rsid w:val="00203256"/>
    <w:rsid w:val="00203452"/>
    <w:rsid w:val="00203509"/>
    <w:rsid w:val="00203513"/>
    <w:rsid w:val="00203537"/>
    <w:rsid w:val="0020356A"/>
    <w:rsid w:val="00203665"/>
    <w:rsid w:val="00203667"/>
    <w:rsid w:val="00203698"/>
    <w:rsid w:val="002036D2"/>
    <w:rsid w:val="00203744"/>
    <w:rsid w:val="002037A6"/>
    <w:rsid w:val="002037C1"/>
    <w:rsid w:val="002037D0"/>
    <w:rsid w:val="00203976"/>
    <w:rsid w:val="002039E1"/>
    <w:rsid w:val="00203A2A"/>
    <w:rsid w:val="00203ABF"/>
    <w:rsid w:val="00203C2A"/>
    <w:rsid w:val="00203CB9"/>
    <w:rsid w:val="00203D61"/>
    <w:rsid w:val="0020407D"/>
    <w:rsid w:val="002040E6"/>
    <w:rsid w:val="00204166"/>
    <w:rsid w:val="00204181"/>
    <w:rsid w:val="00204257"/>
    <w:rsid w:val="002042AC"/>
    <w:rsid w:val="002042F9"/>
    <w:rsid w:val="00204312"/>
    <w:rsid w:val="0020432C"/>
    <w:rsid w:val="0020436A"/>
    <w:rsid w:val="00204375"/>
    <w:rsid w:val="00204472"/>
    <w:rsid w:val="0020449B"/>
    <w:rsid w:val="00204609"/>
    <w:rsid w:val="0020468B"/>
    <w:rsid w:val="0020470F"/>
    <w:rsid w:val="00204742"/>
    <w:rsid w:val="002047E8"/>
    <w:rsid w:val="00204855"/>
    <w:rsid w:val="00204864"/>
    <w:rsid w:val="00204A48"/>
    <w:rsid w:val="00204A70"/>
    <w:rsid w:val="00204AB6"/>
    <w:rsid w:val="00204AC3"/>
    <w:rsid w:val="00204B21"/>
    <w:rsid w:val="00204BA3"/>
    <w:rsid w:val="00204C11"/>
    <w:rsid w:val="00204DF4"/>
    <w:rsid w:val="00204E1B"/>
    <w:rsid w:val="00204F80"/>
    <w:rsid w:val="0020501A"/>
    <w:rsid w:val="0020501C"/>
    <w:rsid w:val="002050A8"/>
    <w:rsid w:val="002052EB"/>
    <w:rsid w:val="002052EE"/>
    <w:rsid w:val="00205312"/>
    <w:rsid w:val="00205330"/>
    <w:rsid w:val="0020545A"/>
    <w:rsid w:val="0020553C"/>
    <w:rsid w:val="002055D9"/>
    <w:rsid w:val="002055EC"/>
    <w:rsid w:val="0020574B"/>
    <w:rsid w:val="00205926"/>
    <w:rsid w:val="002059DC"/>
    <w:rsid w:val="00205A27"/>
    <w:rsid w:val="00205A84"/>
    <w:rsid w:val="00205A8E"/>
    <w:rsid w:val="00205A9C"/>
    <w:rsid w:val="00205D2F"/>
    <w:rsid w:val="00205E7E"/>
    <w:rsid w:val="00205F0E"/>
    <w:rsid w:val="00205F81"/>
    <w:rsid w:val="0020611E"/>
    <w:rsid w:val="0020613F"/>
    <w:rsid w:val="002061B9"/>
    <w:rsid w:val="0020625C"/>
    <w:rsid w:val="002062A0"/>
    <w:rsid w:val="00206336"/>
    <w:rsid w:val="00206345"/>
    <w:rsid w:val="002064E7"/>
    <w:rsid w:val="0020651E"/>
    <w:rsid w:val="00206540"/>
    <w:rsid w:val="002065B2"/>
    <w:rsid w:val="002065B4"/>
    <w:rsid w:val="002065E2"/>
    <w:rsid w:val="002066A3"/>
    <w:rsid w:val="00206862"/>
    <w:rsid w:val="0020692A"/>
    <w:rsid w:val="002069B8"/>
    <w:rsid w:val="00206A71"/>
    <w:rsid w:val="00206ADD"/>
    <w:rsid w:val="00206B3B"/>
    <w:rsid w:val="00206BC3"/>
    <w:rsid w:val="00206E33"/>
    <w:rsid w:val="00206E6C"/>
    <w:rsid w:val="00206E95"/>
    <w:rsid w:val="0020700E"/>
    <w:rsid w:val="0020703F"/>
    <w:rsid w:val="002071F0"/>
    <w:rsid w:val="00207213"/>
    <w:rsid w:val="002072FB"/>
    <w:rsid w:val="00207332"/>
    <w:rsid w:val="002073B4"/>
    <w:rsid w:val="00207417"/>
    <w:rsid w:val="00207427"/>
    <w:rsid w:val="00207430"/>
    <w:rsid w:val="002074A5"/>
    <w:rsid w:val="002074E5"/>
    <w:rsid w:val="00207584"/>
    <w:rsid w:val="0020760E"/>
    <w:rsid w:val="00207667"/>
    <w:rsid w:val="00207668"/>
    <w:rsid w:val="002076A0"/>
    <w:rsid w:val="002077BC"/>
    <w:rsid w:val="002077CA"/>
    <w:rsid w:val="002077DB"/>
    <w:rsid w:val="0020785D"/>
    <w:rsid w:val="00207899"/>
    <w:rsid w:val="002078E9"/>
    <w:rsid w:val="00207925"/>
    <w:rsid w:val="00207AFF"/>
    <w:rsid w:val="00207B05"/>
    <w:rsid w:val="00207B88"/>
    <w:rsid w:val="00207BD6"/>
    <w:rsid w:val="00207C6B"/>
    <w:rsid w:val="00207D0A"/>
    <w:rsid w:val="00207D5F"/>
    <w:rsid w:val="00207E8C"/>
    <w:rsid w:val="00210016"/>
    <w:rsid w:val="002100B9"/>
    <w:rsid w:val="00210141"/>
    <w:rsid w:val="002101C6"/>
    <w:rsid w:val="0021029C"/>
    <w:rsid w:val="002102A4"/>
    <w:rsid w:val="002104D0"/>
    <w:rsid w:val="0021061F"/>
    <w:rsid w:val="00210658"/>
    <w:rsid w:val="00210709"/>
    <w:rsid w:val="00210866"/>
    <w:rsid w:val="0021089A"/>
    <w:rsid w:val="002109CE"/>
    <w:rsid w:val="002109ED"/>
    <w:rsid w:val="00210AD0"/>
    <w:rsid w:val="00210B2C"/>
    <w:rsid w:val="00210C9E"/>
    <w:rsid w:val="00210D7C"/>
    <w:rsid w:val="00210DC1"/>
    <w:rsid w:val="00210E14"/>
    <w:rsid w:val="00210E4E"/>
    <w:rsid w:val="00210E6E"/>
    <w:rsid w:val="00211006"/>
    <w:rsid w:val="00211051"/>
    <w:rsid w:val="002110B2"/>
    <w:rsid w:val="00211155"/>
    <w:rsid w:val="00211356"/>
    <w:rsid w:val="0021137C"/>
    <w:rsid w:val="002113C2"/>
    <w:rsid w:val="00211474"/>
    <w:rsid w:val="00211486"/>
    <w:rsid w:val="002114A4"/>
    <w:rsid w:val="002114A8"/>
    <w:rsid w:val="00211519"/>
    <w:rsid w:val="00211534"/>
    <w:rsid w:val="002116AD"/>
    <w:rsid w:val="0021173F"/>
    <w:rsid w:val="00211781"/>
    <w:rsid w:val="00211859"/>
    <w:rsid w:val="002118E3"/>
    <w:rsid w:val="0021195B"/>
    <w:rsid w:val="00211A16"/>
    <w:rsid w:val="00211B1E"/>
    <w:rsid w:val="00211B4E"/>
    <w:rsid w:val="00211B71"/>
    <w:rsid w:val="00211B72"/>
    <w:rsid w:val="00211B8B"/>
    <w:rsid w:val="00211B93"/>
    <w:rsid w:val="00211C18"/>
    <w:rsid w:val="00211CC5"/>
    <w:rsid w:val="00211D4E"/>
    <w:rsid w:val="00211DD7"/>
    <w:rsid w:val="00211E34"/>
    <w:rsid w:val="00211E51"/>
    <w:rsid w:val="00211EEF"/>
    <w:rsid w:val="00211FE3"/>
    <w:rsid w:val="0021204E"/>
    <w:rsid w:val="00212091"/>
    <w:rsid w:val="002120D5"/>
    <w:rsid w:val="0021214E"/>
    <w:rsid w:val="0021215F"/>
    <w:rsid w:val="0021217C"/>
    <w:rsid w:val="002121BD"/>
    <w:rsid w:val="002121C2"/>
    <w:rsid w:val="00212272"/>
    <w:rsid w:val="0021228F"/>
    <w:rsid w:val="0021234A"/>
    <w:rsid w:val="002123BB"/>
    <w:rsid w:val="002124A4"/>
    <w:rsid w:val="002124A6"/>
    <w:rsid w:val="002124BF"/>
    <w:rsid w:val="00212716"/>
    <w:rsid w:val="0021281F"/>
    <w:rsid w:val="00212842"/>
    <w:rsid w:val="00212940"/>
    <w:rsid w:val="00212946"/>
    <w:rsid w:val="00212AE3"/>
    <w:rsid w:val="00212B92"/>
    <w:rsid w:val="00212C97"/>
    <w:rsid w:val="00212CD4"/>
    <w:rsid w:val="002130BF"/>
    <w:rsid w:val="002131EE"/>
    <w:rsid w:val="0021333F"/>
    <w:rsid w:val="002133EE"/>
    <w:rsid w:val="002133F8"/>
    <w:rsid w:val="0021341D"/>
    <w:rsid w:val="0021349A"/>
    <w:rsid w:val="0021364A"/>
    <w:rsid w:val="00213660"/>
    <w:rsid w:val="002136B4"/>
    <w:rsid w:val="00213742"/>
    <w:rsid w:val="00213833"/>
    <w:rsid w:val="00213855"/>
    <w:rsid w:val="00213871"/>
    <w:rsid w:val="002138CA"/>
    <w:rsid w:val="00213976"/>
    <w:rsid w:val="002139BE"/>
    <w:rsid w:val="00213A27"/>
    <w:rsid w:val="00213BA0"/>
    <w:rsid w:val="00213BDA"/>
    <w:rsid w:val="00213BF7"/>
    <w:rsid w:val="00213E5E"/>
    <w:rsid w:val="002140E1"/>
    <w:rsid w:val="00214119"/>
    <w:rsid w:val="00214215"/>
    <w:rsid w:val="00214232"/>
    <w:rsid w:val="00214249"/>
    <w:rsid w:val="00214273"/>
    <w:rsid w:val="002142D0"/>
    <w:rsid w:val="0021439A"/>
    <w:rsid w:val="0021439E"/>
    <w:rsid w:val="00214420"/>
    <w:rsid w:val="0021442B"/>
    <w:rsid w:val="00214594"/>
    <w:rsid w:val="00214617"/>
    <w:rsid w:val="0021465A"/>
    <w:rsid w:val="002147A2"/>
    <w:rsid w:val="002147F2"/>
    <w:rsid w:val="002148FE"/>
    <w:rsid w:val="00214B20"/>
    <w:rsid w:val="00214B5B"/>
    <w:rsid w:val="00214B64"/>
    <w:rsid w:val="00214C4A"/>
    <w:rsid w:val="00214C78"/>
    <w:rsid w:val="00214C9E"/>
    <w:rsid w:val="00214CF9"/>
    <w:rsid w:val="00214D66"/>
    <w:rsid w:val="00214D67"/>
    <w:rsid w:val="00214DCA"/>
    <w:rsid w:val="00214E3F"/>
    <w:rsid w:val="00214EA0"/>
    <w:rsid w:val="00215014"/>
    <w:rsid w:val="00215079"/>
    <w:rsid w:val="002150A0"/>
    <w:rsid w:val="002150C9"/>
    <w:rsid w:val="002150F1"/>
    <w:rsid w:val="002150F3"/>
    <w:rsid w:val="0021532A"/>
    <w:rsid w:val="00215397"/>
    <w:rsid w:val="002153FB"/>
    <w:rsid w:val="002154A8"/>
    <w:rsid w:val="002154D9"/>
    <w:rsid w:val="00215571"/>
    <w:rsid w:val="00215584"/>
    <w:rsid w:val="002155EF"/>
    <w:rsid w:val="00215759"/>
    <w:rsid w:val="0021585A"/>
    <w:rsid w:val="002158C3"/>
    <w:rsid w:val="002158E5"/>
    <w:rsid w:val="00215936"/>
    <w:rsid w:val="002159D9"/>
    <w:rsid w:val="002159FC"/>
    <w:rsid w:val="00215ADF"/>
    <w:rsid w:val="00215B04"/>
    <w:rsid w:val="00215BC2"/>
    <w:rsid w:val="00215DC0"/>
    <w:rsid w:val="00215DCF"/>
    <w:rsid w:val="00215DD4"/>
    <w:rsid w:val="00215E57"/>
    <w:rsid w:val="00215E67"/>
    <w:rsid w:val="00215FBB"/>
    <w:rsid w:val="0021607C"/>
    <w:rsid w:val="0021609F"/>
    <w:rsid w:val="002160BC"/>
    <w:rsid w:val="00216112"/>
    <w:rsid w:val="002161F3"/>
    <w:rsid w:val="00216261"/>
    <w:rsid w:val="002163B0"/>
    <w:rsid w:val="002163C4"/>
    <w:rsid w:val="00216436"/>
    <w:rsid w:val="002164AE"/>
    <w:rsid w:val="00216502"/>
    <w:rsid w:val="00216586"/>
    <w:rsid w:val="002165EF"/>
    <w:rsid w:val="0021667F"/>
    <w:rsid w:val="00216695"/>
    <w:rsid w:val="002166A9"/>
    <w:rsid w:val="002166BF"/>
    <w:rsid w:val="00216706"/>
    <w:rsid w:val="002167F3"/>
    <w:rsid w:val="00216803"/>
    <w:rsid w:val="002168A2"/>
    <w:rsid w:val="002168A8"/>
    <w:rsid w:val="00216961"/>
    <w:rsid w:val="002169FC"/>
    <w:rsid w:val="002169FF"/>
    <w:rsid w:val="00216AF2"/>
    <w:rsid w:val="00216B11"/>
    <w:rsid w:val="00216B62"/>
    <w:rsid w:val="00216D50"/>
    <w:rsid w:val="00216DB8"/>
    <w:rsid w:val="00216EE7"/>
    <w:rsid w:val="00216F47"/>
    <w:rsid w:val="00216FDB"/>
    <w:rsid w:val="0021704A"/>
    <w:rsid w:val="0021706F"/>
    <w:rsid w:val="002171ED"/>
    <w:rsid w:val="00217220"/>
    <w:rsid w:val="0021729F"/>
    <w:rsid w:val="002172A7"/>
    <w:rsid w:val="00217494"/>
    <w:rsid w:val="0021749E"/>
    <w:rsid w:val="002174E4"/>
    <w:rsid w:val="002174EF"/>
    <w:rsid w:val="00217621"/>
    <w:rsid w:val="0021772F"/>
    <w:rsid w:val="002177DD"/>
    <w:rsid w:val="00217809"/>
    <w:rsid w:val="00217840"/>
    <w:rsid w:val="002178B0"/>
    <w:rsid w:val="002179B5"/>
    <w:rsid w:val="00217C9B"/>
    <w:rsid w:val="00217CAD"/>
    <w:rsid w:val="00217E60"/>
    <w:rsid w:val="00217F44"/>
    <w:rsid w:val="00217F6B"/>
    <w:rsid w:val="00217F86"/>
    <w:rsid w:val="00217F90"/>
    <w:rsid w:val="00217FC9"/>
    <w:rsid w:val="0022006A"/>
    <w:rsid w:val="002200F2"/>
    <w:rsid w:val="0022017B"/>
    <w:rsid w:val="002201A2"/>
    <w:rsid w:val="002201C0"/>
    <w:rsid w:val="002201F5"/>
    <w:rsid w:val="00220354"/>
    <w:rsid w:val="00220381"/>
    <w:rsid w:val="002203B0"/>
    <w:rsid w:val="0022058A"/>
    <w:rsid w:val="002205CB"/>
    <w:rsid w:val="002206C6"/>
    <w:rsid w:val="00220771"/>
    <w:rsid w:val="002207CB"/>
    <w:rsid w:val="0022084C"/>
    <w:rsid w:val="00220895"/>
    <w:rsid w:val="002208BE"/>
    <w:rsid w:val="0022094D"/>
    <w:rsid w:val="00220A90"/>
    <w:rsid w:val="00220B02"/>
    <w:rsid w:val="00220BB0"/>
    <w:rsid w:val="00220BB2"/>
    <w:rsid w:val="00220D08"/>
    <w:rsid w:val="00220DA6"/>
    <w:rsid w:val="00220E26"/>
    <w:rsid w:val="00220E51"/>
    <w:rsid w:val="00221017"/>
    <w:rsid w:val="002211C6"/>
    <w:rsid w:val="002211F6"/>
    <w:rsid w:val="0022136C"/>
    <w:rsid w:val="0022140D"/>
    <w:rsid w:val="00221440"/>
    <w:rsid w:val="002214CA"/>
    <w:rsid w:val="0022162C"/>
    <w:rsid w:val="00221641"/>
    <w:rsid w:val="002216C4"/>
    <w:rsid w:val="002216CA"/>
    <w:rsid w:val="0022181F"/>
    <w:rsid w:val="00221821"/>
    <w:rsid w:val="0022193E"/>
    <w:rsid w:val="00221A45"/>
    <w:rsid w:val="00221B0F"/>
    <w:rsid w:val="00221B84"/>
    <w:rsid w:val="00221B8B"/>
    <w:rsid w:val="00221C62"/>
    <w:rsid w:val="00221D12"/>
    <w:rsid w:val="00221D28"/>
    <w:rsid w:val="00221D62"/>
    <w:rsid w:val="00221DD2"/>
    <w:rsid w:val="00221E1F"/>
    <w:rsid w:val="00221E57"/>
    <w:rsid w:val="00222103"/>
    <w:rsid w:val="00222299"/>
    <w:rsid w:val="0022231C"/>
    <w:rsid w:val="00222387"/>
    <w:rsid w:val="002223A6"/>
    <w:rsid w:val="002223BA"/>
    <w:rsid w:val="002224B4"/>
    <w:rsid w:val="00222502"/>
    <w:rsid w:val="0022251A"/>
    <w:rsid w:val="00222621"/>
    <w:rsid w:val="00222641"/>
    <w:rsid w:val="00222670"/>
    <w:rsid w:val="00222685"/>
    <w:rsid w:val="0022269B"/>
    <w:rsid w:val="002226A9"/>
    <w:rsid w:val="00222767"/>
    <w:rsid w:val="0022280E"/>
    <w:rsid w:val="00222872"/>
    <w:rsid w:val="00222968"/>
    <w:rsid w:val="002229A3"/>
    <w:rsid w:val="002229C9"/>
    <w:rsid w:val="002229EC"/>
    <w:rsid w:val="00222A18"/>
    <w:rsid w:val="00222A91"/>
    <w:rsid w:val="00222BA7"/>
    <w:rsid w:val="00222D31"/>
    <w:rsid w:val="00222D4D"/>
    <w:rsid w:val="00222D59"/>
    <w:rsid w:val="00222E29"/>
    <w:rsid w:val="00222E53"/>
    <w:rsid w:val="00222EBB"/>
    <w:rsid w:val="00222F40"/>
    <w:rsid w:val="00223084"/>
    <w:rsid w:val="00223124"/>
    <w:rsid w:val="00223199"/>
    <w:rsid w:val="0022319D"/>
    <w:rsid w:val="00223244"/>
    <w:rsid w:val="00223269"/>
    <w:rsid w:val="002232A8"/>
    <w:rsid w:val="002232B2"/>
    <w:rsid w:val="002232E0"/>
    <w:rsid w:val="00223319"/>
    <w:rsid w:val="0022331C"/>
    <w:rsid w:val="0022339C"/>
    <w:rsid w:val="002233B0"/>
    <w:rsid w:val="00223437"/>
    <w:rsid w:val="00223438"/>
    <w:rsid w:val="002234E7"/>
    <w:rsid w:val="0022353C"/>
    <w:rsid w:val="0022367A"/>
    <w:rsid w:val="002236AC"/>
    <w:rsid w:val="00223779"/>
    <w:rsid w:val="002237F3"/>
    <w:rsid w:val="00223945"/>
    <w:rsid w:val="00223990"/>
    <w:rsid w:val="002239F8"/>
    <w:rsid w:val="00223AD0"/>
    <w:rsid w:val="00223B52"/>
    <w:rsid w:val="00223B9D"/>
    <w:rsid w:val="00223C70"/>
    <w:rsid w:val="00223D62"/>
    <w:rsid w:val="00223D67"/>
    <w:rsid w:val="00223E58"/>
    <w:rsid w:val="00223E5C"/>
    <w:rsid w:val="00223EA4"/>
    <w:rsid w:val="00223F3F"/>
    <w:rsid w:val="0022408E"/>
    <w:rsid w:val="002241C5"/>
    <w:rsid w:val="002241FF"/>
    <w:rsid w:val="00224213"/>
    <w:rsid w:val="0022422D"/>
    <w:rsid w:val="0022430F"/>
    <w:rsid w:val="0022431C"/>
    <w:rsid w:val="00224363"/>
    <w:rsid w:val="00224395"/>
    <w:rsid w:val="002243BB"/>
    <w:rsid w:val="002243FB"/>
    <w:rsid w:val="00224503"/>
    <w:rsid w:val="00224774"/>
    <w:rsid w:val="002247B9"/>
    <w:rsid w:val="00224970"/>
    <w:rsid w:val="0022497F"/>
    <w:rsid w:val="002249A9"/>
    <w:rsid w:val="00224B31"/>
    <w:rsid w:val="00224C40"/>
    <w:rsid w:val="00224C6A"/>
    <w:rsid w:val="00224CCC"/>
    <w:rsid w:val="00224CE8"/>
    <w:rsid w:val="00224D01"/>
    <w:rsid w:val="00224E8F"/>
    <w:rsid w:val="00224EE8"/>
    <w:rsid w:val="00225029"/>
    <w:rsid w:val="00225071"/>
    <w:rsid w:val="002250D7"/>
    <w:rsid w:val="002250EF"/>
    <w:rsid w:val="002250F0"/>
    <w:rsid w:val="002251AD"/>
    <w:rsid w:val="002252E7"/>
    <w:rsid w:val="00225326"/>
    <w:rsid w:val="002253D7"/>
    <w:rsid w:val="0022545D"/>
    <w:rsid w:val="00225529"/>
    <w:rsid w:val="0022556F"/>
    <w:rsid w:val="00225647"/>
    <w:rsid w:val="00225666"/>
    <w:rsid w:val="0022574B"/>
    <w:rsid w:val="00225758"/>
    <w:rsid w:val="00225783"/>
    <w:rsid w:val="002257A9"/>
    <w:rsid w:val="00225835"/>
    <w:rsid w:val="00225852"/>
    <w:rsid w:val="00225879"/>
    <w:rsid w:val="00225A16"/>
    <w:rsid w:val="00225AC7"/>
    <w:rsid w:val="00225ACD"/>
    <w:rsid w:val="00225B12"/>
    <w:rsid w:val="00225B3D"/>
    <w:rsid w:val="00225B75"/>
    <w:rsid w:val="00225B84"/>
    <w:rsid w:val="00225C02"/>
    <w:rsid w:val="00225CE6"/>
    <w:rsid w:val="00225E94"/>
    <w:rsid w:val="00225F38"/>
    <w:rsid w:val="00226005"/>
    <w:rsid w:val="00226055"/>
    <w:rsid w:val="00226076"/>
    <w:rsid w:val="0022608B"/>
    <w:rsid w:val="002260DE"/>
    <w:rsid w:val="00226124"/>
    <w:rsid w:val="00226150"/>
    <w:rsid w:val="00226163"/>
    <w:rsid w:val="00226212"/>
    <w:rsid w:val="0022639A"/>
    <w:rsid w:val="0022645B"/>
    <w:rsid w:val="002264FA"/>
    <w:rsid w:val="0022650E"/>
    <w:rsid w:val="0022671A"/>
    <w:rsid w:val="0022673F"/>
    <w:rsid w:val="00226787"/>
    <w:rsid w:val="00226810"/>
    <w:rsid w:val="002268CA"/>
    <w:rsid w:val="002269E4"/>
    <w:rsid w:val="00226A16"/>
    <w:rsid w:val="00226ACB"/>
    <w:rsid w:val="00226C7A"/>
    <w:rsid w:val="00226CDB"/>
    <w:rsid w:val="00226E16"/>
    <w:rsid w:val="00226E25"/>
    <w:rsid w:val="00226E3B"/>
    <w:rsid w:val="00226E83"/>
    <w:rsid w:val="00226F2D"/>
    <w:rsid w:val="00226FC4"/>
    <w:rsid w:val="00226FCB"/>
    <w:rsid w:val="00227054"/>
    <w:rsid w:val="0022706C"/>
    <w:rsid w:val="002271B7"/>
    <w:rsid w:val="002271C1"/>
    <w:rsid w:val="002271DC"/>
    <w:rsid w:val="002271F4"/>
    <w:rsid w:val="00227276"/>
    <w:rsid w:val="002272EF"/>
    <w:rsid w:val="002273CA"/>
    <w:rsid w:val="002274C7"/>
    <w:rsid w:val="00227505"/>
    <w:rsid w:val="00227527"/>
    <w:rsid w:val="0022752B"/>
    <w:rsid w:val="0022755D"/>
    <w:rsid w:val="00227560"/>
    <w:rsid w:val="002275E6"/>
    <w:rsid w:val="00227614"/>
    <w:rsid w:val="00227619"/>
    <w:rsid w:val="00227693"/>
    <w:rsid w:val="0022771A"/>
    <w:rsid w:val="002277CB"/>
    <w:rsid w:val="002277DB"/>
    <w:rsid w:val="002277E6"/>
    <w:rsid w:val="00227836"/>
    <w:rsid w:val="002278F4"/>
    <w:rsid w:val="0022794E"/>
    <w:rsid w:val="00227998"/>
    <w:rsid w:val="00227A52"/>
    <w:rsid w:val="00227AB0"/>
    <w:rsid w:val="00227AF8"/>
    <w:rsid w:val="00227C7B"/>
    <w:rsid w:val="00227D52"/>
    <w:rsid w:val="00227D8C"/>
    <w:rsid w:val="00227D9A"/>
    <w:rsid w:val="00227E1C"/>
    <w:rsid w:val="00227E8F"/>
    <w:rsid w:val="00227F83"/>
    <w:rsid w:val="00227FF4"/>
    <w:rsid w:val="0023002F"/>
    <w:rsid w:val="00230092"/>
    <w:rsid w:val="002300AA"/>
    <w:rsid w:val="00230270"/>
    <w:rsid w:val="002302F0"/>
    <w:rsid w:val="00230312"/>
    <w:rsid w:val="002303C6"/>
    <w:rsid w:val="0023048A"/>
    <w:rsid w:val="002304F6"/>
    <w:rsid w:val="0023050A"/>
    <w:rsid w:val="0023062D"/>
    <w:rsid w:val="002306F6"/>
    <w:rsid w:val="0023071F"/>
    <w:rsid w:val="00230759"/>
    <w:rsid w:val="0023084D"/>
    <w:rsid w:val="002309AA"/>
    <w:rsid w:val="002309D1"/>
    <w:rsid w:val="00230A08"/>
    <w:rsid w:val="00230A10"/>
    <w:rsid w:val="00230AFE"/>
    <w:rsid w:val="00230B22"/>
    <w:rsid w:val="00230BE5"/>
    <w:rsid w:val="00230BF1"/>
    <w:rsid w:val="00230D89"/>
    <w:rsid w:val="00230E4B"/>
    <w:rsid w:val="00230F46"/>
    <w:rsid w:val="00230FB0"/>
    <w:rsid w:val="00231154"/>
    <w:rsid w:val="00231179"/>
    <w:rsid w:val="002313B9"/>
    <w:rsid w:val="0023148C"/>
    <w:rsid w:val="00231688"/>
    <w:rsid w:val="002316AC"/>
    <w:rsid w:val="00231709"/>
    <w:rsid w:val="00231774"/>
    <w:rsid w:val="0023178A"/>
    <w:rsid w:val="002317AD"/>
    <w:rsid w:val="002318B4"/>
    <w:rsid w:val="0023195F"/>
    <w:rsid w:val="00231A5D"/>
    <w:rsid w:val="00231A6D"/>
    <w:rsid w:val="00231CB8"/>
    <w:rsid w:val="00231DBD"/>
    <w:rsid w:val="00231EE7"/>
    <w:rsid w:val="00231EF3"/>
    <w:rsid w:val="00231F1B"/>
    <w:rsid w:val="00231F35"/>
    <w:rsid w:val="0023209C"/>
    <w:rsid w:val="002320F1"/>
    <w:rsid w:val="0023217E"/>
    <w:rsid w:val="002321E5"/>
    <w:rsid w:val="00232299"/>
    <w:rsid w:val="00232434"/>
    <w:rsid w:val="00232504"/>
    <w:rsid w:val="00232514"/>
    <w:rsid w:val="002325CC"/>
    <w:rsid w:val="0023262A"/>
    <w:rsid w:val="0023267D"/>
    <w:rsid w:val="00232767"/>
    <w:rsid w:val="0023278F"/>
    <w:rsid w:val="00232884"/>
    <w:rsid w:val="0023292F"/>
    <w:rsid w:val="00232A5C"/>
    <w:rsid w:val="00232A67"/>
    <w:rsid w:val="00232A96"/>
    <w:rsid w:val="00232B14"/>
    <w:rsid w:val="00232DB8"/>
    <w:rsid w:val="00232ED7"/>
    <w:rsid w:val="00232F5C"/>
    <w:rsid w:val="00232FDC"/>
    <w:rsid w:val="002330B6"/>
    <w:rsid w:val="002330E8"/>
    <w:rsid w:val="00233288"/>
    <w:rsid w:val="00233358"/>
    <w:rsid w:val="00233636"/>
    <w:rsid w:val="002336E3"/>
    <w:rsid w:val="0023387C"/>
    <w:rsid w:val="0023389E"/>
    <w:rsid w:val="00233930"/>
    <w:rsid w:val="0023394B"/>
    <w:rsid w:val="0023397C"/>
    <w:rsid w:val="0023397D"/>
    <w:rsid w:val="002339B8"/>
    <w:rsid w:val="002339C3"/>
    <w:rsid w:val="00233A2D"/>
    <w:rsid w:val="00233A5F"/>
    <w:rsid w:val="00233AE5"/>
    <w:rsid w:val="00233B12"/>
    <w:rsid w:val="00233B1F"/>
    <w:rsid w:val="00233B21"/>
    <w:rsid w:val="00233BAC"/>
    <w:rsid w:val="00233DB0"/>
    <w:rsid w:val="00233F5F"/>
    <w:rsid w:val="00233FCE"/>
    <w:rsid w:val="00233FE8"/>
    <w:rsid w:val="00234014"/>
    <w:rsid w:val="002340E7"/>
    <w:rsid w:val="00234151"/>
    <w:rsid w:val="00234187"/>
    <w:rsid w:val="00234197"/>
    <w:rsid w:val="00234215"/>
    <w:rsid w:val="00234258"/>
    <w:rsid w:val="00234300"/>
    <w:rsid w:val="002343C8"/>
    <w:rsid w:val="002343D7"/>
    <w:rsid w:val="0023443B"/>
    <w:rsid w:val="00234452"/>
    <w:rsid w:val="00234457"/>
    <w:rsid w:val="002344FB"/>
    <w:rsid w:val="002345C4"/>
    <w:rsid w:val="00234635"/>
    <w:rsid w:val="0023465E"/>
    <w:rsid w:val="002346D1"/>
    <w:rsid w:val="002346D4"/>
    <w:rsid w:val="002346F7"/>
    <w:rsid w:val="00234820"/>
    <w:rsid w:val="00234900"/>
    <w:rsid w:val="00234A3C"/>
    <w:rsid w:val="00234A6D"/>
    <w:rsid w:val="00234A9A"/>
    <w:rsid w:val="00234AAD"/>
    <w:rsid w:val="00234BED"/>
    <w:rsid w:val="00234C14"/>
    <w:rsid w:val="00234D87"/>
    <w:rsid w:val="00234DC2"/>
    <w:rsid w:val="00234E7F"/>
    <w:rsid w:val="00234F16"/>
    <w:rsid w:val="00234F6E"/>
    <w:rsid w:val="00235017"/>
    <w:rsid w:val="002350CA"/>
    <w:rsid w:val="002351A7"/>
    <w:rsid w:val="00235261"/>
    <w:rsid w:val="00235295"/>
    <w:rsid w:val="002352AF"/>
    <w:rsid w:val="002352DF"/>
    <w:rsid w:val="00235375"/>
    <w:rsid w:val="00235376"/>
    <w:rsid w:val="002353CA"/>
    <w:rsid w:val="0023542A"/>
    <w:rsid w:val="0023545F"/>
    <w:rsid w:val="002355E7"/>
    <w:rsid w:val="00235617"/>
    <w:rsid w:val="002356BB"/>
    <w:rsid w:val="002356D7"/>
    <w:rsid w:val="00235777"/>
    <w:rsid w:val="0023583E"/>
    <w:rsid w:val="00235969"/>
    <w:rsid w:val="00235C71"/>
    <w:rsid w:val="00235C97"/>
    <w:rsid w:val="00235CBC"/>
    <w:rsid w:val="00235D6F"/>
    <w:rsid w:val="00235E25"/>
    <w:rsid w:val="00235F37"/>
    <w:rsid w:val="00235F71"/>
    <w:rsid w:val="0023610B"/>
    <w:rsid w:val="0023613B"/>
    <w:rsid w:val="0023630E"/>
    <w:rsid w:val="002363E8"/>
    <w:rsid w:val="002365B4"/>
    <w:rsid w:val="00236601"/>
    <w:rsid w:val="002366B7"/>
    <w:rsid w:val="002367F8"/>
    <w:rsid w:val="00236882"/>
    <w:rsid w:val="0023689E"/>
    <w:rsid w:val="002369BE"/>
    <w:rsid w:val="002369CC"/>
    <w:rsid w:val="00236B2B"/>
    <w:rsid w:val="00236B6B"/>
    <w:rsid w:val="00236BF9"/>
    <w:rsid w:val="00236C6B"/>
    <w:rsid w:val="00236C7A"/>
    <w:rsid w:val="00236CC8"/>
    <w:rsid w:val="00236E04"/>
    <w:rsid w:val="00236E39"/>
    <w:rsid w:val="00236F34"/>
    <w:rsid w:val="0023706D"/>
    <w:rsid w:val="00237180"/>
    <w:rsid w:val="002371A9"/>
    <w:rsid w:val="002371C8"/>
    <w:rsid w:val="0023725C"/>
    <w:rsid w:val="002373FD"/>
    <w:rsid w:val="00237461"/>
    <w:rsid w:val="00237511"/>
    <w:rsid w:val="00237569"/>
    <w:rsid w:val="002375A2"/>
    <w:rsid w:val="0023778A"/>
    <w:rsid w:val="00237844"/>
    <w:rsid w:val="002378B5"/>
    <w:rsid w:val="00237962"/>
    <w:rsid w:val="0023799C"/>
    <w:rsid w:val="002379A4"/>
    <w:rsid w:val="00237A8C"/>
    <w:rsid w:val="00237B2D"/>
    <w:rsid w:val="00237B97"/>
    <w:rsid w:val="00237C19"/>
    <w:rsid w:val="00237C35"/>
    <w:rsid w:val="00237D0C"/>
    <w:rsid w:val="00237E16"/>
    <w:rsid w:val="00237E54"/>
    <w:rsid w:val="00237EBD"/>
    <w:rsid w:val="00237ED5"/>
    <w:rsid w:val="00237F3D"/>
    <w:rsid w:val="002400AB"/>
    <w:rsid w:val="002401A5"/>
    <w:rsid w:val="00240238"/>
    <w:rsid w:val="00240315"/>
    <w:rsid w:val="00240345"/>
    <w:rsid w:val="002405DB"/>
    <w:rsid w:val="0024060B"/>
    <w:rsid w:val="0024072E"/>
    <w:rsid w:val="00240757"/>
    <w:rsid w:val="002407D6"/>
    <w:rsid w:val="002409C1"/>
    <w:rsid w:val="00240A97"/>
    <w:rsid w:val="00240AEE"/>
    <w:rsid w:val="00240B7A"/>
    <w:rsid w:val="00240D5C"/>
    <w:rsid w:val="00240E36"/>
    <w:rsid w:val="00240E8F"/>
    <w:rsid w:val="00240F6D"/>
    <w:rsid w:val="00240FEB"/>
    <w:rsid w:val="00241000"/>
    <w:rsid w:val="00241027"/>
    <w:rsid w:val="0024125F"/>
    <w:rsid w:val="002412B7"/>
    <w:rsid w:val="002413B5"/>
    <w:rsid w:val="002413F3"/>
    <w:rsid w:val="00241485"/>
    <w:rsid w:val="002414F7"/>
    <w:rsid w:val="0024159C"/>
    <w:rsid w:val="002416CF"/>
    <w:rsid w:val="002416FC"/>
    <w:rsid w:val="00241743"/>
    <w:rsid w:val="00241896"/>
    <w:rsid w:val="0024191F"/>
    <w:rsid w:val="00241993"/>
    <w:rsid w:val="00241A02"/>
    <w:rsid w:val="00241A4A"/>
    <w:rsid w:val="00241A5C"/>
    <w:rsid w:val="00241AD6"/>
    <w:rsid w:val="00241B97"/>
    <w:rsid w:val="00241BBC"/>
    <w:rsid w:val="00241C10"/>
    <w:rsid w:val="00241DEC"/>
    <w:rsid w:val="00241EB6"/>
    <w:rsid w:val="00241EF9"/>
    <w:rsid w:val="00241F55"/>
    <w:rsid w:val="00242024"/>
    <w:rsid w:val="00242077"/>
    <w:rsid w:val="0024208A"/>
    <w:rsid w:val="00242090"/>
    <w:rsid w:val="002420FC"/>
    <w:rsid w:val="00242169"/>
    <w:rsid w:val="0024225B"/>
    <w:rsid w:val="002422A6"/>
    <w:rsid w:val="002422E4"/>
    <w:rsid w:val="00242309"/>
    <w:rsid w:val="00242315"/>
    <w:rsid w:val="0024233D"/>
    <w:rsid w:val="0024235B"/>
    <w:rsid w:val="0024236D"/>
    <w:rsid w:val="0024239D"/>
    <w:rsid w:val="0024240A"/>
    <w:rsid w:val="00242459"/>
    <w:rsid w:val="0024245C"/>
    <w:rsid w:val="00242466"/>
    <w:rsid w:val="002425A2"/>
    <w:rsid w:val="002425B5"/>
    <w:rsid w:val="00242626"/>
    <w:rsid w:val="0024279B"/>
    <w:rsid w:val="00242832"/>
    <w:rsid w:val="002429C5"/>
    <w:rsid w:val="00242C58"/>
    <w:rsid w:val="00242CE1"/>
    <w:rsid w:val="00242D6C"/>
    <w:rsid w:val="00242DCE"/>
    <w:rsid w:val="00242DFC"/>
    <w:rsid w:val="00242E10"/>
    <w:rsid w:val="00242E2C"/>
    <w:rsid w:val="00242EFE"/>
    <w:rsid w:val="00243012"/>
    <w:rsid w:val="00243065"/>
    <w:rsid w:val="00243165"/>
    <w:rsid w:val="00243171"/>
    <w:rsid w:val="00243192"/>
    <w:rsid w:val="00243358"/>
    <w:rsid w:val="002433CD"/>
    <w:rsid w:val="0024341E"/>
    <w:rsid w:val="0024341F"/>
    <w:rsid w:val="0024351F"/>
    <w:rsid w:val="0024357B"/>
    <w:rsid w:val="002435B1"/>
    <w:rsid w:val="002437F1"/>
    <w:rsid w:val="00243883"/>
    <w:rsid w:val="0024394A"/>
    <w:rsid w:val="00243AAC"/>
    <w:rsid w:val="00243B11"/>
    <w:rsid w:val="00243B56"/>
    <w:rsid w:val="00243BE8"/>
    <w:rsid w:val="00243CCC"/>
    <w:rsid w:val="00243D01"/>
    <w:rsid w:val="00243D58"/>
    <w:rsid w:val="00243D65"/>
    <w:rsid w:val="00243EDF"/>
    <w:rsid w:val="00243F3B"/>
    <w:rsid w:val="00243F80"/>
    <w:rsid w:val="00244103"/>
    <w:rsid w:val="00244134"/>
    <w:rsid w:val="0024418C"/>
    <w:rsid w:val="00244222"/>
    <w:rsid w:val="0024428D"/>
    <w:rsid w:val="002442B2"/>
    <w:rsid w:val="002443AF"/>
    <w:rsid w:val="00244418"/>
    <w:rsid w:val="002444E6"/>
    <w:rsid w:val="00244532"/>
    <w:rsid w:val="0024456F"/>
    <w:rsid w:val="002445C4"/>
    <w:rsid w:val="002445FD"/>
    <w:rsid w:val="002446CF"/>
    <w:rsid w:val="00244870"/>
    <w:rsid w:val="00244884"/>
    <w:rsid w:val="002448C9"/>
    <w:rsid w:val="002448FE"/>
    <w:rsid w:val="00244B2E"/>
    <w:rsid w:val="00244B42"/>
    <w:rsid w:val="00244B7D"/>
    <w:rsid w:val="00244BC3"/>
    <w:rsid w:val="00244C32"/>
    <w:rsid w:val="00244C54"/>
    <w:rsid w:val="00244C7C"/>
    <w:rsid w:val="00244CA5"/>
    <w:rsid w:val="00244D3B"/>
    <w:rsid w:val="00244DA3"/>
    <w:rsid w:val="00244DC1"/>
    <w:rsid w:val="00244FFE"/>
    <w:rsid w:val="0024518D"/>
    <w:rsid w:val="00245207"/>
    <w:rsid w:val="0024520E"/>
    <w:rsid w:val="002452A7"/>
    <w:rsid w:val="002452D2"/>
    <w:rsid w:val="0024536A"/>
    <w:rsid w:val="0024537B"/>
    <w:rsid w:val="0024542C"/>
    <w:rsid w:val="0024551B"/>
    <w:rsid w:val="00245545"/>
    <w:rsid w:val="00245600"/>
    <w:rsid w:val="0024562E"/>
    <w:rsid w:val="0024566E"/>
    <w:rsid w:val="00245690"/>
    <w:rsid w:val="002456B1"/>
    <w:rsid w:val="002457F7"/>
    <w:rsid w:val="002458EB"/>
    <w:rsid w:val="00245A4D"/>
    <w:rsid w:val="00245A8B"/>
    <w:rsid w:val="00245BD7"/>
    <w:rsid w:val="00245C3D"/>
    <w:rsid w:val="00245C89"/>
    <w:rsid w:val="00245DE7"/>
    <w:rsid w:val="00245E55"/>
    <w:rsid w:val="00245E85"/>
    <w:rsid w:val="00245ECA"/>
    <w:rsid w:val="00245EFB"/>
    <w:rsid w:val="00245F74"/>
    <w:rsid w:val="00245F84"/>
    <w:rsid w:val="00246084"/>
    <w:rsid w:val="002461BE"/>
    <w:rsid w:val="0024623F"/>
    <w:rsid w:val="0024657A"/>
    <w:rsid w:val="002465EC"/>
    <w:rsid w:val="002466A5"/>
    <w:rsid w:val="002466CC"/>
    <w:rsid w:val="002467A0"/>
    <w:rsid w:val="002467EB"/>
    <w:rsid w:val="00246894"/>
    <w:rsid w:val="002468EE"/>
    <w:rsid w:val="0024694B"/>
    <w:rsid w:val="0024696B"/>
    <w:rsid w:val="00246B12"/>
    <w:rsid w:val="00246C37"/>
    <w:rsid w:val="00246C6C"/>
    <w:rsid w:val="00246E3A"/>
    <w:rsid w:val="00246E5A"/>
    <w:rsid w:val="00247012"/>
    <w:rsid w:val="00247017"/>
    <w:rsid w:val="002472E6"/>
    <w:rsid w:val="0024748F"/>
    <w:rsid w:val="002474A1"/>
    <w:rsid w:val="00247504"/>
    <w:rsid w:val="002475CC"/>
    <w:rsid w:val="00247635"/>
    <w:rsid w:val="00247692"/>
    <w:rsid w:val="002476FE"/>
    <w:rsid w:val="00247731"/>
    <w:rsid w:val="00247796"/>
    <w:rsid w:val="002477EB"/>
    <w:rsid w:val="002478F0"/>
    <w:rsid w:val="00247BA0"/>
    <w:rsid w:val="00247C60"/>
    <w:rsid w:val="00247C96"/>
    <w:rsid w:val="00247D93"/>
    <w:rsid w:val="00247E35"/>
    <w:rsid w:val="00247F3F"/>
    <w:rsid w:val="00247F56"/>
    <w:rsid w:val="00247FD2"/>
    <w:rsid w:val="002500B5"/>
    <w:rsid w:val="00250121"/>
    <w:rsid w:val="00250348"/>
    <w:rsid w:val="00250685"/>
    <w:rsid w:val="002506FC"/>
    <w:rsid w:val="00250A62"/>
    <w:rsid w:val="00250AB8"/>
    <w:rsid w:val="00250C1D"/>
    <w:rsid w:val="00250D16"/>
    <w:rsid w:val="00250D45"/>
    <w:rsid w:val="00250D6F"/>
    <w:rsid w:val="00250D95"/>
    <w:rsid w:val="00250D9B"/>
    <w:rsid w:val="00250DFC"/>
    <w:rsid w:val="00250E91"/>
    <w:rsid w:val="00250ECB"/>
    <w:rsid w:val="00250F4D"/>
    <w:rsid w:val="00251000"/>
    <w:rsid w:val="0025111B"/>
    <w:rsid w:val="00251136"/>
    <w:rsid w:val="002511E0"/>
    <w:rsid w:val="00251272"/>
    <w:rsid w:val="002512A1"/>
    <w:rsid w:val="002512AF"/>
    <w:rsid w:val="002514EB"/>
    <w:rsid w:val="00251583"/>
    <w:rsid w:val="0025160E"/>
    <w:rsid w:val="00251649"/>
    <w:rsid w:val="00251693"/>
    <w:rsid w:val="00251696"/>
    <w:rsid w:val="002517A8"/>
    <w:rsid w:val="002517B9"/>
    <w:rsid w:val="002517D8"/>
    <w:rsid w:val="00251888"/>
    <w:rsid w:val="002518AD"/>
    <w:rsid w:val="00251986"/>
    <w:rsid w:val="00251A79"/>
    <w:rsid w:val="00251A7C"/>
    <w:rsid w:val="00251AC8"/>
    <w:rsid w:val="00251AEC"/>
    <w:rsid w:val="00251B26"/>
    <w:rsid w:val="00251B6B"/>
    <w:rsid w:val="00251D10"/>
    <w:rsid w:val="00251D87"/>
    <w:rsid w:val="00251DC3"/>
    <w:rsid w:val="00251DC4"/>
    <w:rsid w:val="00251E8D"/>
    <w:rsid w:val="00251E94"/>
    <w:rsid w:val="00251EBF"/>
    <w:rsid w:val="0025201B"/>
    <w:rsid w:val="00252034"/>
    <w:rsid w:val="00252040"/>
    <w:rsid w:val="00252065"/>
    <w:rsid w:val="00252075"/>
    <w:rsid w:val="00252078"/>
    <w:rsid w:val="002520B0"/>
    <w:rsid w:val="002520EF"/>
    <w:rsid w:val="00252119"/>
    <w:rsid w:val="00252195"/>
    <w:rsid w:val="00252263"/>
    <w:rsid w:val="00252272"/>
    <w:rsid w:val="002522DB"/>
    <w:rsid w:val="0025230A"/>
    <w:rsid w:val="00252311"/>
    <w:rsid w:val="0025235E"/>
    <w:rsid w:val="00252396"/>
    <w:rsid w:val="002523F2"/>
    <w:rsid w:val="002524A8"/>
    <w:rsid w:val="002524BA"/>
    <w:rsid w:val="0025250D"/>
    <w:rsid w:val="00252663"/>
    <w:rsid w:val="002526FF"/>
    <w:rsid w:val="00252718"/>
    <w:rsid w:val="0025272C"/>
    <w:rsid w:val="0025282B"/>
    <w:rsid w:val="002528FF"/>
    <w:rsid w:val="00252900"/>
    <w:rsid w:val="0025292A"/>
    <w:rsid w:val="002529CB"/>
    <w:rsid w:val="002529FD"/>
    <w:rsid w:val="00252AE5"/>
    <w:rsid w:val="00252C81"/>
    <w:rsid w:val="00252CE2"/>
    <w:rsid w:val="00252CF5"/>
    <w:rsid w:val="00252D4A"/>
    <w:rsid w:val="00252D4D"/>
    <w:rsid w:val="00252D88"/>
    <w:rsid w:val="00252DCD"/>
    <w:rsid w:val="00252E45"/>
    <w:rsid w:val="00252F5D"/>
    <w:rsid w:val="00253289"/>
    <w:rsid w:val="0025329A"/>
    <w:rsid w:val="00253380"/>
    <w:rsid w:val="00253401"/>
    <w:rsid w:val="0025356A"/>
    <w:rsid w:val="00253626"/>
    <w:rsid w:val="002536AB"/>
    <w:rsid w:val="00253737"/>
    <w:rsid w:val="0025376E"/>
    <w:rsid w:val="00253784"/>
    <w:rsid w:val="00253835"/>
    <w:rsid w:val="0025395A"/>
    <w:rsid w:val="002539A3"/>
    <w:rsid w:val="002539BE"/>
    <w:rsid w:val="00253A1E"/>
    <w:rsid w:val="00253A9B"/>
    <w:rsid w:val="00253A9F"/>
    <w:rsid w:val="00253AF0"/>
    <w:rsid w:val="00253AF7"/>
    <w:rsid w:val="00253B1E"/>
    <w:rsid w:val="00253B20"/>
    <w:rsid w:val="00253B2B"/>
    <w:rsid w:val="00253B7A"/>
    <w:rsid w:val="00253BCB"/>
    <w:rsid w:val="00253C10"/>
    <w:rsid w:val="00253C12"/>
    <w:rsid w:val="00253D38"/>
    <w:rsid w:val="00253D85"/>
    <w:rsid w:val="00253D95"/>
    <w:rsid w:val="00253DC6"/>
    <w:rsid w:val="00253E5D"/>
    <w:rsid w:val="00253ECA"/>
    <w:rsid w:val="00253F65"/>
    <w:rsid w:val="00253FB2"/>
    <w:rsid w:val="00253FFD"/>
    <w:rsid w:val="00254023"/>
    <w:rsid w:val="00254250"/>
    <w:rsid w:val="002542E6"/>
    <w:rsid w:val="00254367"/>
    <w:rsid w:val="0025443C"/>
    <w:rsid w:val="0025448A"/>
    <w:rsid w:val="002544C8"/>
    <w:rsid w:val="002545F7"/>
    <w:rsid w:val="00254633"/>
    <w:rsid w:val="00254675"/>
    <w:rsid w:val="0025468D"/>
    <w:rsid w:val="00254774"/>
    <w:rsid w:val="00254791"/>
    <w:rsid w:val="00254802"/>
    <w:rsid w:val="00254946"/>
    <w:rsid w:val="0025494B"/>
    <w:rsid w:val="002549B0"/>
    <w:rsid w:val="00254A0B"/>
    <w:rsid w:val="00254A7B"/>
    <w:rsid w:val="00254B5C"/>
    <w:rsid w:val="00254C85"/>
    <w:rsid w:val="00254D91"/>
    <w:rsid w:val="00254DC0"/>
    <w:rsid w:val="00254DEC"/>
    <w:rsid w:val="00254E5C"/>
    <w:rsid w:val="00254EC9"/>
    <w:rsid w:val="00254F05"/>
    <w:rsid w:val="00254FF4"/>
    <w:rsid w:val="002550D3"/>
    <w:rsid w:val="002551D2"/>
    <w:rsid w:val="00255265"/>
    <w:rsid w:val="002552FC"/>
    <w:rsid w:val="0025544C"/>
    <w:rsid w:val="00255476"/>
    <w:rsid w:val="00255541"/>
    <w:rsid w:val="00255618"/>
    <w:rsid w:val="00255685"/>
    <w:rsid w:val="00255790"/>
    <w:rsid w:val="002557D1"/>
    <w:rsid w:val="00255891"/>
    <w:rsid w:val="0025595B"/>
    <w:rsid w:val="0025595F"/>
    <w:rsid w:val="00255966"/>
    <w:rsid w:val="00255A01"/>
    <w:rsid w:val="00255A71"/>
    <w:rsid w:val="00255B55"/>
    <w:rsid w:val="00255C36"/>
    <w:rsid w:val="00255C4D"/>
    <w:rsid w:val="00255C50"/>
    <w:rsid w:val="00255D72"/>
    <w:rsid w:val="00255DFD"/>
    <w:rsid w:val="00255EAF"/>
    <w:rsid w:val="00255F1A"/>
    <w:rsid w:val="00255F42"/>
    <w:rsid w:val="00255F90"/>
    <w:rsid w:val="0025608E"/>
    <w:rsid w:val="0025618B"/>
    <w:rsid w:val="00256207"/>
    <w:rsid w:val="00256277"/>
    <w:rsid w:val="0025636D"/>
    <w:rsid w:val="002563EB"/>
    <w:rsid w:val="002564DC"/>
    <w:rsid w:val="002567A5"/>
    <w:rsid w:val="002568F4"/>
    <w:rsid w:val="002568FD"/>
    <w:rsid w:val="00256A97"/>
    <w:rsid w:val="00256A9A"/>
    <w:rsid w:val="00256AE1"/>
    <w:rsid w:val="00256B68"/>
    <w:rsid w:val="00256B79"/>
    <w:rsid w:val="00256B95"/>
    <w:rsid w:val="00256D39"/>
    <w:rsid w:val="00256D63"/>
    <w:rsid w:val="00256E1C"/>
    <w:rsid w:val="00256E71"/>
    <w:rsid w:val="00256E7D"/>
    <w:rsid w:val="00256FA7"/>
    <w:rsid w:val="00256FA9"/>
    <w:rsid w:val="00256FFB"/>
    <w:rsid w:val="0025700D"/>
    <w:rsid w:val="00257093"/>
    <w:rsid w:val="002571B0"/>
    <w:rsid w:val="002571BD"/>
    <w:rsid w:val="002571C2"/>
    <w:rsid w:val="0025731A"/>
    <w:rsid w:val="002574E1"/>
    <w:rsid w:val="00257592"/>
    <w:rsid w:val="002575EC"/>
    <w:rsid w:val="002576C7"/>
    <w:rsid w:val="00257750"/>
    <w:rsid w:val="00257824"/>
    <w:rsid w:val="00257835"/>
    <w:rsid w:val="00257857"/>
    <w:rsid w:val="002578BC"/>
    <w:rsid w:val="002578D3"/>
    <w:rsid w:val="00257981"/>
    <w:rsid w:val="00257A0D"/>
    <w:rsid w:val="00257A1B"/>
    <w:rsid w:val="00257A30"/>
    <w:rsid w:val="00257AA0"/>
    <w:rsid w:val="00257ADB"/>
    <w:rsid w:val="00257AF6"/>
    <w:rsid w:val="00257BBE"/>
    <w:rsid w:val="00257CA2"/>
    <w:rsid w:val="00257D3B"/>
    <w:rsid w:val="00257D51"/>
    <w:rsid w:val="00257FA1"/>
    <w:rsid w:val="0026003C"/>
    <w:rsid w:val="00260095"/>
    <w:rsid w:val="002600BF"/>
    <w:rsid w:val="002600C1"/>
    <w:rsid w:val="0026012B"/>
    <w:rsid w:val="00260206"/>
    <w:rsid w:val="0026026C"/>
    <w:rsid w:val="002602BC"/>
    <w:rsid w:val="002602BD"/>
    <w:rsid w:val="002602D0"/>
    <w:rsid w:val="00260369"/>
    <w:rsid w:val="00260373"/>
    <w:rsid w:val="002603B0"/>
    <w:rsid w:val="0026046E"/>
    <w:rsid w:val="002604F3"/>
    <w:rsid w:val="0026051D"/>
    <w:rsid w:val="00260681"/>
    <w:rsid w:val="002606D4"/>
    <w:rsid w:val="002607D4"/>
    <w:rsid w:val="002609FC"/>
    <w:rsid w:val="00260A7D"/>
    <w:rsid w:val="00260B26"/>
    <w:rsid w:val="00260C8C"/>
    <w:rsid w:val="00260D3E"/>
    <w:rsid w:val="00260DD2"/>
    <w:rsid w:val="00260E3F"/>
    <w:rsid w:val="00260F00"/>
    <w:rsid w:val="002611F6"/>
    <w:rsid w:val="00261213"/>
    <w:rsid w:val="00261253"/>
    <w:rsid w:val="002612F7"/>
    <w:rsid w:val="002612FA"/>
    <w:rsid w:val="0026140A"/>
    <w:rsid w:val="0026140F"/>
    <w:rsid w:val="00261437"/>
    <w:rsid w:val="0026149C"/>
    <w:rsid w:val="0026149E"/>
    <w:rsid w:val="00261516"/>
    <w:rsid w:val="0026155E"/>
    <w:rsid w:val="0026163B"/>
    <w:rsid w:val="00261656"/>
    <w:rsid w:val="0026166A"/>
    <w:rsid w:val="002616CC"/>
    <w:rsid w:val="002616ED"/>
    <w:rsid w:val="002616F4"/>
    <w:rsid w:val="00261854"/>
    <w:rsid w:val="00261862"/>
    <w:rsid w:val="002618E0"/>
    <w:rsid w:val="00261A95"/>
    <w:rsid w:val="00261BB1"/>
    <w:rsid w:val="00261C77"/>
    <w:rsid w:val="00261CAF"/>
    <w:rsid w:val="00261E83"/>
    <w:rsid w:val="00261EFE"/>
    <w:rsid w:val="00261F06"/>
    <w:rsid w:val="00261F68"/>
    <w:rsid w:val="00261F8D"/>
    <w:rsid w:val="00262257"/>
    <w:rsid w:val="002622F7"/>
    <w:rsid w:val="00262308"/>
    <w:rsid w:val="0026232A"/>
    <w:rsid w:val="00262332"/>
    <w:rsid w:val="00262388"/>
    <w:rsid w:val="002623AB"/>
    <w:rsid w:val="0026246B"/>
    <w:rsid w:val="00262519"/>
    <w:rsid w:val="00262521"/>
    <w:rsid w:val="0026256F"/>
    <w:rsid w:val="00262622"/>
    <w:rsid w:val="00262786"/>
    <w:rsid w:val="002627B2"/>
    <w:rsid w:val="00262810"/>
    <w:rsid w:val="00262924"/>
    <w:rsid w:val="00262941"/>
    <w:rsid w:val="002629CF"/>
    <w:rsid w:val="00262A9E"/>
    <w:rsid w:val="00262BAA"/>
    <w:rsid w:val="00262BBA"/>
    <w:rsid w:val="00262BD8"/>
    <w:rsid w:val="00262C2A"/>
    <w:rsid w:val="00262D6C"/>
    <w:rsid w:val="00262DBB"/>
    <w:rsid w:val="00262DC6"/>
    <w:rsid w:val="002630FA"/>
    <w:rsid w:val="0026310F"/>
    <w:rsid w:val="0026312E"/>
    <w:rsid w:val="00263142"/>
    <w:rsid w:val="0026332C"/>
    <w:rsid w:val="002633F2"/>
    <w:rsid w:val="00263483"/>
    <w:rsid w:val="002635F4"/>
    <w:rsid w:val="00263681"/>
    <w:rsid w:val="0026370F"/>
    <w:rsid w:val="002637B3"/>
    <w:rsid w:val="0026397B"/>
    <w:rsid w:val="002639FE"/>
    <w:rsid w:val="00263A36"/>
    <w:rsid w:val="00263A71"/>
    <w:rsid w:val="00263B0E"/>
    <w:rsid w:val="00263D03"/>
    <w:rsid w:val="00263E89"/>
    <w:rsid w:val="00263E8E"/>
    <w:rsid w:val="00263EFB"/>
    <w:rsid w:val="00263F23"/>
    <w:rsid w:val="00264104"/>
    <w:rsid w:val="00264123"/>
    <w:rsid w:val="00264128"/>
    <w:rsid w:val="00264196"/>
    <w:rsid w:val="002643B5"/>
    <w:rsid w:val="00264433"/>
    <w:rsid w:val="00264464"/>
    <w:rsid w:val="002644A6"/>
    <w:rsid w:val="002645E4"/>
    <w:rsid w:val="002645EE"/>
    <w:rsid w:val="0026462B"/>
    <w:rsid w:val="0026471E"/>
    <w:rsid w:val="002647B1"/>
    <w:rsid w:val="0026483A"/>
    <w:rsid w:val="00264923"/>
    <w:rsid w:val="00264A28"/>
    <w:rsid w:val="00264A3E"/>
    <w:rsid w:val="00264A76"/>
    <w:rsid w:val="00264B07"/>
    <w:rsid w:val="00264B36"/>
    <w:rsid w:val="00264B3D"/>
    <w:rsid w:val="00264D1D"/>
    <w:rsid w:val="00264EC9"/>
    <w:rsid w:val="00264F2C"/>
    <w:rsid w:val="002650C3"/>
    <w:rsid w:val="00265187"/>
    <w:rsid w:val="002651BE"/>
    <w:rsid w:val="00265212"/>
    <w:rsid w:val="002652DA"/>
    <w:rsid w:val="00265308"/>
    <w:rsid w:val="002654C8"/>
    <w:rsid w:val="002656BC"/>
    <w:rsid w:val="00265812"/>
    <w:rsid w:val="0026595D"/>
    <w:rsid w:val="00265A59"/>
    <w:rsid w:val="00265AAC"/>
    <w:rsid w:val="00265ACE"/>
    <w:rsid w:val="00265B4F"/>
    <w:rsid w:val="00265B97"/>
    <w:rsid w:val="00265BF1"/>
    <w:rsid w:val="00265CD5"/>
    <w:rsid w:val="00265CF3"/>
    <w:rsid w:val="00265D24"/>
    <w:rsid w:val="00265D2E"/>
    <w:rsid w:val="00265D32"/>
    <w:rsid w:val="00265D55"/>
    <w:rsid w:val="00265D8D"/>
    <w:rsid w:val="00265D99"/>
    <w:rsid w:val="00265E15"/>
    <w:rsid w:val="00265E18"/>
    <w:rsid w:val="00265E32"/>
    <w:rsid w:val="00265E4A"/>
    <w:rsid w:val="00265FA1"/>
    <w:rsid w:val="00265FAE"/>
    <w:rsid w:val="00265FFE"/>
    <w:rsid w:val="0026601F"/>
    <w:rsid w:val="00266048"/>
    <w:rsid w:val="00266119"/>
    <w:rsid w:val="0026624F"/>
    <w:rsid w:val="00266261"/>
    <w:rsid w:val="00266337"/>
    <w:rsid w:val="00266339"/>
    <w:rsid w:val="002663D6"/>
    <w:rsid w:val="002663EE"/>
    <w:rsid w:val="002665BD"/>
    <w:rsid w:val="0026661F"/>
    <w:rsid w:val="00266676"/>
    <w:rsid w:val="002667CE"/>
    <w:rsid w:val="00266871"/>
    <w:rsid w:val="00266ACD"/>
    <w:rsid w:val="00266B6C"/>
    <w:rsid w:val="00266DD0"/>
    <w:rsid w:val="00266EE4"/>
    <w:rsid w:val="00266F6A"/>
    <w:rsid w:val="00266F6F"/>
    <w:rsid w:val="00267051"/>
    <w:rsid w:val="00267064"/>
    <w:rsid w:val="002670DD"/>
    <w:rsid w:val="00267116"/>
    <w:rsid w:val="0026717E"/>
    <w:rsid w:val="002671C5"/>
    <w:rsid w:val="00267275"/>
    <w:rsid w:val="002672D6"/>
    <w:rsid w:val="0026738B"/>
    <w:rsid w:val="002674D9"/>
    <w:rsid w:val="0026760C"/>
    <w:rsid w:val="00267694"/>
    <w:rsid w:val="002676F0"/>
    <w:rsid w:val="00267715"/>
    <w:rsid w:val="00267726"/>
    <w:rsid w:val="002677B3"/>
    <w:rsid w:val="00267804"/>
    <w:rsid w:val="0026783A"/>
    <w:rsid w:val="002678B1"/>
    <w:rsid w:val="002679FE"/>
    <w:rsid w:val="00267A6F"/>
    <w:rsid w:val="00267AEB"/>
    <w:rsid w:val="00267B0E"/>
    <w:rsid w:val="00267C0A"/>
    <w:rsid w:val="00267C76"/>
    <w:rsid w:val="00267C7A"/>
    <w:rsid w:val="00267D70"/>
    <w:rsid w:val="00267DB5"/>
    <w:rsid w:val="00267E0C"/>
    <w:rsid w:val="00267F33"/>
    <w:rsid w:val="00267F4A"/>
    <w:rsid w:val="00267F9F"/>
    <w:rsid w:val="0027009B"/>
    <w:rsid w:val="002700D0"/>
    <w:rsid w:val="002700DA"/>
    <w:rsid w:val="00270110"/>
    <w:rsid w:val="0027012D"/>
    <w:rsid w:val="00270221"/>
    <w:rsid w:val="00270231"/>
    <w:rsid w:val="00270260"/>
    <w:rsid w:val="00270365"/>
    <w:rsid w:val="0027046B"/>
    <w:rsid w:val="002704E3"/>
    <w:rsid w:val="00270591"/>
    <w:rsid w:val="002705D9"/>
    <w:rsid w:val="002705FB"/>
    <w:rsid w:val="0027066D"/>
    <w:rsid w:val="00270687"/>
    <w:rsid w:val="00270827"/>
    <w:rsid w:val="00270A8E"/>
    <w:rsid w:val="00270B81"/>
    <w:rsid w:val="00270F21"/>
    <w:rsid w:val="00271007"/>
    <w:rsid w:val="00271017"/>
    <w:rsid w:val="002710E7"/>
    <w:rsid w:val="002710FA"/>
    <w:rsid w:val="00271125"/>
    <w:rsid w:val="00271209"/>
    <w:rsid w:val="00271229"/>
    <w:rsid w:val="00271250"/>
    <w:rsid w:val="00271256"/>
    <w:rsid w:val="002712BE"/>
    <w:rsid w:val="0027134B"/>
    <w:rsid w:val="0027135E"/>
    <w:rsid w:val="0027142D"/>
    <w:rsid w:val="002715A5"/>
    <w:rsid w:val="00271755"/>
    <w:rsid w:val="00271780"/>
    <w:rsid w:val="0027181A"/>
    <w:rsid w:val="00271824"/>
    <w:rsid w:val="0027182C"/>
    <w:rsid w:val="0027186A"/>
    <w:rsid w:val="002718AC"/>
    <w:rsid w:val="002718F7"/>
    <w:rsid w:val="00271A47"/>
    <w:rsid w:val="00271B91"/>
    <w:rsid w:val="00271BA1"/>
    <w:rsid w:val="00271C62"/>
    <w:rsid w:val="00271C72"/>
    <w:rsid w:val="00271D52"/>
    <w:rsid w:val="00271E7F"/>
    <w:rsid w:val="00271E93"/>
    <w:rsid w:val="00271F56"/>
    <w:rsid w:val="00272005"/>
    <w:rsid w:val="002720B4"/>
    <w:rsid w:val="00272100"/>
    <w:rsid w:val="00272122"/>
    <w:rsid w:val="0027213E"/>
    <w:rsid w:val="0027214C"/>
    <w:rsid w:val="002721F0"/>
    <w:rsid w:val="00272253"/>
    <w:rsid w:val="00272282"/>
    <w:rsid w:val="002722AB"/>
    <w:rsid w:val="0027235F"/>
    <w:rsid w:val="002723E4"/>
    <w:rsid w:val="0027255E"/>
    <w:rsid w:val="002725EC"/>
    <w:rsid w:val="002725F6"/>
    <w:rsid w:val="002727FC"/>
    <w:rsid w:val="00272900"/>
    <w:rsid w:val="00272AD7"/>
    <w:rsid w:val="00272B4A"/>
    <w:rsid w:val="00272B8E"/>
    <w:rsid w:val="00272BF9"/>
    <w:rsid w:val="00272D33"/>
    <w:rsid w:val="00272DC9"/>
    <w:rsid w:val="00272DF8"/>
    <w:rsid w:val="00272F60"/>
    <w:rsid w:val="00272F63"/>
    <w:rsid w:val="00272F9F"/>
    <w:rsid w:val="00273026"/>
    <w:rsid w:val="00273095"/>
    <w:rsid w:val="00273153"/>
    <w:rsid w:val="0027329B"/>
    <w:rsid w:val="0027335E"/>
    <w:rsid w:val="002736A7"/>
    <w:rsid w:val="0027370F"/>
    <w:rsid w:val="00273774"/>
    <w:rsid w:val="002738D4"/>
    <w:rsid w:val="00273A0C"/>
    <w:rsid w:val="00273A22"/>
    <w:rsid w:val="00273B46"/>
    <w:rsid w:val="00273C2F"/>
    <w:rsid w:val="00273C58"/>
    <w:rsid w:val="00273C5B"/>
    <w:rsid w:val="00273D9B"/>
    <w:rsid w:val="00273DC3"/>
    <w:rsid w:val="00273F64"/>
    <w:rsid w:val="00273FB7"/>
    <w:rsid w:val="00273FE9"/>
    <w:rsid w:val="00274000"/>
    <w:rsid w:val="00274030"/>
    <w:rsid w:val="00274080"/>
    <w:rsid w:val="002740AA"/>
    <w:rsid w:val="002740EB"/>
    <w:rsid w:val="002741CE"/>
    <w:rsid w:val="002741FE"/>
    <w:rsid w:val="0027421B"/>
    <w:rsid w:val="002742EA"/>
    <w:rsid w:val="00274388"/>
    <w:rsid w:val="002743A4"/>
    <w:rsid w:val="002743B0"/>
    <w:rsid w:val="00274494"/>
    <w:rsid w:val="002744FA"/>
    <w:rsid w:val="002745B4"/>
    <w:rsid w:val="0027478C"/>
    <w:rsid w:val="002748C6"/>
    <w:rsid w:val="00274986"/>
    <w:rsid w:val="002749C8"/>
    <w:rsid w:val="00274A53"/>
    <w:rsid w:val="00274B24"/>
    <w:rsid w:val="00274CF1"/>
    <w:rsid w:val="00274D93"/>
    <w:rsid w:val="00274EAB"/>
    <w:rsid w:val="002750D9"/>
    <w:rsid w:val="002750FD"/>
    <w:rsid w:val="00275221"/>
    <w:rsid w:val="002753F2"/>
    <w:rsid w:val="002754FF"/>
    <w:rsid w:val="0027555A"/>
    <w:rsid w:val="00275569"/>
    <w:rsid w:val="002755C9"/>
    <w:rsid w:val="00275617"/>
    <w:rsid w:val="002756DD"/>
    <w:rsid w:val="002756E8"/>
    <w:rsid w:val="00275719"/>
    <w:rsid w:val="002757BA"/>
    <w:rsid w:val="002758C7"/>
    <w:rsid w:val="002758C9"/>
    <w:rsid w:val="00275933"/>
    <w:rsid w:val="002759CA"/>
    <w:rsid w:val="00275A3D"/>
    <w:rsid w:val="00275ACF"/>
    <w:rsid w:val="00275B0A"/>
    <w:rsid w:val="00275BB5"/>
    <w:rsid w:val="00275CD2"/>
    <w:rsid w:val="00275D0A"/>
    <w:rsid w:val="00275D8A"/>
    <w:rsid w:val="00275EC9"/>
    <w:rsid w:val="00275FE0"/>
    <w:rsid w:val="0027619A"/>
    <w:rsid w:val="002763A1"/>
    <w:rsid w:val="00276537"/>
    <w:rsid w:val="002765A8"/>
    <w:rsid w:val="0027661B"/>
    <w:rsid w:val="00276625"/>
    <w:rsid w:val="00276723"/>
    <w:rsid w:val="002768E0"/>
    <w:rsid w:val="0027699F"/>
    <w:rsid w:val="00276A1B"/>
    <w:rsid w:val="00276A96"/>
    <w:rsid w:val="00276AA4"/>
    <w:rsid w:val="00276AD1"/>
    <w:rsid w:val="00276BD9"/>
    <w:rsid w:val="00276C0E"/>
    <w:rsid w:val="00276CE7"/>
    <w:rsid w:val="00276D6B"/>
    <w:rsid w:val="00276E41"/>
    <w:rsid w:val="00277148"/>
    <w:rsid w:val="00277173"/>
    <w:rsid w:val="002771A3"/>
    <w:rsid w:val="002771BD"/>
    <w:rsid w:val="00277231"/>
    <w:rsid w:val="00277295"/>
    <w:rsid w:val="002772B5"/>
    <w:rsid w:val="002774F5"/>
    <w:rsid w:val="00277624"/>
    <w:rsid w:val="00277722"/>
    <w:rsid w:val="0027772E"/>
    <w:rsid w:val="00277747"/>
    <w:rsid w:val="00277794"/>
    <w:rsid w:val="002778D1"/>
    <w:rsid w:val="00277994"/>
    <w:rsid w:val="002779B2"/>
    <w:rsid w:val="00277A34"/>
    <w:rsid w:val="00277A4F"/>
    <w:rsid w:val="00277A81"/>
    <w:rsid w:val="00277B12"/>
    <w:rsid w:val="00277B18"/>
    <w:rsid w:val="00277B3E"/>
    <w:rsid w:val="00277B73"/>
    <w:rsid w:val="00277BE1"/>
    <w:rsid w:val="00277C06"/>
    <w:rsid w:val="00277D20"/>
    <w:rsid w:val="00277D45"/>
    <w:rsid w:val="00277D8F"/>
    <w:rsid w:val="00277D94"/>
    <w:rsid w:val="00277F0D"/>
    <w:rsid w:val="00277F5B"/>
    <w:rsid w:val="00277F8C"/>
    <w:rsid w:val="0028001E"/>
    <w:rsid w:val="00280020"/>
    <w:rsid w:val="002800D1"/>
    <w:rsid w:val="002802A8"/>
    <w:rsid w:val="0028047E"/>
    <w:rsid w:val="002804AC"/>
    <w:rsid w:val="002804CE"/>
    <w:rsid w:val="00280504"/>
    <w:rsid w:val="00280518"/>
    <w:rsid w:val="0028058B"/>
    <w:rsid w:val="00280617"/>
    <w:rsid w:val="0028061A"/>
    <w:rsid w:val="00280624"/>
    <w:rsid w:val="002806B4"/>
    <w:rsid w:val="00280707"/>
    <w:rsid w:val="00280727"/>
    <w:rsid w:val="00280799"/>
    <w:rsid w:val="002807E5"/>
    <w:rsid w:val="00280982"/>
    <w:rsid w:val="002809A2"/>
    <w:rsid w:val="002809DD"/>
    <w:rsid w:val="00280A2B"/>
    <w:rsid w:val="00280BAB"/>
    <w:rsid w:val="00280BE4"/>
    <w:rsid w:val="00280C14"/>
    <w:rsid w:val="00280C26"/>
    <w:rsid w:val="00280D5E"/>
    <w:rsid w:val="00280E36"/>
    <w:rsid w:val="00280E86"/>
    <w:rsid w:val="00280F29"/>
    <w:rsid w:val="00280F81"/>
    <w:rsid w:val="00280FBE"/>
    <w:rsid w:val="00281087"/>
    <w:rsid w:val="0028109E"/>
    <w:rsid w:val="00281116"/>
    <w:rsid w:val="00281168"/>
    <w:rsid w:val="00281173"/>
    <w:rsid w:val="0028128F"/>
    <w:rsid w:val="002812E1"/>
    <w:rsid w:val="002813E9"/>
    <w:rsid w:val="002813FB"/>
    <w:rsid w:val="0028143D"/>
    <w:rsid w:val="00281549"/>
    <w:rsid w:val="00281615"/>
    <w:rsid w:val="00281617"/>
    <w:rsid w:val="00281645"/>
    <w:rsid w:val="0028169B"/>
    <w:rsid w:val="002816FA"/>
    <w:rsid w:val="00281708"/>
    <w:rsid w:val="00281735"/>
    <w:rsid w:val="00281766"/>
    <w:rsid w:val="00281981"/>
    <w:rsid w:val="00281B09"/>
    <w:rsid w:val="00281CA5"/>
    <w:rsid w:val="00281DB8"/>
    <w:rsid w:val="00281EB9"/>
    <w:rsid w:val="00281F0D"/>
    <w:rsid w:val="00281F0F"/>
    <w:rsid w:val="00281F29"/>
    <w:rsid w:val="0028209C"/>
    <w:rsid w:val="00282102"/>
    <w:rsid w:val="0028213A"/>
    <w:rsid w:val="0028218C"/>
    <w:rsid w:val="002822EC"/>
    <w:rsid w:val="0028237B"/>
    <w:rsid w:val="002823CE"/>
    <w:rsid w:val="0028244D"/>
    <w:rsid w:val="002824B9"/>
    <w:rsid w:val="002824E9"/>
    <w:rsid w:val="002825A0"/>
    <w:rsid w:val="002825F1"/>
    <w:rsid w:val="00282638"/>
    <w:rsid w:val="002826FE"/>
    <w:rsid w:val="0028295A"/>
    <w:rsid w:val="002829D3"/>
    <w:rsid w:val="00282C2E"/>
    <w:rsid w:val="00282C30"/>
    <w:rsid w:val="00282D7B"/>
    <w:rsid w:val="00282DB3"/>
    <w:rsid w:val="00282E0C"/>
    <w:rsid w:val="00282E11"/>
    <w:rsid w:val="00282ED8"/>
    <w:rsid w:val="00282FCC"/>
    <w:rsid w:val="00283052"/>
    <w:rsid w:val="002830CB"/>
    <w:rsid w:val="002830D4"/>
    <w:rsid w:val="00283168"/>
    <w:rsid w:val="0028320B"/>
    <w:rsid w:val="0028329D"/>
    <w:rsid w:val="00283368"/>
    <w:rsid w:val="002833B1"/>
    <w:rsid w:val="0028343A"/>
    <w:rsid w:val="002835A1"/>
    <w:rsid w:val="00283623"/>
    <w:rsid w:val="00283624"/>
    <w:rsid w:val="002836A2"/>
    <w:rsid w:val="002836E6"/>
    <w:rsid w:val="002837BF"/>
    <w:rsid w:val="0028392B"/>
    <w:rsid w:val="002839CF"/>
    <w:rsid w:val="00283A2E"/>
    <w:rsid w:val="00283C70"/>
    <w:rsid w:val="00283C9F"/>
    <w:rsid w:val="00283D28"/>
    <w:rsid w:val="00283D95"/>
    <w:rsid w:val="00283E71"/>
    <w:rsid w:val="00283EB5"/>
    <w:rsid w:val="00283EBD"/>
    <w:rsid w:val="00283F4A"/>
    <w:rsid w:val="00283FAB"/>
    <w:rsid w:val="00283FE3"/>
    <w:rsid w:val="00284066"/>
    <w:rsid w:val="00284082"/>
    <w:rsid w:val="002840E3"/>
    <w:rsid w:val="002841BB"/>
    <w:rsid w:val="002841D9"/>
    <w:rsid w:val="00284263"/>
    <w:rsid w:val="00284514"/>
    <w:rsid w:val="002845A1"/>
    <w:rsid w:val="002845CB"/>
    <w:rsid w:val="002845F1"/>
    <w:rsid w:val="00284609"/>
    <w:rsid w:val="0028479B"/>
    <w:rsid w:val="00284803"/>
    <w:rsid w:val="0028483B"/>
    <w:rsid w:val="00284903"/>
    <w:rsid w:val="00284904"/>
    <w:rsid w:val="0028490B"/>
    <w:rsid w:val="00284999"/>
    <w:rsid w:val="00284A35"/>
    <w:rsid w:val="00284B35"/>
    <w:rsid w:val="00284D0A"/>
    <w:rsid w:val="00284D7C"/>
    <w:rsid w:val="00284E75"/>
    <w:rsid w:val="00284EC4"/>
    <w:rsid w:val="00284ECF"/>
    <w:rsid w:val="00284EFE"/>
    <w:rsid w:val="00285144"/>
    <w:rsid w:val="0028538D"/>
    <w:rsid w:val="002853F4"/>
    <w:rsid w:val="00285431"/>
    <w:rsid w:val="00285440"/>
    <w:rsid w:val="00285471"/>
    <w:rsid w:val="0028552F"/>
    <w:rsid w:val="002855CC"/>
    <w:rsid w:val="0028587D"/>
    <w:rsid w:val="002858D0"/>
    <w:rsid w:val="0028592B"/>
    <w:rsid w:val="0028596C"/>
    <w:rsid w:val="00285A42"/>
    <w:rsid w:val="00285A85"/>
    <w:rsid w:val="00285AFE"/>
    <w:rsid w:val="00285B89"/>
    <w:rsid w:val="00285BB4"/>
    <w:rsid w:val="00285BFA"/>
    <w:rsid w:val="00285C8D"/>
    <w:rsid w:val="00285D74"/>
    <w:rsid w:val="00285D87"/>
    <w:rsid w:val="00285DA3"/>
    <w:rsid w:val="00285DC5"/>
    <w:rsid w:val="00285DE9"/>
    <w:rsid w:val="00285E14"/>
    <w:rsid w:val="0028600E"/>
    <w:rsid w:val="00286064"/>
    <w:rsid w:val="00286090"/>
    <w:rsid w:val="002860DA"/>
    <w:rsid w:val="0028641C"/>
    <w:rsid w:val="002864BC"/>
    <w:rsid w:val="002866A8"/>
    <w:rsid w:val="002867BE"/>
    <w:rsid w:val="002867E4"/>
    <w:rsid w:val="0028687C"/>
    <w:rsid w:val="002868A0"/>
    <w:rsid w:val="00286A89"/>
    <w:rsid w:val="00286A96"/>
    <w:rsid w:val="00286D34"/>
    <w:rsid w:val="00286E3C"/>
    <w:rsid w:val="00286E65"/>
    <w:rsid w:val="00286E8C"/>
    <w:rsid w:val="00287144"/>
    <w:rsid w:val="002871EB"/>
    <w:rsid w:val="0028735F"/>
    <w:rsid w:val="0028744A"/>
    <w:rsid w:val="0028749D"/>
    <w:rsid w:val="002874CF"/>
    <w:rsid w:val="00287507"/>
    <w:rsid w:val="0028758A"/>
    <w:rsid w:val="00287718"/>
    <w:rsid w:val="0028778C"/>
    <w:rsid w:val="002878F8"/>
    <w:rsid w:val="002879A0"/>
    <w:rsid w:val="002879FC"/>
    <w:rsid w:val="00287A7E"/>
    <w:rsid w:val="00287AFA"/>
    <w:rsid w:val="00287CDD"/>
    <w:rsid w:val="00287E54"/>
    <w:rsid w:val="00287ED3"/>
    <w:rsid w:val="00287F7C"/>
    <w:rsid w:val="00287FB6"/>
    <w:rsid w:val="00287FC4"/>
    <w:rsid w:val="00290039"/>
    <w:rsid w:val="002901F5"/>
    <w:rsid w:val="00290224"/>
    <w:rsid w:val="00290386"/>
    <w:rsid w:val="002903EF"/>
    <w:rsid w:val="00290403"/>
    <w:rsid w:val="0029043E"/>
    <w:rsid w:val="0029059B"/>
    <w:rsid w:val="002905E2"/>
    <w:rsid w:val="00290668"/>
    <w:rsid w:val="002906EA"/>
    <w:rsid w:val="00290756"/>
    <w:rsid w:val="0029077F"/>
    <w:rsid w:val="002907D8"/>
    <w:rsid w:val="00290818"/>
    <w:rsid w:val="00290880"/>
    <w:rsid w:val="002908D8"/>
    <w:rsid w:val="00290A89"/>
    <w:rsid w:val="00290B4F"/>
    <w:rsid w:val="00290C0F"/>
    <w:rsid w:val="00290C4C"/>
    <w:rsid w:val="00290EC6"/>
    <w:rsid w:val="00290FD9"/>
    <w:rsid w:val="0029100B"/>
    <w:rsid w:val="002910A5"/>
    <w:rsid w:val="002911BF"/>
    <w:rsid w:val="00291221"/>
    <w:rsid w:val="00291236"/>
    <w:rsid w:val="002912B9"/>
    <w:rsid w:val="00291353"/>
    <w:rsid w:val="0029144C"/>
    <w:rsid w:val="0029146A"/>
    <w:rsid w:val="0029152E"/>
    <w:rsid w:val="002917C3"/>
    <w:rsid w:val="00291820"/>
    <w:rsid w:val="002918CD"/>
    <w:rsid w:val="002919B3"/>
    <w:rsid w:val="00291A72"/>
    <w:rsid w:val="00291B18"/>
    <w:rsid w:val="00291D2C"/>
    <w:rsid w:val="00291D87"/>
    <w:rsid w:val="00291E58"/>
    <w:rsid w:val="00291E64"/>
    <w:rsid w:val="00291F6F"/>
    <w:rsid w:val="00291F72"/>
    <w:rsid w:val="00291FBA"/>
    <w:rsid w:val="00292019"/>
    <w:rsid w:val="00292096"/>
    <w:rsid w:val="002920FD"/>
    <w:rsid w:val="00292172"/>
    <w:rsid w:val="00292212"/>
    <w:rsid w:val="00292232"/>
    <w:rsid w:val="002922B3"/>
    <w:rsid w:val="002922CD"/>
    <w:rsid w:val="00292316"/>
    <w:rsid w:val="0029233A"/>
    <w:rsid w:val="0029249E"/>
    <w:rsid w:val="002924C2"/>
    <w:rsid w:val="002924D2"/>
    <w:rsid w:val="00292582"/>
    <w:rsid w:val="002926B1"/>
    <w:rsid w:val="00292730"/>
    <w:rsid w:val="00292768"/>
    <w:rsid w:val="00292792"/>
    <w:rsid w:val="002927FA"/>
    <w:rsid w:val="0029289B"/>
    <w:rsid w:val="0029291C"/>
    <w:rsid w:val="00292943"/>
    <w:rsid w:val="00292973"/>
    <w:rsid w:val="002929F6"/>
    <w:rsid w:val="00292A13"/>
    <w:rsid w:val="00292B4E"/>
    <w:rsid w:val="00292BBA"/>
    <w:rsid w:val="00292C4E"/>
    <w:rsid w:val="00292D15"/>
    <w:rsid w:val="00292D4A"/>
    <w:rsid w:val="00292E35"/>
    <w:rsid w:val="00292F30"/>
    <w:rsid w:val="00292FB7"/>
    <w:rsid w:val="00293039"/>
    <w:rsid w:val="00293060"/>
    <w:rsid w:val="002930BA"/>
    <w:rsid w:val="0029311A"/>
    <w:rsid w:val="00293168"/>
    <w:rsid w:val="0029331D"/>
    <w:rsid w:val="0029352A"/>
    <w:rsid w:val="002935AB"/>
    <w:rsid w:val="002935DC"/>
    <w:rsid w:val="00293695"/>
    <w:rsid w:val="00293709"/>
    <w:rsid w:val="00293781"/>
    <w:rsid w:val="0029390B"/>
    <w:rsid w:val="0029394F"/>
    <w:rsid w:val="00293A41"/>
    <w:rsid w:val="00293A44"/>
    <w:rsid w:val="00293AB4"/>
    <w:rsid w:val="00293B77"/>
    <w:rsid w:val="00293C1C"/>
    <w:rsid w:val="00293C76"/>
    <w:rsid w:val="00293CF7"/>
    <w:rsid w:val="00293D76"/>
    <w:rsid w:val="00293E08"/>
    <w:rsid w:val="00293ED5"/>
    <w:rsid w:val="00293F2C"/>
    <w:rsid w:val="00293F50"/>
    <w:rsid w:val="002940B3"/>
    <w:rsid w:val="00294211"/>
    <w:rsid w:val="002943B2"/>
    <w:rsid w:val="00294498"/>
    <w:rsid w:val="002944E9"/>
    <w:rsid w:val="00294500"/>
    <w:rsid w:val="00294542"/>
    <w:rsid w:val="0029457D"/>
    <w:rsid w:val="0029459D"/>
    <w:rsid w:val="0029461C"/>
    <w:rsid w:val="00294686"/>
    <w:rsid w:val="002946F2"/>
    <w:rsid w:val="0029480B"/>
    <w:rsid w:val="00294817"/>
    <w:rsid w:val="00294841"/>
    <w:rsid w:val="00294973"/>
    <w:rsid w:val="00294995"/>
    <w:rsid w:val="002949BD"/>
    <w:rsid w:val="00294A35"/>
    <w:rsid w:val="00294B1D"/>
    <w:rsid w:val="00294C01"/>
    <w:rsid w:val="00294D48"/>
    <w:rsid w:val="00294DBC"/>
    <w:rsid w:val="00294E17"/>
    <w:rsid w:val="00294E7A"/>
    <w:rsid w:val="00294ED1"/>
    <w:rsid w:val="00294F2F"/>
    <w:rsid w:val="00294F6E"/>
    <w:rsid w:val="00294F71"/>
    <w:rsid w:val="002950C3"/>
    <w:rsid w:val="00295293"/>
    <w:rsid w:val="002952A3"/>
    <w:rsid w:val="0029531C"/>
    <w:rsid w:val="00295347"/>
    <w:rsid w:val="002953DA"/>
    <w:rsid w:val="00295574"/>
    <w:rsid w:val="0029557B"/>
    <w:rsid w:val="0029562D"/>
    <w:rsid w:val="0029565E"/>
    <w:rsid w:val="0029583D"/>
    <w:rsid w:val="00295872"/>
    <w:rsid w:val="00295A09"/>
    <w:rsid w:val="00295A75"/>
    <w:rsid w:val="00295B2D"/>
    <w:rsid w:val="00295BC2"/>
    <w:rsid w:val="00295C3D"/>
    <w:rsid w:val="00295CB5"/>
    <w:rsid w:val="00295D18"/>
    <w:rsid w:val="00295D29"/>
    <w:rsid w:val="00295D81"/>
    <w:rsid w:val="00295DBB"/>
    <w:rsid w:val="00295DFA"/>
    <w:rsid w:val="00295E30"/>
    <w:rsid w:val="00295E89"/>
    <w:rsid w:val="00295F4F"/>
    <w:rsid w:val="002960BF"/>
    <w:rsid w:val="0029611F"/>
    <w:rsid w:val="00296214"/>
    <w:rsid w:val="0029652C"/>
    <w:rsid w:val="002965C8"/>
    <w:rsid w:val="00296702"/>
    <w:rsid w:val="002967F2"/>
    <w:rsid w:val="0029680F"/>
    <w:rsid w:val="002968B8"/>
    <w:rsid w:val="002968F2"/>
    <w:rsid w:val="00296AED"/>
    <w:rsid w:val="00296B14"/>
    <w:rsid w:val="00296C20"/>
    <w:rsid w:val="00296CCB"/>
    <w:rsid w:val="00296DC4"/>
    <w:rsid w:val="00296DDA"/>
    <w:rsid w:val="00296DEF"/>
    <w:rsid w:val="00296DFA"/>
    <w:rsid w:val="00296E36"/>
    <w:rsid w:val="00296F08"/>
    <w:rsid w:val="00296F24"/>
    <w:rsid w:val="00296F8E"/>
    <w:rsid w:val="00296F94"/>
    <w:rsid w:val="002970D4"/>
    <w:rsid w:val="002970DE"/>
    <w:rsid w:val="00297189"/>
    <w:rsid w:val="002973AC"/>
    <w:rsid w:val="002973B5"/>
    <w:rsid w:val="0029748C"/>
    <w:rsid w:val="0029750E"/>
    <w:rsid w:val="00297536"/>
    <w:rsid w:val="00297539"/>
    <w:rsid w:val="00297631"/>
    <w:rsid w:val="00297667"/>
    <w:rsid w:val="00297714"/>
    <w:rsid w:val="00297786"/>
    <w:rsid w:val="0029788D"/>
    <w:rsid w:val="00297904"/>
    <w:rsid w:val="00297922"/>
    <w:rsid w:val="00297936"/>
    <w:rsid w:val="00297A42"/>
    <w:rsid w:val="00297AEB"/>
    <w:rsid w:val="00297AFE"/>
    <w:rsid w:val="00297B28"/>
    <w:rsid w:val="00297B2D"/>
    <w:rsid w:val="00297C13"/>
    <w:rsid w:val="00297CB1"/>
    <w:rsid w:val="00297D67"/>
    <w:rsid w:val="00297E0D"/>
    <w:rsid w:val="00297EEC"/>
    <w:rsid w:val="002A0043"/>
    <w:rsid w:val="002A00FF"/>
    <w:rsid w:val="002A0112"/>
    <w:rsid w:val="002A0273"/>
    <w:rsid w:val="002A0279"/>
    <w:rsid w:val="002A02DF"/>
    <w:rsid w:val="002A0356"/>
    <w:rsid w:val="002A0360"/>
    <w:rsid w:val="002A036B"/>
    <w:rsid w:val="002A036D"/>
    <w:rsid w:val="002A0488"/>
    <w:rsid w:val="002A055B"/>
    <w:rsid w:val="002A0691"/>
    <w:rsid w:val="002A0781"/>
    <w:rsid w:val="002A081F"/>
    <w:rsid w:val="002A0943"/>
    <w:rsid w:val="002A09CD"/>
    <w:rsid w:val="002A0A2D"/>
    <w:rsid w:val="002A0A65"/>
    <w:rsid w:val="002A0B46"/>
    <w:rsid w:val="002A0BFA"/>
    <w:rsid w:val="002A0C21"/>
    <w:rsid w:val="002A0C25"/>
    <w:rsid w:val="002A0C50"/>
    <w:rsid w:val="002A0C66"/>
    <w:rsid w:val="002A0D24"/>
    <w:rsid w:val="002A0D51"/>
    <w:rsid w:val="002A0E66"/>
    <w:rsid w:val="002A0F60"/>
    <w:rsid w:val="002A0F81"/>
    <w:rsid w:val="002A0FA9"/>
    <w:rsid w:val="002A0FC2"/>
    <w:rsid w:val="002A0FD7"/>
    <w:rsid w:val="002A1027"/>
    <w:rsid w:val="002A1061"/>
    <w:rsid w:val="002A10D1"/>
    <w:rsid w:val="002A117C"/>
    <w:rsid w:val="002A1324"/>
    <w:rsid w:val="002A137C"/>
    <w:rsid w:val="002A140B"/>
    <w:rsid w:val="002A1467"/>
    <w:rsid w:val="002A1531"/>
    <w:rsid w:val="002A155C"/>
    <w:rsid w:val="002A15F0"/>
    <w:rsid w:val="002A1724"/>
    <w:rsid w:val="002A17DF"/>
    <w:rsid w:val="002A17E9"/>
    <w:rsid w:val="002A17F8"/>
    <w:rsid w:val="002A181E"/>
    <w:rsid w:val="002A18C1"/>
    <w:rsid w:val="002A198A"/>
    <w:rsid w:val="002A19AB"/>
    <w:rsid w:val="002A1A1E"/>
    <w:rsid w:val="002A1A85"/>
    <w:rsid w:val="002A1A9E"/>
    <w:rsid w:val="002A1BFD"/>
    <w:rsid w:val="002A1C21"/>
    <w:rsid w:val="002A1C49"/>
    <w:rsid w:val="002A1C78"/>
    <w:rsid w:val="002A1E0D"/>
    <w:rsid w:val="002A1E3D"/>
    <w:rsid w:val="002A1E89"/>
    <w:rsid w:val="002A1F19"/>
    <w:rsid w:val="002A1F56"/>
    <w:rsid w:val="002A1FBF"/>
    <w:rsid w:val="002A20AF"/>
    <w:rsid w:val="002A20ED"/>
    <w:rsid w:val="002A2181"/>
    <w:rsid w:val="002A22D4"/>
    <w:rsid w:val="002A23E6"/>
    <w:rsid w:val="002A240B"/>
    <w:rsid w:val="002A24C0"/>
    <w:rsid w:val="002A2509"/>
    <w:rsid w:val="002A2579"/>
    <w:rsid w:val="002A258B"/>
    <w:rsid w:val="002A268D"/>
    <w:rsid w:val="002A2801"/>
    <w:rsid w:val="002A2834"/>
    <w:rsid w:val="002A283E"/>
    <w:rsid w:val="002A29EC"/>
    <w:rsid w:val="002A2A21"/>
    <w:rsid w:val="002A2AEA"/>
    <w:rsid w:val="002A2BFD"/>
    <w:rsid w:val="002A2D27"/>
    <w:rsid w:val="002A2D53"/>
    <w:rsid w:val="002A2F7C"/>
    <w:rsid w:val="002A2FBB"/>
    <w:rsid w:val="002A2FCF"/>
    <w:rsid w:val="002A308C"/>
    <w:rsid w:val="002A312E"/>
    <w:rsid w:val="002A3259"/>
    <w:rsid w:val="002A3502"/>
    <w:rsid w:val="002A3558"/>
    <w:rsid w:val="002A35AB"/>
    <w:rsid w:val="002A36F0"/>
    <w:rsid w:val="002A3762"/>
    <w:rsid w:val="002A3841"/>
    <w:rsid w:val="002A38AE"/>
    <w:rsid w:val="002A3988"/>
    <w:rsid w:val="002A39F8"/>
    <w:rsid w:val="002A3B4C"/>
    <w:rsid w:val="002A3BF9"/>
    <w:rsid w:val="002A3CF3"/>
    <w:rsid w:val="002A3DBF"/>
    <w:rsid w:val="002A3DD4"/>
    <w:rsid w:val="002A3DF2"/>
    <w:rsid w:val="002A3EFF"/>
    <w:rsid w:val="002A3F42"/>
    <w:rsid w:val="002A3F53"/>
    <w:rsid w:val="002A40B7"/>
    <w:rsid w:val="002A40CC"/>
    <w:rsid w:val="002A4151"/>
    <w:rsid w:val="002A4175"/>
    <w:rsid w:val="002A420D"/>
    <w:rsid w:val="002A43CB"/>
    <w:rsid w:val="002A442E"/>
    <w:rsid w:val="002A4438"/>
    <w:rsid w:val="002A44A8"/>
    <w:rsid w:val="002A453D"/>
    <w:rsid w:val="002A4541"/>
    <w:rsid w:val="002A4579"/>
    <w:rsid w:val="002A45F7"/>
    <w:rsid w:val="002A461B"/>
    <w:rsid w:val="002A4623"/>
    <w:rsid w:val="002A4678"/>
    <w:rsid w:val="002A4732"/>
    <w:rsid w:val="002A4779"/>
    <w:rsid w:val="002A486B"/>
    <w:rsid w:val="002A4895"/>
    <w:rsid w:val="002A48B7"/>
    <w:rsid w:val="002A49F6"/>
    <w:rsid w:val="002A4A4E"/>
    <w:rsid w:val="002A4B91"/>
    <w:rsid w:val="002A4BD1"/>
    <w:rsid w:val="002A4CC6"/>
    <w:rsid w:val="002A4CFB"/>
    <w:rsid w:val="002A4D4F"/>
    <w:rsid w:val="002A4D5E"/>
    <w:rsid w:val="002A4D84"/>
    <w:rsid w:val="002A4D8D"/>
    <w:rsid w:val="002A4DC3"/>
    <w:rsid w:val="002A4DEC"/>
    <w:rsid w:val="002A4ED0"/>
    <w:rsid w:val="002A4F4C"/>
    <w:rsid w:val="002A4FDB"/>
    <w:rsid w:val="002A5048"/>
    <w:rsid w:val="002A505B"/>
    <w:rsid w:val="002A5161"/>
    <w:rsid w:val="002A517F"/>
    <w:rsid w:val="002A5233"/>
    <w:rsid w:val="002A5278"/>
    <w:rsid w:val="002A52F9"/>
    <w:rsid w:val="002A5316"/>
    <w:rsid w:val="002A53CA"/>
    <w:rsid w:val="002A547A"/>
    <w:rsid w:val="002A5490"/>
    <w:rsid w:val="002A57E6"/>
    <w:rsid w:val="002A58F2"/>
    <w:rsid w:val="002A5927"/>
    <w:rsid w:val="002A594F"/>
    <w:rsid w:val="002A5A9E"/>
    <w:rsid w:val="002A5BE9"/>
    <w:rsid w:val="002A5D74"/>
    <w:rsid w:val="002A5DD1"/>
    <w:rsid w:val="002A5DF2"/>
    <w:rsid w:val="002A5EED"/>
    <w:rsid w:val="002A5F68"/>
    <w:rsid w:val="002A5FBA"/>
    <w:rsid w:val="002A5FE4"/>
    <w:rsid w:val="002A60FB"/>
    <w:rsid w:val="002A6138"/>
    <w:rsid w:val="002A616E"/>
    <w:rsid w:val="002A6179"/>
    <w:rsid w:val="002A62A8"/>
    <w:rsid w:val="002A6404"/>
    <w:rsid w:val="002A6489"/>
    <w:rsid w:val="002A64A8"/>
    <w:rsid w:val="002A6519"/>
    <w:rsid w:val="002A65B0"/>
    <w:rsid w:val="002A6648"/>
    <w:rsid w:val="002A6703"/>
    <w:rsid w:val="002A6749"/>
    <w:rsid w:val="002A67A7"/>
    <w:rsid w:val="002A686C"/>
    <w:rsid w:val="002A6875"/>
    <w:rsid w:val="002A689B"/>
    <w:rsid w:val="002A6946"/>
    <w:rsid w:val="002A69E4"/>
    <w:rsid w:val="002A6AC8"/>
    <w:rsid w:val="002A6BA6"/>
    <w:rsid w:val="002A6CEE"/>
    <w:rsid w:val="002A6D76"/>
    <w:rsid w:val="002A6E12"/>
    <w:rsid w:val="002A6FD4"/>
    <w:rsid w:val="002A712F"/>
    <w:rsid w:val="002A7136"/>
    <w:rsid w:val="002A7182"/>
    <w:rsid w:val="002A7202"/>
    <w:rsid w:val="002A7208"/>
    <w:rsid w:val="002A722D"/>
    <w:rsid w:val="002A7250"/>
    <w:rsid w:val="002A7263"/>
    <w:rsid w:val="002A74DA"/>
    <w:rsid w:val="002A7591"/>
    <w:rsid w:val="002A75F3"/>
    <w:rsid w:val="002A779A"/>
    <w:rsid w:val="002A77F0"/>
    <w:rsid w:val="002A77F2"/>
    <w:rsid w:val="002A788D"/>
    <w:rsid w:val="002A7989"/>
    <w:rsid w:val="002A7AFA"/>
    <w:rsid w:val="002A7B52"/>
    <w:rsid w:val="002A7D0B"/>
    <w:rsid w:val="002A7D32"/>
    <w:rsid w:val="002A7D47"/>
    <w:rsid w:val="002A7DD7"/>
    <w:rsid w:val="002A7EAA"/>
    <w:rsid w:val="002A7EBD"/>
    <w:rsid w:val="002A7F9A"/>
    <w:rsid w:val="002B01A0"/>
    <w:rsid w:val="002B029E"/>
    <w:rsid w:val="002B029F"/>
    <w:rsid w:val="002B0302"/>
    <w:rsid w:val="002B0315"/>
    <w:rsid w:val="002B0404"/>
    <w:rsid w:val="002B048D"/>
    <w:rsid w:val="002B0492"/>
    <w:rsid w:val="002B0591"/>
    <w:rsid w:val="002B05CB"/>
    <w:rsid w:val="002B0663"/>
    <w:rsid w:val="002B0A91"/>
    <w:rsid w:val="002B0BD1"/>
    <w:rsid w:val="002B0C1A"/>
    <w:rsid w:val="002B0EC5"/>
    <w:rsid w:val="002B0EFC"/>
    <w:rsid w:val="002B0F1E"/>
    <w:rsid w:val="002B0F99"/>
    <w:rsid w:val="002B0FF4"/>
    <w:rsid w:val="002B0FF5"/>
    <w:rsid w:val="002B0FFE"/>
    <w:rsid w:val="002B1100"/>
    <w:rsid w:val="002B1155"/>
    <w:rsid w:val="002B124A"/>
    <w:rsid w:val="002B12FD"/>
    <w:rsid w:val="002B13B5"/>
    <w:rsid w:val="002B148B"/>
    <w:rsid w:val="002B17AA"/>
    <w:rsid w:val="002B187A"/>
    <w:rsid w:val="002B1922"/>
    <w:rsid w:val="002B1BA2"/>
    <w:rsid w:val="002B1D07"/>
    <w:rsid w:val="002B1D55"/>
    <w:rsid w:val="002B1ED4"/>
    <w:rsid w:val="002B1F3E"/>
    <w:rsid w:val="002B20D1"/>
    <w:rsid w:val="002B2333"/>
    <w:rsid w:val="002B2341"/>
    <w:rsid w:val="002B234A"/>
    <w:rsid w:val="002B23AB"/>
    <w:rsid w:val="002B23DB"/>
    <w:rsid w:val="002B2433"/>
    <w:rsid w:val="002B245E"/>
    <w:rsid w:val="002B2472"/>
    <w:rsid w:val="002B24D7"/>
    <w:rsid w:val="002B2567"/>
    <w:rsid w:val="002B2617"/>
    <w:rsid w:val="002B261B"/>
    <w:rsid w:val="002B2620"/>
    <w:rsid w:val="002B286A"/>
    <w:rsid w:val="002B2894"/>
    <w:rsid w:val="002B28AF"/>
    <w:rsid w:val="002B2975"/>
    <w:rsid w:val="002B29FB"/>
    <w:rsid w:val="002B2B19"/>
    <w:rsid w:val="002B2C50"/>
    <w:rsid w:val="002B2D56"/>
    <w:rsid w:val="002B2D9B"/>
    <w:rsid w:val="002B2DC1"/>
    <w:rsid w:val="002B2ED5"/>
    <w:rsid w:val="002B3010"/>
    <w:rsid w:val="002B3034"/>
    <w:rsid w:val="002B303E"/>
    <w:rsid w:val="002B3161"/>
    <w:rsid w:val="002B3223"/>
    <w:rsid w:val="002B3357"/>
    <w:rsid w:val="002B3399"/>
    <w:rsid w:val="002B34D5"/>
    <w:rsid w:val="002B34F6"/>
    <w:rsid w:val="002B35F7"/>
    <w:rsid w:val="002B3636"/>
    <w:rsid w:val="002B36BD"/>
    <w:rsid w:val="002B376C"/>
    <w:rsid w:val="002B39EB"/>
    <w:rsid w:val="002B3A3C"/>
    <w:rsid w:val="002B3B2D"/>
    <w:rsid w:val="002B3B7B"/>
    <w:rsid w:val="002B3BCC"/>
    <w:rsid w:val="002B3BD7"/>
    <w:rsid w:val="002B3D06"/>
    <w:rsid w:val="002B3DC3"/>
    <w:rsid w:val="002B3EE2"/>
    <w:rsid w:val="002B3F63"/>
    <w:rsid w:val="002B400F"/>
    <w:rsid w:val="002B40DA"/>
    <w:rsid w:val="002B40E5"/>
    <w:rsid w:val="002B42B0"/>
    <w:rsid w:val="002B42ED"/>
    <w:rsid w:val="002B440E"/>
    <w:rsid w:val="002B4479"/>
    <w:rsid w:val="002B44EE"/>
    <w:rsid w:val="002B45D2"/>
    <w:rsid w:val="002B468D"/>
    <w:rsid w:val="002B46A7"/>
    <w:rsid w:val="002B486B"/>
    <w:rsid w:val="002B48B6"/>
    <w:rsid w:val="002B49F7"/>
    <w:rsid w:val="002B4A01"/>
    <w:rsid w:val="002B4B59"/>
    <w:rsid w:val="002B4BDD"/>
    <w:rsid w:val="002B4D57"/>
    <w:rsid w:val="002B4DC0"/>
    <w:rsid w:val="002B4DF1"/>
    <w:rsid w:val="002B4E6D"/>
    <w:rsid w:val="002B4F5A"/>
    <w:rsid w:val="002B502F"/>
    <w:rsid w:val="002B5030"/>
    <w:rsid w:val="002B515F"/>
    <w:rsid w:val="002B5199"/>
    <w:rsid w:val="002B52D2"/>
    <w:rsid w:val="002B532C"/>
    <w:rsid w:val="002B5341"/>
    <w:rsid w:val="002B5352"/>
    <w:rsid w:val="002B53DC"/>
    <w:rsid w:val="002B54E6"/>
    <w:rsid w:val="002B54F1"/>
    <w:rsid w:val="002B54FC"/>
    <w:rsid w:val="002B553D"/>
    <w:rsid w:val="002B555D"/>
    <w:rsid w:val="002B561A"/>
    <w:rsid w:val="002B5697"/>
    <w:rsid w:val="002B57B9"/>
    <w:rsid w:val="002B5829"/>
    <w:rsid w:val="002B5830"/>
    <w:rsid w:val="002B587F"/>
    <w:rsid w:val="002B594F"/>
    <w:rsid w:val="002B5975"/>
    <w:rsid w:val="002B59CA"/>
    <w:rsid w:val="002B5AD3"/>
    <w:rsid w:val="002B5B6A"/>
    <w:rsid w:val="002B5BE8"/>
    <w:rsid w:val="002B5C24"/>
    <w:rsid w:val="002B5C89"/>
    <w:rsid w:val="002B5CFA"/>
    <w:rsid w:val="002B5D90"/>
    <w:rsid w:val="002B5F4A"/>
    <w:rsid w:val="002B605B"/>
    <w:rsid w:val="002B617A"/>
    <w:rsid w:val="002B6181"/>
    <w:rsid w:val="002B61B7"/>
    <w:rsid w:val="002B63FC"/>
    <w:rsid w:val="002B6424"/>
    <w:rsid w:val="002B6434"/>
    <w:rsid w:val="002B6463"/>
    <w:rsid w:val="002B6526"/>
    <w:rsid w:val="002B6549"/>
    <w:rsid w:val="002B6599"/>
    <w:rsid w:val="002B65C0"/>
    <w:rsid w:val="002B6607"/>
    <w:rsid w:val="002B6660"/>
    <w:rsid w:val="002B66AE"/>
    <w:rsid w:val="002B6754"/>
    <w:rsid w:val="002B67AF"/>
    <w:rsid w:val="002B692D"/>
    <w:rsid w:val="002B6A1F"/>
    <w:rsid w:val="002B6A72"/>
    <w:rsid w:val="002B6AA1"/>
    <w:rsid w:val="002B6AF9"/>
    <w:rsid w:val="002B6B86"/>
    <w:rsid w:val="002B6BD5"/>
    <w:rsid w:val="002B6C5D"/>
    <w:rsid w:val="002B6C61"/>
    <w:rsid w:val="002B6CE5"/>
    <w:rsid w:val="002B6D0B"/>
    <w:rsid w:val="002B6D49"/>
    <w:rsid w:val="002B6D7B"/>
    <w:rsid w:val="002B6DFA"/>
    <w:rsid w:val="002B6E32"/>
    <w:rsid w:val="002B6E85"/>
    <w:rsid w:val="002B6EBD"/>
    <w:rsid w:val="002B6F3F"/>
    <w:rsid w:val="002B7040"/>
    <w:rsid w:val="002B70C1"/>
    <w:rsid w:val="002B713E"/>
    <w:rsid w:val="002B71D0"/>
    <w:rsid w:val="002B71D7"/>
    <w:rsid w:val="002B726F"/>
    <w:rsid w:val="002B7278"/>
    <w:rsid w:val="002B72D5"/>
    <w:rsid w:val="002B72E1"/>
    <w:rsid w:val="002B748B"/>
    <w:rsid w:val="002B74A7"/>
    <w:rsid w:val="002B74AA"/>
    <w:rsid w:val="002B7581"/>
    <w:rsid w:val="002B75A1"/>
    <w:rsid w:val="002B7623"/>
    <w:rsid w:val="002B7749"/>
    <w:rsid w:val="002B78BC"/>
    <w:rsid w:val="002B78C5"/>
    <w:rsid w:val="002B78CA"/>
    <w:rsid w:val="002B7904"/>
    <w:rsid w:val="002B797E"/>
    <w:rsid w:val="002B79B9"/>
    <w:rsid w:val="002B7B26"/>
    <w:rsid w:val="002B7C23"/>
    <w:rsid w:val="002B7DA1"/>
    <w:rsid w:val="002B7DC4"/>
    <w:rsid w:val="002B7E31"/>
    <w:rsid w:val="002B7E5F"/>
    <w:rsid w:val="002B7E69"/>
    <w:rsid w:val="002B7E82"/>
    <w:rsid w:val="002B7F2D"/>
    <w:rsid w:val="002B7F5A"/>
    <w:rsid w:val="002B7F84"/>
    <w:rsid w:val="002B7FCA"/>
    <w:rsid w:val="002C0136"/>
    <w:rsid w:val="002C019A"/>
    <w:rsid w:val="002C03DF"/>
    <w:rsid w:val="002C043D"/>
    <w:rsid w:val="002C0508"/>
    <w:rsid w:val="002C05B4"/>
    <w:rsid w:val="002C05B8"/>
    <w:rsid w:val="002C0630"/>
    <w:rsid w:val="002C064B"/>
    <w:rsid w:val="002C0688"/>
    <w:rsid w:val="002C0781"/>
    <w:rsid w:val="002C07E8"/>
    <w:rsid w:val="002C0837"/>
    <w:rsid w:val="002C08F5"/>
    <w:rsid w:val="002C0B44"/>
    <w:rsid w:val="002C0BAF"/>
    <w:rsid w:val="002C0C46"/>
    <w:rsid w:val="002C0CA5"/>
    <w:rsid w:val="002C0FCD"/>
    <w:rsid w:val="002C0FE0"/>
    <w:rsid w:val="002C1064"/>
    <w:rsid w:val="002C106A"/>
    <w:rsid w:val="002C10FD"/>
    <w:rsid w:val="002C114A"/>
    <w:rsid w:val="002C12B8"/>
    <w:rsid w:val="002C12DA"/>
    <w:rsid w:val="002C133A"/>
    <w:rsid w:val="002C1377"/>
    <w:rsid w:val="002C1382"/>
    <w:rsid w:val="002C13CC"/>
    <w:rsid w:val="002C14A0"/>
    <w:rsid w:val="002C14A6"/>
    <w:rsid w:val="002C1583"/>
    <w:rsid w:val="002C15E7"/>
    <w:rsid w:val="002C164E"/>
    <w:rsid w:val="002C1864"/>
    <w:rsid w:val="002C18C1"/>
    <w:rsid w:val="002C1911"/>
    <w:rsid w:val="002C1933"/>
    <w:rsid w:val="002C1B7B"/>
    <w:rsid w:val="002C1BCF"/>
    <w:rsid w:val="002C1C12"/>
    <w:rsid w:val="002C1D80"/>
    <w:rsid w:val="002C1DA6"/>
    <w:rsid w:val="002C1E7A"/>
    <w:rsid w:val="002C1FAC"/>
    <w:rsid w:val="002C20E2"/>
    <w:rsid w:val="002C2102"/>
    <w:rsid w:val="002C2291"/>
    <w:rsid w:val="002C239F"/>
    <w:rsid w:val="002C2404"/>
    <w:rsid w:val="002C2447"/>
    <w:rsid w:val="002C24FD"/>
    <w:rsid w:val="002C257A"/>
    <w:rsid w:val="002C25AA"/>
    <w:rsid w:val="002C2951"/>
    <w:rsid w:val="002C29F8"/>
    <w:rsid w:val="002C2A8A"/>
    <w:rsid w:val="002C2C36"/>
    <w:rsid w:val="002C2D25"/>
    <w:rsid w:val="002C2E53"/>
    <w:rsid w:val="002C3036"/>
    <w:rsid w:val="002C3080"/>
    <w:rsid w:val="002C30FF"/>
    <w:rsid w:val="002C3195"/>
    <w:rsid w:val="002C3238"/>
    <w:rsid w:val="002C3321"/>
    <w:rsid w:val="002C3347"/>
    <w:rsid w:val="002C3397"/>
    <w:rsid w:val="002C3509"/>
    <w:rsid w:val="002C350B"/>
    <w:rsid w:val="002C3523"/>
    <w:rsid w:val="002C352C"/>
    <w:rsid w:val="002C3626"/>
    <w:rsid w:val="002C36F8"/>
    <w:rsid w:val="002C3743"/>
    <w:rsid w:val="002C3791"/>
    <w:rsid w:val="002C37BD"/>
    <w:rsid w:val="002C386B"/>
    <w:rsid w:val="002C38A1"/>
    <w:rsid w:val="002C3992"/>
    <w:rsid w:val="002C39F9"/>
    <w:rsid w:val="002C3AD2"/>
    <w:rsid w:val="002C3B19"/>
    <w:rsid w:val="002C3B29"/>
    <w:rsid w:val="002C3D86"/>
    <w:rsid w:val="002C3E10"/>
    <w:rsid w:val="002C3E12"/>
    <w:rsid w:val="002C3EB0"/>
    <w:rsid w:val="002C3F5A"/>
    <w:rsid w:val="002C3FBA"/>
    <w:rsid w:val="002C408E"/>
    <w:rsid w:val="002C4101"/>
    <w:rsid w:val="002C417D"/>
    <w:rsid w:val="002C419B"/>
    <w:rsid w:val="002C41A8"/>
    <w:rsid w:val="002C41F6"/>
    <w:rsid w:val="002C42DC"/>
    <w:rsid w:val="002C4338"/>
    <w:rsid w:val="002C433F"/>
    <w:rsid w:val="002C43EE"/>
    <w:rsid w:val="002C43F0"/>
    <w:rsid w:val="002C4486"/>
    <w:rsid w:val="002C452B"/>
    <w:rsid w:val="002C4549"/>
    <w:rsid w:val="002C4671"/>
    <w:rsid w:val="002C477F"/>
    <w:rsid w:val="002C48F3"/>
    <w:rsid w:val="002C4945"/>
    <w:rsid w:val="002C499A"/>
    <w:rsid w:val="002C4A02"/>
    <w:rsid w:val="002C4AC3"/>
    <w:rsid w:val="002C4B0D"/>
    <w:rsid w:val="002C4B80"/>
    <w:rsid w:val="002C4BC6"/>
    <w:rsid w:val="002C4BD7"/>
    <w:rsid w:val="002C4DAD"/>
    <w:rsid w:val="002C4E63"/>
    <w:rsid w:val="002C4E73"/>
    <w:rsid w:val="002C4E75"/>
    <w:rsid w:val="002C4F12"/>
    <w:rsid w:val="002C4F39"/>
    <w:rsid w:val="002C4F9A"/>
    <w:rsid w:val="002C5007"/>
    <w:rsid w:val="002C5017"/>
    <w:rsid w:val="002C5049"/>
    <w:rsid w:val="002C508C"/>
    <w:rsid w:val="002C515E"/>
    <w:rsid w:val="002C51B6"/>
    <w:rsid w:val="002C51C4"/>
    <w:rsid w:val="002C52B6"/>
    <w:rsid w:val="002C5424"/>
    <w:rsid w:val="002C543E"/>
    <w:rsid w:val="002C549F"/>
    <w:rsid w:val="002C54AA"/>
    <w:rsid w:val="002C5501"/>
    <w:rsid w:val="002C5609"/>
    <w:rsid w:val="002C56ED"/>
    <w:rsid w:val="002C57CC"/>
    <w:rsid w:val="002C5806"/>
    <w:rsid w:val="002C586A"/>
    <w:rsid w:val="002C5991"/>
    <w:rsid w:val="002C5A02"/>
    <w:rsid w:val="002C5A05"/>
    <w:rsid w:val="002C5A10"/>
    <w:rsid w:val="002C5A35"/>
    <w:rsid w:val="002C5A9E"/>
    <w:rsid w:val="002C5AA2"/>
    <w:rsid w:val="002C5B27"/>
    <w:rsid w:val="002C5B34"/>
    <w:rsid w:val="002C5B5A"/>
    <w:rsid w:val="002C5CD5"/>
    <w:rsid w:val="002C5E01"/>
    <w:rsid w:val="002C5EB4"/>
    <w:rsid w:val="002C5F71"/>
    <w:rsid w:val="002C5FD8"/>
    <w:rsid w:val="002C6143"/>
    <w:rsid w:val="002C61AC"/>
    <w:rsid w:val="002C620D"/>
    <w:rsid w:val="002C6391"/>
    <w:rsid w:val="002C63F6"/>
    <w:rsid w:val="002C6440"/>
    <w:rsid w:val="002C64BD"/>
    <w:rsid w:val="002C661F"/>
    <w:rsid w:val="002C6662"/>
    <w:rsid w:val="002C674E"/>
    <w:rsid w:val="002C686C"/>
    <w:rsid w:val="002C69C9"/>
    <w:rsid w:val="002C6AAD"/>
    <w:rsid w:val="002C6ADD"/>
    <w:rsid w:val="002C6B27"/>
    <w:rsid w:val="002C6B4C"/>
    <w:rsid w:val="002C6C03"/>
    <w:rsid w:val="002C6C5A"/>
    <w:rsid w:val="002C6CF0"/>
    <w:rsid w:val="002C6D81"/>
    <w:rsid w:val="002C6E0E"/>
    <w:rsid w:val="002C6E77"/>
    <w:rsid w:val="002C7132"/>
    <w:rsid w:val="002C71F3"/>
    <w:rsid w:val="002C722D"/>
    <w:rsid w:val="002C724F"/>
    <w:rsid w:val="002C7303"/>
    <w:rsid w:val="002C7306"/>
    <w:rsid w:val="002C75FE"/>
    <w:rsid w:val="002C7690"/>
    <w:rsid w:val="002C76E2"/>
    <w:rsid w:val="002C777E"/>
    <w:rsid w:val="002C77F7"/>
    <w:rsid w:val="002C783F"/>
    <w:rsid w:val="002C788B"/>
    <w:rsid w:val="002C7962"/>
    <w:rsid w:val="002C7964"/>
    <w:rsid w:val="002C79C1"/>
    <w:rsid w:val="002C7A53"/>
    <w:rsid w:val="002C7AA7"/>
    <w:rsid w:val="002C7B2E"/>
    <w:rsid w:val="002C7BCA"/>
    <w:rsid w:val="002C7C07"/>
    <w:rsid w:val="002C7D7D"/>
    <w:rsid w:val="002C7D81"/>
    <w:rsid w:val="002C7D98"/>
    <w:rsid w:val="002C7EEA"/>
    <w:rsid w:val="002C7FA8"/>
    <w:rsid w:val="002D0042"/>
    <w:rsid w:val="002D005E"/>
    <w:rsid w:val="002D0062"/>
    <w:rsid w:val="002D0375"/>
    <w:rsid w:val="002D0451"/>
    <w:rsid w:val="002D0492"/>
    <w:rsid w:val="002D04D3"/>
    <w:rsid w:val="002D04D7"/>
    <w:rsid w:val="002D0561"/>
    <w:rsid w:val="002D0577"/>
    <w:rsid w:val="002D065C"/>
    <w:rsid w:val="002D0661"/>
    <w:rsid w:val="002D07BB"/>
    <w:rsid w:val="002D07C7"/>
    <w:rsid w:val="002D07ED"/>
    <w:rsid w:val="002D0A1F"/>
    <w:rsid w:val="002D0A24"/>
    <w:rsid w:val="002D0AD3"/>
    <w:rsid w:val="002D0B72"/>
    <w:rsid w:val="002D0BB8"/>
    <w:rsid w:val="002D0C6A"/>
    <w:rsid w:val="002D0D8A"/>
    <w:rsid w:val="002D0E03"/>
    <w:rsid w:val="002D0F00"/>
    <w:rsid w:val="002D1013"/>
    <w:rsid w:val="002D102E"/>
    <w:rsid w:val="002D1092"/>
    <w:rsid w:val="002D1132"/>
    <w:rsid w:val="002D115F"/>
    <w:rsid w:val="002D1181"/>
    <w:rsid w:val="002D11EF"/>
    <w:rsid w:val="002D12F4"/>
    <w:rsid w:val="002D1346"/>
    <w:rsid w:val="002D13F9"/>
    <w:rsid w:val="002D1436"/>
    <w:rsid w:val="002D1449"/>
    <w:rsid w:val="002D154C"/>
    <w:rsid w:val="002D157E"/>
    <w:rsid w:val="002D158B"/>
    <w:rsid w:val="002D15EB"/>
    <w:rsid w:val="002D165A"/>
    <w:rsid w:val="002D1662"/>
    <w:rsid w:val="002D17FC"/>
    <w:rsid w:val="002D19EB"/>
    <w:rsid w:val="002D1A1C"/>
    <w:rsid w:val="002D1B97"/>
    <w:rsid w:val="002D1C32"/>
    <w:rsid w:val="002D1DA5"/>
    <w:rsid w:val="002D1DE2"/>
    <w:rsid w:val="002D1DF2"/>
    <w:rsid w:val="002D1DF9"/>
    <w:rsid w:val="002D1FE0"/>
    <w:rsid w:val="002D212E"/>
    <w:rsid w:val="002D22E9"/>
    <w:rsid w:val="002D2305"/>
    <w:rsid w:val="002D2449"/>
    <w:rsid w:val="002D24D2"/>
    <w:rsid w:val="002D24E2"/>
    <w:rsid w:val="002D2561"/>
    <w:rsid w:val="002D25C3"/>
    <w:rsid w:val="002D2742"/>
    <w:rsid w:val="002D28FC"/>
    <w:rsid w:val="002D298F"/>
    <w:rsid w:val="002D2A13"/>
    <w:rsid w:val="002D2A7C"/>
    <w:rsid w:val="002D2AA8"/>
    <w:rsid w:val="002D2AAE"/>
    <w:rsid w:val="002D2B01"/>
    <w:rsid w:val="002D2B06"/>
    <w:rsid w:val="002D2B0F"/>
    <w:rsid w:val="002D2BAC"/>
    <w:rsid w:val="002D2C01"/>
    <w:rsid w:val="002D2CCA"/>
    <w:rsid w:val="002D2E0C"/>
    <w:rsid w:val="002D2FD4"/>
    <w:rsid w:val="002D2FF1"/>
    <w:rsid w:val="002D3005"/>
    <w:rsid w:val="002D30E2"/>
    <w:rsid w:val="002D3125"/>
    <w:rsid w:val="002D3136"/>
    <w:rsid w:val="002D317C"/>
    <w:rsid w:val="002D3187"/>
    <w:rsid w:val="002D328F"/>
    <w:rsid w:val="002D32CF"/>
    <w:rsid w:val="002D3379"/>
    <w:rsid w:val="002D338C"/>
    <w:rsid w:val="002D343A"/>
    <w:rsid w:val="002D3444"/>
    <w:rsid w:val="002D35A6"/>
    <w:rsid w:val="002D368C"/>
    <w:rsid w:val="002D369B"/>
    <w:rsid w:val="002D36CC"/>
    <w:rsid w:val="002D36E2"/>
    <w:rsid w:val="002D3759"/>
    <w:rsid w:val="002D37A0"/>
    <w:rsid w:val="002D388B"/>
    <w:rsid w:val="002D389A"/>
    <w:rsid w:val="002D38F4"/>
    <w:rsid w:val="002D3A71"/>
    <w:rsid w:val="002D3BB3"/>
    <w:rsid w:val="002D3BC7"/>
    <w:rsid w:val="002D3C03"/>
    <w:rsid w:val="002D3DE8"/>
    <w:rsid w:val="002D3E57"/>
    <w:rsid w:val="002D3E82"/>
    <w:rsid w:val="002D3E8F"/>
    <w:rsid w:val="002D3EC6"/>
    <w:rsid w:val="002D3F0B"/>
    <w:rsid w:val="002D3F49"/>
    <w:rsid w:val="002D4019"/>
    <w:rsid w:val="002D4074"/>
    <w:rsid w:val="002D4147"/>
    <w:rsid w:val="002D41A0"/>
    <w:rsid w:val="002D42FE"/>
    <w:rsid w:val="002D43CB"/>
    <w:rsid w:val="002D43F6"/>
    <w:rsid w:val="002D4407"/>
    <w:rsid w:val="002D4417"/>
    <w:rsid w:val="002D4506"/>
    <w:rsid w:val="002D4521"/>
    <w:rsid w:val="002D4573"/>
    <w:rsid w:val="002D468E"/>
    <w:rsid w:val="002D4692"/>
    <w:rsid w:val="002D46DF"/>
    <w:rsid w:val="002D470E"/>
    <w:rsid w:val="002D486F"/>
    <w:rsid w:val="002D48A9"/>
    <w:rsid w:val="002D48D0"/>
    <w:rsid w:val="002D48DA"/>
    <w:rsid w:val="002D48E3"/>
    <w:rsid w:val="002D4985"/>
    <w:rsid w:val="002D4A30"/>
    <w:rsid w:val="002D4A47"/>
    <w:rsid w:val="002D4A80"/>
    <w:rsid w:val="002D4B00"/>
    <w:rsid w:val="002D4B87"/>
    <w:rsid w:val="002D4BBC"/>
    <w:rsid w:val="002D4C64"/>
    <w:rsid w:val="002D4EC6"/>
    <w:rsid w:val="002D4EC9"/>
    <w:rsid w:val="002D4F38"/>
    <w:rsid w:val="002D4F71"/>
    <w:rsid w:val="002D4FAD"/>
    <w:rsid w:val="002D4FBC"/>
    <w:rsid w:val="002D5076"/>
    <w:rsid w:val="002D50B2"/>
    <w:rsid w:val="002D50E4"/>
    <w:rsid w:val="002D5160"/>
    <w:rsid w:val="002D51E9"/>
    <w:rsid w:val="002D523D"/>
    <w:rsid w:val="002D5375"/>
    <w:rsid w:val="002D548B"/>
    <w:rsid w:val="002D55B5"/>
    <w:rsid w:val="002D566A"/>
    <w:rsid w:val="002D57B2"/>
    <w:rsid w:val="002D587A"/>
    <w:rsid w:val="002D58F3"/>
    <w:rsid w:val="002D5AE8"/>
    <w:rsid w:val="002D5AF5"/>
    <w:rsid w:val="002D5B10"/>
    <w:rsid w:val="002D5B1D"/>
    <w:rsid w:val="002D5BFF"/>
    <w:rsid w:val="002D5C41"/>
    <w:rsid w:val="002D5C43"/>
    <w:rsid w:val="002D5D9D"/>
    <w:rsid w:val="002D5DE7"/>
    <w:rsid w:val="002D5E7C"/>
    <w:rsid w:val="002D5E8B"/>
    <w:rsid w:val="002D5EE1"/>
    <w:rsid w:val="002D5F3A"/>
    <w:rsid w:val="002D5F56"/>
    <w:rsid w:val="002D5F83"/>
    <w:rsid w:val="002D5FD4"/>
    <w:rsid w:val="002D5FDC"/>
    <w:rsid w:val="002D609A"/>
    <w:rsid w:val="002D60B9"/>
    <w:rsid w:val="002D61F7"/>
    <w:rsid w:val="002D6325"/>
    <w:rsid w:val="002D63E0"/>
    <w:rsid w:val="002D6431"/>
    <w:rsid w:val="002D6461"/>
    <w:rsid w:val="002D6469"/>
    <w:rsid w:val="002D6659"/>
    <w:rsid w:val="002D6755"/>
    <w:rsid w:val="002D67CD"/>
    <w:rsid w:val="002D6802"/>
    <w:rsid w:val="002D6864"/>
    <w:rsid w:val="002D68DB"/>
    <w:rsid w:val="002D68F3"/>
    <w:rsid w:val="002D6AFB"/>
    <w:rsid w:val="002D6BC5"/>
    <w:rsid w:val="002D6C77"/>
    <w:rsid w:val="002D6DA9"/>
    <w:rsid w:val="002D6DED"/>
    <w:rsid w:val="002D6DF9"/>
    <w:rsid w:val="002D6F4C"/>
    <w:rsid w:val="002D6FFD"/>
    <w:rsid w:val="002D701F"/>
    <w:rsid w:val="002D706E"/>
    <w:rsid w:val="002D70CE"/>
    <w:rsid w:val="002D7137"/>
    <w:rsid w:val="002D718A"/>
    <w:rsid w:val="002D7194"/>
    <w:rsid w:val="002D7248"/>
    <w:rsid w:val="002D72F1"/>
    <w:rsid w:val="002D7562"/>
    <w:rsid w:val="002D7607"/>
    <w:rsid w:val="002D7703"/>
    <w:rsid w:val="002D779C"/>
    <w:rsid w:val="002D79A8"/>
    <w:rsid w:val="002D79C7"/>
    <w:rsid w:val="002D7B84"/>
    <w:rsid w:val="002D7BC8"/>
    <w:rsid w:val="002D7BCE"/>
    <w:rsid w:val="002D7BE8"/>
    <w:rsid w:val="002D7C1E"/>
    <w:rsid w:val="002D7C2B"/>
    <w:rsid w:val="002D7CA0"/>
    <w:rsid w:val="002D7CBA"/>
    <w:rsid w:val="002D7D32"/>
    <w:rsid w:val="002D7DCB"/>
    <w:rsid w:val="002D7F87"/>
    <w:rsid w:val="002D7FC3"/>
    <w:rsid w:val="002D7FC7"/>
    <w:rsid w:val="002D7FED"/>
    <w:rsid w:val="002D7FFD"/>
    <w:rsid w:val="002E005C"/>
    <w:rsid w:val="002E00C6"/>
    <w:rsid w:val="002E00F1"/>
    <w:rsid w:val="002E010E"/>
    <w:rsid w:val="002E013D"/>
    <w:rsid w:val="002E0196"/>
    <w:rsid w:val="002E0267"/>
    <w:rsid w:val="002E02F1"/>
    <w:rsid w:val="002E03DB"/>
    <w:rsid w:val="002E0410"/>
    <w:rsid w:val="002E04EC"/>
    <w:rsid w:val="002E05E8"/>
    <w:rsid w:val="002E060F"/>
    <w:rsid w:val="002E06AF"/>
    <w:rsid w:val="002E0776"/>
    <w:rsid w:val="002E094B"/>
    <w:rsid w:val="002E096E"/>
    <w:rsid w:val="002E0A84"/>
    <w:rsid w:val="002E0B93"/>
    <w:rsid w:val="002E0BF8"/>
    <w:rsid w:val="002E0DA0"/>
    <w:rsid w:val="002E0DFD"/>
    <w:rsid w:val="002E0E71"/>
    <w:rsid w:val="002E0EC6"/>
    <w:rsid w:val="002E1106"/>
    <w:rsid w:val="002E11E8"/>
    <w:rsid w:val="002E1273"/>
    <w:rsid w:val="002E1298"/>
    <w:rsid w:val="002E1323"/>
    <w:rsid w:val="002E1327"/>
    <w:rsid w:val="002E143D"/>
    <w:rsid w:val="002E144D"/>
    <w:rsid w:val="002E14B9"/>
    <w:rsid w:val="002E1518"/>
    <w:rsid w:val="002E1589"/>
    <w:rsid w:val="002E15E1"/>
    <w:rsid w:val="002E16A9"/>
    <w:rsid w:val="002E16B5"/>
    <w:rsid w:val="002E173B"/>
    <w:rsid w:val="002E174A"/>
    <w:rsid w:val="002E17AB"/>
    <w:rsid w:val="002E1910"/>
    <w:rsid w:val="002E19CD"/>
    <w:rsid w:val="002E1A73"/>
    <w:rsid w:val="002E1B10"/>
    <w:rsid w:val="002E1B1A"/>
    <w:rsid w:val="002E1C0D"/>
    <w:rsid w:val="002E1CD7"/>
    <w:rsid w:val="002E1D1A"/>
    <w:rsid w:val="002E1D64"/>
    <w:rsid w:val="002E1D9F"/>
    <w:rsid w:val="002E2063"/>
    <w:rsid w:val="002E2260"/>
    <w:rsid w:val="002E2286"/>
    <w:rsid w:val="002E2445"/>
    <w:rsid w:val="002E247A"/>
    <w:rsid w:val="002E2486"/>
    <w:rsid w:val="002E25A6"/>
    <w:rsid w:val="002E26C2"/>
    <w:rsid w:val="002E2786"/>
    <w:rsid w:val="002E27CB"/>
    <w:rsid w:val="002E286B"/>
    <w:rsid w:val="002E2887"/>
    <w:rsid w:val="002E2891"/>
    <w:rsid w:val="002E289B"/>
    <w:rsid w:val="002E28AE"/>
    <w:rsid w:val="002E2A02"/>
    <w:rsid w:val="002E2A77"/>
    <w:rsid w:val="002E2B20"/>
    <w:rsid w:val="002E2B47"/>
    <w:rsid w:val="002E2C8E"/>
    <w:rsid w:val="002E2D99"/>
    <w:rsid w:val="002E3144"/>
    <w:rsid w:val="002E32B4"/>
    <w:rsid w:val="002E3318"/>
    <w:rsid w:val="002E332F"/>
    <w:rsid w:val="002E335A"/>
    <w:rsid w:val="002E33A6"/>
    <w:rsid w:val="002E34D9"/>
    <w:rsid w:val="002E354A"/>
    <w:rsid w:val="002E36E6"/>
    <w:rsid w:val="002E3843"/>
    <w:rsid w:val="002E3A50"/>
    <w:rsid w:val="002E3AD1"/>
    <w:rsid w:val="002E3C79"/>
    <w:rsid w:val="002E3D64"/>
    <w:rsid w:val="002E3DDE"/>
    <w:rsid w:val="002E3E10"/>
    <w:rsid w:val="002E3E69"/>
    <w:rsid w:val="002E3F64"/>
    <w:rsid w:val="002E3F7F"/>
    <w:rsid w:val="002E3F88"/>
    <w:rsid w:val="002E400F"/>
    <w:rsid w:val="002E4151"/>
    <w:rsid w:val="002E4431"/>
    <w:rsid w:val="002E44F0"/>
    <w:rsid w:val="002E4773"/>
    <w:rsid w:val="002E47A2"/>
    <w:rsid w:val="002E47D3"/>
    <w:rsid w:val="002E48E2"/>
    <w:rsid w:val="002E49FC"/>
    <w:rsid w:val="002E4A2C"/>
    <w:rsid w:val="002E4AF4"/>
    <w:rsid w:val="002E4B99"/>
    <w:rsid w:val="002E4CBE"/>
    <w:rsid w:val="002E4DE3"/>
    <w:rsid w:val="002E4DF7"/>
    <w:rsid w:val="002E4E72"/>
    <w:rsid w:val="002E4EBD"/>
    <w:rsid w:val="002E4EE8"/>
    <w:rsid w:val="002E4F0D"/>
    <w:rsid w:val="002E5053"/>
    <w:rsid w:val="002E512F"/>
    <w:rsid w:val="002E523F"/>
    <w:rsid w:val="002E5292"/>
    <w:rsid w:val="002E5376"/>
    <w:rsid w:val="002E545D"/>
    <w:rsid w:val="002E5563"/>
    <w:rsid w:val="002E55D0"/>
    <w:rsid w:val="002E5624"/>
    <w:rsid w:val="002E59B5"/>
    <w:rsid w:val="002E5A73"/>
    <w:rsid w:val="002E5B2F"/>
    <w:rsid w:val="002E5B36"/>
    <w:rsid w:val="002E5B6A"/>
    <w:rsid w:val="002E5B99"/>
    <w:rsid w:val="002E5CAD"/>
    <w:rsid w:val="002E5CF2"/>
    <w:rsid w:val="002E5D1E"/>
    <w:rsid w:val="002E5D89"/>
    <w:rsid w:val="002E5DC9"/>
    <w:rsid w:val="002E5EE8"/>
    <w:rsid w:val="002E6039"/>
    <w:rsid w:val="002E609A"/>
    <w:rsid w:val="002E610E"/>
    <w:rsid w:val="002E6140"/>
    <w:rsid w:val="002E61BE"/>
    <w:rsid w:val="002E61FF"/>
    <w:rsid w:val="002E6206"/>
    <w:rsid w:val="002E6250"/>
    <w:rsid w:val="002E636C"/>
    <w:rsid w:val="002E63E9"/>
    <w:rsid w:val="002E6462"/>
    <w:rsid w:val="002E6491"/>
    <w:rsid w:val="002E662D"/>
    <w:rsid w:val="002E6908"/>
    <w:rsid w:val="002E699D"/>
    <w:rsid w:val="002E69FC"/>
    <w:rsid w:val="002E6A60"/>
    <w:rsid w:val="002E6A94"/>
    <w:rsid w:val="002E6AE7"/>
    <w:rsid w:val="002E6BDC"/>
    <w:rsid w:val="002E6BF3"/>
    <w:rsid w:val="002E6C0D"/>
    <w:rsid w:val="002E6C16"/>
    <w:rsid w:val="002E6C37"/>
    <w:rsid w:val="002E6C7B"/>
    <w:rsid w:val="002E6D11"/>
    <w:rsid w:val="002E6D71"/>
    <w:rsid w:val="002E6DB4"/>
    <w:rsid w:val="002E6DB9"/>
    <w:rsid w:val="002E6E2C"/>
    <w:rsid w:val="002E6EFD"/>
    <w:rsid w:val="002E6F33"/>
    <w:rsid w:val="002E6F42"/>
    <w:rsid w:val="002E716E"/>
    <w:rsid w:val="002E71AD"/>
    <w:rsid w:val="002E7200"/>
    <w:rsid w:val="002E7439"/>
    <w:rsid w:val="002E7475"/>
    <w:rsid w:val="002E75CE"/>
    <w:rsid w:val="002E76D0"/>
    <w:rsid w:val="002E77BF"/>
    <w:rsid w:val="002E7853"/>
    <w:rsid w:val="002E78C6"/>
    <w:rsid w:val="002E78DF"/>
    <w:rsid w:val="002E79B4"/>
    <w:rsid w:val="002E79D0"/>
    <w:rsid w:val="002E7A69"/>
    <w:rsid w:val="002E7A9D"/>
    <w:rsid w:val="002E7AAF"/>
    <w:rsid w:val="002E7AD2"/>
    <w:rsid w:val="002E7B1A"/>
    <w:rsid w:val="002E7B49"/>
    <w:rsid w:val="002E7C58"/>
    <w:rsid w:val="002E7C8C"/>
    <w:rsid w:val="002E7D04"/>
    <w:rsid w:val="002E7D30"/>
    <w:rsid w:val="002E7DE9"/>
    <w:rsid w:val="002E7EA4"/>
    <w:rsid w:val="002E7EC2"/>
    <w:rsid w:val="002E7F6C"/>
    <w:rsid w:val="002F007F"/>
    <w:rsid w:val="002F0111"/>
    <w:rsid w:val="002F0148"/>
    <w:rsid w:val="002F0194"/>
    <w:rsid w:val="002F0206"/>
    <w:rsid w:val="002F035D"/>
    <w:rsid w:val="002F0372"/>
    <w:rsid w:val="002F0379"/>
    <w:rsid w:val="002F0403"/>
    <w:rsid w:val="002F041C"/>
    <w:rsid w:val="002F044E"/>
    <w:rsid w:val="002F050B"/>
    <w:rsid w:val="002F0516"/>
    <w:rsid w:val="002F05C0"/>
    <w:rsid w:val="002F05E9"/>
    <w:rsid w:val="002F05F7"/>
    <w:rsid w:val="002F06AE"/>
    <w:rsid w:val="002F06CA"/>
    <w:rsid w:val="002F06D8"/>
    <w:rsid w:val="002F0771"/>
    <w:rsid w:val="002F07D0"/>
    <w:rsid w:val="002F084C"/>
    <w:rsid w:val="002F088E"/>
    <w:rsid w:val="002F0898"/>
    <w:rsid w:val="002F0921"/>
    <w:rsid w:val="002F097D"/>
    <w:rsid w:val="002F0997"/>
    <w:rsid w:val="002F09F8"/>
    <w:rsid w:val="002F0A5A"/>
    <w:rsid w:val="002F0AC2"/>
    <w:rsid w:val="002F0B52"/>
    <w:rsid w:val="002F0BF8"/>
    <w:rsid w:val="002F0D1A"/>
    <w:rsid w:val="002F0D4E"/>
    <w:rsid w:val="002F0DE5"/>
    <w:rsid w:val="002F0E2E"/>
    <w:rsid w:val="002F0E3A"/>
    <w:rsid w:val="002F0E7C"/>
    <w:rsid w:val="002F0F58"/>
    <w:rsid w:val="002F0FA7"/>
    <w:rsid w:val="002F0FC3"/>
    <w:rsid w:val="002F100E"/>
    <w:rsid w:val="002F104C"/>
    <w:rsid w:val="002F10A9"/>
    <w:rsid w:val="002F1247"/>
    <w:rsid w:val="002F1279"/>
    <w:rsid w:val="002F1280"/>
    <w:rsid w:val="002F12FA"/>
    <w:rsid w:val="002F1535"/>
    <w:rsid w:val="002F162D"/>
    <w:rsid w:val="002F16EE"/>
    <w:rsid w:val="002F1709"/>
    <w:rsid w:val="002F1999"/>
    <w:rsid w:val="002F1A30"/>
    <w:rsid w:val="002F1A91"/>
    <w:rsid w:val="002F1CE7"/>
    <w:rsid w:val="002F1D81"/>
    <w:rsid w:val="002F1DB6"/>
    <w:rsid w:val="002F1EB1"/>
    <w:rsid w:val="002F1ED7"/>
    <w:rsid w:val="002F1F36"/>
    <w:rsid w:val="002F1F8F"/>
    <w:rsid w:val="002F1F9D"/>
    <w:rsid w:val="002F215A"/>
    <w:rsid w:val="002F21CD"/>
    <w:rsid w:val="002F2245"/>
    <w:rsid w:val="002F2258"/>
    <w:rsid w:val="002F23F2"/>
    <w:rsid w:val="002F2474"/>
    <w:rsid w:val="002F2505"/>
    <w:rsid w:val="002F250D"/>
    <w:rsid w:val="002F2557"/>
    <w:rsid w:val="002F2592"/>
    <w:rsid w:val="002F25F4"/>
    <w:rsid w:val="002F261A"/>
    <w:rsid w:val="002F2648"/>
    <w:rsid w:val="002F269D"/>
    <w:rsid w:val="002F270B"/>
    <w:rsid w:val="002F280D"/>
    <w:rsid w:val="002F286E"/>
    <w:rsid w:val="002F28B5"/>
    <w:rsid w:val="002F28FC"/>
    <w:rsid w:val="002F29ED"/>
    <w:rsid w:val="002F2B98"/>
    <w:rsid w:val="002F2B9D"/>
    <w:rsid w:val="002F2C9B"/>
    <w:rsid w:val="002F2D51"/>
    <w:rsid w:val="002F2DF1"/>
    <w:rsid w:val="002F2E1A"/>
    <w:rsid w:val="002F2E8F"/>
    <w:rsid w:val="002F2E9D"/>
    <w:rsid w:val="002F2ECC"/>
    <w:rsid w:val="002F2EE4"/>
    <w:rsid w:val="002F2F02"/>
    <w:rsid w:val="002F2F2C"/>
    <w:rsid w:val="002F2F76"/>
    <w:rsid w:val="002F3062"/>
    <w:rsid w:val="002F30E5"/>
    <w:rsid w:val="002F30EB"/>
    <w:rsid w:val="002F3116"/>
    <w:rsid w:val="002F3198"/>
    <w:rsid w:val="002F31D2"/>
    <w:rsid w:val="002F3209"/>
    <w:rsid w:val="002F3248"/>
    <w:rsid w:val="002F330C"/>
    <w:rsid w:val="002F3357"/>
    <w:rsid w:val="002F335C"/>
    <w:rsid w:val="002F35BC"/>
    <w:rsid w:val="002F3882"/>
    <w:rsid w:val="002F39CE"/>
    <w:rsid w:val="002F3A5D"/>
    <w:rsid w:val="002F3B19"/>
    <w:rsid w:val="002F3C58"/>
    <w:rsid w:val="002F3D35"/>
    <w:rsid w:val="002F3D42"/>
    <w:rsid w:val="002F3D4B"/>
    <w:rsid w:val="002F3E05"/>
    <w:rsid w:val="002F3EA1"/>
    <w:rsid w:val="002F3F97"/>
    <w:rsid w:val="002F3FA5"/>
    <w:rsid w:val="002F3FD4"/>
    <w:rsid w:val="002F4034"/>
    <w:rsid w:val="002F40F8"/>
    <w:rsid w:val="002F4192"/>
    <w:rsid w:val="002F419C"/>
    <w:rsid w:val="002F41D2"/>
    <w:rsid w:val="002F4240"/>
    <w:rsid w:val="002F4363"/>
    <w:rsid w:val="002F4399"/>
    <w:rsid w:val="002F43CE"/>
    <w:rsid w:val="002F4471"/>
    <w:rsid w:val="002F4545"/>
    <w:rsid w:val="002F4661"/>
    <w:rsid w:val="002F46F7"/>
    <w:rsid w:val="002F47C9"/>
    <w:rsid w:val="002F481C"/>
    <w:rsid w:val="002F4878"/>
    <w:rsid w:val="002F4A16"/>
    <w:rsid w:val="002F4AB9"/>
    <w:rsid w:val="002F4ADD"/>
    <w:rsid w:val="002F4B3A"/>
    <w:rsid w:val="002F4D0B"/>
    <w:rsid w:val="002F4D1D"/>
    <w:rsid w:val="002F4D4A"/>
    <w:rsid w:val="002F4DC4"/>
    <w:rsid w:val="002F4E08"/>
    <w:rsid w:val="002F4ED0"/>
    <w:rsid w:val="002F5015"/>
    <w:rsid w:val="002F5079"/>
    <w:rsid w:val="002F50F5"/>
    <w:rsid w:val="002F5228"/>
    <w:rsid w:val="002F53B6"/>
    <w:rsid w:val="002F53CC"/>
    <w:rsid w:val="002F5434"/>
    <w:rsid w:val="002F54A2"/>
    <w:rsid w:val="002F54AB"/>
    <w:rsid w:val="002F5635"/>
    <w:rsid w:val="002F567F"/>
    <w:rsid w:val="002F5768"/>
    <w:rsid w:val="002F578B"/>
    <w:rsid w:val="002F57C5"/>
    <w:rsid w:val="002F582E"/>
    <w:rsid w:val="002F58F9"/>
    <w:rsid w:val="002F594C"/>
    <w:rsid w:val="002F59A4"/>
    <w:rsid w:val="002F5BB3"/>
    <w:rsid w:val="002F5CE5"/>
    <w:rsid w:val="002F5D68"/>
    <w:rsid w:val="002F5DC8"/>
    <w:rsid w:val="002F5DEA"/>
    <w:rsid w:val="002F5E1A"/>
    <w:rsid w:val="002F5EA0"/>
    <w:rsid w:val="002F5F16"/>
    <w:rsid w:val="002F5FF7"/>
    <w:rsid w:val="002F60A3"/>
    <w:rsid w:val="002F60D6"/>
    <w:rsid w:val="002F616D"/>
    <w:rsid w:val="002F624E"/>
    <w:rsid w:val="002F62FB"/>
    <w:rsid w:val="002F65B9"/>
    <w:rsid w:val="002F661D"/>
    <w:rsid w:val="002F6658"/>
    <w:rsid w:val="002F67DC"/>
    <w:rsid w:val="002F6800"/>
    <w:rsid w:val="002F683E"/>
    <w:rsid w:val="002F6877"/>
    <w:rsid w:val="002F691F"/>
    <w:rsid w:val="002F69CF"/>
    <w:rsid w:val="002F6A04"/>
    <w:rsid w:val="002F6A1E"/>
    <w:rsid w:val="002F6A2A"/>
    <w:rsid w:val="002F6AB2"/>
    <w:rsid w:val="002F6AD3"/>
    <w:rsid w:val="002F6B69"/>
    <w:rsid w:val="002F6D49"/>
    <w:rsid w:val="002F6DD2"/>
    <w:rsid w:val="002F6E76"/>
    <w:rsid w:val="002F6EAA"/>
    <w:rsid w:val="002F6EB9"/>
    <w:rsid w:val="002F6F19"/>
    <w:rsid w:val="002F6F2D"/>
    <w:rsid w:val="002F7000"/>
    <w:rsid w:val="002F7003"/>
    <w:rsid w:val="002F7015"/>
    <w:rsid w:val="002F706C"/>
    <w:rsid w:val="002F706F"/>
    <w:rsid w:val="002F72C0"/>
    <w:rsid w:val="002F72D1"/>
    <w:rsid w:val="002F72E3"/>
    <w:rsid w:val="002F73F3"/>
    <w:rsid w:val="002F741C"/>
    <w:rsid w:val="002F7431"/>
    <w:rsid w:val="002F7550"/>
    <w:rsid w:val="002F75A8"/>
    <w:rsid w:val="002F7614"/>
    <w:rsid w:val="002F7668"/>
    <w:rsid w:val="002F78BB"/>
    <w:rsid w:val="002F790F"/>
    <w:rsid w:val="002F79E2"/>
    <w:rsid w:val="002F7A30"/>
    <w:rsid w:val="002F7A33"/>
    <w:rsid w:val="002F7A98"/>
    <w:rsid w:val="002F7D8C"/>
    <w:rsid w:val="002F7DB3"/>
    <w:rsid w:val="002F7DB9"/>
    <w:rsid w:val="002F7FAC"/>
    <w:rsid w:val="003000B1"/>
    <w:rsid w:val="003000C5"/>
    <w:rsid w:val="00300117"/>
    <w:rsid w:val="0030018F"/>
    <w:rsid w:val="0030019D"/>
    <w:rsid w:val="003001E4"/>
    <w:rsid w:val="00300272"/>
    <w:rsid w:val="00300297"/>
    <w:rsid w:val="0030032F"/>
    <w:rsid w:val="003003CB"/>
    <w:rsid w:val="0030050A"/>
    <w:rsid w:val="00300573"/>
    <w:rsid w:val="003005AF"/>
    <w:rsid w:val="00300698"/>
    <w:rsid w:val="0030069E"/>
    <w:rsid w:val="0030070B"/>
    <w:rsid w:val="003007F9"/>
    <w:rsid w:val="00300802"/>
    <w:rsid w:val="0030080C"/>
    <w:rsid w:val="0030081D"/>
    <w:rsid w:val="0030092E"/>
    <w:rsid w:val="00300968"/>
    <w:rsid w:val="00300981"/>
    <w:rsid w:val="003009B8"/>
    <w:rsid w:val="003009DC"/>
    <w:rsid w:val="00300A37"/>
    <w:rsid w:val="00300A47"/>
    <w:rsid w:val="00300A4C"/>
    <w:rsid w:val="00300AED"/>
    <w:rsid w:val="00300AFA"/>
    <w:rsid w:val="00300BC7"/>
    <w:rsid w:val="00300BE9"/>
    <w:rsid w:val="00300CD1"/>
    <w:rsid w:val="00300D63"/>
    <w:rsid w:val="00300DC3"/>
    <w:rsid w:val="00300E92"/>
    <w:rsid w:val="00300EE6"/>
    <w:rsid w:val="00300F4C"/>
    <w:rsid w:val="00300FD7"/>
    <w:rsid w:val="00301125"/>
    <w:rsid w:val="003011B7"/>
    <w:rsid w:val="003011E5"/>
    <w:rsid w:val="00301238"/>
    <w:rsid w:val="00301349"/>
    <w:rsid w:val="0030136D"/>
    <w:rsid w:val="003013EA"/>
    <w:rsid w:val="0030143B"/>
    <w:rsid w:val="0030143D"/>
    <w:rsid w:val="0030159B"/>
    <w:rsid w:val="0030160E"/>
    <w:rsid w:val="00301764"/>
    <w:rsid w:val="0030180E"/>
    <w:rsid w:val="003018E3"/>
    <w:rsid w:val="00301960"/>
    <w:rsid w:val="00301A52"/>
    <w:rsid w:val="00301A5C"/>
    <w:rsid w:val="00301C6D"/>
    <w:rsid w:val="00301CEC"/>
    <w:rsid w:val="00301D7C"/>
    <w:rsid w:val="00301D88"/>
    <w:rsid w:val="00301E91"/>
    <w:rsid w:val="00301EEC"/>
    <w:rsid w:val="00301FA1"/>
    <w:rsid w:val="00301FBE"/>
    <w:rsid w:val="00302058"/>
    <w:rsid w:val="00302071"/>
    <w:rsid w:val="00302077"/>
    <w:rsid w:val="003020FF"/>
    <w:rsid w:val="0030214C"/>
    <w:rsid w:val="003021E2"/>
    <w:rsid w:val="00302427"/>
    <w:rsid w:val="0030255E"/>
    <w:rsid w:val="003025A1"/>
    <w:rsid w:val="003026AC"/>
    <w:rsid w:val="0030283C"/>
    <w:rsid w:val="003028C4"/>
    <w:rsid w:val="0030299C"/>
    <w:rsid w:val="00302A3D"/>
    <w:rsid w:val="00302BB0"/>
    <w:rsid w:val="00302C3E"/>
    <w:rsid w:val="00302CA1"/>
    <w:rsid w:val="00302D5A"/>
    <w:rsid w:val="003030BE"/>
    <w:rsid w:val="0030310E"/>
    <w:rsid w:val="003031B4"/>
    <w:rsid w:val="003031B9"/>
    <w:rsid w:val="003031F7"/>
    <w:rsid w:val="003032D0"/>
    <w:rsid w:val="003034EF"/>
    <w:rsid w:val="00303659"/>
    <w:rsid w:val="003036A5"/>
    <w:rsid w:val="003036B1"/>
    <w:rsid w:val="003037A1"/>
    <w:rsid w:val="003037F6"/>
    <w:rsid w:val="003039C6"/>
    <w:rsid w:val="003039F9"/>
    <w:rsid w:val="00303B57"/>
    <w:rsid w:val="00303BA7"/>
    <w:rsid w:val="00303C72"/>
    <w:rsid w:val="00303CD7"/>
    <w:rsid w:val="00303D01"/>
    <w:rsid w:val="00303E20"/>
    <w:rsid w:val="00303E7F"/>
    <w:rsid w:val="00303F14"/>
    <w:rsid w:val="00303FD5"/>
    <w:rsid w:val="00304031"/>
    <w:rsid w:val="00304258"/>
    <w:rsid w:val="00304545"/>
    <w:rsid w:val="0030457A"/>
    <w:rsid w:val="003045C7"/>
    <w:rsid w:val="00304613"/>
    <w:rsid w:val="00304769"/>
    <w:rsid w:val="0030478B"/>
    <w:rsid w:val="003047EB"/>
    <w:rsid w:val="00304831"/>
    <w:rsid w:val="003048D4"/>
    <w:rsid w:val="00304A45"/>
    <w:rsid w:val="00304A77"/>
    <w:rsid w:val="00304B2A"/>
    <w:rsid w:val="00304D5A"/>
    <w:rsid w:val="00304DBF"/>
    <w:rsid w:val="00304F0A"/>
    <w:rsid w:val="0030507C"/>
    <w:rsid w:val="00305123"/>
    <w:rsid w:val="0030515B"/>
    <w:rsid w:val="003051D0"/>
    <w:rsid w:val="00305242"/>
    <w:rsid w:val="0030534E"/>
    <w:rsid w:val="003053AB"/>
    <w:rsid w:val="0030540E"/>
    <w:rsid w:val="00305503"/>
    <w:rsid w:val="0030559A"/>
    <w:rsid w:val="003055B3"/>
    <w:rsid w:val="0030561C"/>
    <w:rsid w:val="0030567B"/>
    <w:rsid w:val="003056B1"/>
    <w:rsid w:val="0030570B"/>
    <w:rsid w:val="00305788"/>
    <w:rsid w:val="00305816"/>
    <w:rsid w:val="00305889"/>
    <w:rsid w:val="00305997"/>
    <w:rsid w:val="003059BA"/>
    <w:rsid w:val="00305A7C"/>
    <w:rsid w:val="00305A86"/>
    <w:rsid w:val="00305BE0"/>
    <w:rsid w:val="00305C40"/>
    <w:rsid w:val="00305C74"/>
    <w:rsid w:val="00305CC4"/>
    <w:rsid w:val="00305CD8"/>
    <w:rsid w:val="00305CFC"/>
    <w:rsid w:val="00305F0E"/>
    <w:rsid w:val="00305F8E"/>
    <w:rsid w:val="00306076"/>
    <w:rsid w:val="003060A4"/>
    <w:rsid w:val="003060FB"/>
    <w:rsid w:val="00306159"/>
    <w:rsid w:val="00306220"/>
    <w:rsid w:val="003062BA"/>
    <w:rsid w:val="00306461"/>
    <w:rsid w:val="0030647B"/>
    <w:rsid w:val="003064FB"/>
    <w:rsid w:val="00306571"/>
    <w:rsid w:val="003065C3"/>
    <w:rsid w:val="003065E8"/>
    <w:rsid w:val="00306632"/>
    <w:rsid w:val="003066CA"/>
    <w:rsid w:val="003067F6"/>
    <w:rsid w:val="00306841"/>
    <w:rsid w:val="003069A0"/>
    <w:rsid w:val="00306AA0"/>
    <w:rsid w:val="00306ACC"/>
    <w:rsid w:val="00306B12"/>
    <w:rsid w:val="00306B61"/>
    <w:rsid w:val="00306BD3"/>
    <w:rsid w:val="00306BF9"/>
    <w:rsid w:val="00306C05"/>
    <w:rsid w:val="00306C75"/>
    <w:rsid w:val="00306C7F"/>
    <w:rsid w:val="00306CBE"/>
    <w:rsid w:val="00306D11"/>
    <w:rsid w:val="00306E77"/>
    <w:rsid w:val="00306E82"/>
    <w:rsid w:val="00306E93"/>
    <w:rsid w:val="00306EB3"/>
    <w:rsid w:val="00306F5C"/>
    <w:rsid w:val="00306FAE"/>
    <w:rsid w:val="00306FB7"/>
    <w:rsid w:val="00307170"/>
    <w:rsid w:val="00307270"/>
    <w:rsid w:val="00307290"/>
    <w:rsid w:val="003072CB"/>
    <w:rsid w:val="00307339"/>
    <w:rsid w:val="0030736F"/>
    <w:rsid w:val="0030757A"/>
    <w:rsid w:val="003075C6"/>
    <w:rsid w:val="003075F4"/>
    <w:rsid w:val="00307680"/>
    <w:rsid w:val="00307839"/>
    <w:rsid w:val="00307892"/>
    <w:rsid w:val="0030792A"/>
    <w:rsid w:val="003079C7"/>
    <w:rsid w:val="00307AEF"/>
    <w:rsid w:val="00307B3A"/>
    <w:rsid w:val="00307C2F"/>
    <w:rsid w:val="00307CB6"/>
    <w:rsid w:val="00307CCF"/>
    <w:rsid w:val="00307D22"/>
    <w:rsid w:val="00307E1A"/>
    <w:rsid w:val="00307E55"/>
    <w:rsid w:val="00307E71"/>
    <w:rsid w:val="00307F63"/>
    <w:rsid w:val="00307FF4"/>
    <w:rsid w:val="0031001A"/>
    <w:rsid w:val="003100A7"/>
    <w:rsid w:val="00310102"/>
    <w:rsid w:val="00310145"/>
    <w:rsid w:val="00310155"/>
    <w:rsid w:val="00310161"/>
    <w:rsid w:val="003101DB"/>
    <w:rsid w:val="00310215"/>
    <w:rsid w:val="0031024A"/>
    <w:rsid w:val="00310269"/>
    <w:rsid w:val="00310331"/>
    <w:rsid w:val="003104AC"/>
    <w:rsid w:val="0031054B"/>
    <w:rsid w:val="0031057F"/>
    <w:rsid w:val="0031066E"/>
    <w:rsid w:val="0031067C"/>
    <w:rsid w:val="00310798"/>
    <w:rsid w:val="003107C9"/>
    <w:rsid w:val="003107DC"/>
    <w:rsid w:val="00310843"/>
    <w:rsid w:val="00310901"/>
    <w:rsid w:val="003109D3"/>
    <w:rsid w:val="003109EE"/>
    <w:rsid w:val="00310B01"/>
    <w:rsid w:val="00310B37"/>
    <w:rsid w:val="00310BBF"/>
    <w:rsid w:val="00310DB1"/>
    <w:rsid w:val="00310DC5"/>
    <w:rsid w:val="00310DDE"/>
    <w:rsid w:val="00310EC4"/>
    <w:rsid w:val="00310EFD"/>
    <w:rsid w:val="00310F09"/>
    <w:rsid w:val="00310F57"/>
    <w:rsid w:val="00311012"/>
    <w:rsid w:val="00311040"/>
    <w:rsid w:val="0031109D"/>
    <w:rsid w:val="00311164"/>
    <w:rsid w:val="00311288"/>
    <w:rsid w:val="00311341"/>
    <w:rsid w:val="00311369"/>
    <w:rsid w:val="003113BD"/>
    <w:rsid w:val="003113DE"/>
    <w:rsid w:val="00311440"/>
    <w:rsid w:val="0031145A"/>
    <w:rsid w:val="00311460"/>
    <w:rsid w:val="0031149F"/>
    <w:rsid w:val="003114B1"/>
    <w:rsid w:val="00311510"/>
    <w:rsid w:val="0031158E"/>
    <w:rsid w:val="003116C7"/>
    <w:rsid w:val="0031174E"/>
    <w:rsid w:val="0031175D"/>
    <w:rsid w:val="003117EB"/>
    <w:rsid w:val="00311831"/>
    <w:rsid w:val="0031183F"/>
    <w:rsid w:val="00311875"/>
    <w:rsid w:val="0031188E"/>
    <w:rsid w:val="00311C3E"/>
    <w:rsid w:val="00311D7F"/>
    <w:rsid w:val="00311E22"/>
    <w:rsid w:val="00311E75"/>
    <w:rsid w:val="00311EE6"/>
    <w:rsid w:val="00312002"/>
    <w:rsid w:val="0031205C"/>
    <w:rsid w:val="00312077"/>
    <w:rsid w:val="003120B1"/>
    <w:rsid w:val="0031211D"/>
    <w:rsid w:val="0031213E"/>
    <w:rsid w:val="00312355"/>
    <w:rsid w:val="00312387"/>
    <w:rsid w:val="003124DE"/>
    <w:rsid w:val="00312619"/>
    <w:rsid w:val="0031271F"/>
    <w:rsid w:val="0031289F"/>
    <w:rsid w:val="003128F9"/>
    <w:rsid w:val="00312A27"/>
    <w:rsid w:val="00312BE4"/>
    <w:rsid w:val="00312CF6"/>
    <w:rsid w:val="00312D1D"/>
    <w:rsid w:val="00312E4E"/>
    <w:rsid w:val="00312EC3"/>
    <w:rsid w:val="00312ECE"/>
    <w:rsid w:val="00312EF2"/>
    <w:rsid w:val="00312F32"/>
    <w:rsid w:val="00312FD1"/>
    <w:rsid w:val="00312FFD"/>
    <w:rsid w:val="00313020"/>
    <w:rsid w:val="00313187"/>
    <w:rsid w:val="00313222"/>
    <w:rsid w:val="00313225"/>
    <w:rsid w:val="00313369"/>
    <w:rsid w:val="0031337F"/>
    <w:rsid w:val="00313432"/>
    <w:rsid w:val="00313477"/>
    <w:rsid w:val="00313493"/>
    <w:rsid w:val="00313572"/>
    <w:rsid w:val="00313586"/>
    <w:rsid w:val="0031358C"/>
    <w:rsid w:val="003135C8"/>
    <w:rsid w:val="00313693"/>
    <w:rsid w:val="003136CB"/>
    <w:rsid w:val="00313706"/>
    <w:rsid w:val="00313778"/>
    <w:rsid w:val="00313815"/>
    <w:rsid w:val="00313873"/>
    <w:rsid w:val="00313893"/>
    <w:rsid w:val="00313988"/>
    <w:rsid w:val="00313A58"/>
    <w:rsid w:val="00313B01"/>
    <w:rsid w:val="00313B3C"/>
    <w:rsid w:val="00313B8B"/>
    <w:rsid w:val="00313BA5"/>
    <w:rsid w:val="00313BD7"/>
    <w:rsid w:val="00313BFD"/>
    <w:rsid w:val="00313CF6"/>
    <w:rsid w:val="00313D59"/>
    <w:rsid w:val="00313DC9"/>
    <w:rsid w:val="00313DF0"/>
    <w:rsid w:val="00313E4A"/>
    <w:rsid w:val="00313F9B"/>
    <w:rsid w:val="00313FBC"/>
    <w:rsid w:val="0031400D"/>
    <w:rsid w:val="0031405E"/>
    <w:rsid w:val="00314094"/>
    <w:rsid w:val="003140EA"/>
    <w:rsid w:val="003140F3"/>
    <w:rsid w:val="0031414E"/>
    <w:rsid w:val="0031417E"/>
    <w:rsid w:val="0031423C"/>
    <w:rsid w:val="0031425C"/>
    <w:rsid w:val="003142B6"/>
    <w:rsid w:val="003142FD"/>
    <w:rsid w:val="00314376"/>
    <w:rsid w:val="0031450B"/>
    <w:rsid w:val="0031457B"/>
    <w:rsid w:val="003146F1"/>
    <w:rsid w:val="00314754"/>
    <w:rsid w:val="00314765"/>
    <w:rsid w:val="00314796"/>
    <w:rsid w:val="00314818"/>
    <w:rsid w:val="00314899"/>
    <w:rsid w:val="003148BC"/>
    <w:rsid w:val="003148C0"/>
    <w:rsid w:val="00314912"/>
    <w:rsid w:val="00314982"/>
    <w:rsid w:val="00314A8E"/>
    <w:rsid w:val="00314ABC"/>
    <w:rsid w:val="00314CDE"/>
    <w:rsid w:val="00314D34"/>
    <w:rsid w:val="00314D7C"/>
    <w:rsid w:val="00314E56"/>
    <w:rsid w:val="00314E6F"/>
    <w:rsid w:val="00314E92"/>
    <w:rsid w:val="00314EFE"/>
    <w:rsid w:val="00314F96"/>
    <w:rsid w:val="00315002"/>
    <w:rsid w:val="00315033"/>
    <w:rsid w:val="00315075"/>
    <w:rsid w:val="003150AC"/>
    <w:rsid w:val="003151AD"/>
    <w:rsid w:val="003151F4"/>
    <w:rsid w:val="0031526C"/>
    <w:rsid w:val="003153A0"/>
    <w:rsid w:val="0031548B"/>
    <w:rsid w:val="00315498"/>
    <w:rsid w:val="0031549E"/>
    <w:rsid w:val="00315518"/>
    <w:rsid w:val="0031551E"/>
    <w:rsid w:val="00315606"/>
    <w:rsid w:val="0031568C"/>
    <w:rsid w:val="0031574E"/>
    <w:rsid w:val="00315763"/>
    <w:rsid w:val="003157D8"/>
    <w:rsid w:val="00315812"/>
    <w:rsid w:val="00315823"/>
    <w:rsid w:val="00315952"/>
    <w:rsid w:val="00315976"/>
    <w:rsid w:val="003159B8"/>
    <w:rsid w:val="00315A01"/>
    <w:rsid w:val="00315A75"/>
    <w:rsid w:val="00315A7D"/>
    <w:rsid w:val="00315AA6"/>
    <w:rsid w:val="00315ADB"/>
    <w:rsid w:val="00315B15"/>
    <w:rsid w:val="00315B63"/>
    <w:rsid w:val="00315B6D"/>
    <w:rsid w:val="00315C30"/>
    <w:rsid w:val="00315C82"/>
    <w:rsid w:val="00315EB2"/>
    <w:rsid w:val="00315EE2"/>
    <w:rsid w:val="00315EEA"/>
    <w:rsid w:val="00315FDE"/>
    <w:rsid w:val="00316137"/>
    <w:rsid w:val="0031614D"/>
    <w:rsid w:val="0031617C"/>
    <w:rsid w:val="003161AA"/>
    <w:rsid w:val="003161F8"/>
    <w:rsid w:val="00316201"/>
    <w:rsid w:val="00316206"/>
    <w:rsid w:val="0031621B"/>
    <w:rsid w:val="003164A9"/>
    <w:rsid w:val="00316563"/>
    <w:rsid w:val="00316618"/>
    <w:rsid w:val="00316629"/>
    <w:rsid w:val="00316792"/>
    <w:rsid w:val="003167B8"/>
    <w:rsid w:val="003167EC"/>
    <w:rsid w:val="0031681A"/>
    <w:rsid w:val="0031688A"/>
    <w:rsid w:val="003169A3"/>
    <w:rsid w:val="00316B43"/>
    <w:rsid w:val="00316B9B"/>
    <w:rsid w:val="00316BE4"/>
    <w:rsid w:val="00316D7C"/>
    <w:rsid w:val="00316EDC"/>
    <w:rsid w:val="00316F27"/>
    <w:rsid w:val="00316F74"/>
    <w:rsid w:val="00316F9E"/>
    <w:rsid w:val="00316FA5"/>
    <w:rsid w:val="00316FC1"/>
    <w:rsid w:val="003170A3"/>
    <w:rsid w:val="0031711A"/>
    <w:rsid w:val="00317194"/>
    <w:rsid w:val="003171C1"/>
    <w:rsid w:val="00317215"/>
    <w:rsid w:val="0031754E"/>
    <w:rsid w:val="0031762C"/>
    <w:rsid w:val="00317638"/>
    <w:rsid w:val="003176A0"/>
    <w:rsid w:val="003176BF"/>
    <w:rsid w:val="003176E4"/>
    <w:rsid w:val="00317706"/>
    <w:rsid w:val="00317741"/>
    <w:rsid w:val="00317764"/>
    <w:rsid w:val="0031785E"/>
    <w:rsid w:val="00317894"/>
    <w:rsid w:val="00317964"/>
    <w:rsid w:val="00317B9E"/>
    <w:rsid w:val="00317C0B"/>
    <w:rsid w:val="00317C71"/>
    <w:rsid w:val="00317D06"/>
    <w:rsid w:val="00317ED6"/>
    <w:rsid w:val="003200DB"/>
    <w:rsid w:val="00320104"/>
    <w:rsid w:val="00320182"/>
    <w:rsid w:val="00320222"/>
    <w:rsid w:val="003202C4"/>
    <w:rsid w:val="00320336"/>
    <w:rsid w:val="00320347"/>
    <w:rsid w:val="003203A4"/>
    <w:rsid w:val="003203BF"/>
    <w:rsid w:val="00320412"/>
    <w:rsid w:val="00320492"/>
    <w:rsid w:val="00320583"/>
    <w:rsid w:val="0032060E"/>
    <w:rsid w:val="003207D0"/>
    <w:rsid w:val="003207F6"/>
    <w:rsid w:val="0032088B"/>
    <w:rsid w:val="0032093F"/>
    <w:rsid w:val="003209C2"/>
    <w:rsid w:val="00320AC1"/>
    <w:rsid w:val="00320AC6"/>
    <w:rsid w:val="00320B7A"/>
    <w:rsid w:val="00320C2E"/>
    <w:rsid w:val="00320C7F"/>
    <w:rsid w:val="00320F2A"/>
    <w:rsid w:val="00320F32"/>
    <w:rsid w:val="00320F50"/>
    <w:rsid w:val="00320FFF"/>
    <w:rsid w:val="00321035"/>
    <w:rsid w:val="003210C2"/>
    <w:rsid w:val="003210E6"/>
    <w:rsid w:val="00321135"/>
    <w:rsid w:val="00321159"/>
    <w:rsid w:val="0032121F"/>
    <w:rsid w:val="00321294"/>
    <w:rsid w:val="00321492"/>
    <w:rsid w:val="0032161C"/>
    <w:rsid w:val="00321724"/>
    <w:rsid w:val="0032174F"/>
    <w:rsid w:val="003217DD"/>
    <w:rsid w:val="003217E0"/>
    <w:rsid w:val="003217E4"/>
    <w:rsid w:val="0032182E"/>
    <w:rsid w:val="00321866"/>
    <w:rsid w:val="00321893"/>
    <w:rsid w:val="003218AB"/>
    <w:rsid w:val="00321A2A"/>
    <w:rsid w:val="00321A93"/>
    <w:rsid w:val="00321B4F"/>
    <w:rsid w:val="00321C7A"/>
    <w:rsid w:val="00321D52"/>
    <w:rsid w:val="00321F74"/>
    <w:rsid w:val="00321FC8"/>
    <w:rsid w:val="00322061"/>
    <w:rsid w:val="0032212F"/>
    <w:rsid w:val="0032216D"/>
    <w:rsid w:val="003221B1"/>
    <w:rsid w:val="003221CD"/>
    <w:rsid w:val="00322300"/>
    <w:rsid w:val="00322338"/>
    <w:rsid w:val="003223C7"/>
    <w:rsid w:val="00322401"/>
    <w:rsid w:val="00322447"/>
    <w:rsid w:val="0032244B"/>
    <w:rsid w:val="0032245D"/>
    <w:rsid w:val="00322528"/>
    <w:rsid w:val="0032254C"/>
    <w:rsid w:val="0032267C"/>
    <w:rsid w:val="0032275D"/>
    <w:rsid w:val="0032277B"/>
    <w:rsid w:val="00322782"/>
    <w:rsid w:val="00322818"/>
    <w:rsid w:val="0032284C"/>
    <w:rsid w:val="0032293B"/>
    <w:rsid w:val="003229A1"/>
    <w:rsid w:val="00322A31"/>
    <w:rsid w:val="00322A34"/>
    <w:rsid w:val="00322A53"/>
    <w:rsid w:val="00322AC5"/>
    <w:rsid w:val="00322BBB"/>
    <w:rsid w:val="00322BBC"/>
    <w:rsid w:val="00322CCF"/>
    <w:rsid w:val="00322CFA"/>
    <w:rsid w:val="00322D7C"/>
    <w:rsid w:val="00322F39"/>
    <w:rsid w:val="00322F70"/>
    <w:rsid w:val="00322F85"/>
    <w:rsid w:val="00323060"/>
    <w:rsid w:val="0032330E"/>
    <w:rsid w:val="00323368"/>
    <w:rsid w:val="00323369"/>
    <w:rsid w:val="00323394"/>
    <w:rsid w:val="00323672"/>
    <w:rsid w:val="0032367C"/>
    <w:rsid w:val="003237D1"/>
    <w:rsid w:val="00323816"/>
    <w:rsid w:val="003238A0"/>
    <w:rsid w:val="00323987"/>
    <w:rsid w:val="003239A7"/>
    <w:rsid w:val="00323A64"/>
    <w:rsid w:val="00323B41"/>
    <w:rsid w:val="00323B59"/>
    <w:rsid w:val="00323BF1"/>
    <w:rsid w:val="00323CCE"/>
    <w:rsid w:val="00323DCB"/>
    <w:rsid w:val="00323E49"/>
    <w:rsid w:val="00323F3D"/>
    <w:rsid w:val="00323F4F"/>
    <w:rsid w:val="00323FAE"/>
    <w:rsid w:val="0032409B"/>
    <w:rsid w:val="00324166"/>
    <w:rsid w:val="00324289"/>
    <w:rsid w:val="0032429F"/>
    <w:rsid w:val="003242C3"/>
    <w:rsid w:val="003243DB"/>
    <w:rsid w:val="003244B8"/>
    <w:rsid w:val="003244EF"/>
    <w:rsid w:val="00324516"/>
    <w:rsid w:val="00324560"/>
    <w:rsid w:val="003245AA"/>
    <w:rsid w:val="003245AD"/>
    <w:rsid w:val="00324709"/>
    <w:rsid w:val="0032474D"/>
    <w:rsid w:val="00324828"/>
    <w:rsid w:val="00324908"/>
    <w:rsid w:val="0032494A"/>
    <w:rsid w:val="003249DB"/>
    <w:rsid w:val="003249DD"/>
    <w:rsid w:val="00324A0A"/>
    <w:rsid w:val="00324ACC"/>
    <w:rsid w:val="00324C6B"/>
    <w:rsid w:val="00324D38"/>
    <w:rsid w:val="00324D51"/>
    <w:rsid w:val="00324DB9"/>
    <w:rsid w:val="00324DD0"/>
    <w:rsid w:val="00324ECB"/>
    <w:rsid w:val="00324ED7"/>
    <w:rsid w:val="00324F7B"/>
    <w:rsid w:val="00324F94"/>
    <w:rsid w:val="003250A7"/>
    <w:rsid w:val="003250B4"/>
    <w:rsid w:val="003251CE"/>
    <w:rsid w:val="003251D4"/>
    <w:rsid w:val="003252A9"/>
    <w:rsid w:val="0032530C"/>
    <w:rsid w:val="003253BE"/>
    <w:rsid w:val="00325456"/>
    <w:rsid w:val="003254A5"/>
    <w:rsid w:val="003254AF"/>
    <w:rsid w:val="00325530"/>
    <w:rsid w:val="0032563A"/>
    <w:rsid w:val="003257F7"/>
    <w:rsid w:val="00325827"/>
    <w:rsid w:val="00325851"/>
    <w:rsid w:val="00325869"/>
    <w:rsid w:val="003258A6"/>
    <w:rsid w:val="003258AC"/>
    <w:rsid w:val="003258DD"/>
    <w:rsid w:val="00325943"/>
    <w:rsid w:val="003259DD"/>
    <w:rsid w:val="00325A28"/>
    <w:rsid w:val="00325C98"/>
    <w:rsid w:val="00325DC5"/>
    <w:rsid w:val="00325DF5"/>
    <w:rsid w:val="00325F46"/>
    <w:rsid w:val="00325F8B"/>
    <w:rsid w:val="00325FBD"/>
    <w:rsid w:val="00325FC4"/>
    <w:rsid w:val="00326160"/>
    <w:rsid w:val="003262F4"/>
    <w:rsid w:val="0032640C"/>
    <w:rsid w:val="00326438"/>
    <w:rsid w:val="00326493"/>
    <w:rsid w:val="003264B5"/>
    <w:rsid w:val="003264E1"/>
    <w:rsid w:val="00326594"/>
    <w:rsid w:val="00326595"/>
    <w:rsid w:val="003267BD"/>
    <w:rsid w:val="00326804"/>
    <w:rsid w:val="00326806"/>
    <w:rsid w:val="0032685A"/>
    <w:rsid w:val="003269F7"/>
    <w:rsid w:val="00326A85"/>
    <w:rsid w:val="00326C69"/>
    <w:rsid w:val="00326D45"/>
    <w:rsid w:val="00326EBE"/>
    <w:rsid w:val="00326EC0"/>
    <w:rsid w:val="00326ED2"/>
    <w:rsid w:val="0032701B"/>
    <w:rsid w:val="003270E0"/>
    <w:rsid w:val="0032711B"/>
    <w:rsid w:val="00327122"/>
    <w:rsid w:val="00327190"/>
    <w:rsid w:val="003271D8"/>
    <w:rsid w:val="003272C3"/>
    <w:rsid w:val="003272E1"/>
    <w:rsid w:val="003273A5"/>
    <w:rsid w:val="00327476"/>
    <w:rsid w:val="00327589"/>
    <w:rsid w:val="003275B8"/>
    <w:rsid w:val="00327656"/>
    <w:rsid w:val="00327759"/>
    <w:rsid w:val="003278B9"/>
    <w:rsid w:val="003278F0"/>
    <w:rsid w:val="00327955"/>
    <w:rsid w:val="003279CD"/>
    <w:rsid w:val="003279E5"/>
    <w:rsid w:val="003279F6"/>
    <w:rsid w:val="00327AB3"/>
    <w:rsid w:val="00327AF2"/>
    <w:rsid w:val="00327C29"/>
    <w:rsid w:val="00327C50"/>
    <w:rsid w:val="00327C76"/>
    <w:rsid w:val="00327DCB"/>
    <w:rsid w:val="00327DE2"/>
    <w:rsid w:val="00327E5F"/>
    <w:rsid w:val="00327ECF"/>
    <w:rsid w:val="00330012"/>
    <w:rsid w:val="00330107"/>
    <w:rsid w:val="0033012A"/>
    <w:rsid w:val="00330144"/>
    <w:rsid w:val="003301E9"/>
    <w:rsid w:val="003301FD"/>
    <w:rsid w:val="00330395"/>
    <w:rsid w:val="00330464"/>
    <w:rsid w:val="00330564"/>
    <w:rsid w:val="00330584"/>
    <w:rsid w:val="0033069B"/>
    <w:rsid w:val="00330808"/>
    <w:rsid w:val="00330813"/>
    <w:rsid w:val="0033084D"/>
    <w:rsid w:val="0033086F"/>
    <w:rsid w:val="003308C1"/>
    <w:rsid w:val="00330954"/>
    <w:rsid w:val="00330A13"/>
    <w:rsid w:val="00330D6D"/>
    <w:rsid w:val="00330D90"/>
    <w:rsid w:val="00330DB7"/>
    <w:rsid w:val="00330EFD"/>
    <w:rsid w:val="00330FA4"/>
    <w:rsid w:val="00331111"/>
    <w:rsid w:val="003313EB"/>
    <w:rsid w:val="003313FC"/>
    <w:rsid w:val="0033148F"/>
    <w:rsid w:val="0033149C"/>
    <w:rsid w:val="0033149D"/>
    <w:rsid w:val="003314DF"/>
    <w:rsid w:val="00331571"/>
    <w:rsid w:val="00331596"/>
    <w:rsid w:val="003315D7"/>
    <w:rsid w:val="003316C6"/>
    <w:rsid w:val="00331704"/>
    <w:rsid w:val="00331774"/>
    <w:rsid w:val="00331947"/>
    <w:rsid w:val="0033194B"/>
    <w:rsid w:val="0033198F"/>
    <w:rsid w:val="00331993"/>
    <w:rsid w:val="00331A01"/>
    <w:rsid w:val="00331B8D"/>
    <w:rsid w:val="00331C43"/>
    <w:rsid w:val="00331CAE"/>
    <w:rsid w:val="00331CD2"/>
    <w:rsid w:val="00331D22"/>
    <w:rsid w:val="00331DC4"/>
    <w:rsid w:val="00331E4A"/>
    <w:rsid w:val="00331F5E"/>
    <w:rsid w:val="00331FB2"/>
    <w:rsid w:val="00331FC2"/>
    <w:rsid w:val="00331FE6"/>
    <w:rsid w:val="0033204B"/>
    <w:rsid w:val="00332105"/>
    <w:rsid w:val="00332124"/>
    <w:rsid w:val="003321E9"/>
    <w:rsid w:val="003322E7"/>
    <w:rsid w:val="003322F8"/>
    <w:rsid w:val="00332328"/>
    <w:rsid w:val="0033234B"/>
    <w:rsid w:val="003323CF"/>
    <w:rsid w:val="00332463"/>
    <w:rsid w:val="00332564"/>
    <w:rsid w:val="003325C7"/>
    <w:rsid w:val="003325F5"/>
    <w:rsid w:val="003325F7"/>
    <w:rsid w:val="0033261D"/>
    <w:rsid w:val="003327B2"/>
    <w:rsid w:val="00332839"/>
    <w:rsid w:val="00332868"/>
    <w:rsid w:val="0033299C"/>
    <w:rsid w:val="00332AD1"/>
    <w:rsid w:val="00332B4A"/>
    <w:rsid w:val="00332C38"/>
    <w:rsid w:val="00332D4E"/>
    <w:rsid w:val="00332D58"/>
    <w:rsid w:val="00332E32"/>
    <w:rsid w:val="00332F61"/>
    <w:rsid w:val="00332FC3"/>
    <w:rsid w:val="00332FDD"/>
    <w:rsid w:val="0033302A"/>
    <w:rsid w:val="00333094"/>
    <w:rsid w:val="003330D5"/>
    <w:rsid w:val="00333106"/>
    <w:rsid w:val="00333139"/>
    <w:rsid w:val="003331E1"/>
    <w:rsid w:val="0033326D"/>
    <w:rsid w:val="0033337B"/>
    <w:rsid w:val="00333555"/>
    <w:rsid w:val="0033363E"/>
    <w:rsid w:val="003336DA"/>
    <w:rsid w:val="003336E1"/>
    <w:rsid w:val="00333830"/>
    <w:rsid w:val="0033389C"/>
    <w:rsid w:val="00333933"/>
    <w:rsid w:val="00333B86"/>
    <w:rsid w:val="00333C86"/>
    <w:rsid w:val="00333DD8"/>
    <w:rsid w:val="00333EC2"/>
    <w:rsid w:val="00333F4F"/>
    <w:rsid w:val="00334072"/>
    <w:rsid w:val="00334163"/>
    <w:rsid w:val="003341CC"/>
    <w:rsid w:val="00334238"/>
    <w:rsid w:val="00334313"/>
    <w:rsid w:val="003343A9"/>
    <w:rsid w:val="003344B8"/>
    <w:rsid w:val="003344FD"/>
    <w:rsid w:val="00334506"/>
    <w:rsid w:val="003345A7"/>
    <w:rsid w:val="003347D7"/>
    <w:rsid w:val="00334824"/>
    <w:rsid w:val="00334885"/>
    <w:rsid w:val="00334968"/>
    <w:rsid w:val="00334A2E"/>
    <w:rsid w:val="00334A5C"/>
    <w:rsid w:val="00334A79"/>
    <w:rsid w:val="00334A7F"/>
    <w:rsid w:val="00334C16"/>
    <w:rsid w:val="00334CB9"/>
    <w:rsid w:val="00334D23"/>
    <w:rsid w:val="00334D7F"/>
    <w:rsid w:val="00334DA3"/>
    <w:rsid w:val="00334E56"/>
    <w:rsid w:val="00334EBA"/>
    <w:rsid w:val="00334F51"/>
    <w:rsid w:val="00334F6E"/>
    <w:rsid w:val="00334F90"/>
    <w:rsid w:val="00335041"/>
    <w:rsid w:val="003350CC"/>
    <w:rsid w:val="003350EA"/>
    <w:rsid w:val="003351D8"/>
    <w:rsid w:val="0033552A"/>
    <w:rsid w:val="00335626"/>
    <w:rsid w:val="003356E9"/>
    <w:rsid w:val="0033573C"/>
    <w:rsid w:val="00335815"/>
    <w:rsid w:val="0033582F"/>
    <w:rsid w:val="0033594D"/>
    <w:rsid w:val="00335A68"/>
    <w:rsid w:val="00335AC1"/>
    <w:rsid w:val="00335AC7"/>
    <w:rsid w:val="00335B0E"/>
    <w:rsid w:val="00335B6C"/>
    <w:rsid w:val="00335C50"/>
    <w:rsid w:val="00335D03"/>
    <w:rsid w:val="00335DCD"/>
    <w:rsid w:val="00335EC9"/>
    <w:rsid w:val="00335FCF"/>
    <w:rsid w:val="00336064"/>
    <w:rsid w:val="003360C3"/>
    <w:rsid w:val="00336109"/>
    <w:rsid w:val="003361E4"/>
    <w:rsid w:val="00336255"/>
    <w:rsid w:val="00336417"/>
    <w:rsid w:val="00336449"/>
    <w:rsid w:val="00336489"/>
    <w:rsid w:val="0033653B"/>
    <w:rsid w:val="00336614"/>
    <w:rsid w:val="0033662D"/>
    <w:rsid w:val="00336643"/>
    <w:rsid w:val="00336644"/>
    <w:rsid w:val="0033668B"/>
    <w:rsid w:val="003368D2"/>
    <w:rsid w:val="00336A11"/>
    <w:rsid w:val="00336A26"/>
    <w:rsid w:val="00336AFE"/>
    <w:rsid w:val="00336B46"/>
    <w:rsid w:val="00336C33"/>
    <w:rsid w:val="00336C66"/>
    <w:rsid w:val="00336C87"/>
    <w:rsid w:val="00336DD5"/>
    <w:rsid w:val="00336DFC"/>
    <w:rsid w:val="00336EF6"/>
    <w:rsid w:val="00336F1E"/>
    <w:rsid w:val="003370F0"/>
    <w:rsid w:val="0033731D"/>
    <w:rsid w:val="00337348"/>
    <w:rsid w:val="00337370"/>
    <w:rsid w:val="003373D7"/>
    <w:rsid w:val="003373F4"/>
    <w:rsid w:val="0033743B"/>
    <w:rsid w:val="0033745D"/>
    <w:rsid w:val="00337483"/>
    <w:rsid w:val="0033748A"/>
    <w:rsid w:val="0033762A"/>
    <w:rsid w:val="00337653"/>
    <w:rsid w:val="00337840"/>
    <w:rsid w:val="003378DE"/>
    <w:rsid w:val="003379F7"/>
    <w:rsid w:val="00337A0B"/>
    <w:rsid w:val="00337A7F"/>
    <w:rsid w:val="00337A88"/>
    <w:rsid w:val="00337B4E"/>
    <w:rsid w:val="00337C17"/>
    <w:rsid w:val="00337C7E"/>
    <w:rsid w:val="00337CB6"/>
    <w:rsid w:val="00337D38"/>
    <w:rsid w:val="00337D7F"/>
    <w:rsid w:val="00337D86"/>
    <w:rsid w:val="00337EA1"/>
    <w:rsid w:val="00337EC1"/>
    <w:rsid w:val="00337EF7"/>
    <w:rsid w:val="00340041"/>
    <w:rsid w:val="00340071"/>
    <w:rsid w:val="00340083"/>
    <w:rsid w:val="003400D8"/>
    <w:rsid w:val="00340140"/>
    <w:rsid w:val="0034014E"/>
    <w:rsid w:val="00340151"/>
    <w:rsid w:val="00340383"/>
    <w:rsid w:val="00340437"/>
    <w:rsid w:val="003404F8"/>
    <w:rsid w:val="00340553"/>
    <w:rsid w:val="003405A2"/>
    <w:rsid w:val="003406B0"/>
    <w:rsid w:val="0034070B"/>
    <w:rsid w:val="00340993"/>
    <w:rsid w:val="003409BC"/>
    <w:rsid w:val="003409E4"/>
    <w:rsid w:val="003409F3"/>
    <w:rsid w:val="00340A21"/>
    <w:rsid w:val="00340B4E"/>
    <w:rsid w:val="00340B64"/>
    <w:rsid w:val="00340C65"/>
    <w:rsid w:val="00340CB0"/>
    <w:rsid w:val="00340D8A"/>
    <w:rsid w:val="00340DA6"/>
    <w:rsid w:val="00340E00"/>
    <w:rsid w:val="00340EDB"/>
    <w:rsid w:val="00340EDE"/>
    <w:rsid w:val="00340F2C"/>
    <w:rsid w:val="00340FB0"/>
    <w:rsid w:val="00341015"/>
    <w:rsid w:val="0034102C"/>
    <w:rsid w:val="003410D3"/>
    <w:rsid w:val="00341115"/>
    <w:rsid w:val="0034112C"/>
    <w:rsid w:val="003411F1"/>
    <w:rsid w:val="003411FE"/>
    <w:rsid w:val="003412C8"/>
    <w:rsid w:val="00341327"/>
    <w:rsid w:val="00341417"/>
    <w:rsid w:val="00341446"/>
    <w:rsid w:val="0034154F"/>
    <w:rsid w:val="003415AB"/>
    <w:rsid w:val="00341616"/>
    <w:rsid w:val="0034166A"/>
    <w:rsid w:val="0034169D"/>
    <w:rsid w:val="003416B6"/>
    <w:rsid w:val="0034170F"/>
    <w:rsid w:val="00341750"/>
    <w:rsid w:val="00341791"/>
    <w:rsid w:val="00341808"/>
    <w:rsid w:val="00341815"/>
    <w:rsid w:val="0034195A"/>
    <w:rsid w:val="003419BD"/>
    <w:rsid w:val="00341B33"/>
    <w:rsid w:val="00341B49"/>
    <w:rsid w:val="00341BE8"/>
    <w:rsid w:val="00341C81"/>
    <w:rsid w:val="00341CB6"/>
    <w:rsid w:val="00341D6F"/>
    <w:rsid w:val="00341DD9"/>
    <w:rsid w:val="00341ED7"/>
    <w:rsid w:val="00341F81"/>
    <w:rsid w:val="00341FB6"/>
    <w:rsid w:val="00341FD9"/>
    <w:rsid w:val="003421B4"/>
    <w:rsid w:val="00342402"/>
    <w:rsid w:val="0034249E"/>
    <w:rsid w:val="003425B5"/>
    <w:rsid w:val="0034269A"/>
    <w:rsid w:val="003426FB"/>
    <w:rsid w:val="00342737"/>
    <w:rsid w:val="0034279E"/>
    <w:rsid w:val="00342872"/>
    <w:rsid w:val="00342967"/>
    <w:rsid w:val="00342AEC"/>
    <w:rsid w:val="00342B69"/>
    <w:rsid w:val="00342B6F"/>
    <w:rsid w:val="00342BBD"/>
    <w:rsid w:val="00342CBE"/>
    <w:rsid w:val="00342D33"/>
    <w:rsid w:val="00342D7F"/>
    <w:rsid w:val="00342DA9"/>
    <w:rsid w:val="00342DB9"/>
    <w:rsid w:val="00342F98"/>
    <w:rsid w:val="00342FC9"/>
    <w:rsid w:val="00343048"/>
    <w:rsid w:val="0034321B"/>
    <w:rsid w:val="0034322F"/>
    <w:rsid w:val="003432A3"/>
    <w:rsid w:val="003432E7"/>
    <w:rsid w:val="0034331C"/>
    <w:rsid w:val="00343417"/>
    <w:rsid w:val="0034341B"/>
    <w:rsid w:val="00343520"/>
    <w:rsid w:val="00343552"/>
    <w:rsid w:val="0034359E"/>
    <w:rsid w:val="0034379F"/>
    <w:rsid w:val="003438CD"/>
    <w:rsid w:val="00343926"/>
    <w:rsid w:val="00343996"/>
    <w:rsid w:val="00343A5D"/>
    <w:rsid w:val="00343AAB"/>
    <w:rsid w:val="00343AD9"/>
    <w:rsid w:val="00343AEC"/>
    <w:rsid w:val="00343AF6"/>
    <w:rsid w:val="00343BF3"/>
    <w:rsid w:val="00343C98"/>
    <w:rsid w:val="00343C99"/>
    <w:rsid w:val="00343CD6"/>
    <w:rsid w:val="00343D35"/>
    <w:rsid w:val="00343D3B"/>
    <w:rsid w:val="00343D53"/>
    <w:rsid w:val="00343D82"/>
    <w:rsid w:val="00343EF9"/>
    <w:rsid w:val="00343F93"/>
    <w:rsid w:val="00343FF5"/>
    <w:rsid w:val="003440D3"/>
    <w:rsid w:val="0034414C"/>
    <w:rsid w:val="00344333"/>
    <w:rsid w:val="00344427"/>
    <w:rsid w:val="0034450E"/>
    <w:rsid w:val="00344625"/>
    <w:rsid w:val="0034468F"/>
    <w:rsid w:val="003447B6"/>
    <w:rsid w:val="003447BA"/>
    <w:rsid w:val="00344815"/>
    <w:rsid w:val="00344822"/>
    <w:rsid w:val="00344A14"/>
    <w:rsid w:val="00344AD1"/>
    <w:rsid w:val="00344AF4"/>
    <w:rsid w:val="00344B19"/>
    <w:rsid w:val="00344C28"/>
    <w:rsid w:val="00344C39"/>
    <w:rsid w:val="00344C56"/>
    <w:rsid w:val="00344C6A"/>
    <w:rsid w:val="00344CEB"/>
    <w:rsid w:val="00344DBE"/>
    <w:rsid w:val="00344DC5"/>
    <w:rsid w:val="00344E8B"/>
    <w:rsid w:val="00344E98"/>
    <w:rsid w:val="00344EB6"/>
    <w:rsid w:val="00344F01"/>
    <w:rsid w:val="00344F65"/>
    <w:rsid w:val="003450AC"/>
    <w:rsid w:val="003450CB"/>
    <w:rsid w:val="0034513E"/>
    <w:rsid w:val="00345274"/>
    <w:rsid w:val="003452BB"/>
    <w:rsid w:val="003453B9"/>
    <w:rsid w:val="003453EC"/>
    <w:rsid w:val="0034548C"/>
    <w:rsid w:val="003454C3"/>
    <w:rsid w:val="003454CB"/>
    <w:rsid w:val="0034567A"/>
    <w:rsid w:val="00345AFA"/>
    <w:rsid w:val="00345B3D"/>
    <w:rsid w:val="00345CDD"/>
    <w:rsid w:val="00345F43"/>
    <w:rsid w:val="003460C5"/>
    <w:rsid w:val="003460ED"/>
    <w:rsid w:val="00346241"/>
    <w:rsid w:val="00346242"/>
    <w:rsid w:val="00346327"/>
    <w:rsid w:val="00346397"/>
    <w:rsid w:val="003463B8"/>
    <w:rsid w:val="003463C4"/>
    <w:rsid w:val="00346484"/>
    <w:rsid w:val="0034655D"/>
    <w:rsid w:val="00346584"/>
    <w:rsid w:val="00346604"/>
    <w:rsid w:val="00346617"/>
    <w:rsid w:val="0034671F"/>
    <w:rsid w:val="0034674F"/>
    <w:rsid w:val="00346939"/>
    <w:rsid w:val="00346A52"/>
    <w:rsid w:val="00346B6C"/>
    <w:rsid w:val="00346BFE"/>
    <w:rsid w:val="00346E7D"/>
    <w:rsid w:val="00346EE9"/>
    <w:rsid w:val="00346F80"/>
    <w:rsid w:val="00346FAA"/>
    <w:rsid w:val="00346FBA"/>
    <w:rsid w:val="00346FFD"/>
    <w:rsid w:val="0034702F"/>
    <w:rsid w:val="00347034"/>
    <w:rsid w:val="003470E3"/>
    <w:rsid w:val="003470FB"/>
    <w:rsid w:val="00347143"/>
    <w:rsid w:val="0034715C"/>
    <w:rsid w:val="00347305"/>
    <w:rsid w:val="00347526"/>
    <w:rsid w:val="00347689"/>
    <w:rsid w:val="003477A1"/>
    <w:rsid w:val="0034784F"/>
    <w:rsid w:val="0034792E"/>
    <w:rsid w:val="00347A0B"/>
    <w:rsid w:val="00347AAE"/>
    <w:rsid w:val="00347B62"/>
    <w:rsid w:val="00347BFD"/>
    <w:rsid w:val="00347CE6"/>
    <w:rsid w:val="00347D49"/>
    <w:rsid w:val="00347E72"/>
    <w:rsid w:val="00347ECB"/>
    <w:rsid w:val="00347F77"/>
    <w:rsid w:val="00347FEB"/>
    <w:rsid w:val="00350011"/>
    <w:rsid w:val="0035001B"/>
    <w:rsid w:val="00350056"/>
    <w:rsid w:val="0035017C"/>
    <w:rsid w:val="003501A3"/>
    <w:rsid w:val="00350386"/>
    <w:rsid w:val="0035041D"/>
    <w:rsid w:val="00350586"/>
    <w:rsid w:val="00350600"/>
    <w:rsid w:val="0035063A"/>
    <w:rsid w:val="0035071E"/>
    <w:rsid w:val="0035073C"/>
    <w:rsid w:val="003508D4"/>
    <w:rsid w:val="003508D9"/>
    <w:rsid w:val="00350904"/>
    <w:rsid w:val="00350A6F"/>
    <w:rsid w:val="00350B5E"/>
    <w:rsid w:val="00350C66"/>
    <w:rsid w:val="00350D2F"/>
    <w:rsid w:val="00350D84"/>
    <w:rsid w:val="00350E4A"/>
    <w:rsid w:val="00350F4A"/>
    <w:rsid w:val="0035114D"/>
    <w:rsid w:val="003515C3"/>
    <w:rsid w:val="003517C5"/>
    <w:rsid w:val="003517FE"/>
    <w:rsid w:val="00351888"/>
    <w:rsid w:val="003519CE"/>
    <w:rsid w:val="00351A23"/>
    <w:rsid w:val="00351A63"/>
    <w:rsid w:val="00351A81"/>
    <w:rsid w:val="00351B18"/>
    <w:rsid w:val="00351B60"/>
    <w:rsid w:val="00351D47"/>
    <w:rsid w:val="00351D60"/>
    <w:rsid w:val="00351DF3"/>
    <w:rsid w:val="00351E4A"/>
    <w:rsid w:val="00351E6B"/>
    <w:rsid w:val="00351E94"/>
    <w:rsid w:val="00351EB1"/>
    <w:rsid w:val="00351EE6"/>
    <w:rsid w:val="00352004"/>
    <w:rsid w:val="003520CB"/>
    <w:rsid w:val="003520ED"/>
    <w:rsid w:val="0035231B"/>
    <w:rsid w:val="00352388"/>
    <w:rsid w:val="0035239B"/>
    <w:rsid w:val="003523CE"/>
    <w:rsid w:val="0035241D"/>
    <w:rsid w:val="00352444"/>
    <w:rsid w:val="003524F6"/>
    <w:rsid w:val="003528F9"/>
    <w:rsid w:val="0035296F"/>
    <w:rsid w:val="003529D0"/>
    <w:rsid w:val="00352B15"/>
    <w:rsid w:val="00352BFC"/>
    <w:rsid w:val="00352C35"/>
    <w:rsid w:val="00352C3F"/>
    <w:rsid w:val="00352C68"/>
    <w:rsid w:val="00352CC8"/>
    <w:rsid w:val="00352DF4"/>
    <w:rsid w:val="00352E32"/>
    <w:rsid w:val="00352EE2"/>
    <w:rsid w:val="00352F42"/>
    <w:rsid w:val="00353061"/>
    <w:rsid w:val="00353088"/>
    <w:rsid w:val="003530BF"/>
    <w:rsid w:val="0035318E"/>
    <w:rsid w:val="00353208"/>
    <w:rsid w:val="0035327C"/>
    <w:rsid w:val="003532A5"/>
    <w:rsid w:val="003532AE"/>
    <w:rsid w:val="003532CD"/>
    <w:rsid w:val="00353373"/>
    <w:rsid w:val="003534B3"/>
    <w:rsid w:val="00353572"/>
    <w:rsid w:val="003535F6"/>
    <w:rsid w:val="00353662"/>
    <w:rsid w:val="00353683"/>
    <w:rsid w:val="003536A8"/>
    <w:rsid w:val="00353713"/>
    <w:rsid w:val="003537E8"/>
    <w:rsid w:val="0035381B"/>
    <w:rsid w:val="003538A9"/>
    <w:rsid w:val="003538E2"/>
    <w:rsid w:val="00353A3C"/>
    <w:rsid w:val="00353A9E"/>
    <w:rsid w:val="00353B94"/>
    <w:rsid w:val="00353B9A"/>
    <w:rsid w:val="00353C86"/>
    <w:rsid w:val="00353D34"/>
    <w:rsid w:val="00353DA3"/>
    <w:rsid w:val="00353EC1"/>
    <w:rsid w:val="00353EE6"/>
    <w:rsid w:val="00353F1F"/>
    <w:rsid w:val="00353F57"/>
    <w:rsid w:val="00353FF9"/>
    <w:rsid w:val="00354112"/>
    <w:rsid w:val="0035416E"/>
    <w:rsid w:val="003541FF"/>
    <w:rsid w:val="0035422E"/>
    <w:rsid w:val="0035433A"/>
    <w:rsid w:val="00354422"/>
    <w:rsid w:val="00354509"/>
    <w:rsid w:val="00354640"/>
    <w:rsid w:val="00354807"/>
    <w:rsid w:val="00354893"/>
    <w:rsid w:val="003548A2"/>
    <w:rsid w:val="003548D3"/>
    <w:rsid w:val="003548F8"/>
    <w:rsid w:val="0035490D"/>
    <w:rsid w:val="00354933"/>
    <w:rsid w:val="0035496D"/>
    <w:rsid w:val="00354A20"/>
    <w:rsid w:val="00354AF3"/>
    <w:rsid w:val="00354AFD"/>
    <w:rsid w:val="00354B24"/>
    <w:rsid w:val="00354CFB"/>
    <w:rsid w:val="00354D2E"/>
    <w:rsid w:val="00354DCA"/>
    <w:rsid w:val="00354F5E"/>
    <w:rsid w:val="00354FA3"/>
    <w:rsid w:val="003550B0"/>
    <w:rsid w:val="003551AF"/>
    <w:rsid w:val="003551D5"/>
    <w:rsid w:val="003551DB"/>
    <w:rsid w:val="00355249"/>
    <w:rsid w:val="00355427"/>
    <w:rsid w:val="00355500"/>
    <w:rsid w:val="0035556F"/>
    <w:rsid w:val="003555ED"/>
    <w:rsid w:val="00355606"/>
    <w:rsid w:val="00355607"/>
    <w:rsid w:val="00355646"/>
    <w:rsid w:val="0035569A"/>
    <w:rsid w:val="0035572B"/>
    <w:rsid w:val="003557B6"/>
    <w:rsid w:val="00355885"/>
    <w:rsid w:val="00355911"/>
    <w:rsid w:val="00355999"/>
    <w:rsid w:val="003559A5"/>
    <w:rsid w:val="00355A91"/>
    <w:rsid w:val="00355B0C"/>
    <w:rsid w:val="00355BB9"/>
    <w:rsid w:val="00355BD3"/>
    <w:rsid w:val="00355C70"/>
    <w:rsid w:val="00355C7B"/>
    <w:rsid w:val="00355D30"/>
    <w:rsid w:val="00355D54"/>
    <w:rsid w:val="00355E74"/>
    <w:rsid w:val="00355EFF"/>
    <w:rsid w:val="00355F08"/>
    <w:rsid w:val="00355F1B"/>
    <w:rsid w:val="00355F8D"/>
    <w:rsid w:val="0035602D"/>
    <w:rsid w:val="003560D2"/>
    <w:rsid w:val="00356118"/>
    <w:rsid w:val="0035613E"/>
    <w:rsid w:val="00356202"/>
    <w:rsid w:val="0035625B"/>
    <w:rsid w:val="00356355"/>
    <w:rsid w:val="003563EF"/>
    <w:rsid w:val="0035648D"/>
    <w:rsid w:val="003564AC"/>
    <w:rsid w:val="003564C3"/>
    <w:rsid w:val="003565A1"/>
    <w:rsid w:val="003565BD"/>
    <w:rsid w:val="00356815"/>
    <w:rsid w:val="0035692C"/>
    <w:rsid w:val="003569F8"/>
    <w:rsid w:val="00356A2E"/>
    <w:rsid w:val="00356BE1"/>
    <w:rsid w:val="00356C01"/>
    <w:rsid w:val="00356CBC"/>
    <w:rsid w:val="00356CEC"/>
    <w:rsid w:val="00356CEF"/>
    <w:rsid w:val="00356D08"/>
    <w:rsid w:val="00356D8C"/>
    <w:rsid w:val="00356E23"/>
    <w:rsid w:val="00356E41"/>
    <w:rsid w:val="00356E5F"/>
    <w:rsid w:val="00356EF4"/>
    <w:rsid w:val="00356F7D"/>
    <w:rsid w:val="00356F85"/>
    <w:rsid w:val="00356FE0"/>
    <w:rsid w:val="00356FF8"/>
    <w:rsid w:val="0035701A"/>
    <w:rsid w:val="00357194"/>
    <w:rsid w:val="0035722E"/>
    <w:rsid w:val="00357245"/>
    <w:rsid w:val="003572C5"/>
    <w:rsid w:val="0035733A"/>
    <w:rsid w:val="003573C1"/>
    <w:rsid w:val="003573C9"/>
    <w:rsid w:val="003573E8"/>
    <w:rsid w:val="003574E7"/>
    <w:rsid w:val="0035756E"/>
    <w:rsid w:val="003576CF"/>
    <w:rsid w:val="00357797"/>
    <w:rsid w:val="003577BD"/>
    <w:rsid w:val="003577BF"/>
    <w:rsid w:val="003578AE"/>
    <w:rsid w:val="003578F9"/>
    <w:rsid w:val="00357938"/>
    <w:rsid w:val="003579E1"/>
    <w:rsid w:val="00357A2D"/>
    <w:rsid w:val="00357A6A"/>
    <w:rsid w:val="00357AC4"/>
    <w:rsid w:val="00357AFF"/>
    <w:rsid w:val="00357B81"/>
    <w:rsid w:val="00357BC3"/>
    <w:rsid w:val="00357C07"/>
    <w:rsid w:val="00357C27"/>
    <w:rsid w:val="00357C62"/>
    <w:rsid w:val="00357CB6"/>
    <w:rsid w:val="00357CE5"/>
    <w:rsid w:val="00357D79"/>
    <w:rsid w:val="00357EFA"/>
    <w:rsid w:val="00357F2E"/>
    <w:rsid w:val="00357F91"/>
    <w:rsid w:val="00360015"/>
    <w:rsid w:val="003600D8"/>
    <w:rsid w:val="003602D0"/>
    <w:rsid w:val="003602DB"/>
    <w:rsid w:val="0036030C"/>
    <w:rsid w:val="00360429"/>
    <w:rsid w:val="00360466"/>
    <w:rsid w:val="00360469"/>
    <w:rsid w:val="00360524"/>
    <w:rsid w:val="0036058B"/>
    <w:rsid w:val="0036075F"/>
    <w:rsid w:val="0036077C"/>
    <w:rsid w:val="00360781"/>
    <w:rsid w:val="003607C4"/>
    <w:rsid w:val="00360839"/>
    <w:rsid w:val="0036089C"/>
    <w:rsid w:val="00360B04"/>
    <w:rsid w:val="00360BFC"/>
    <w:rsid w:val="00360CFA"/>
    <w:rsid w:val="00360E38"/>
    <w:rsid w:val="00360F00"/>
    <w:rsid w:val="00360F08"/>
    <w:rsid w:val="00360FDF"/>
    <w:rsid w:val="00361001"/>
    <w:rsid w:val="00361029"/>
    <w:rsid w:val="0036109F"/>
    <w:rsid w:val="00361158"/>
    <w:rsid w:val="00361324"/>
    <w:rsid w:val="00361442"/>
    <w:rsid w:val="00361576"/>
    <w:rsid w:val="003615F1"/>
    <w:rsid w:val="003616F6"/>
    <w:rsid w:val="00361718"/>
    <w:rsid w:val="00361748"/>
    <w:rsid w:val="00361788"/>
    <w:rsid w:val="0036186C"/>
    <w:rsid w:val="003619BB"/>
    <w:rsid w:val="00361A89"/>
    <w:rsid w:val="00361B98"/>
    <w:rsid w:val="00361C31"/>
    <w:rsid w:val="00361CA3"/>
    <w:rsid w:val="00361CDA"/>
    <w:rsid w:val="00361D78"/>
    <w:rsid w:val="00361DA1"/>
    <w:rsid w:val="0036206C"/>
    <w:rsid w:val="00362273"/>
    <w:rsid w:val="003622F5"/>
    <w:rsid w:val="003623D9"/>
    <w:rsid w:val="003624CB"/>
    <w:rsid w:val="00362532"/>
    <w:rsid w:val="00362581"/>
    <w:rsid w:val="00362766"/>
    <w:rsid w:val="00362780"/>
    <w:rsid w:val="00362801"/>
    <w:rsid w:val="003628F2"/>
    <w:rsid w:val="00362B1A"/>
    <w:rsid w:val="00362BA3"/>
    <w:rsid w:val="00362D0A"/>
    <w:rsid w:val="00362DD1"/>
    <w:rsid w:val="00362E6E"/>
    <w:rsid w:val="00362EB3"/>
    <w:rsid w:val="00362F3E"/>
    <w:rsid w:val="00362F61"/>
    <w:rsid w:val="0036307C"/>
    <w:rsid w:val="0036311B"/>
    <w:rsid w:val="0036316D"/>
    <w:rsid w:val="00363221"/>
    <w:rsid w:val="00363484"/>
    <w:rsid w:val="00363543"/>
    <w:rsid w:val="003635C4"/>
    <w:rsid w:val="00363666"/>
    <w:rsid w:val="003636B5"/>
    <w:rsid w:val="003636D9"/>
    <w:rsid w:val="003637C9"/>
    <w:rsid w:val="00363895"/>
    <w:rsid w:val="0036389D"/>
    <w:rsid w:val="0036391D"/>
    <w:rsid w:val="0036393A"/>
    <w:rsid w:val="0036395A"/>
    <w:rsid w:val="0036397E"/>
    <w:rsid w:val="00363A8C"/>
    <w:rsid w:val="00363B4B"/>
    <w:rsid w:val="00363CD1"/>
    <w:rsid w:val="00363D0D"/>
    <w:rsid w:val="00363D88"/>
    <w:rsid w:val="00363E3A"/>
    <w:rsid w:val="00363E58"/>
    <w:rsid w:val="00364087"/>
    <w:rsid w:val="003640AF"/>
    <w:rsid w:val="00364178"/>
    <w:rsid w:val="00364356"/>
    <w:rsid w:val="00364472"/>
    <w:rsid w:val="0036447D"/>
    <w:rsid w:val="00364780"/>
    <w:rsid w:val="0036480C"/>
    <w:rsid w:val="003648E3"/>
    <w:rsid w:val="003648ED"/>
    <w:rsid w:val="00364AE9"/>
    <w:rsid w:val="00364AEA"/>
    <w:rsid w:val="00364C18"/>
    <w:rsid w:val="00364C2E"/>
    <w:rsid w:val="00364C5B"/>
    <w:rsid w:val="00364CB7"/>
    <w:rsid w:val="00364CD5"/>
    <w:rsid w:val="00364DAC"/>
    <w:rsid w:val="00364E0E"/>
    <w:rsid w:val="00364EF1"/>
    <w:rsid w:val="003650D5"/>
    <w:rsid w:val="00365131"/>
    <w:rsid w:val="00365134"/>
    <w:rsid w:val="00365205"/>
    <w:rsid w:val="00365259"/>
    <w:rsid w:val="003652CE"/>
    <w:rsid w:val="00365339"/>
    <w:rsid w:val="0036533D"/>
    <w:rsid w:val="00365415"/>
    <w:rsid w:val="00365425"/>
    <w:rsid w:val="0036544D"/>
    <w:rsid w:val="0036548A"/>
    <w:rsid w:val="003654F4"/>
    <w:rsid w:val="003655DD"/>
    <w:rsid w:val="003659C6"/>
    <w:rsid w:val="003659EE"/>
    <w:rsid w:val="00365A2B"/>
    <w:rsid w:val="00365A45"/>
    <w:rsid w:val="00365B24"/>
    <w:rsid w:val="00365BCA"/>
    <w:rsid w:val="00365BD4"/>
    <w:rsid w:val="00365C93"/>
    <w:rsid w:val="00365CAF"/>
    <w:rsid w:val="00365CD5"/>
    <w:rsid w:val="00365D5B"/>
    <w:rsid w:val="00365D81"/>
    <w:rsid w:val="00365DA3"/>
    <w:rsid w:val="00365E3C"/>
    <w:rsid w:val="00365E56"/>
    <w:rsid w:val="00365E81"/>
    <w:rsid w:val="00365F3F"/>
    <w:rsid w:val="003660FA"/>
    <w:rsid w:val="003661B8"/>
    <w:rsid w:val="003662FE"/>
    <w:rsid w:val="00366384"/>
    <w:rsid w:val="0036642A"/>
    <w:rsid w:val="00366513"/>
    <w:rsid w:val="0036654E"/>
    <w:rsid w:val="0036670F"/>
    <w:rsid w:val="0036676C"/>
    <w:rsid w:val="0036679D"/>
    <w:rsid w:val="003667DB"/>
    <w:rsid w:val="003667E1"/>
    <w:rsid w:val="003667F2"/>
    <w:rsid w:val="0036687B"/>
    <w:rsid w:val="0036689D"/>
    <w:rsid w:val="00366915"/>
    <w:rsid w:val="00366993"/>
    <w:rsid w:val="00366B15"/>
    <w:rsid w:val="00366B73"/>
    <w:rsid w:val="00366C09"/>
    <w:rsid w:val="00366D2D"/>
    <w:rsid w:val="00366D6A"/>
    <w:rsid w:val="00366DB9"/>
    <w:rsid w:val="00366E7A"/>
    <w:rsid w:val="00366E91"/>
    <w:rsid w:val="00366F73"/>
    <w:rsid w:val="00366FEF"/>
    <w:rsid w:val="00367014"/>
    <w:rsid w:val="003671A6"/>
    <w:rsid w:val="003671B5"/>
    <w:rsid w:val="0036721D"/>
    <w:rsid w:val="00367356"/>
    <w:rsid w:val="003673AE"/>
    <w:rsid w:val="0036741C"/>
    <w:rsid w:val="0036759D"/>
    <w:rsid w:val="0036768D"/>
    <w:rsid w:val="0036769C"/>
    <w:rsid w:val="003676A2"/>
    <w:rsid w:val="00367740"/>
    <w:rsid w:val="003679B4"/>
    <w:rsid w:val="003679FE"/>
    <w:rsid w:val="00367A86"/>
    <w:rsid w:val="00367B1D"/>
    <w:rsid w:val="00367BCB"/>
    <w:rsid w:val="00367CB0"/>
    <w:rsid w:val="00367D1F"/>
    <w:rsid w:val="00367D50"/>
    <w:rsid w:val="00367F7B"/>
    <w:rsid w:val="00367FD2"/>
    <w:rsid w:val="00367FE7"/>
    <w:rsid w:val="0037006F"/>
    <w:rsid w:val="00370082"/>
    <w:rsid w:val="0037009F"/>
    <w:rsid w:val="00370298"/>
    <w:rsid w:val="0037033E"/>
    <w:rsid w:val="00370567"/>
    <w:rsid w:val="003705E5"/>
    <w:rsid w:val="00370700"/>
    <w:rsid w:val="00370714"/>
    <w:rsid w:val="0037076C"/>
    <w:rsid w:val="003707C6"/>
    <w:rsid w:val="00370887"/>
    <w:rsid w:val="003708E2"/>
    <w:rsid w:val="00370B0C"/>
    <w:rsid w:val="00370C25"/>
    <w:rsid w:val="00370CB0"/>
    <w:rsid w:val="00370CBF"/>
    <w:rsid w:val="00370D21"/>
    <w:rsid w:val="00370D7C"/>
    <w:rsid w:val="00370E51"/>
    <w:rsid w:val="00370F50"/>
    <w:rsid w:val="00371105"/>
    <w:rsid w:val="00371267"/>
    <w:rsid w:val="0037129B"/>
    <w:rsid w:val="00371559"/>
    <w:rsid w:val="003715F4"/>
    <w:rsid w:val="003716DA"/>
    <w:rsid w:val="00371793"/>
    <w:rsid w:val="00371881"/>
    <w:rsid w:val="0037193B"/>
    <w:rsid w:val="00371950"/>
    <w:rsid w:val="00371980"/>
    <w:rsid w:val="00371A84"/>
    <w:rsid w:val="00371D7C"/>
    <w:rsid w:val="00371E2A"/>
    <w:rsid w:val="00371E4C"/>
    <w:rsid w:val="00371E87"/>
    <w:rsid w:val="003720F9"/>
    <w:rsid w:val="0037221E"/>
    <w:rsid w:val="003722E1"/>
    <w:rsid w:val="00372437"/>
    <w:rsid w:val="00372455"/>
    <w:rsid w:val="00372488"/>
    <w:rsid w:val="003725CD"/>
    <w:rsid w:val="0037264C"/>
    <w:rsid w:val="00372722"/>
    <w:rsid w:val="003727F7"/>
    <w:rsid w:val="00372864"/>
    <w:rsid w:val="00372865"/>
    <w:rsid w:val="003728D2"/>
    <w:rsid w:val="00372A0E"/>
    <w:rsid w:val="00372ABA"/>
    <w:rsid w:val="00372AEE"/>
    <w:rsid w:val="00372AFB"/>
    <w:rsid w:val="00372B72"/>
    <w:rsid w:val="00372B81"/>
    <w:rsid w:val="00372BA6"/>
    <w:rsid w:val="00372C76"/>
    <w:rsid w:val="00372D4F"/>
    <w:rsid w:val="00372D77"/>
    <w:rsid w:val="003730EE"/>
    <w:rsid w:val="003731D6"/>
    <w:rsid w:val="00373351"/>
    <w:rsid w:val="003733BC"/>
    <w:rsid w:val="003733F0"/>
    <w:rsid w:val="00373442"/>
    <w:rsid w:val="003734A2"/>
    <w:rsid w:val="003734EC"/>
    <w:rsid w:val="0037350C"/>
    <w:rsid w:val="00373566"/>
    <w:rsid w:val="003736B3"/>
    <w:rsid w:val="0037376A"/>
    <w:rsid w:val="003737D3"/>
    <w:rsid w:val="00373868"/>
    <w:rsid w:val="0037388E"/>
    <w:rsid w:val="00373977"/>
    <w:rsid w:val="00373A61"/>
    <w:rsid w:val="00373A62"/>
    <w:rsid w:val="00373B27"/>
    <w:rsid w:val="00373B62"/>
    <w:rsid w:val="00373C0A"/>
    <w:rsid w:val="00373C98"/>
    <w:rsid w:val="00373D14"/>
    <w:rsid w:val="00373EFA"/>
    <w:rsid w:val="00373F7D"/>
    <w:rsid w:val="00373FC0"/>
    <w:rsid w:val="00374090"/>
    <w:rsid w:val="003742EA"/>
    <w:rsid w:val="003743BB"/>
    <w:rsid w:val="003743F8"/>
    <w:rsid w:val="0037445E"/>
    <w:rsid w:val="0037446C"/>
    <w:rsid w:val="00374494"/>
    <w:rsid w:val="0037454A"/>
    <w:rsid w:val="00374592"/>
    <w:rsid w:val="00374621"/>
    <w:rsid w:val="003746D4"/>
    <w:rsid w:val="003746F3"/>
    <w:rsid w:val="0037471D"/>
    <w:rsid w:val="0037476A"/>
    <w:rsid w:val="0037477E"/>
    <w:rsid w:val="0037486B"/>
    <w:rsid w:val="003748A9"/>
    <w:rsid w:val="003748FC"/>
    <w:rsid w:val="003749BF"/>
    <w:rsid w:val="003749E9"/>
    <w:rsid w:val="003749FF"/>
    <w:rsid w:val="00374AA2"/>
    <w:rsid w:val="00374AE3"/>
    <w:rsid w:val="00374B72"/>
    <w:rsid w:val="00374B86"/>
    <w:rsid w:val="00374C20"/>
    <w:rsid w:val="00374C4F"/>
    <w:rsid w:val="00374D02"/>
    <w:rsid w:val="00374DCF"/>
    <w:rsid w:val="00374E15"/>
    <w:rsid w:val="00374F15"/>
    <w:rsid w:val="00374F59"/>
    <w:rsid w:val="00374F65"/>
    <w:rsid w:val="00375030"/>
    <w:rsid w:val="00375064"/>
    <w:rsid w:val="003750AC"/>
    <w:rsid w:val="003750EC"/>
    <w:rsid w:val="00375112"/>
    <w:rsid w:val="00375145"/>
    <w:rsid w:val="0037524B"/>
    <w:rsid w:val="00375292"/>
    <w:rsid w:val="00375348"/>
    <w:rsid w:val="003753C6"/>
    <w:rsid w:val="003755EC"/>
    <w:rsid w:val="0037564D"/>
    <w:rsid w:val="0037565F"/>
    <w:rsid w:val="003756FC"/>
    <w:rsid w:val="00375754"/>
    <w:rsid w:val="003757A1"/>
    <w:rsid w:val="0037585E"/>
    <w:rsid w:val="003759E9"/>
    <w:rsid w:val="003759F0"/>
    <w:rsid w:val="00375A34"/>
    <w:rsid w:val="00375A40"/>
    <w:rsid w:val="00375AFF"/>
    <w:rsid w:val="00375B2A"/>
    <w:rsid w:val="00375BE1"/>
    <w:rsid w:val="00375CB9"/>
    <w:rsid w:val="00375E3D"/>
    <w:rsid w:val="00375EC5"/>
    <w:rsid w:val="00375EFA"/>
    <w:rsid w:val="00375F57"/>
    <w:rsid w:val="00375FBE"/>
    <w:rsid w:val="0037601F"/>
    <w:rsid w:val="00376045"/>
    <w:rsid w:val="00376050"/>
    <w:rsid w:val="003760FF"/>
    <w:rsid w:val="0037626C"/>
    <w:rsid w:val="003762BF"/>
    <w:rsid w:val="003762CC"/>
    <w:rsid w:val="00376309"/>
    <w:rsid w:val="00376324"/>
    <w:rsid w:val="003764AC"/>
    <w:rsid w:val="003764D1"/>
    <w:rsid w:val="003764D8"/>
    <w:rsid w:val="00376508"/>
    <w:rsid w:val="0037655F"/>
    <w:rsid w:val="00376573"/>
    <w:rsid w:val="0037658C"/>
    <w:rsid w:val="0037659C"/>
    <w:rsid w:val="00376611"/>
    <w:rsid w:val="00376811"/>
    <w:rsid w:val="00376886"/>
    <w:rsid w:val="003768FC"/>
    <w:rsid w:val="0037693B"/>
    <w:rsid w:val="00376999"/>
    <w:rsid w:val="003769C8"/>
    <w:rsid w:val="003769D1"/>
    <w:rsid w:val="00376A1F"/>
    <w:rsid w:val="00376B6A"/>
    <w:rsid w:val="00376C4D"/>
    <w:rsid w:val="00376CCC"/>
    <w:rsid w:val="00376D71"/>
    <w:rsid w:val="00376E23"/>
    <w:rsid w:val="00376E61"/>
    <w:rsid w:val="00376E99"/>
    <w:rsid w:val="00376F10"/>
    <w:rsid w:val="00376FAE"/>
    <w:rsid w:val="003771A0"/>
    <w:rsid w:val="003771C2"/>
    <w:rsid w:val="0037722B"/>
    <w:rsid w:val="003772A0"/>
    <w:rsid w:val="00377321"/>
    <w:rsid w:val="003773CA"/>
    <w:rsid w:val="0037740B"/>
    <w:rsid w:val="0037744B"/>
    <w:rsid w:val="003775AC"/>
    <w:rsid w:val="003775E8"/>
    <w:rsid w:val="00377620"/>
    <w:rsid w:val="00377683"/>
    <w:rsid w:val="003776FB"/>
    <w:rsid w:val="00377702"/>
    <w:rsid w:val="00377712"/>
    <w:rsid w:val="0037779A"/>
    <w:rsid w:val="003777BB"/>
    <w:rsid w:val="0037780F"/>
    <w:rsid w:val="0037791B"/>
    <w:rsid w:val="0037792E"/>
    <w:rsid w:val="003779D9"/>
    <w:rsid w:val="00377B3F"/>
    <w:rsid w:val="00377B8C"/>
    <w:rsid w:val="00377CB4"/>
    <w:rsid w:val="00377E52"/>
    <w:rsid w:val="00377F6D"/>
    <w:rsid w:val="00377F71"/>
    <w:rsid w:val="00380009"/>
    <w:rsid w:val="0038021F"/>
    <w:rsid w:val="00380292"/>
    <w:rsid w:val="003802BB"/>
    <w:rsid w:val="0038034A"/>
    <w:rsid w:val="00380370"/>
    <w:rsid w:val="003803E8"/>
    <w:rsid w:val="00380464"/>
    <w:rsid w:val="003804C0"/>
    <w:rsid w:val="00380531"/>
    <w:rsid w:val="003806C7"/>
    <w:rsid w:val="003807F7"/>
    <w:rsid w:val="003808E9"/>
    <w:rsid w:val="003809A4"/>
    <w:rsid w:val="00380A13"/>
    <w:rsid w:val="00380A6B"/>
    <w:rsid w:val="00380ACA"/>
    <w:rsid w:val="00380B25"/>
    <w:rsid w:val="00380BC2"/>
    <w:rsid w:val="00380C79"/>
    <w:rsid w:val="00380CD3"/>
    <w:rsid w:val="00380CD4"/>
    <w:rsid w:val="00380E5A"/>
    <w:rsid w:val="00380F7D"/>
    <w:rsid w:val="00380FC6"/>
    <w:rsid w:val="003810BB"/>
    <w:rsid w:val="003810F7"/>
    <w:rsid w:val="0038114A"/>
    <w:rsid w:val="003811A0"/>
    <w:rsid w:val="00381353"/>
    <w:rsid w:val="003813A9"/>
    <w:rsid w:val="0038146B"/>
    <w:rsid w:val="0038157B"/>
    <w:rsid w:val="00381608"/>
    <w:rsid w:val="0038166C"/>
    <w:rsid w:val="00381811"/>
    <w:rsid w:val="00381913"/>
    <w:rsid w:val="00381937"/>
    <w:rsid w:val="00381B8A"/>
    <w:rsid w:val="00381D32"/>
    <w:rsid w:val="00381DA7"/>
    <w:rsid w:val="00381DB8"/>
    <w:rsid w:val="00381DCD"/>
    <w:rsid w:val="00381E68"/>
    <w:rsid w:val="00381EAA"/>
    <w:rsid w:val="00381FE2"/>
    <w:rsid w:val="00382029"/>
    <w:rsid w:val="003820A1"/>
    <w:rsid w:val="003820BE"/>
    <w:rsid w:val="00382136"/>
    <w:rsid w:val="00382178"/>
    <w:rsid w:val="00382204"/>
    <w:rsid w:val="00382238"/>
    <w:rsid w:val="0038232D"/>
    <w:rsid w:val="0038232E"/>
    <w:rsid w:val="00382484"/>
    <w:rsid w:val="00382534"/>
    <w:rsid w:val="00382557"/>
    <w:rsid w:val="00382570"/>
    <w:rsid w:val="00382571"/>
    <w:rsid w:val="0038265B"/>
    <w:rsid w:val="003827AE"/>
    <w:rsid w:val="003827B3"/>
    <w:rsid w:val="00382A67"/>
    <w:rsid w:val="00382C22"/>
    <w:rsid w:val="00382DB7"/>
    <w:rsid w:val="00382ED2"/>
    <w:rsid w:val="00382EFF"/>
    <w:rsid w:val="00382FF9"/>
    <w:rsid w:val="00383011"/>
    <w:rsid w:val="00383120"/>
    <w:rsid w:val="00383182"/>
    <w:rsid w:val="00383250"/>
    <w:rsid w:val="00383343"/>
    <w:rsid w:val="003833AF"/>
    <w:rsid w:val="003834D0"/>
    <w:rsid w:val="00383547"/>
    <w:rsid w:val="00383662"/>
    <w:rsid w:val="003839AB"/>
    <w:rsid w:val="003839EA"/>
    <w:rsid w:val="00383A05"/>
    <w:rsid w:val="00383A77"/>
    <w:rsid w:val="00383B30"/>
    <w:rsid w:val="00383B48"/>
    <w:rsid w:val="00383BCF"/>
    <w:rsid w:val="00383C13"/>
    <w:rsid w:val="00383C5E"/>
    <w:rsid w:val="00383C8D"/>
    <w:rsid w:val="00383D17"/>
    <w:rsid w:val="00383E6C"/>
    <w:rsid w:val="00383F6F"/>
    <w:rsid w:val="00383FDD"/>
    <w:rsid w:val="00384042"/>
    <w:rsid w:val="00384071"/>
    <w:rsid w:val="003841C8"/>
    <w:rsid w:val="003842A1"/>
    <w:rsid w:val="00384325"/>
    <w:rsid w:val="0038449F"/>
    <w:rsid w:val="003844FE"/>
    <w:rsid w:val="0038472F"/>
    <w:rsid w:val="0038476C"/>
    <w:rsid w:val="00384811"/>
    <w:rsid w:val="00384834"/>
    <w:rsid w:val="00384865"/>
    <w:rsid w:val="00384971"/>
    <w:rsid w:val="00384A29"/>
    <w:rsid w:val="00384A3E"/>
    <w:rsid w:val="00384AA2"/>
    <w:rsid w:val="00384B4E"/>
    <w:rsid w:val="00384C1D"/>
    <w:rsid w:val="00384E6D"/>
    <w:rsid w:val="0038507A"/>
    <w:rsid w:val="003850D1"/>
    <w:rsid w:val="00385189"/>
    <w:rsid w:val="00385318"/>
    <w:rsid w:val="0038539A"/>
    <w:rsid w:val="003853BE"/>
    <w:rsid w:val="0038546C"/>
    <w:rsid w:val="00385605"/>
    <w:rsid w:val="00385676"/>
    <w:rsid w:val="003856F3"/>
    <w:rsid w:val="00385781"/>
    <w:rsid w:val="003857EF"/>
    <w:rsid w:val="003858B9"/>
    <w:rsid w:val="0038590F"/>
    <w:rsid w:val="0038599F"/>
    <w:rsid w:val="003859D0"/>
    <w:rsid w:val="00385AB2"/>
    <w:rsid w:val="00385BB7"/>
    <w:rsid w:val="00385BD1"/>
    <w:rsid w:val="00385C24"/>
    <w:rsid w:val="00385C64"/>
    <w:rsid w:val="00385DF1"/>
    <w:rsid w:val="00385ECB"/>
    <w:rsid w:val="00385ECE"/>
    <w:rsid w:val="00385F41"/>
    <w:rsid w:val="00385F6F"/>
    <w:rsid w:val="00385F89"/>
    <w:rsid w:val="00386084"/>
    <w:rsid w:val="00386107"/>
    <w:rsid w:val="00386161"/>
    <w:rsid w:val="0038619E"/>
    <w:rsid w:val="003861D0"/>
    <w:rsid w:val="00386308"/>
    <w:rsid w:val="003864DA"/>
    <w:rsid w:val="003865B8"/>
    <w:rsid w:val="003865DB"/>
    <w:rsid w:val="003865FF"/>
    <w:rsid w:val="0038660E"/>
    <w:rsid w:val="00386711"/>
    <w:rsid w:val="00386847"/>
    <w:rsid w:val="003868A2"/>
    <w:rsid w:val="003868BD"/>
    <w:rsid w:val="00386960"/>
    <w:rsid w:val="003869BA"/>
    <w:rsid w:val="00386A3F"/>
    <w:rsid w:val="00386B83"/>
    <w:rsid w:val="00386C2B"/>
    <w:rsid w:val="00386C6E"/>
    <w:rsid w:val="00386D45"/>
    <w:rsid w:val="00386D96"/>
    <w:rsid w:val="00386DC7"/>
    <w:rsid w:val="00386DCE"/>
    <w:rsid w:val="00386EF9"/>
    <w:rsid w:val="00386F29"/>
    <w:rsid w:val="00386FBA"/>
    <w:rsid w:val="00386FCE"/>
    <w:rsid w:val="00386FE8"/>
    <w:rsid w:val="0038705E"/>
    <w:rsid w:val="0038709C"/>
    <w:rsid w:val="003870B9"/>
    <w:rsid w:val="00387202"/>
    <w:rsid w:val="0038720A"/>
    <w:rsid w:val="003872C9"/>
    <w:rsid w:val="003873DC"/>
    <w:rsid w:val="003874DE"/>
    <w:rsid w:val="00387567"/>
    <w:rsid w:val="003875E1"/>
    <w:rsid w:val="003875F4"/>
    <w:rsid w:val="0038764D"/>
    <w:rsid w:val="00387662"/>
    <w:rsid w:val="0038775D"/>
    <w:rsid w:val="00387793"/>
    <w:rsid w:val="00387794"/>
    <w:rsid w:val="0038789A"/>
    <w:rsid w:val="003878AF"/>
    <w:rsid w:val="00387912"/>
    <w:rsid w:val="003879A8"/>
    <w:rsid w:val="00387A90"/>
    <w:rsid w:val="00387BB9"/>
    <w:rsid w:val="00387C18"/>
    <w:rsid w:val="00387C61"/>
    <w:rsid w:val="00387FD2"/>
    <w:rsid w:val="00387FD8"/>
    <w:rsid w:val="003900DF"/>
    <w:rsid w:val="00390189"/>
    <w:rsid w:val="0039019C"/>
    <w:rsid w:val="003901A9"/>
    <w:rsid w:val="00390328"/>
    <w:rsid w:val="00390458"/>
    <w:rsid w:val="003904FD"/>
    <w:rsid w:val="00390500"/>
    <w:rsid w:val="0039060D"/>
    <w:rsid w:val="00390651"/>
    <w:rsid w:val="00390691"/>
    <w:rsid w:val="003906D5"/>
    <w:rsid w:val="00390753"/>
    <w:rsid w:val="003907E2"/>
    <w:rsid w:val="00390805"/>
    <w:rsid w:val="003908FD"/>
    <w:rsid w:val="0039094D"/>
    <w:rsid w:val="003909C9"/>
    <w:rsid w:val="00390A95"/>
    <w:rsid w:val="00390AB1"/>
    <w:rsid w:val="00390ACF"/>
    <w:rsid w:val="00390B35"/>
    <w:rsid w:val="00390B98"/>
    <w:rsid w:val="00390D40"/>
    <w:rsid w:val="00390DAB"/>
    <w:rsid w:val="00390EE1"/>
    <w:rsid w:val="00390EE9"/>
    <w:rsid w:val="00390FCB"/>
    <w:rsid w:val="00391001"/>
    <w:rsid w:val="0039103C"/>
    <w:rsid w:val="00391280"/>
    <w:rsid w:val="00391423"/>
    <w:rsid w:val="003914C1"/>
    <w:rsid w:val="00391568"/>
    <w:rsid w:val="00391630"/>
    <w:rsid w:val="003916C3"/>
    <w:rsid w:val="003916D4"/>
    <w:rsid w:val="003916E0"/>
    <w:rsid w:val="003917DC"/>
    <w:rsid w:val="003918DA"/>
    <w:rsid w:val="00391A2E"/>
    <w:rsid w:val="00391A3D"/>
    <w:rsid w:val="00391B81"/>
    <w:rsid w:val="00391C0F"/>
    <w:rsid w:val="00391E9F"/>
    <w:rsid w:val="00391F52"/>
    <w:rsid w:val="00391F82"/>
    <w:rsid w:val="00391F9F"/>
    <w:rsid w:val="00391FAA"/>
    <w:rsid w:val="00391FCD"/>
    <w:rsid w:val="00392007"/>
    <w:rsid w:val="00392026"/>
    <w:rsid w:val="00392099"/>
    <w:rsid w:val="003920F0"/>
    <w:rsid w:val="00392114"/>
    <w:rsid w:val="00392188"/>
    <w:rsid w:val="0039231D"/>
    <w:rsid w:val="00392386"/>
    <w:rsid w:val="003923DF"/>
    <w:rsid w:val="003924B8"/>
    <w:rsid w:val="003924BF"/>
    <w:rsid w:val="00392510"/>
    <w:rsid w:val="00392540"/>
    <w:rsid w:val="00392617"/>
    <w:rsid w:val="00392658"/>
    <w:rsid w:val="003927DD"/>
    <w:rsid w:val="00392880"/>
    <w:rsid w:val="003929CB"/>
    <w:rsid w:val="00392A59"/>
    <w:rsid w:val="00392A6B"/>
    <w:rsid w:val="00392B03"/>
    <w:rsid w:val="00392B6F"/>
    <w:rsid w:val="00392BCB"/>
    <w:rsid w:val="00392C66"/>
    <w:rsid w:val="00392D17"/>
    <w:rsid w:val="00392DEB"/>
    <w:rsid w:val="00392E80"/>
    <w:rsid w:val="00392F16"/>
    <w:rsid w:val="00392F7E"/>
    <w:rsid w:val="0039303A"/>
    <w:rsid w:val="003931BB"/>
    <w:rsid w:val="0039330D"/>
    <w:rsid w:val="003933BF"/>
    <w:rsid w:val="00393405"/>
    <w:rsid w:val="003934F4"/>
    <w:rsid w:val="0039351A"/>
    <w:rsid w:val="003935DA"/>
    <w:rsid w:val="00393638"/>
    <w:rsid w:val="003936E4"/>
    <w:rsid w:val="00393744"/>
    <w:rsid w:val="003937BC"/>
    <w:rsid w:val="003937C9"/>
    <w:rsid w:val="00393826"/>
    <w:rsid w:val="00393854"/>
    <w:rsid w:val="003939E2"/>
    <w:rsid w:val="00393A14"/>
    <w:rsid w:val="00393B48"/>
    <w:rsid w:val="00393C39"/>
    <w:rsid w:val="00393C4B"/>
    <w:rsid w:val="00393DA9"/>
    <w:rsid w:val="00393DCB"/>
    <w:rsid w:val="00393F97"/>
    <w:rsid w:val="0039404A"/>
    <w:rsid w:val="00394154"/>
    <w:rsid w:val="00394170"/>
    <w:rsid w:val="003941E6"/>
    <w:rsid w:val="00394247"/>
    <w:rsid w:val="003942B1"/>
    <w:rsid w:val="00394315"/>
    <w:rsid w:val="00394340"/>
    <w:rsid w:val="003943AD"/>
    <w:rsid w:val="003943DD"/>
    <w:rsid w:val="0039448C"/>
    <w:rsid w:val="0039449B"/>
    <w:rsid w:val="00394687"/>
    <w:rsid w:val="00394757"/>
    <w:rsid w:val="003947A1"/>
    <w:rsid w:val="00394848"/>
    <w:rsid w:val="003948C4"/>
    <w:rsid w:val="00394929"/>
    <w:rsid w:val="00394A75"/>
    <w:rsid w:val="00394B80"/>
    <w:rsid w:val="00394BB6"/>
    <w:rsid w:val="00394C83"/>
    <w:rsid w:val="00394D76"/>
    <w:rsid w:val="00394D9C"/>
    <w:rsid w:val="00394DB7"/>
    <w:rsid w:val="00394E43"/>
    <w:rsid w:val="00394E84"/>
    <w:rsid w:val="00394F04"/>
    <w:rsid w:val="00394F3C"/>
    <w:rsid w:val="00394F5A"/>
    <w:rsid w:val="003950AE"/>
    <w:rsid w:val="00395285"/>
    <w:rsid w:val="00395308"/>
    <w:rsid w:val="003953EE"/>
    <w:rsid w:val="0039562D"/>
    <w:rsid w:val="003956EF"/>
    <w:rsid w:val="0039570B"/>
    <w:rsid w:val="0039574E"/>
    <w:rsid w:val="003957CC"/>
    <w:rsid w:val="00395812"/>
    <w:rsid w:val="0039586B"/>
    <w:rsid w:val="003958CE"/>
    <w:rsid w:val="00395991"/>
    <w:rsid w:val="00395A28"/>
    <w:rsid w:val="00395A97"/>
    <w:rsid w:val="00395BB4"/>
    <w:rsid w:val="00395BCF"/>
    <w:rsid w:val="00395C18"/>
    <w:rsid w:val="00395C30"/>
    <w:rsid w:val="00395C84"/>
    <w:rsid w:val="00395CD1"/>
    <w:rsid w:val="00395D2F"/>
    <w:rsid w:val="00395D6D"/>
    <w:rsid w:val="00395E82"/>
    <w:rsid w:val="00395ED0"/>
    <w:rsid w:val="00395F8E"/>
    <w:rsid w:val="00395FA0"/>
    <w:rsid w:val="00395FB2"/>
    <w:rsid w:val="00395FED"/>
    <w:rsid w:val="003960B3"/>
    <w:rsid w:val="00396285"/>
    <w:rsid w:val="00396299"/>
    <w:rsid w:val="003964DF"/>
    <w:rsid w:val="00396518"/>
    <w:rsid w:val="00396548"/>
    <w:rsid w:val="00396643"/>
    <w:rsid w:val="003967E1"/>
    <w:rsid w:val="00396818"/>
    <w:rsid w:val="00396832"/>
    <w:rsid w:val="00396848"/>
    <w:rsid w:val="003968E5"/>
    <w:rsid w:val="00396998"/>
    <w:rsid w:val="00396A22"/>
    <w:rsid w:val="00396B38"/>
    <w:rsid w:val="00396B69"/>
    <w:rsid w:val="00396BEA"/>
    <w:rsid w:val="00396BED"/>
    <w:rsid w:val="00396CFF"/>
    <w:rsid w:val="00396DC0"/>
    <w:rsid w:val="00396DFE"/>
    <w:rsid w:val="00396E51"/>
    <w:rsid w:val="00396E60"/>
    <w:rsid w:val="00396ECC"/>
    <w:rsid w:val="00396F08"/>
    <w:rsid w:val="00396FDD"/>
    <w:rsid w:val="00397078"/>
    <w:rsid w:val="003970D9"/>
    <w:rsid w:val="00397165"/>
    <w:rsid w:val="00397259"/>
    <w:rsid w:val="00397310"/>
    <w:rsid w:val="00397378"/>
    <w:rsid w:val="003974C1"/>
    <w:rsid w:val="00397515"/>
    <w:rsid w:val="003975A3"/>
    <w:rsid w:val="003975B0"/>
    <w:rsid w:val="0039767A"/>
    <w:rsid w:val="0039779B"/>
    <w:rsid w:val="003977DC"/>
    <w:rsid w:val="003977E9"/>
    <w:rsid w:val="00397911"/>
    <w:rsid w:val="00397A0B"/>
    <w:rsid w:val="00397BD5"/>
    <w:rsid w:val="00397BF5"/>
    <w:rsid w:val="00397C75"/>
    <w:rsid w:val="00397CD6"/>
    <w:rsid w:val="00397DA4"/>
    <w:rsid w:val="00397DE6"/>
    <w:rsid w:val="00397E20"/>
    <w:rsid w:val="00397E2F"/>
    <w:rsid w:val="00397E93"/>
    <w:rsid w:val="00397E9E"/>
    <w:rsid w:val="00397F79"/>
    <w:rsid w:val="003A01F9"/>
    <w:rsid w:val="003A0211"/>
    <w:rsid w:val="003A02C8"/>
    <w:rsid w:val="003A0341"/>
    <w:rsid w:val="003A034D"/>
    <w:rsid w:val="003A0507"/>
    <w:rsid w:val="003A0772"/>
    <w:rsid w:val="003A07C1"/>
    <w:rsid w:val="003A08D3"/>
    <w:rsid w:val="003A08E3"/>
    <w:rsid w:val="003A08ED"/>
    <w:rsid w:val="003A0996"/>
    <w:rsid w:val="003A0B96"/>
    <w:rsid w:val="003A0DB3"/>
    <w:rsid w:val="003A0DB7"/>
    <w:rsid w:val="003A0DE8"/>
    <w:rsid w:val="003A0F0F"/>
    <w:rsid w:val="003A0F2D"/>
    <w:rsid w:val="003A0F40"/>
    <w:rsid w:val="003A1143"/>
    <w:rsid w:val="003A1174"/>
    <w:rsid w:val="003A11F9"/>
    <w:rsid w:val="003A1216"/>
    <w:rsid w:val="003A1231"/>
    <w:rsid w:val="003A123E"/>
    <w:rsid w:val="003A130A"/>
    <w:rsid w:val="003A1352"/>
    <w:rsid w:val="003A13C0"/>
    <w:rsid w:val="003A144C"/>
    <w:rsid w:val="003A163A"/>
    <w:rsid w:val="003A1861"/>
    <w:rsid w:val="003A19E8"/>
    <w:rsid w:val="003A1A25"/>
    <w:rsid w:val="003A1A6D"/>
    <w:rsid w:val="003A1AF3"/>
    <w:rsid w:val="003A1BF1"/>
    <w:rsid w:val="003A1CD9"/>
    <w:rsid w:val="003A1CF8"/>
    <w:rsid w:val="003A1E37"/>
    <w:rsid w:val="003A1E98"/>
    <w:rsid w:val="003A1F30"/>
    <w:rsid w:val="003A2195"/>
    <w:rsid w:val="003A21D0"/>
    <w:rsid w:val="003A2289"/>
    <w:rsid w:val="003A2385"/>
    <w:rsid w:val="003A23AD"/>
    <w:rsid w:val="003A2411"/>
    <w:rsid w:val="003A2457"/>
    <w:rsid w:val="003A2516"/>
    <w:rsid w:val="003A2533"/>
    <w:rsid w:val="003A28A1"/>
    <w:rsid w:val="003A28B2"/>
    <w:rsid w:val="003A2915"/>
    <w:rsid w:val="003A2984"/>
    <w:rsid w:val="003A2999"/>
    <w:rsid w:val="003A2B29"/>
    <w:rsid w:val="003A2B33"/>
    <w:rsid w:val="003A2BBF"/>
    <w:rsid w:val="003A2BD9"/>
    <w:rsid w:val="003A2C1A"/>
    <w:rsid w:val="003A2C46"/>
    <w:rsid w:val="003A30CC"/>
    <w:rsid w:val="003A3330"/>
    <w:rsid w:val="003A33CB"/>
    <w:rsid w:val="003A3409"/>
    <w:rsid w:val="003A3482"/>
    <w:rsid w:val="003A3531"/>
    <w:rsid w:val="003A35D8"/>
    <w:rsid w:val="003A35FD"/>
    <w:rsid w:val="003A3712"/>
    <w:rsid w:val="003A376E"/>
    <w:rsid w:val="003A38D8"/>
    <w:rsid w:val="003A38F1"/>
    <w:rsid w:val="003A3A1E"/>
    <w:rsid w:val="003A3A84"/>
    <w:rsid w:val="003A3B02"/>
    <w:rsid w:val="003A3B3A"/>
    <w:rsid w:val="003A3C15"/>
    <w:rsid w:val="003A3C23"/>
    <w:rsid w:val="003A3D89"/>
    <w:rsid w:val="003A3E29"/>
    <w:rsid w:val="003A3EEA"/>
    <w:rsid w:val="003A3F2D"/>
    <w:rsid w:val="003A3FB6"/>
    <w:rsid w:val="003A3FC7"/>
    <w:rsid w:val="003A41B7"/>
    <w:rsid w:val="003A42C4"/>
    <w:rsid w:val="003A4314"/>
    <w:rsid w:val="003A43D4"/>
    <w:rsid w:val="003A4466"/>
    <w:rsid w:val="003A4525"/>
    <w:rsid w:val="003A45B2"/>
    <w:rsid w:val="003A45E5"/>
    <w:rsid w:val="003A462D"/>
    <w:rsid w:val="003A478E"/>
    <w:rsid w:val="003A48FF"/>
    <w:rsid w:val="003A4942"/>
    <w:rsid w:val="003A4966"/>
    <w:rsid w:val="003A4990"/>
    <w:rsid w:val="003A4B4F"/>
    <w:rsid w:val="003A4B9F"/>
    <w:rsid w:val="003A4D2C"/>
    <w:rsid w:val="003A4E27"/>
    <w:rsid w:val="003A4F58"/>
    <w:rsid w:val="003A5045"/>
    <w:rsid w:val="003A50A8"/>
    <w:rsid w:val="003A5143"/>
    <w:rsid w:val="003A51CA"/>
    <w:rsid w:val="003A5310"/>
    <w:rsid w:val="003A5350"/>
    <w:rsid w:val="003A5381"/>
    <w:rsid w:val="003A54B2"/>
    <w:rsid w:val="003A54D3"/>
    <w:rsid w:val="003A57A4"/>
    <w:rsid w:val="003A57A6"/>
    <w:rsid w:val="003A5871"/>
    <w:rsid w:val="003A596D"/>
    <w:rsid w:val="003A5A5D"/>
    <w:rsid w:val="003A5A98"/>
    <w:rsid w:val="003A5AFE"/>
    <w:rsid w:val="003A5BFE"/>
    <w:rsid w:val="003A5C23"/>
    <w:rsid w:val="003A5CC9"/>
    <w:rsid w:val="003A5CCD"/>
    <w:rsid w:val="003A5E10"/>
    <w:rsid w:val="003A5E2A"/>
    <w:rsid w:val="003A5EB8"/>
    <w:rsid w:val="003A5F3D"/>
    <w:rsid w:val="003A5F68"/>
    <w:rsid w:val="003A612F"/>
    <w:rsid w:val="003A6173"/>
    <w:rsid w:val="003A61DA"/>
    <w:rsid w:val="003A6235"/>
    <w:rsid w:val="003A623E"/>
    <w:rsid w:val="003A63E3"/>
    <w:rsid w:val="003A640B"/>
    <w:rsid w:val="003A6458"/>
    <w:rsid w:val="003A646D"/>
    <w:rsid w:val="003A64C8"/>
    <w:rsid w:val="003A65D2"/>
    <w:rsid w:val="003A6623"/>
    <w:rsid w:val="003A67BC"/>
    <w:rsid w:val="003A6874"/>
    <w:rsid w:val="003A689F"/>
    <w:rsid w:val="003A68A7"/>
    <w:rsid w:val="003A68DE"/>
    <w:rsid w:val="003A6A31"/>
    <w:rsid w:val="003A6AA6"/>
    <w:rsid w:val="003A6AFB"/>
    <w:rsid w:val="003A6B0A"/>
    <w:rsid w:val="003A6B46"/>
    <w:rsid w:val="003A6CB7"/>
    <w:rsid w:val="003A6DDD"/>
    <w:rsid w:val="003A6FAC"/>
    <w:rsid w:val="003A7008"/>
    <w:rsid w:val="003A71D3"/>
    <w:rsid w:val="003A721B"/>
    <w:rsid w:val="003A7387"/>
    <w:rsid w:val="003A7418"/>
    <w:rsid w:val="003A7555"/>
    <w:rsid w:val="003A7561"/>
    <w:rsid w:val="003A7656"/>
    <w:rsid w:val="003A7698"/>
    <w:rsid w:val="003A7725"/>
    <w:rsid w:val="003A77E0"/>
    <w:rsid w:val="003A77F3"/>
    <w:rsid w:val="003A7A09"/>
    <w:rsid w:val="003A7B35"/>
    <w:rsid w:val="003A7C97"/>
    <w:rsid w:val="003A7CA0"/>
    <w:rsid w:val="003A7D0E"/>
    <w:rsid w:val="003A7D76"/>
    <w:rsid w:val="003A7E87"/>
    <w:rsid w:val="003A7EC5"/>
    <w:rsid w:val="003A7F02"/>
    <w:rsid w:val="003A7F19"/>
    <w:rsid w:val="003A7F1E"/>
    <w:rsid w:val="003A7F2F"/>
    <w:rsid w:val="003A7F40"/>
    <w:rsid w:val="003A7F6D"/>
    <w:rsid w:val="003B01EB"/>
    <w:rsid w:val="003B0237"/>
    <w:rsid w:val="003B0371"/>
    <w:rsid w:val="003B05B9"/>
    <w:rsid w:val="003B0704"/>
    <w:rsid w:val="003B076C"/>
    <w:rsid w:val="003B0845"/>
    <w:rsid w:val="003B085C"/>
    <w:rsid w:val="003B08B1"/>
    <w:rsid w:val="003B0A15"/>
    <w:rsid w:val="003B0A60"/>
    <w:rsid w:val="003B0C17"/>
    <w:rsid w:val="003B0C3B"/>
    <w:rsid w:val="003B0D55"/>
    <w:rsid w:val="003B0EF1"/>
    <w:rsid w:val="003B0F45"/>
    <w:rsid w:val="003B0FFC"/>
    <w:rsid w:val="003B113B"/>
    <w:rsid w:val="003B1143"/>
    <w:rsid w:val="003B120C"/>
    <w:rsid w:val="003B1210"/>
    <w:rsid w:val="003B1485"/>
    <w:rsid w:val="003B14D5"/>
    <w:rsid w:val="003B14EA"/>
    <w:rsid w:val="003B1521"/>
    <w:rsid w:val="003B15CD"/>
    <w:rsid w:val="003B16D1"/>
    <w:rsid w:val="003B1753"/>
    <w:rsid w:val="003B189D"/>
    <w:rsid w:val="003B1996"/>
    <w:rsid w:val="003B1B5C"/>
    <w:rsid w:val="003B1BEB"/>
    <w:rsid w:val="003B1C05"/>
    <w:rsid w:val="003B1CF5"/>
    <w:rsid w:val="003B1DBA"/>
    <w:rsid w:val="003B1EC4"/>
    <w:rsid w:val="003B1F6E"/>
    <w:rsid w:val="003B20B5"/>
    <w:rsid w:val="003B21C8"/>
    <w:rsid w:val="003B21DE"/>
    <w:rsid w:val="003B2296"/>
    <w:rsid w:val="003B22A0"/>
    <w:rsid w:val="003B234F"/>
    <w:rsid w:val="003B2393"/>
    <w:rsid w:val="003B23F5"/>
    <w:rsid w:val="003B2405"/>
    <w:rsid w:val="003B2412"/>
    <w:rsid w:val="003B2434"/>
    <w:rsid w:val="003B256A"/>
    <w:rsid w:val="003B26C1"/>
    <w:rsid w:val="003B282F"/>
    <w:rsid w:val="003B289D"/>
    <w:rsid w:val="003B29CE"/>
    <w:rsid w:val="003B2B33"/>
    <w:rsid w:val="003B2B7C"/>
    <w:rsid w:val="003B2D4C"/>
    <w:rsid w:val="003B2E20"/>
    <w:rsid w:val="003B2E81"/>
    <w:rsid w:val="003B2EEC"/>
    <w:rsid w:val="003B2F52"/>
    <w:rsid w:val="003B2F56"/>
    <w:rsid w:val="003B305E"/>
    <w:rsid w:val="003B30B2"/>
    <w:rsid w:val="003B30F3"/>
    <w:rsid w:val="003B319C"/>
    <w:rsid w:val="003B31C9"/>
    <w:rsid w:val="003B3471"/>
    <w:rsid w:val="003B35EC"/>
    <w:rsid w:val="003B3673"/>
    <w:rsid w:val="003B3693"/>
    <w:rsid w:val="003B3784"/>
    <w:rsid w:val="003B3971"/>
    <w:rsid w:val="003B3BE4"/>
    <w:rsid w:val="003B3C81"/>
    <w:rsid w:val="003B3CAD"/>
    <w:rsid w:val="003B3DA1"/>
    <w:rsid w:val="003B3EA6"/>
    <w:rsid w:val="003B3EBF"/>
    <w:rsid w:val="003B3F0B"/>
    <w:rsid w:val="003B41D6"/>
    <w:rsid w:val="003B41EA"/>
    <w:rsid w:val="003B42D3"/>
    <w:rsid w:val="003B4318"/>
    <w:rsid w:val="003B434A"/>
    <w:rsid w:val="003B44D9"/>
    <w:rsid w:val="003B457F"/>
    <w:rsid w:val="003B46C9"/>
    <w:rsid w:val="003B46D5"/>
    <w:rsid w:val="003B482A"/>
    <w:rsid w:val="003B487A"/>
    <w:rsid w:val="003B4A1D"/>
    <w:rsid w:val="003B4A3A"/>
    <w:rsid w:val="003B4A62"/>
    <w:rsid w:val="003B4A85"/>
    <w:rsid w:val="003B4B1C"/>
    <w:rsid w:val="003B4B5B"/>
    <w:rsid w:val="003B4BA1"/>
    <w:rsid w:val="003B4DA2"/>
    <w:rsid w:val="003B4DCD"/>
    <w:rsid w:val="003B4E2E"/>
    <w:rsid w:val="003B4EAA"/>
    <w:rsid w:val="003B508D"/>
    <w:rsid w:val="003B50B2"/>
    <w:rsid w:val="003B5121"/>
    <w:rsid w:val="003B526A"/>
    <w:rsid w:val="003B52ED"/>
    <w:rsid w:val="003B53C5"/>
    <w:rsid w:val="003B53FA"/>
    <w:rsid w:val="003B5403"/>
    <w:rsid w:val="003B54FC"/>
    <w:rsid w:val="003B5588"/>
    <w:rsid w:val="003B55A6"/>
    <w:rsid w:val="003B55AF"/>
    <w:rsid w:val="003B5688"/>
    <w:rsid w:val="003B568C"/>
    <w:rsid w:val="003B57C6"/>
    <w:rsid w:val="003B5A26"/>
    <w:rsid w:val="003B5A78"/>
    <w:rsid w:val="003B5AE0"/>
    <w:rsid w:val="003B5AF8"/>
    <w:rsid w:val="003B5C29"/>
    <w:rsid w:val="003B5C37"/>
    <w:rsid w:val="003B5D38"/>
    <w:rsid w:val="003B5D77"/>
    <w:rsid w:val="003B5E43"/>
    <w:rsid w:val="003B5F31"/>
    <w:rsid w:val="003B600C"/>
    <w:rsid w:val="003B60F7"/>
    <w:rsid w:val="003B6437"/>
    <w:rsid w:val="003B6445"/>
    <w:rsid w:val="003B644C"/>
    <w:rsid w:val="003B64B0"/>
    <w:rsid w:val="003B64F9"/>
    <w:rsid w:val="003B6559"/>
    <w:rsid w:val="003B655A"/>
    <w:rsid w:val="003B65A5"/>
    <w:rsid w:val="003B66D8"/>
    <w:rsid w:val="003B6715"/>
    <w:rsid w:val="003B678B"/>
    <w:rsid w:val="003B6792"/>
    <w:rsid w:val="003B67B1"/>
    <w:rsid w:val="003B67EA"/>
    <w:rsid w:val="003B67EC"/>
    <w:rsid w:val="003B693F"/>
    <w:rsid w:val="003B6A50"/>
    <w:rsid w:val="003B6B86"/>
    <w:rsid w:val="003B6C97"/>
    <w:rsid w:val="003B6D63"/>
    <w:rsid w:val="003B6D81"/>
    <w:rsid w:val="003B6E31"/>
    <w:rsid w:val="003B6EF9"/>
    <w:rsid w:val="003B6F8F"/>
    <w:rsid w:val="003B7122"/>
    <w:rsid w:val="003B725D"/>
    <w:rsid w:val="003B72EF"/>
    <w:rsid w:val="003B7477"/>
    <w:rsid w:val="003B74A0"/>
    <w:rsid w:val="003B74D2"/>
    <w:rsid w:val="003B758A"/>
    <w:rsid w:val="003B7665"/>
    <w:rsid w:val="003B766B"/>
    <w:rsid w:val="003B76DD"/>
    <w:rsid w:val="003B770D"/>
    <w:rsid w:val="003B78EB"/>
    <w:rsid w:val="003B798A"/>
    <w:rsid w:val="003B7A1C"/>
    <w:rsid w:val="003B7A26"/>
    <w:rsid w:val="003B7A50"/>
    <w:rsid w:val="003B7A80"/>
    <w:rsid w:val="003B7B20"/>
    <w:rsid w:val="003B7B7F"/>
    <w:rsid w:val="003B7BC2"/>
    <w:rsid w:val="003B7DB0"/>
    <w:rsid w:val="003B7DBC"/>
    <w:rsid w:val="003B7ED2"/>
    <w:rsid w:val="003B7F70"/>
    <w:rsid w:val="003B7F94"/>
    <w:rsid w:val="003C01EF"/>
    <w:rsid w:val="003C029D"/>
    <w:rsid w:val="003C02AF"/>
    <w:rsid w:val="003C0319"/>
    <w:rsid w:val="003C04BB"/>
    <w:rsid w:val="003C04D7"/>
    <w:rsid w:val="003C058E"/>
    <w:rsid w:val="003C05A6"/>
    <w:rsid w:val="003C062C"/>
    <w:rsid w:val="003C068E"/>
    <w:rsid w:val="003C074C"/>
    <w:rsid w:val="003C0778"/>
    <w:rsid w:val="003C078F"/>
    <w:rsid w:val="003C08C5"/>
    <w:rsid w:val="003C08E8"/>
    <w:rsid w:val="003C08F1"/>
    <w:rsid w:val="003C0A2A"/>
    <w:rsid w:val="003C0C39"/>
    <w:rsid w:val="003C0DBA"/>
    <w:rsid w:val="003C0DD9"/>
    <w:rsid w:val="003C0F0F"/>
    <w:rsid w:val="003C0F57"/>
    <w:rsid w:val="003C0F5E"/>
    <w:rsid w:val="003C0F9E"/>
    <w:rsid w:val="003C1022"/>
    <w:rsid w:val="003C1052"/>
    <w:rsid w:val="003C1301"/>
    <w:rsid w:val="003C1714"/>
    <w:rsid w:val="003C172B"/>
    <w:rsid w:val="003C1764"/>
    <w:rsid w:val="003C1893"/>
    <w:rsid w:val="003C18B4"/>
    <w:rsid w:val="003C18C6"/>
    <w:rsid w:val="003C1901"/>
    <w:rsid w:val="003C1966"/>
    <w:rsid w:val="003C19B5"/>
    <w:rsid w:val="003C1A65"/>
    <w:rsid w:val="003C1A90"/>
    <w:rsid w:val="003C1B56"/>
    <w:rsid w:val="003C1BAB"/>
    <w:rsid w:val="003C1C56"/>
    <w:rsid w:val="003C1CBB"/>
    <w:rsid w:val="003C1D83"/>
    <w:rsid w:val="003C1D8E"/>
    <w:rsid w:val="003C1F7F"/>
    <w:rsid w:val="003C2079"/>
    <w:rsid w:val="003C2082"/>
    <w:rsid w:val="003C20A4"/>
    <w:rsid w:val="003C22AF"/>
    <w:rsid w:val="003C23A5"/>
    <w:rsid w:val="003C264C"/>
    <w:rsid w:val="003C267B"/>
    <w:rsid w:val="003C27F6"/>
    <w:rsid w:val="003C2959"/>
    <w:rsid w:val="003C29BE"/>
    <w:rsid w:val="003C29E0"/>
    <w:rsid w:val="003C2ACF"/>
    <w:rsid w:val="003C2AD1"/>
    <w:rsid w:val="003C2B5F"/>
    <w:rsid w:val="003C2BE6"/>
    <w:rsid w:val="003C2C5A"/>
    <w:rsid w:val="003C2D68"/>
    <w:rsid w:val="003C2DAA"/>
    <w:rsid w:val="003C2DAD"/>
    <w:rsid w:val="003C2EEE"/>
    <w:rsid w:val="003C2F3A"/>
    <w:rsid w:val="003C2F56"/>
    <w:rsid w:val="003C2FBA"/>
    <w:rsid w:val="003C3002"/>
    <w:rsid w:val="003C3297"/>
    <w:rsid w:val="003C32FE"/>
    <w:rsid w:val="003C3305"/>
    <w:rsid w:val="003C3311"/>
    <w:rsid w:val="003C3392"/>
    <w:rsid w:val="003C33A2"/>
    <w:rsid w:val="003C3461"/>
    <w:rsid w:val="003C34E3"/>
    <w:rsid w:val="003C37D0"/>
    <w:rsid w:val="003C389E"/>
    <w:rsid w:val="003C38CC"/>
    <w:rsid w:val="003C38F2"/>
    <w:rsid w:val="003C3A90"/>
    <w:rsid w:val="003C3AA0"/>
    <w:rsid w:val="003C3AB9"/>
    <w:rsid w:val="003C3AE1"/>
    <w:rsid w:val="003C3B43"/>
    <w:rsid w:val="003C3CA5"/>
    <w:rsid w:val="003C3CC0"/>
    <w:rsid w:val="003C3DAF"/>
    <w:rsid w:val="003C3E16"/>
    <w:rsid w:val="003C3FAD"/>
    <w:rsid w:val="003C4079"/>
    <w:rsid w:val="003C40FA"/>
    <w:rsid w:val="003C413C"/>
    <w:rsid w:val="003C41B0"/>
    <w:rsid w:val="003C42FD"/>
    <w:rsid w:val="003C432A"/>
    <w:rsid w:val="003C4335"/>
    <w:rsid w:val="003C438C"/>
    <w:rsid w:val="003C43DA"/>
    <w:rsid w:val="003C44B4"/>
    <w:rsid w:val="003C4557"/>
    <w:rsid w:val="003C45C7"/>
    <w:rsid w:val="003C4611"/>
    <w:rsid w:val="003C461A"/>
    <w:rsid w:val="003C4887"/>
    <w:rsid w:val="003C4902"/>
    <w:rsid w:val="003C491D"/>
    <w:rsid w:val="003C493C"/>
    <w:rsid w:val="003C49AB"/>
    <w:rsid w:val="003C49C7"/>
    <w:rsid w:val="003C49D9"/>
    <w:rsid w:val="003C4AC0"/>
    <w:rsid w:val="003C4B01"/>
    <w:rsid w:val="003C4CA2"/>
    <w:rsid w:val="003C4CFD"/>
    <w:rsid w:val="003C4EB7"/>
    <w:rsid w:val="003C4F23"/>
    <w:rsid w:val="003C4FF3"/>
    <w:rsid w:val="003C5070"/>
    <w:rsid w:val="003C5113"/>
    <w:rsid w:val="003C51D7"/>
    <w:rsid w:val="003C5283"/>
    <w:rsid w:val="003C52EE"/>
    <w:rsid w:val="003C5303"/>
    <w:rsid w:val="003C53A7"/>
    <w:rsid w:val="003C53E4"/>
    <w:rsid w:val="003C5428"/>
    <w:rsid w:val="003C5533"/>
    <w:rsid w:val="003C553E"/>
    <w:rsid w:val="003C553F"/>
    <w:rsid w:val="003C563B"/>
    <w:rsid w:val="003C5770"/>
    <w:rsid w:val="003C582E"/>
    <w:rsid w:val="003C583E"/>
    <w:rsid w:val="003C5894"/>
    <w:rsid w:val="003C594D"/>
    <w:rsid w:val="003C5994"/>
    <w:rsid w:val="003C59D2"/>
    <w:rsid w:val="003C59D4"/>
    <w:rsid w:val="003C5A06"/>
    <w:rsid w:val="003C5A09"/>
    <w:rsid w:val="003C5A51"/>
    <w:rsid w:val="003C5CD5"/>
    <w:rsid w:val="003C5D02"/>
    <w:rsid w:val="003C5D6A"/>
    <w:rsid w:val="003C5DDD"/>
    <w:rsid w:val="003C5ED3"/>
    <w:rsid w:val="003C5F49"/>
    <w:rsid w:val="003C5F80"/>
    <w:rsid w:val="003C60C7"/>
    <w:rsid w:val="003C6277"/>
    <w:rsid w:val="003C62B8"/>
    <w:rsid w:val="003C636A"/>
    <w:rsid w:val="003C63CF"/>
    <w:rsid w:val="003C643F"/>
    <w:rsid w:val="003C645A"/>
    <w:rsid w:val="003C6543"/>
    <w:rsid w:val="003C673D"/>
    <w:rsid w:val="003C692B"/>
    <w:rsid w:val="003C6A08"/>
    <w:rsid w:val="003C6C36"/>
    <w:rsid w:val="003C6C88"/>
    <w:rsid w:val="003C6CD2"/>
    <w:rsid w:val="003C6D4C"/>
    <w:rsid w:val="003C6E7B"/>
    <w:rsid w:val="003C6F94"/>
    <w:rsid w:val="003C7039"/>
    <w:rsid w:val="003C705E"/>
    <w:rsid w:val="003C7094"/>
    <w:rsid w:val="003C719D"/>
    <w:rsid w:val="003C7264"/>
    <w:rsid w:val="003C7271"/>
    <w:rsid w:val="003C7286"/>
    <w:rsid w:val="003C7411"/>
    <w:rsid w:val="003C74E7"/>
    <w:rsid w:val="003C759C"/>
    <w:rsid w:val="003C75CD"/>
    <w:rsid w:val="003C764C"/>
    <w:rsid w:val="003C765E"/>
    <w:rsid w:val="003C76BD"/>
    <w:rsid w:val="003C7730"/>
    <w:rsid w:val="003C7749"/>
    <w:rsid w:val="003C781A"/>
    <w:rsid w:val="003C781C"/>
    <w:rsid w:val="003C78D1"/>
    <w:rsid w:val="003C7902"/>
    <w:rsid w:val="003C79CF"/>
    <w:rsid w:val="003C7B24"/>
    <w:rsid w:val="003C7BC9"/>
    <w:rsid w:val="003C7C22"/>
    <w:rsid w:val="003C7C31"/>
    <w:rsid w:val="003C7C5A"/>
    <w:rsid w:val="003C7C70"/>
    <w:rsid w:val="003C7D03"/>
    <w:rsid w:val="003C7DBC"/>
    <w:rsid w:val="003C7E1A"/>
    <w:rsid w:val="003C7E2A"/>
    <w:rsid w:val="003C7E70"/>
    <w:rsid w:val="003C7EEC"/>
    <w:rsid w:val="003C7F1A"/>
    <w:rsid w:val="003C7FC7"/>
    <w:rsid w:val="003C7FF9"/>
    <w:rsid w:val="003D0004"/>
    <w:rsid w:val="003D0076"/>
    <w:rsid w:val="003D02E3"/>
    <w:rsid w:val="003D0333"/>
    <w:rsid w:val="003D0361"/>
    <w:rsid w:val="003D050D"/>
    <w:rsid w:val="003D05B5"/>
    <w:rsid w:val="003D05E3"/>
    <w:rsid w:val="003D0707"/>
    <w:rsid w:val="003D0853"/>
    <w:rsid w:val="003D08EC"/>
    <w:rsid w:val="003D0955"/>
    <w:rsid w:val="003D09F3"/>
    <w:rsid w:val="003D0A56"/>
    <w:rsid w:val="003D0A59"/>
    <w:rsid w:val="003D0A92"/>
    <w:rsid w:val="003D0A95"/>
    <w:rsid w:val="003D0B3B"/>
    <w:rsid w:val="003D0B95"/>
    <w:rsid w:val="003D0BFA"/>
    <w:rsid w:val="003D0CA5"/>
    <w:rsid w:val="003D0D05"/>
    <w:rsid w:val="003D0D0B"/>
    <w:rsid w:val="003D0D55"/>
    <w:rsid w:val="003D0D88"/>
    <w:rsid w:val="003D0DDF"/>
    <w:rsid w:val="003D0FD1"/>
    <w:rsid w:val="003D1054"/>
    <w:rsid w:val="003D10A6"/>
    <w:rsid w:val="003D115A"/>
    <w:rsid w:val="003D117C"/>
    <w:rsid w:val="003D1190"/>
    <w:rsid w:val="003D12CC"/>
    <w:rsid w:val="003D13E8"/>
    <w:rsid w:val="003D13F0"/>
    <w:rsid w:val="003D1531"/>
    <w:rsid w:val="003D16D6"/>
    <w:rsid w:val="003D171B"/>
    <w:rsid w:val="003D187B"/>
    <w:rsid w:val="003D18BE"/>
    <w:rsid w:val="003D18D1"/>
    <w:rsid w:val="003D19BD"/>
    <w:rsid w:val="003D19D9"/>
    <w:rsid w:val="003D1A42"/>
    <w:rsid w:val="003D1A63"/>
    <w:rsid w:val="003D1C9F"/>
    <w:rsid w:val="003D1CA9"/>
    <w:rsid w:val="003D1CE9"/>
    <w:rsid w:val="003D1E2B"/>
    <w:rsid w:val="003D1E96"/>
    <w:rsid w:val="003D1F04"/>
    <w:rsid w:val="003D2149"/>
    <w:rsid w:val="003D2241"/>
    <w:rsid w:val="003D23E6"/>
    <w:rsid w:val="003D2458"/>
    <w:rsid w:val="003D2498"/>
    <w:rsid w:val="003D24CC"/>
    <w:rsid w:val="003D24FF"/>
    <w:rsid w:val="003D2612"/>
    <w:rsid w:val="003D2697"/>
    <w:rsid w:val="003D27FE"/>
    <w:rsid w:val="003D281F"/>
    <w:rsid w:val="003D2891"/>
    <w:rsid w:val="003D28B9"/>
    <w:rsid w:val="003D2919"/>
    <w:rsid w:val="003D2951"/>
    <w:rsid w:val="003D2955"/>
    <w:rsid w:val="003D29AB"/>
    <w:rsid w:val="003D2A4C"/>
    <w:rsid w:val="003D2A8A"/>
    <w:rsid w:val="003D2C30"/>
    <w:rsid w:val="003D2C5B"/>
    <w:rsid w:val="003D2C95"/>
    <w:rsid w:val="003D2D1D"/>
    <w:rsid w:val="003D2DA8"/>
    <w:rsid w:val="003D2F4F"/>
    <w:rsid w:val="003D2F94"/>
    <w:rsid w:val="003D31E7"/>
    <w:rsid w:val="003D329B"/>
    <w:rsid w:val="003D32A8"/>
    <w:rsid w:val="003D33CA"/>
    <w:rsid w:val="003D3413"/>
    <w:rsid w:val="003D34F6"/>
    <w:rsid w:val="003D3560"/>
    <w:rsid w:val="003D35E5"/>
    <w:rsid w:val="003D365A"/>
    <w:rsid w:val="003D3676"/>
    <w:rsid w:val="003D3850"/>
    <w:rsid w:val="003D38C7"/>
    <w:rsid w:val="003D38DB"/>
    <w:rsid w:val="003D39C7"/>
    <w:rsid w:val="003D3AC1"/>
    <w:rsid w:val="003D3B45"/>
    <w:rsid w:val="003D3B7D"/>
    <w:rsid w:val="003D3BB9"/>
    <w:rsid w:val="003D3C21"/>
    <w:rsid w:val="003D3C28"/>
    <w:rsid w:val="003D3E8B"/>
    <w:rsid w:val="003D4079"/>
    <w:rsid w:val="003D40CA"/>
    <w:rsid w:val="003D40E2"/>
    <w:rsid w:val="003D411B"/>
    <w:rsid w:val="003D415D"/>
    <w:rsid w:val="003D4203"/>
    <w:rsid w:val="003D4295"/>
    <w:rsid w:val="003D4332"/>
    <w:rsid w:val="003D43C3"/>
    <w:rsid w:val="003D43F1"/>
    <w:rsid w:val="003D4479"/>
    <w:rsid w:val="003D4592"/>
    <w:rsid w:val="003D4599"/>
    <w:rsid w:val="003D45D7"/>
    <w:rsid w:val="003D466E"/>
    <w:rsid w:val="003D4783"/>
    <w:rsid w:val="003D4826"/>
    <w:rsid w:val="003D4838"/>
    <w:rsid w:val="003D485A"/>
    <w:rsid w:val="003D487E"/>
    <w:rsid w:val="003D4933"/>
    <w:rsid w:val="003D49C4"/>
    <w:rsid w:val="003D49CA"/>
    <w:rsid w:val="003D4B87"/>
    <w:rsid w:val="003D4CA3"/>
    <w:rsid w:val="003D4E29"/>
    <w:rsid w:val="003D4E7B"/>
    <w:rsid w:val="003D4EAB"/>
    <w:rsid w:val="003D4F3A"/>
    <w:rsid w:val="003D4F6A"/>
    <w:rsid w:val="003D50B2"/>
    <w:rsid w:val="003D50D7"/>
    <w:rsid w:val="003D50E4"/>
    <w:rsid w:val="003D5108"/>
    <w:rsid w:val="003D511F"/>
    <w:rsid w:val="003D5138"/>
    <w:rsid w:val="003D52A2"/>
    <w:rsid w:val="003D5360"/>
    <w:rsid w:val="003D54CF"/>
    <w:rsid w:val="003D550B"/>
    <w:rsid w:val="003D55D7"/>
    <w:rsid w:val="003D5740"/>
    <w:rsid w:val="003D577E"/>
    <w:rsid w:val="003D5994"/>
    <w:rsid w:val="003D5B53"/>
    <w:rsid w:val="003D5BA7"/>
    <w:rsid w:val="003D5C51"/>
    <w:rsid w:val="003D5CA1"/>
    <w:rsid w:val="003D5CCC"/>
    <w:rsid w:val="003D5CCD"/>
    <w:rsid w:val="003D5CE7"/>
    <w:rsid w:val="003D5CF9"/>
    <w:rsid w:val="003D5E69"/>
    <w:rsid w:val="003D5F41"/>
    <w:rsid w:val="003D5FA5"/>
    <w:rsid w:val="003D6067"/>
    <w:rsid w:val="003D608A"/>
    <w:rsid w:val="003D62D6"/>
    <w:rsid w:val="003D6315"/>
    <w:rsid w:val="003D6358"/>
    <w:rsid w:val="003D63FC"/>
    <w:rsid w:val="003D6404"/>
    <w:rsid w:val="003D641B"/>
    <w:rsid w:val="003D6507"/>
    <w:rsid w:val="003D6662"/>
    <w:rsid w:val="003D667D"/>
    <w:rsid w:val="003D6906"/>
    <w:rsid w:val="003D6928"/>
    <w:rsid w:val="003D699C"/>
    <w:rsid w:val="003D6D61"/>
    <w:rsid w:val="003D6DB8"/>
    <w:rsid w:val="003D6E09"/>
    <w:rsid w:val="003D6EDB"/>
    <w:rsid w:val="003D700C"/>
    <w:rsid w:val="003D70AD"/>
    <w:rsid w:val="003D7184"/>
    <w:rsid w:val="003D72A1"/>
    <w:rsid w:val="003D7346"/>
    <w:rsid w:val="003D74B5"/>
    <w:rsid w:val="003D752C"/>
    <w:rsid w:val="003D7552"/>
    <w:rsid w:val="003D755B"/>
    <w:rsid w:val="003D75D0"/>
    <w:rsid w:val="003D7671"/>
    <w:rsid w:val="003D7770"/>
    <w:rsid w:val="003D77A8"/>
    <w:rsid w:val="003D781F"/>
    <w:rsid w:val="003D7829"/>
    <w:rsid w:val="003D782D"/>
    <w:rsid w:val="003D78E7"/>
    <w:rsid w:val="003D793A"/>
    <w:rsid w:val="003D7947"/>
    <w:rsid w:val="003D79D5"/>
    <w:rsid w:val="003D7A34"/>
    <w:rsid w:val="003D7B30"/>
    <w:rsid w:val="003D7B36"/>
    <w:rsid w:val="003D7B51"/>
    <w:rsid w:val="003D7B5F"/>
    <w:rsid w:val="003D7D72"/>
    <w:rsid w:val="003D7DA7"/>
    <w:rsid w:val="003D7EA3"/>
    <w:rsid w:val="003D7EB8"/>
    <w:rsid w:val="003E0070"/>
    <w:rsid w:val="003E0178"/>
    <w:rsid w:val="003E02FA"/>
    <w:rsid w:val="003E0379"/>
    <w:rsid w:val="003E03C4"/>
    <w:rsid w:val="003E043B"/>
    <w:rsid w:val="003E0444"/>
    <w:rsid w:val="003E0477"/>
    <w:rsid w:val="003E04C9"/>
    <w:rsid w:val="003E04F2"/>
    <w:rsid w:val="003E05B0"/>
    <w:rsid w:val="003E069F"/>
    <w:rsid w:val="003E06E7"/>
    <w:rsid w:val="003E071B"/>
    <w:rsid w:val="003E0771"/>
    <w:rsid w:val="003E08E2"/>
    <w:rsid w:val="003E09A8"/>
    <w:rsid w:val="003E09E7"/>
    <w:rsid w:val="003E0AD8"/>
    <w:rsid w:val="003E0C3B"/>
    <w:rsid w:val="003E0C7D"/>
    <w:rsid w:val="003E0D62"/>
    <w:rsid w:val="003E0EDC"/>
    <w:rsid w:val="003E0F14"/>
    <w:rsid w:val="003E0F73"/>
    <w:rsid w:val="003E107F"/>
    <w:rsid w:val="003E10D2"/>
    <w:rsid w:val="003E1132"/>
    <w:rsid w:val="003E1287"/>
    <w:rsid w:val="003E12FE"/>
    <w:rsid w:val="003E14EE"/>
    <w:rsid w:val="003E15C7"/>
    <w:rsid w:val="003E17CB"/>
    <w:rsid w:val="003E17CD"/>
    <w:rsid w:val="003E1816"/>
    <w:rsid w:val="003E18D2"/>
    <w:rsid w:val="003E191D"/>
    <w:rsid w:val="003E1B7B"/>
    <w:rsid w:val="003E1C19"/>
    <w:rsid w:val="003E1D58"/>
    <w:rsid w:val="003E1D9B"/>
    <w:rsid w:val="003E1F83"/>
    <w:rsid w:val="003E2070"/>
    <w:rsid w:val="003E20F4"/>
    <w:rsid w:val="003E24F3"/>
    <w:rsid w:val="003E2531"/>
    <w:rsid w:val="003E2588"/>
    <w:rsid w:val="003E26E4"/>
    <w:rsid w:val="003E2777"/>
    <w:rsid w:val="003E27BF"/>
    <w:rsid w:val="003E28B4"/>
    <w:rsid w:val="003E28B9"/>
    <w:rsid w:val="003E2955"/>
    <w:rsid w:val="003E29B1"/>
    <w:rsid w:val="003E2A0C"/>
    <w:rsid w:val="003E2A13"/>
    <w:rsid w:val="003E2A83"/>
    <w:rsid w:val="003E2AD3"/>
    <w:rsid w:val="003E2B18"/>
    <w:rsid w:val="003E2BA3"/>
    <w:rsid w:val="003E2CBA"/>
    <w:rsid w:val="003E2CF8"/>
    <w:rsid w:val="003E2D4E"/>
    <w:rsid w:val="003E2D80"/>
    <w:rsid w:val="003E2DA9"/>
    <w:rsid w:val="003E2DAE"/>
    <w:rsid w:val="003E2EA4"/>
    <w:rsid w:val="003E2EEB"/>
    <w:rsid w:val="003E2EEC"/>
    <w:rsid w:val="003E2FE9"/>
    <w:rsid w:val="003E3094"/>
    <w:rsid w:val="003E3111"/>
    <w:rsid w:val="003E3205"/>
    <w:rsid w:val="003E324F"/>
    <w:rsid w:val="003E327A"/>
    <w:rsid w:val="003E33FC"/>
    <w:rsid w:val="003E3743"/>
    <w:rsid w:val="003E37AA"/>
    <w:rsid w:val="003E3A0B"/>
    <w:rsid w:val="003E3AC2"/>
    <w:rsid w:val="003E3D1B"/>
    <w:rsid w:val="003E3D3A"/>
    <w:rsid w:val="003E3E69"/>
    <w:rsid w:val="003E3E8D"/>
    <w:rsid w:val="003E3EFC"/>
    <w:rsid w:val="003E3F37"/>
    <w:rsid w:val="003E3F4F"/>
    <w:rsid w:val="003E404F"/>
    <w:rsid w:val="003E407E"/>
    <w:rsid w:val="003E40C7"/>
    <w:rsid w:val="003E420B"/>
    <w:rsid w:val="003E4231"/>
    <w:rsid w:val="003E4299"/>
    <w:rsid w:val="003E43C7"/>
    <w:rsid w:val="003E4441"/>
    <w:rsid w:val="003E4487"/>
    <w:rsid w:val="003E44C7"/>
    <w:rsid w:val="003E44D5"/>
    <w:rsid w:val="003E457F"/>
    <w:rsid w:val="003E4703"/>
    <w:rsid w:val="003E4779"/>
    <w:rsid w:val="003E479D"/>
    <w:rsid w:val="003E48FE"/>
    <w:rsid w:val="003E490F"/>
    <w:rsid w:val="003E49C2"/>
    <w:rsid w:val="003E4A44"/>
    <w:rsid w:val="003E4CDC"/>
    <w:rsid w:val="003E4D85"/>
    <w:rsid w:val="003E4DD7"/>
    <w:rsid w:val="003E4F11"/>
    <w:rsid w:val="003E4F67"/>
    <w:rsid w:val="003E4F9B"/>
    <w:rsid w:val="003E5167"/>
    <w:rsid w:val="003E51A4"/>
    <w:rsid w:val="003E51B7"/>
    <w:rsid w:val="003E52C7"/>
    <w:rsid w:val="003E52EC"/>
    <w:rsid w:val="003E5414"/>
    <w:rsid w:val="003E5572"/>
    <w:rsid w:val="003E55F3"/>
    <w:rsid w:val="003E5692"/>
    <w:rsid w:val="003E5739"/>
    <w:rsid w:val="003E57DE"/>
    <w:rsid w:val="003E57E9"/>
    <w:rsid w:val="003E5848"/>
    <w:rsid w:val="003E5912"/>
    <w:rsid w:val="003E59CD"/>
    <w:rsid w:val="003E5A26"/>
    <w:rsid w:val="003E5A2C"/>
    <w:rsid w:val="003E5B0D"/>
    <w:rsid w:val="003E5B26"/>
    <w:rsid w:val="003E5B29"/>
    <w:rsid w:val="003E5BC0"/>
    <w:rsid w:val="003E5C22"/>
    <w:rsid w:val="003E5C38"/>
    <w:rsid w:val="003E5C80"/>
    <w:rsid w:val="003E5CA2"/>
    <w:rsid w:val="003E5D25"/>
    <w:rsid w:val="003E5D4F"/>
    <w:rsid w:val="003E5DF0"/>
    <w:rsid w:val="003E5F3E"/>
    <w:rsid w:val="003E601E"/>
    <w:rsid w:val="003E6127"/>
    <w:rsid w:val="003E6185"/>
    <w:rsid w:val="003E6187"/>
    <w:rsid w:val="003E61AA"/>
    <w:rsid w:val="003E61E0"/>
    <w:rsid w:val="003E62D6"/>
    <w:rsid w:val="003E6365"/>
    <w:rsid w:val="003E63B4"/>
    <w:rsid w:val="003E647C"/>
    <w:rsid w:val="003E6690"/>
    <w:rsid w:val="003E669A"/>
    <w:rsid w:val="003E6782"/>
    <w:rsid w:val="003E67F0"/>
    <w:rsid w:val="003E67FC"/>
    <w:rsid w:val="003E68EB"/>
    <w:rsid w:val="003E6929"/>
    <w:rsid w:val="003E6A09"/>
    <w:rsid w:val="003E6A34"/>
    <w:rsid w:val="003E6A56"/>
    <w:rsid w:val="003E6BAA"/>
    <w:rsid w:val="003E6BCE"/>
    <w:rsid w:val="003E6C27"/>
    <w:rsid w:val="003E6C4E"/>
    <w:rsid w:val="003E6E08"/>
    <w:rsid w:val="003E6E11"/>
    <w:rsid w:val="003E6F0B"/>
    <w:rsid w:val="003E6F2B"/>
    <w:rsid w:val="003E7057"/>
    <w:rsid w:val="003E7078"/>
    <w:rsid w:val="003E707E"/>
    <w:rsid w:val="003E70D4"/>
    <w:rsid w:val="003E70F0"/>
    <w:rsid w:val="003E71BC"/>
    <w:rsid w:val="003E7234"/>
    <w:rsid w:val="003E7248"/>
    <w:rsid w:val="003E72DB"/>
    <w:rsid w:val="003E730A"/>
    <w:rsid w:val="003E734D"/>
    <w:rsid w:val="003E73C7"/>
    <w:rsid w:val="003E74A0"/>
    <w:rsid w:val="003E756A"/>
    <w:rsid w:val="003E76F2"/>
    <w:rsid w:val="003E7748"/>
    <w:rsid w:val="003E7781"/>
    <w:rsid w:val="003E783A"/>
    <w:rsid w:val="003E7928"/>
    <w:rsid w:val="003E794C"/>
    <w:rsid w:val="003E7992"/>
    <w:rsid w:val="003E79BC"/>
    <w:rsid w:val="003E7A4A"/>
    <w:rsid w:val="003E7ABC"/>
    <w:rsid w:val="003E7BF4"/>
    <w:rsid w:val="003E7BFC"/>
    <w:rsid w:val="003E7C5A"/>
    <w:rsid w:val="003E7CD9"/>
    <w:rsid w:val="003E7D8A"/>
    <w:rsid w:val="003E7D9B"/>
    <w:rsid w:val="003E7EC7"/>
    <w:rsid w:val="003F00A8"/>
    <w:rsid w:val="003F00D4"/>
    <w:rsid w:val="003F01CB"/>
    <w:rsid w:val="003F0205"/>
    <w:rsid w:val="003F0269"/>
    <w:rsid w:val="003F0337"/>
    <w:rsid w:val="003F03CE"/>
    <w:rsid w:val="003F03E3"/>
    <w:rsid w:val="003F0431"/>
    <w:rsid w:val="003F0558"/>
    <w:rsid w:val="003F05C6"/>
    <w:rsid w:val="003F0760"/>
    <w:rsid w:val="003F07D0"/>
    <w:rsid w:val="003F0866"/>
    <w:rsid w:val="003F08FA"/>
    <w:rsid w:val="003F0992"/>
    <w:rsid w:val="003F09CD"/>
    <w:rsid w:val="003F0A77"/>
    <w:rsid w:val="003F0C0B"/>
    <w:rsid w:val="003F0C27"/>
    <w:rsid w:val="003F0CF4"/>
    <w:rsid w:val="003F0D86"/>
    <w:rsid w:val="003F0D9C"/>
    <w:rsid w:val="003F0DD7"/>
    <w:rsid w:val="003F0DFD"/>
    <w:rsid w:val="003F0E92"/>
    <w:rsid w:val="003F0EF1"/>
    <w:rsid w:val="003F0F38"/>
    <w:rsid w:val="003F0F42"/>
    <w:rsid w:val="003F103E"/>
    <w:rsid w:val="003F11CE"/>
    <w:rsid w:val="003F141C"/>
    <w:rsid w:val="003F1433"/>
    <w:rsid w:val="003F144A"/>
    <w:rsid w:val="003F14B0"/>
    <w:rsid w:val="003F1537"/>
    <w:rsid w:val="003F162F"/>
    <w:rsid w:val="003F1656"/>
    <w:rsid w:val="003F1659"/>
    <w:rsid w:val="003F16E3"/>
    <w:rsid w:val="003F17C3"/>
    <w:rsid w:val="003F17C4"/>
    <w:rsid w:val="003F17ED"/>
    <w:rsid w:val="003F182C"/>
    <w:rsid w:val="003F1855"/>
    <w:rsid w:val="003F19C3"/>
    <w:rsid w:val="003F1BB4"/>
    <w:rsid w:val="003F1BE5"/>
    <w:rsid w:val="003F1BF6"/>
    <w:rsid w:val="003F1C0A"/>
    <w:rsid w:val="003F1C56"/>
    <w:rsid w:val="003F1D1B"/>
    <w:rsid w:val="003F1D8A"/>
    <w:rsid w:val="003F1DC3"/>
    <w:rsid w:val="003F1E03"/>
    <w:rsid w:val="003F1F88"/>
    <w:rsid w:val="003F1FAA"/>
    <w:rsid w:val="003F1FE8"/>
    <w:rsid w:val="003F1FEC"/>
    <w:rsid w:val="003F2016"/>
    <w:rsid w:val="003F203C"/>
    <w:rsid w:val="003F211C"/>
    <w:rsid w:val="003F2159"/>
    <w:rsid w:val="003F2205"/>
    <w:rsid w:val="003F2326"/>
    <w:rsid w:val="003F23B9"/>
    <w:rsid w:val="003F23DC"/>
    <w:rsid w:val="003F2411"/>
    <w:rsid w:val="003F2426"/>
    <w:rsid w:val="003F24C8"/>
    <w:rsid w:val="003F251E"/>
    <w:rsid w:val="003F2565"/>
    <w:rsid w:val="003F2579"/>
    <w:rsid w:val="003F25B4"/>
    <w:rsid w:val="003F260B"/>
    <w:rsid w:val="003F26E8"/>
    <w:rsid w:val="003F2794"/>
    <w:rsid w:val="003F28F5"/>
    <w:rsid w:val="003F2915"/>
    <w:rsid w:val="003F2950"/>
    <w:rsid w:val="003F2967"/>
    <w:rsid w:val="003F2983"/>
    <w:rsid w:val="003F2AB2"/>
    <w:rsid w:val="003F2B1E"/>
    <w:rsid w:val="003F2BDA"/>
    <w:rsid w:val="003F2C42"/>
    <w:rsid w:val="003F2C58"/>
    <w:rsid w:val="003F2C5B"/>
    <w:rsid w:val="003F2CEC"/>
    <w:rsid w:val="003F2D0B"/>
    <w:rsid w:val="003F2D77"/>
    <w:rsid w:val="003F2F04"/>
    <w:rsid w:val="003F2F69"/>
    <w:rsid w:val="003F2F9C"/>
    <w:rsid w:val="003F2FB5"/>
    <w:rsid w:val="003F2FCB"/>
    <w:rsid w:val="003F306C"/>
    <w:rsid w:val="003F322B"/>
    <w:rsid w:val="003F331A"/>
    <w:rsid w:val="003F3324"/>
    <w:rsid w:val="003F3329"/>
    <w:rsid w:val="003F3344"/>
    <w:rsid w:val="003F33D0"/>
    <w:rsid w:val="003F33D7"/>
    <w:rsid w:val="003F36F7"/>
    <w:rsid w:val="003F3712"/>
    <w:rsid w:val="003F3753"/>
    <w:rsid w:val="003F37DE"/>
    <w:rsid w:val="003F38B5"/>
    <w:rsid w:val="003F395F"/>
    <w:rsid w:val="003F3A21"/>
    <w:rsid w:val="003F3AE6"/>
    <w:rsid w:val="003F3C21"/>
    <w:rsid w:val="003F3CB7"/>
    <w:rsid w:val="003F3CC7"/>
    <w:rsid w:val="003F3D25"/>
    <w:rsid w:val="003F3DCA"/>
    <w:rsid w:val="003F3DCF"/>
    <w:rsid w:val="003F3E5B"/>
    <w:rsid w:val="003F3FE4"/>
    <w:rsid w:val="003F4091"/>
    <w:rsid w:val="003F4176"/>
    <w:rsid w:val="003F41A4"/>
    <w:rsid w:val="003F427B"/>
    <w:rsid w:val="003F42EF"/>
    <w:rsid w:val="003F444E"/>
    <w:rsid w:val="003F449F"/>
    <w:rsid w:val="003F4538"/>
    <w:rsid w:val="003F4604"/>
    <w:rsid w:val="003F4704"/>
    <w:rsid w:val="003F47C9"/>
    <w:rsid w:val="003F4949"/>
    <w:rsid w:val="003F49E2"/>
    <w:rsid w:val="003F4A2C"/>
    <w:rsid w:val="003F4ACA"/>
    <w:rsid w:val="003F4B1B"/>
    <w:rsid w:val="003F4BE1"/>
    <w:rsid w:val="003F4BE5"/>
    <w:rsid w:val="003F4C16"/>
    <w:rsid w:val="003F4C67"/>
    <w:rsid w:val="003F4C79"/>
    <w:rsid w:val="003F4D95"/>
    <w:rsid w:val="003F4DFD"/>
    <w:rsid w:val="003F4E0A"/>
    <w:rsid w:val="003F4EB1"/>
    <w:rsid w:val="003F4F98"/>
    <w:rsid w:val="003F4FBE"/>
    <w:rsid w:val="003F5088"/>
    <w:rsid w:val="003F5138"/>
    <w:rsid w:val="003F5245"/>
    <w:rsid w:val="003F52B5"/>
    <w:rsid w:val="003F52C5"/>
    <w:rsid w:val="003F5327"/>
    <w:rsid w:val="003F541C"/>
    <w:rsid w:val="003F5470"/>
    <w:rsid w:val="003F5487"/>
    <w:rsid w:val="003F54DD"/>
    <w:rsid w:val="003F55AB"/>
    <w:rsid w:val="003F56A7"/>
    <w:rsid w:val="003F5927"/>
    <w:rsid w:val="003F5A02"/>
    <w:rsid w:val="003F5A18"/>
    <w:rsid w:val="003F5ADD"/>
    <w:rsid w:val="003F5AFC"/>
    <w:rsid w:val="003F5B38"/>
    <w:rsid w:val="003F5BA2"/>
    <w:rsid w:val="003F5CFD"/>
    <w:rsid w:val="003F5DA6"/>
    <w:rsid w:val="003F5EDB"/>
    <w:rsid w:val="003F5F87"/>
    <w:rsid w:val="003F5FBF"/>
    <w:rsid w:val="003F6037"/>
    <w:rsid w:val="003F607C"/>
    <w:rsid w:val="003F6084"/>
    <w:rsid w:val="003F61C0"/>
    <w:rsid w:val="003F62CB"/>
    <w:rsid w:val="003F62CF"/>
    <w:rsid w:val="003F635A"/>
    <w:rsid w:val="003F637F"/>
    <w:rsid w:val="003F642F"/>
    <w:rsid w:val="003F6435"/>
    <w:rsid w:val="003F6455"/>
    <w:rsid w:val="003F654C"/>
    <w:rsid w:val="003F65BE"/>
    <w:rsid w:val="003F6837"/>
    <w:rsid w:val="003F69EA"/>
    <w:rsid w:val="003F6A03"/>
    <w:rsid w:val="003F6BB8"/>
    <w:rsid w:val="003F6C3E"/>
    <w:rsid w:val="003F6C3F"/>
    <w:rsid w:val="003F6C57"/>
    <w:rsid w:val="003F6D84"/>
    <w:rsid w:val="003F6E1F"/>
    <w:rsid w:val="003F6E29"/>
    <w:rsid w:val="003F6E45"/>
    <w:rsid w:val="003F6E79"/>
    <w:rsid w:val="003F6E83"/>
    <w:rsid w:val="003F6F33"/>
    <w:rsid w:val="003F723D"/>
    <w:rsid w:val="003F724D"/>
    <w:rsid w:val="003F7316"/>
    <w:rsid w:val="003F735E"/>
    <w:rsid w:val="003F73D8"/>
    <w:rsid w:val="003F741D"/>
    <w:rsid w:val="003F741E"/>
    <w:rsid w:val="003F74DC"/>
    <w:rsid w:val="003F7597"/>
    <w:rsid w:val="003F7629"/>
    <w:rsid w:val="003F76AB"/>
    <w:rsid w:val="003F7761"/>
    <w:rsid w:val="003F77A5"/>
    <w:rsid w:val="003F77D7"/>
    <w:rsid w:val="003F78E3"/>
    <w:rsid w:val="003F79D1"/>
    <w:rsid w:val="003F7A52"/>
    <w:rsid w:val="003F7A90"/>
    <w:rsid w:val="003F7B54"/>
    <w:rsid w:val="003F7BB6"/>
    <w:rsid w:val="003F7BCE"/>
    <w:rsid w:val="003F7C53"/>
    <w:rsid w:val="003F7D1A"/>
    <w:rsid w:val="003F7D7D"/>
    <w:rsid w:val="003F7DC2"/>
    <w:rsid w:val="003F7E8B"/>
    <w:rsid w:val="003F7EA1"/>
    <w:rsid w:val="003F7F74"/>
    <w:rsid w:val="003F7F9D"/>
    <w:rsid w:val="003F7FD8"/>
    <w:rsid w:val="00400103"/>
    <w:rsid w:val="0040011A"/>
    <w:rsid w:val="0040036D"/>
    <w:rsid w:val="00400480"/>
    <w:rsid w:val="0040052A"/>
    <w:rsid w:val="00400535"/>
    <w:rsid w:val="004006E7"/>
    <w:rsid w:val="0040071A"/>
    <w:rsid w:val="00400795"/>
    <w:rsid w:val="0040079A"/>
    <w:rsid w:val="00400832"/>
    <w:rsid w:val="0040087E"/>
    <w:rsid w:val="0040096C"/>
    <w:rsid w:val="004009C3"/>
    <w:rsid w:val="004009F4"/>
    <w:rsid w:val="00400A2F"/>
    <w:rsid w:val="00400C13"/>
    <w:rsid w:val="00400CB3"/>
    <w:rsid w:val="00400D77"/>
    <w:rsid w:val="00400EF3"/>
    <w:rsid w:val="00400FE9"/>
    <w:rsid w:val="00401022"/>
    <w:rsid w:val="0040105C"/>
    <w:rsid w:val="004010A2"/>
    <w:rsid w:val="0040116A"/>
    <w:rsid w:val="00401170"/>
    <w:rsid w:val="0040129F"/>
    <w:rsid w:val="004012C0"/>
    <w:rsid w:val="004012D0"/>
    <w:rsid w:val="004012D1"/>
    <w:rsid w:val="004012DE"/>
    <w:rsid w:val="004013AB"/>
    <w:rsid w:val="004013B6"/>
    <w:rsid w:val="00401642"/>
    <w:rsid w:val="0040164C"/>
    <w:rsid w:val="0040166B"/>
    <w:rsid w:val="00401681"/>
    <w:rsid w:val="00401720"/>
    <w:rsid w:val="0040175D"/>
    <w:rsid w:val="004017A8"/>
    <w:rsid w:val="00401922"/>
    <w:rsid w:val="00401940"/>
    <w:rsid w:val="004019B2"/>
    <w:rsid w:val="00401A4A"/>
    <w:rsid w:val="00401BB8"/>
    <w:rsid w:val="00401C75"/>
    <w:rsid w:val="00401D45"/>
    <w:rsid w:val="00401D84"/>
    <w:rsid w:val="00401DA7"/>
    <w:rsid w:val="00401F7C"/>
    <w:rsid w:val="0040205A"/>
    <w:rsid w:val="00402271"/>
    <w:rsid w:val="004022EB"/>
    <w:rsid w:val="00402321"/>
    <w:rsid w:val="00402347"/>
    <w:rsid w:val="004023CB"/>
    <w:rsid w:val="0040242A"/>
    <w:rsid w:val="004025AC"/>
    <w:rsid w:val="004025D1"/>
    <w:rsid w:val="0040260A"/>
    <w:rsid w:val="00402695"/>
    <w:rsid w:val="00402717"/>
    <w:rsid w:val="00402763"/>
    <w:rsid w:val="0040279E"/>
    <w:rsid w:val="0040284F"/>
    <w:rsid w:val="00402918"/>
    <w:rsid w:val="00402999"/>
    <w:rsid w:val="00402A0A"/>
    <w:rsid w:val="00402ACB"/>
    <w:rsid w:val="00402B77"/>
    <w:rsid w:val="00402D17"/>
    <w:rsid w:val="00402D5D"/>
    <w:rsid w:val="00402D91"/>
    <w:rsid w:val="00402EE4"/>
    <w:rsid w:val="0040304A"/>
    <w:rsid w:val="004030FB"/>
    <w:rsid w:val="00403139"/>
    <w:rsid w:val="00403239"/>
    <w:rsid w:val="00403278"/>
    <w:rsid w:val="004032AA"/>
    <w:rsid w:val="00403426"/>
    <w:rsid w:val="0040343B"/>
    <w:rsid w:val="004034DD"/>
    <w:rsid w:val="0040363E"/>
    <w:rsid w:val="00403662"/>
    <w:rsid w:val="004037D5"/>
    <w:rsid w:val="004038A4"/>
    <w:rsid w:val="004038E2"/>
    <w:rsid w:val="004038F2"/>
    <w:rsid w:val="0040399F"/>
    <w:rsid w:val="00403AF5"/>
    <w:rsid w:val="00403B52"/>
    <w:rsid w:val="00403CC9"/>
    <w:rsid w:val="00403D6C"/>
    <w:rsid w:val="00403DC6"/>
    <w:rsid w:val="00403E30"/>
    <w:rsid w:val="00403E3A"/>
    <w:rsid w:val="00404061"/>
    <w:rsid w:val="00404117"/>
    <w:rsid w:val="004041B2"/>
    <w:rsid w:val="004041FA"/>
    <w:rsid w:val="00404382"/>
    <w:rsid w:val="00404473"/>
    <w:rsid w:val="004044F6"/>
    <w:rsid w:val="00404510"/>
    <w:rsid w:val="004045D5"/>
    <w:rsid w:val="004046F2"/>
    <w:rsid w:val="00404732"/>
    <w:rsid w:val="0040483A"/>
    <w:rsid w:val="004048DF"/>
    <w:rsid w:val="00404922"/>
    <w:rsid w:val="004049ED"/>
    <w:rsid w:val="00404A19"/>
    <w:rsid w:val="00404A37"/>
    <w:rsid w:val="00404AE3"/>
    <w:rsid w:val="00404D23"/>
    <w:rsid w:val="00404D6E"/>
    <w:rsid w:val="00404DCC"/>
    <w:rsid w:val="00404E3B"/>
    <w:rsid w:val="00404EA7"/>
    <w:rsid w:val="00404EE0"/>
    <w:rsid w:val="00404F18"/>
    <w:rsid w:val="00404F2C"/>
    <w:rsid w:val="00404F46"/>
    <w:rsid w:val="00404F9F"/>
    <w:rsid w:val="00404FDF"/>
    <w:rsid w:val="004050D7"/>
    <w:rsid w:val="00405112"/>
    <w:rsid w:val="004051CB"/>
    <w:rsid w:val="004051CF"/>
    <w:rsid w:val="0040524A"/>
    <w:rsid w:val="0040526D"/>
    <w:rsid w:val="00405430"/>
    <w:rsid w:val="00405448"/>
    <w:rsid w:val="00405454"/>
    <w:rsid w:val="00405457"/>
    <w:rsid w:val="004055AD"/>
    <w:rsid w:val="004055C2"/>
    <w:rsid w:val="00405882"/>
    <w:rsid w:val="0040593F"/>
    <w:rsid w:val="00405952"/>
    <w:rsid w:val="004059B1"/>
    <w:rsid w:val="004059C6"/>
    <w:rsid w:val="00405B61"/>
    <w:rsid w:val="00405B7B"/>
    <w:rsid w:val="00405BAA"/>
    <w:rsid w:val="00405C81"/>
    <w:rsid w:val="00405D56"/>
    <w:rsid w:val="00405D8A"/>
    <w:rsid w:val="00405DB1"/>
    <w:rsid w:val="00405DDF"/>
    <w:rsid w:val="00405E55"/>
    <w:rsid w:val="00405E94"/>
    <w:rsid w:val="00405FB8"/>
    <w:rsid w:val="00406048"/>
    <w:rsid w:val="0040604C"/>
    <w:rsid w:val="00406152"/>
    <w:rsid w:val="00406194"/>
    <w:rsid w:val="004061B2"/>
    <w:rsid w:val="004061CA"/>
    <w:rsid w:val="0040623B"/>
    <w:rsid w:val="004062CF"/>
    <w:rsid w:val="004063E1"/>
    <w:rsid w:val="004064C0"/>
    <w:rsid w:val="004065BE"/>
    <w:rsid w:val="00406663"/>
    <w:rsid w:val="004066C3"/>
    <w:rsid w:val="00406712"/>
    <w:rsid w:val="00406730"/>
    <w:rsid w:val="004067B5"/>
    <w:rsid w:val="0040681D"/>
    <w:rsid w:val="004068D6"/>
    <w:rsid w:val="004069CE"/>
    <w:rsid w:val="00406A8C"/>
    <w:rsid w:val="00406B07"/>
    <w:rsid w:val="00406C73"/>
    <w:rsid w:val="00406DB3"/>
    <w:rsid w:val="00406E63"/>
    <w:rsid w:val="00406E97"/>
    <w:rsid w:val="00406E9B"/>
    <w:rsid w:val="00407071"/>
    <w:rsid w:val="00407227"/>
    <w:rsid w:val="00407289"/>
    <w:rsid w:val="00407369"/>
    <w:rsid w:val="0040737F"/>
    <w:rsid w:val="0040739E"/>
    <w:rsid w:val="004073BC"/>
    <w:rsid w:val="004073D1"/>
    <w:rsid w:val="00407530"/>
    <w:rsid w:val="0040759F"/>
    <w:rsid w:val="004076FD"/>
    <w:rsid w:val="00407759"/>
    <w:rsid w:val="004077DA"/>
    <w:rsid w:val="004078E3"/>
    <w:rsid w:val="00407901"/>
    <w:rsid w:val="00407A6A"/>
    <w:rsid w:val="00407B47"/>
    <w:rsid w:val="00407BBE"/>
    <w:rsid w:val="00407BE8"/>
    <w:rsid w:val="00407D16"/>
    <w:rsid w:val="00407D66"/>
    <w:rsid w:val="00407DA1"/>
    <w:rsid w:val="00407DA4"/>
    <w:rsid w:val="00407FEC"/>
    <w:rsid w:val="0041008C"/>
    <w:rsid w:val="004100CC"/>
    <w:rsid w:val="00410210"/>
    <w:rsid w:val="00410295"/>
    <w:rsid w:val="004102E1"/>
    <w:rsid w:val="00410340"/>
    <w:rsid w:val="00410641"/>
    <w:rsid w:val="004106EC"/>
    <w:rsid w:val="0041089D"/>
    <w:rsid w:val="00410996"/>
    <w:rsid w:val="004109B6"/>
    <w:rsid w:val="00410B58"/>
    <w:rsid w:val="00410BB7"/>
    <w:rsid w:val="00410C4F"/>
    <w:rsid w:val="00410CFF"/>
    <w:rsid w:val="00410E8F"/>
    <w:rsid w:val="00410F55"/>
    <w:rsid w:val="0041112D"/>
    <w:rsid w:val="0041120C"/>
    <w:rsid w:val="0041134E"/>
    <w:rsid w:val="0041136C"/>
    <w:rsid w:val="00411378"/>
    <w:rsid w:val="0041137F"/>
    <w:rsid w:val="004113E5"/>
    <w:rsid w:val="004114B4"/>
    <w:rsid w:val="004114DB"/>
    <w:rsid w:val="004114E2"/>
    <w:rsid w:val="0041151A"/>
    <w:rsid w:val="004116FC"/>
    <w:rsid w:val="00411707"/>
    <w:rsid w:val="00411709"/>
    <w:rsid w:val="0041172D"/>
    <w:rsid w:val="0041199C"/>
    <w:rsid w:val="00411B93"/>
    <w:rsid w:val="00411C9C"/>
    <w:rsid w:val="00411D36"/>
    <w:rsid w:val="00411E19"/>
    <w:rsid w:val="00411E49"/>
    <w:rsid w:val="00411ED3"/>
    <w:rsid w:val="00411EE3"/>
    <w:rsid w:val="00411EF7"/>
    <w:rsid w:val="00412103"/>
    <w:rsid w:val="0041218B"/>
    <w:rsid w:val="004121C4"/>
    <w:rsid w:val="004122FF"/>
    <w:rsid w:val="004123CE"/>
    <w:rsid w:val="004124BD"/>
    <w:rsid w:val="004125B2"/>
    <w:rsid w:val="004125DC"/>
    <w:rsid w:val="0041268B"/>
    <w:rsid w:val="004126AB"/>
    <w:rsid w:val="004126C0"/>
    <w:rsid w:val="00412868"/>
    <w:rsid w:val="0041294A"/>
    <w:rsid w:val="00412986"/>
    <w:rsid w:val="0041298C"/>
    <w:rsid w:val="004129EE"/>
    <w:rsid w:val="00412A38"/>
    <w:rsid w:val="00412ABC"/>
    <w:rsid w:val="00412B10"/>
    <w:rsid w:val="00412B88"/>
    <w:rsid w:val="00412BA6"/>
    <w:rsid w:val="00412CC7"/>
    <w:rsid w:val="00412D23"/>
    <w:rsid w:val="00412DF3"/>
    <w:rsid w:val="00412DFD"/>
    <w:rsid w:val="00412F69"/>
    <w:rsid w:val="00412FEA"/>
    <w:rsid w:val="004130E2"/>
    <w:rsid w:val="00413157"/>
    <w:rsid w:val="004131CC"/>
    <w:rsid w:val="004133D7"/>
    <w:rsid w:val="00413442"/>
    <w:rsid w:val="004134C4"/>
    <w:rsid w:val="004134C8"/>
    <w:rsid w:val="004134D4"/>
    <w:rsid w:val="0041350D"/>
    <w:rsid w:val="004135EF"/>
    <w:rsid w:val="0041360E"/>
    <w:rsid w:val="004136A5"/>
    <w:rsid w:val="00413769"/>
    <w:rsid w:val="00413791"/>
    <w:rsid w:val="004137E5"/>
    <w:rsid w:val="004137F2"/>
    <w:rsid w:val="00413806"/>
    <w:rsid w:val="00413841"/>
    <w:rsid w:val="00413862"/>
    <w:rsid w:val="004138F2"/>
    <w:rsid w:val="00413943"/>
    <w:rsid w:val="004139B0"/>
    <w:rsid w:val="00413AEC"/>
    <w:rsid w:val="00413AF0"/>
    <w:rsid w:val="00413BE6"/>
    <w:rsid w:val="00413BF9"/>
    <w:rsid w:val="00413C5E"/>
    <w:rsid w:val="00413C64"/>
    <w:rsid w:val="00413CBF"/>
    <w:rsid w:val="00413D7C"/>
    <w:rsid w:val="00413D87"/>
    <w:rsid w:val="00413DC1"/>
    <w:rsid w:val="00413E03"/>
    <w:rsid w:val="00413E92"/>
    <w:rsid w:val="00413FF3"/>
    <w:rsid w:val="004140EE"/>
    <w:rsid w:val="0041411F"/>
    <w:rsid w:val="00414156"/>
    <w:rsid w:val="004141BB"/>
    <w:rsid w:val="00414230"/>
    <w:rsid w:val="00414256"/>
    <w:rsid w:val="004142A7"/>
    <w:rsid w:val="00414317"/>
    <w:rsid w:val="00414361"/>
    <w:rsid w:val="004143CC"/>
    <w:rsid w:val="00414475"/>
    <w:rsid w:val="004144BE"/>
    <w:rsid w:val="0041450A"/>
    <w:rsid w:val="00414637"/>
    <w:rsid w:val="0041468C"/>
    <w:rsid w:val="00414852"/>
    <w:rsid w:val="00414889"/>
    <w:rsid w:val="004148D8"/>
    <w:rsid w:val="00414972"/>
    <w:rsid w:val="00414B58"/>
    <w:rsid w:val="00414D0F"/>
    <w:rsid w:val="00414DCD"/>
    <w:rsid w:val="00414E17"/>
    <w:rsid w:val="00414E44"/>
    <w:rsid w:val="00414F98"/>
    <w:rsid w:val="0041500D"/>
    <w:rsid w:val="00415089"/>
    <w:rsid w:val="00415166"/>
    <w:rsid w:val="00415299"/>
    <w:rsid w:val="0041532F"/>
    <w:rsid w:val="0041535D"/>
    <w:rsid w:val="0041539C"/>
    <w:rsid w:val="0041548C"/>
    <w:rsid w:val="00415580"/>
    <w:rsid w:val="004155C2"/>
    <w:rsid w:val="004155E3"/>
    <w:rsid w:val="00415649"/>
    <w:rsid w:val="0041575A"/>
    <w:rsid w:val="0041576D"/>
    <w:rsid w:val="00415778"/>
    <w:rsid w:val="004157B3"/>
    <w:rsid w:val="004157E5"/>
    <w:rsid w:val="00415809"/>
    <w:rsid w:val="004158B2"/>
    <w:rsid w:val="004158CA"/>
    <w:rsid w:val="00415A5E"/>
    <w:rsid w:val="00415A75"/>
    <w:rsid w:val="00415A8A"/>
    <w:rsid w:val="00415AF6"/>
    <w:rsid w:val="00415B85"/>
    <w:rsid w:val="00415BC7"/>
    <w:rsid w:val="00415BD1"/>
    <w:rsid w:val="00415C25"/>
    <w:rsid w:val="00415C31"/>
    <w:rsid w:val="00415E3F"/>
    <w:rsid w:val="00415E52"/>
    <w:rsid w:val="00415E82"/>
    <w:rsid w:val="00415F22"/>
    <w:rsid w:val="004160C4"/>
    <w:rsid w:val="004161E2"/>
    <w:rsid w:val="00416316"/>
    <w:rsid w:val="00416495"/>
    <w:rsid w:val="00416505"/>
    <w:rsid w:val="00416612"/>
    <w:rsid w:val="0041687E"/>
    <w:rsid w:val="00416907"/>
    <w:rsid w:val="0041691C"/>
    <w:rsid w:val="00416AC5"/>
    <w:rsid w:val="00416CA7"/>
    <w:rsid w:val="00416CCE"/>
    <w:rsid w:val="00416D0D"/>
    <w:rsid w:val="00416D65"/>
    <w:rsid w:val="00416D94"/>
    <w:rsid w:val="00416EF1"/>
    <w:rsid w:val="00416F72"/>
    <w:rsid w:val="0041700E"/>
    <w:rsid w:val="004171B5"/>
    <w:rsid w:val="00417272"/>
    <w:rsid w:val="004172AB"/>
    <w:rsid w:val="0041736F"/>
    <w:rsid w:val="00417425"/>
    <w:rsid w:val="00417429"/>
    <w:rsid w:val="0041749E"/>
    <w:rsid w:val="0041751B"/>
    <w:rsid w:val="0041753E"/>
    <w:rsid w:val="00417588"/>
    <w:rsid w:val="004175F5"/>
    <w:rsid w:val="00417608"/>
    <w:rsid w:val="00417624"/>
    <w:rsid w:val="00417731"/>
    <w:rsid w:val="00417975"/>
    <w:rsid w:val="004179BC"/>
    <w:rsid w:val="00417A5A"/>
    <w:rsid w:val="00417B36"/>
    <w:rsid w:val="00417BEB"/>
    <w:rsid w:val="00417BFF"/>
    <w:rsid w:val="00417CF3"/>
    <w:rsid w:val="00417D25"/>
    <w:rsid w:val="00417E14"/>
    <w:rsid w:val="00417E50"/>
    <w:rsid w:val="00417ECD"/>
    <w:rsid w:val="00417F18"/>
    <w:rsid w:val="00417FF6"/>
    <w:rsid w:val="00420080"/>
    <w:rsid w:val="0042012A"/>
    <w:rsid w:val="0042026F"/>
    <w:rsid w:val="004202B8"/>
    <w:rsid w:val="004203F8"/>
    <w:rsid w:val="0042042F"/>
    <w:rsid w:val="004204D4"/>
    <w:rsid w:val="00420520"/>
    <w:rsid w:val="00420619"/>
    <w:rsid w:val="00420650"/>
    <w:rsid w:val="00420717"/>
    <w:rsid w:val="004207C2"/>
    <w:rsid w:val="004207E6"/>
    <w:rsid w:val="0042097B"/>
    <w:rsid w:val="00420C35"/>
    <w:rsid w:val="00420C38"/>
    <w:rsid w:val="00420C8F"/>
    <w:rsid w:val="00420CCC"/>
    <w:rsid w:val="00420FAD"/>
    <w:rsid w:val="00420FF6"/>
    <w:rsid w:val="0042105A"/>
    <w:rsid w:val="0042117B"/>
    <w:rsid w:val="00421219"/>
    <w:rsid w:val="00421238"/>
    <w:rsid w:val="00421265"/>
    <w:rsid w:val="0042129F"/>
    <w:rsid w:val="0042131D"/>
    <w:rsid w:val="00421491"/>
    <w:rsid w:val="0042153C"/>
    <w:rsid w:val="00421588"/>
    <w:rsid w:val="0042160C"/>
    <w:rsid w:val="0042164E"/>
    <w:rsid w:val="00421743"/>
    <w:rsid w:val="00421765"/>
    <w:rsid w:val="0042181B"/>
    <w:rsid w:val="0042199D"/>
    <w:rsid w:val="004219BC"/>
    <w:rsid w:val="00421B15"/>
    <w:rsid w:val="00421C64"/>
    <w:rsid w:val="00421C74"/>
    <w:rsid w:val="00421CD9"/>
    <w:rsid w:val="00421D59"/>
    <w:rsid w:val="00421F44"/>
    <w:rsid w:val="00421F4D"/>
    <w:rsid w:val="00422009"/>
    <w:rsid w:val="00422016"/>
    <w:rsid w:val="0042205D"/>
    <w:rsid w:val="0042206F"/>
    <w:rsid w:val="00422089"/>
    <w:rsid w:val="004220B7"/>
    <w:rsid w:val="004220DD"/>
    <w:rsid w:val="004220F6"/>
    <w:rsid w:val="0042211E"/>
    <w:rsid w:val="004221B3"/>
    <w:rsid w:val="004222A2"/>
    <w:rsid w:val="004222A8"/>
    <w:rsid w:val="004223B7"/>
    <w:rsid w:val="004223D0"/>
    <w:rsid w:val="00422410"/>
    <w:rsid w:val="0042242C"/>
    <w:rsid w:val="00422436"/>
    <w:rsid w:val="00422447"/>
    <w:rsid w:val="004225AB"/>
    <w:rsid w:val="00422613"/>
    <w:rsid w:val="004226B7"/>
    <w:rsid w:val="00422783"/>
    <w:rsid w:val="00422797"/>
    <w:rsid w:val="00422926"/>
    <w:rsid w:val="00422948"/>
    <w:rsid w:val="00422BB2"/>
    <w:rsid w:val="00422BC4"/>
    <w:rsid w:val="00422D82"/>
    <w:rsid w:val="00422FBC"/>
    <w:rsid w:val="00422FDB"/>
    <w:rsid w:val="00423044"/>
    <w:rsid w:val="00423051"/>
    <w:rsid w:val="00423146"/>
    <w:rsid w:val="0042318C"/>
    <w:rsid w:val="004231CD"/>
    <w:rsid w:val="004231E7"/>
    <w:rsid w:val="004234A4"/>
    <w:rsid w:val="00423521"/>
    <w:rsid w:val="004235B8"/>
    <w:rsid w:val="00423683"/>
    <w:rsid w:val="00423877"/>
    <w:rsid w:val="00423986"/>
    <w:rsid w:val="004239D7"/>
    <w:rsid w:val="00423AAA"/>
    <w:rsid w:val="00423AF9"/>
    <w:rsid w:val="00423BF7"/>
    <w:rsid w:val="00423C4F"/>
    <w:rsid w:val="00423D4A"/>
    <w:rsid w:val="00423D78"/>
    <w:rsid w:val="00423DDD"/>
    <w:rsid w:val="00423FB1"/>
    <w:rsid w:val="00423FF9"/>
    <w:rsid w:val="0042400E"/>
    <w:rsid w:val="00424021"/>
    <w:rsid w:val="00424060"/>
    <w:rsid w:val="004240F2"/>
    <w:rsid w:val="00424154"/>
    <w:rsid w:val="00424158"/>
    <w:rsid w:val="00424229"/>
    <w:rsid w:val="00424413"/>
    <w:rsid w:val="00424418"/>
    <w:rsid w:val="00424433"/>
    <w:rsid w:val="0042446F"/>
    <w:rsid w:val="00424470"/>
    <w:rsid w:val="00424535"/>
    <w:rsid w:val="00424566"/>
    <w:rsid w:val="00424568"/>
    <w:rsid w:val="004245D9"/>
    <w:rsid w:val="004245DB"/>
    <w:rsid w:val="00424650"/>
    <w:rsid w:val="0042467A"/>
    <w:rsid w:val="0042468A"/>
    <w:rsid w:val="004246B8"/>
    <w:rsid w:val="0042475D"/>
    <w:rsid w:val="00424926"/>
    <w:rsid w:val="004249A0"/>
    <w:rsid w:val="00424A46"/>
    <w:rsid w:val="00424B20"/>
    <w:rsid w:val="00424B44"/>
    <w:rsid w:val="00424DA4"/>
    <w:rsid w:val="00424DD1"/>
    <w:rsid w:val="00424E16"/>
    <w:rsid w:val="00424EE4"/>
    <w:rsid w:val="00424FB0"/>
    <w:rsid w:val="00424FB9"/>
    <w:rsid w:val="00425050"/>
    <w:rsid w:val="0042507D"/>
    <w:rsid w:val="004251DC"/>
    <w:rsid w:val="00425339"/>
    <w:rsid w:val="0042540C"/>
    <w:rsid w:val="00425525"/>
    <w:rsid w:val="0042559D"/>
    <w:rsid w:val="004256B4"/>
    <w:rsid w:val="00425760"/>
    <w:rsid w:val="004257A7"/>
    <w:rsid w:val="00425873"/>
    <w:rsid w:val="004258C7"/>
    <w:rsid w:val="00425C82"/>
    <w:rsid w:val="00425CCA"/>
    <w:rsid w:val="00425CCC"/>
    <w:rsid w:val="00425D41"/>
    <w:rsid w:val="00425D4F"/>
    <w:rsid w:val="00425D65"/>
    <w:rsid w:val="00425EFB"/>
    <w:rsid w:val="00425F7E"/>
    <w:rsid w:val="00425FAC"/>
    <w:rsid w:val="004263E4"/>
    <w:rsid w:val="00426492"/>
    <w:rsid w:val="00426727"/>
    <w:rsid w:val="00426770"/>
    <w:rsid w:val="0042679D"/>
    <w:rsid w:val="0042682B"/>
    <w:rsid w:val="0042686D"/>
    <w:rsid w:val="0042687D"/>
    <w:rsid w:val="00426896"/>
    <w:rsid w:val="0042690D"/>
    <w:rsid w:val="00426998"/>
    <w:rsid w:val="0042699E"/>
    <w:rsid w:val="004269D4"/>
    <w:rsid w:val="00426B42"/>
    <w:rsid w:val="00426BA2"/>
    <w:rsid w:val="00426BCB"/>
    <w:rsid w:val="00426C9A"/>
    <w:rsid w:val="00426CEF"/>
    <w:rsid w:val="00426D55"/>
    <w:rsid w:val="00426DC3"/>
    <w:rsid w:val="00426E5C"/>
    <w:rsid w:val="00426EF8"/>
    <w:rsid w:val="00426F17"/>
    <w:rsid w:val="00427168"/>
    <w:rsid w:val="004271AC"/>
    <w:rsid w:val="00427229"/>
    <w:rsid w:val="0042723D"/>
    <w:rsid w:val="00427290"/>
    <w:rsid w:val="00427325"/>
    <w:rsid w:val="00427369"/>
    <w:rsid w:val="004273F2"/>
    <w:rsid w:val="00427463"/>
    <w:rsid w:val="004274B7"/>
    <w:rsid w:val="004275A7"/>
    <w:rsid w:val="004275E0"/>
    <w:rsid w:val="00427651"/>
    <w:rsid w:val="0042766B"/>
    <w:rsid w:val="004276CD"/>
    <w:rsid w:val="00427769"/>
    <w:rsid w:val="004278BA"/>
    <w:rsid w:val="004279F8"/>
    <w:rsid w:val="00427A08"/>
    <w:rsid w:val="00427A1B"/>
    <w:rsid w:val="00427AA5"/>
    <w:rsid w:val="00427C15"/>
    <w:rsid w:val="00427CBB"/>
    <w:rsid w:val="00427CD2"/>
    <w:rsid w:val="00427D55"/>
    <w:rsid w:val="00427E42"/>
    <w:rsid w:val="00427E80"/>
    <w:rsid w:val="00427F5B"/>
    <w:rsid w:val="00430076"/>
    <w:rsid w:val="004300F7"/>
    <w:rsid w:val="00430260"/>
    <w:rsid w:val="004302A7"/>
    <w:rsid w:val="0043035C"/>
    <w:rsid w:val="00430374"/>
    <w:rsid w:val="00430607"/>
    <w:rsid w:val="00430686"/>
    <w:rsid w:val="0043071A"/>
    <w:rsid w:val="00430755"/>
    <w:rsid w:val="00430848"/>
    <w:rsid w:val="00430896"/>
    <w:rsid w:val="00430907"/>
    <w:rsid w:val="00430924"/>
    <w:rsid w:val="00430B25"/>
    <w:rsid w:val="00430C31"/>
    <w:rsid w:val="00430C8E"/>
    <w:rsid w:val="00430CA5"/>
    <w:rsid w:val="00430CB3"/>
    <w:rsid w:val="00430D64"/>
    <w:rsid w:val="00430E22"/>
    <w:rsid w:val="004310A6"/>
    <w:rsid w:val="004310EE"/>
    <w:rsid w:val="00431146"/>
    <w:rsid w:val="00431149"/>
    <w:rsid w:val="004311A0"/>
    <w:rsid w:val="004313D4"/>
    <w:rsid w:val="004313F2"/>
    <w:rsid w:val="004313FF"/>
    <w:rsid w:val="00431450"/>
    <w:rsid w:val="0043145F"/>
    <w:rsid w:val="004314DD"/>
    <w:rsid w:val="00431509"/>
    <w:rsid w:val="00431510"/>
    <w:rsid w:val="004315C3"/>
    <w:rsid w:val="004316E2"/>
    <w:rsid w:val="004316E3"/>
    <w:rsid w:val="00431732"/>
    <w:rsid w:val="004317A5"/>
    <w:rsid w:val="004317FA"/>
    <w:rsid w:val="004319ED"/>
    <w:rsid w:val="004319F9"/>
    <w:rsid w:val="00431A3B"/>
    <w:rsid w:val="00431A46"/>
    <w:rsid w:val="00431A51"/>
    <w:rsid w:val="00431AC7"/>
    <w:rsid w:val="00431AEB"/>
    <w:rsid w:val="00431BBA"/>
    <w:rsid w:val="00431BC5"/>
    <w:rsid w:val="00431D5F"/>
    <w:rsid w:val="00431DE0"/>
    <w:rsid w:val="00431E38"/>
    <w:rsid w:val="00431E86"/>
    <w:rsid w:val="00431FD4"/>
    <w:rsid w:val="00431FD8"/>
    <w:rsid w:val="00432095"/>
    <w:rsid w:val="00432315"/>
    <w:rsid w:val="004323E4"/>
    <w:rsid w:val="0043253A"/>
    <w:rsid w:val="004325D1"/>
    <w:rsid w:val="00432689"/>
    <w:rsid w:val="004327CB"/>
    <w:rsid w:val="004328AD"/>
    <w:rsid w:val="004329EA"/>
    <w:rsid w:val="00432BA5"/>
    <w:rsid w:val="00432BE7"/>
    <w:rsid w:val="00432C74"/>
    <w:rsid w:val="00432CC8"/>
    <w:rsid w:val="00432D2C"/>
    <w:rsid w:val="00432D90"/>
    <w:rsid w:val="00432ECD"/>
    <w:rsid w:val="0043306C"/>
    <w:rsid w:val="0043309D"/>
    <w:rsid w:val="00433197"/>
    <w:rsid w:val="0043327A"/>
    <w:rsid w:val="004332C7"/>
    <w:rsid w:val="00433344"/>
    <w:rsid w:val="004333DD"/>
    <w:rsid w:val="00433442"/>
    <w:rsid w:val="00433451"/>
    <w:rsid w:val="00433466"/>
    <w:rsid w:val="0043356F"/>
    <w:rsid w:val="004335F8"/>
    <w:rsid w:val="004335F9"/>
    <w:rsid w:val="004336A4"/>
    <w:rsid w:val="0043373F"/>
    <w:rsid w:val="00433746"/>
    <w:rsid w:val="00433749"/>
    <w:rsid w:val="004337C2"/>
    <w:rsid w:val="0043389C"/>
    <w:rsid w:val="00433990"/>
    <w:rsid w:val="00433A14"/>
    <w:rsid w:val="00433B0E"/>
    <w:rsid w:val="00433B67"/>
    <w:rsid w:val="00433BFF"/>
    <w:rsid w:val="00433F32"/>
    <w:rsid w:val="00433F6B"/>
    <w:rsid w:val="00434172"/>
    <w:rsid w:val="00434319"/>
    <w:rsid w:val="00434343"/>
    <w:rsid w:val="0043434B"/>
    <w:rsid w:val="0043449A"/>
    <w:rsid w:val="004344AA"/>
    <w:rsid w:val="004344CD"/>
    <w:rsid w:val="0043454C"/>
    <w:rsid w:val="00434560"/>
    <w:rsid w:val="00434581"/>
    <w:rsid w:val="004345D9"/>
    <w:rsid w:val="004345DB"/>
    <w:rsid w:val="004345EC"/>
    <w:rsid w:val="0043469E"/>
    <w:rsid w:val="00434726"/>
    <w:rsid w:val="00434741"/>
    <w:rsid w:val="004347E9"/>
    <w:rsid w:val="0043482A"/>
    <w:rsid w:val="0043485F"/>
    <w:rsid w:val="00434989"/>
    <w:rsid w:val="00434A5B"/>
    <w:rsid w:val="00434A71"/>
    <w:rsid w:val="00434C3C"/>
    <w:rsid w:val="00434CE6"/>
    <w:rsid w:val="00434CF7"/>
    <w:rsid w:val="00434D48"/>
    <w:rsid w:val="00434D79"/>
    <w:rsid w:val="00434DD6"/>
    <w:rsid w:val="00434E2A"/>
    <w:rsid w:val="00434F6F"/>
    <w:rsid w:val="00434F97"/>
    <w:rsid w:val="00434FBD"/>
    <w:rsid w:val="00435058"/>
    <w:rsid w:val="00435177"/>
    <w:rsid w:val="0043531E"/>
    <w:rsid w:val="00435414"/>
    <w:rsid w:val="00435494"/>
    <w:rsid w:val="004354B5"/>
    <w:rsid w:val="004354BD"/>
    <w:rsid w:val="004354C5"/>
    <w:rsid w:val="004354CA"/>
    <w:rsid w:val="00435545"/>
    <w:rsid w:val="00435743"/>
    <w:rsid w:val="00435774"/>
    <w:rsid w:val="00435780"/>
    <w:rsid w:val="0043579B"/>
    <w:rsid w:val="004357EF"/>
    <w:rsid w:val="004357F3"/>
    <w:rsid w:val="00435866"/>
    <w:rsid w:val="00435889"/>
    <w:rsid w:val="004358DE"/>
    <w:rsid w:val="00435963"/>
    <w:rsid w:val="00435AA3"/>
    <w:rsid w:val="00435B43"/>
    <w:rsid w:val="00435B59"/>
    <w:rsid w:val="00435B77"/>
    <w:rsid w:val="00435BA5"/>
    <w:rsid w:val="00435BD3"/>
    <w:rsid w:val="00435BE5"/>
    <w:rsid w:val="00435C26"/>
    <w:rsid w:val="00435CDF"/>
    <w:rsid w:val="00435D62"/>
    <w:rsid w:val="00435D64"/>
    <w:rsid w:val="00435D95"/>
    <w:rsid w:val="00435DB3"/>
    <w:rsid w:val="00436057"/>
    <w:rsid w:val="004360DB"/>
    <w:rsid w:val="0043614C"/>
    <w:rsid w:val="004362D6"/>
    <w:rsid w:val="0043636B"/>
    <w:rsid w:val="004363AB"/>
    <w:rsid w:val="00436460"/>
    <w:rsid w:val="004364DD"/>
    <w:rsid w:val="00436630"/>
    <w:rsid w:val="00436638"/>
    <w:rsid w:val="004366B4"/>
    <w:rsid w:val="004367A1"/>
    <w:rsid w:val="0043684C"/>
    <w:rsid w:val="004369CB"/>
    <w:rsid w:val="004369CE"/>
    <w:rsid w:val="00436A0A"/>
    <w:rsid w:val="00436BAB"/>
    <w:rsid w:val="00436C01"/>
    <w:rsid w:val="00436CCB"/>
    <w:rsid w:val="00436CE1"/>
    <w:rsid w:val="00436D3E"/>
    <w:rsid w:val="00436D90"/>
    <w:rsid w:val="00436F4E"/>
    <w:rsid w:val="00436F5E"/>
    <w:rsid w:val="00436F6C"/>
    <w:rsid w:val="0043703F"/>
    <w:rsid w:val="0043717D"/>
    <w:rsid w:val="004371AC"/>
    <w:rsid w:val="004371E6"/>
    <w:rsid w:val="00437281"/>
    <w:rsid w:val="004372AB"/>
    <w:rsid w:val="00437330"/>
    <w:rsid w:val="004373AA"/>
    <w:rsid w:val="004373C5"/>
    <w:rsid w:val="00437422"/>
    <w:rsid w:val="0043749C"/>
    <w:rsid w:val="00437595"/>
    <w:rsid w:val="00437698"/>
    <w:rsid w:val="0043772D"/>
    <w:rsid w:val="004377E6"/>
    <w:rsid w:val="0043794F"/>
    <w:rsid w:val="00437B74"/>
    <w:rsid w:val="00437BF7"/>
    <w:rsid w:val="00437DB4"/>
    <w:rsid w:val="00437E4D"/>
    <w:rsid w:val="00437EBE"/>
    <w:rsid w:val="00437F44"/>
    <w:rsid w:val="00437FA0"/>
    <w:rsid w:val="0044028A"/>
    <w:rsid w:val="004402ED"/>
    <w:rsid w:val="00440378"/>
    <w:rsid w:val="004404EA"/>
    <w:rsid w:val="004405E6"/>
    <w:rsid w:val="004405EF"/>
    <w:rsid w:val="00440767"/>
    <w:rsid w:val="004407E1"/>
    <w:rsid w:val="004408B7"/>
    <w:rsid w:val="004409E8"/>
    <w:rsid w:val="00440B7D"/>
    <w:rsid w:val="00440B95"/>
    <w:rsid w:val="00440BB2"/>
    <w:rsid w:val="00440C98"/>
    <w:rsid w:val="00440CED"/>
    <w:rsid w:val="00440DD6"/>
    <w:rsid w:val="00440F2B"/>
    <w:rsid w:val="0044116F"/>
    <w:rsid w:val="004411C6"/>
    <w:rsid w:val="00441298"/>
    <w:rsid w:val="00441620"/>
    <w:rsid w:val="004416A6"/>
    <w:rsid w:val="004417D7"/>
    <w:rsid w:val="00441800"/>
    <w:rsid w:val="00441838"/>
    <w:rsid w:val="00441846"/>
    <w:rsid w:val="00441866"/>
    <w:rsid w:val="004418A3"/>
    <w:rsid w:val="00441A26"/>
    <w:rsid w:val="00441AE3"/>
    <w:rsid w:val="00441B02"/>
    <w:rsid w:val="00441B5B"/>
    <w:rsid w:val="00441B97"/>
    <w:rsid w:val="00441B9A"/>
    <w:rsid w:val="00441C1E"/>
    <w:rsid w:val="00441C8E"/>
    <w:rsid w:val="00441D3F"/>
    <w:rsid w:val="00441D81"/>
    <w:rsid w:val="00441D8C"/>
    <w:rsid w:val="00441DF5"/>
    <w:rsid w:val="00441EC9"/>
    <w:rsid w:val="00441F3A"/>
    <w:rsid w:val="004420EF"/>
    <w:rsid w:val="00442104"/>
    <w:rsid w:val="0044218F"/>
    <w:rsid w:val="00442192"/>
    <w:rsid w:val="004421C0"/>
    <w:rsid w:val="0044225D"/>
    <w:rsid w:val="004422B9"/>
    <w:rsid w:val="004423D9"/>
    <w:rsid w:val="00442460"/>
    <w:rsid w:val="00442497"/>
    <w:rsid w:val="004425A8"/>
    <w:rsid w:val="0044265F"/>
    <w:rsid w:val="004427E9"/>
    <w:rsid w:val="00442864"/>
    <w:rsid w:val="00442A38"/>
    <w:rsid w:val="00442A86"/>
    <w:rsid w:val="00442AF8"/>
    <w:rsid w:val="00442B05"/>
    <w:rsid w:val="00442B21"/>
    <w:rsid w:val="00442E9A"/>
    <w:rsid w:val="00442F8D"/>
    <w:rsid w:val="00442F92"/>
    <w:rsid w:val="00442FEB"/>
    <w:rsid w:val="00443087"/>
    <w:rsid w:val="00443274"/>
    <w:rsid w:val="004432CA"/>
    <w:rsid w:val="004432FD"/>
    <w:rsid w:val="00443319"/>
    <w:rsid w:val="0044332C"/>
    <w:rsid w:val="004433CE"/>
    <w:rsid w:val="0044348B"/>
    <w:rsid w:val="004434AC"/>
    <w:rsid w:val="00443587"/>
    <w:rsid w:val="0044361C"/>
    <w:rsid w:val="0044364C"/>
    <w:rsid w:val="0044365C"/>
    <w:rsid w:val="00443698"/>
    <w:rsid w:val="004436A1"/>
    <w:rsid w:val="004436DB"/>
    <w:rsid w:val="004436F9"/>
    <w:rsid w:val="0044381F"/>
    <w:rsid w:val="004439EB"/>
    <w:rsid w:val="00443B03"/>
    <w:rsid w:val="00443BEC"/>
    <w:rsid w:val="00443BF0"/>
    <w:rsid w:val="00443C24"/>
    <w:rsid w:val="00443C44"/>
    <w:rsid w:val="00443C94"/>
    <w:rsid w:val="00443D03"/>
    <w:rsid w:val="00443EBF"/>
    <w:rsid w:val="00443FCB"/>
    <w:rsid w:val="00444008"/>
    <w:rsid w:val="00444051"/>
    <w:rsid w:val="004440E2"/>
    <w:rsid w:val="004442E4"/>
    <w:rsid w:val="0044434B"/>
    <w:rsid w:val="00444384"/>
    <w:rsid w:val="00444586"/>
    <w:rsid w:val="004446C6"/>
    <w:rsid w:val="004446F7"/>
    <w:rsid w:val="0044471F"/>
    <w:rsid w:val="00444735"/>
    <w:rsid w:val="00444778"/>
    <w:rsid w:val="004447DC"/>
    <w:rsid w:val="00444827"/>
    <w:rsid w:val="0044485A"/>
    <w:rsid w:val="004448C3"/>
    <w:rsid w:val="004448EB"/>
    <w:rsid w:val="00444A05"/>
    <w:rsid w:val="00444B11"/>
    <w:rsid w:val="00444BF8"/>
    <w:rsid w:val="00444ECC"/>
    <w:rsid w:val="00444F4D"/>
    <w:rsid w:val="00445040"/>
    <w:rsid w:val="00445171"/>
    <w:rsid w:val="004451C3"/>
    <w:rsid w:val="00445208"/>
    <w:rsid w:val="0044520E"/>
    <w:rsid w:val="0044532C"/>
    <w:rsid w:val="00445368"/>
    <w:rsid w:val="004454B3"/>
    <w:rsid w:val="00445527"/>
    <w:rsid w:val="004456E9"/>
    <w:rsid w:val="004457B0"/>
    <w:rsid w:val="00445852"/>
    <w:rsid w:val="00445863"/>
    <w:rsid w:val="0044597D"/>
    <w:rsid w:val="004459E0"/>
    <w:rsid w:val="00445A6A"/>
    <w:rsid w:val="00445B87"/>
    <w:rsid w:val="00445BA2"/>
    <w:rsid w:val="00445BCD"/>
    <w:rsid w:val="00445BE7"/>
    <w:rsid w:val="00445CA0"/>
    <w:rsid w:val="00445D09"/>
    <w:rsid w:val="00445D14"/>
    <w:rsid w:val="00445D9E"/>
    <w:rsid w:val="00445FB5"/>
    <w:rsid w:val="00446086"/>
    <w:rsid w:val="004460B1"/>
    <w:rsid w:val="004460B5"/>
    <w:rsid w:val="004461D0"/>
    <w:rsid w:val="0044633E"/>
    <w:rsid w:val="004463F7"/>
    <w:rsid w:val="00446435"/>
    <w:rsid w:val="00446488"/>
    <w:rsid w:val="00446533"/>
    <w:rsid w:val="00446633"/>
    <w:rsid w:val="00446757"/>
    <w:rsid w:val="00446865"/>
    <w:rsid w:val="004468FE"/>
    <w:rsid w:val="00446A4E"/>
    <w:rsid w:val="00446AE8"/>
    <w:rsid w:val="00446B40"/>
    <w:rsid w:val="00446B52"/>
    <w:rsid w:val="00446BF9"/>
    <w:rsid w:val="00446CA5"/>
    <w:rsid w:val="00446D17"/>
    <w:rsid w:val="00446DC4"/>
    <w:rsid w:val="00447073"/>
    <w:rsid w:val="004470D0"/>
    <w:rsid w:val="00447177"/>
    <w:rsid w:val="0044717F"/>
    <w:rsid w:val="004472C0"/>
    <w:rsid w:val="004473A2"/>
    <w:rsid w:val="00447439"/>
    <w:rsid w:val="00447497"/>
    <w:rsid w:val="004474DE"/>
    <w:rsid w:val="004475A1"/>
    <w:rsid w:val="004475BC"/>
    <w:rsid w:val="00447654"/>
    <w:rsid w:val="004476B8"/>
    <w:rsid w:val="00447748"/>
    <w:rsid w:val="004477B4"/>
    <w:rsid w:val="004478B8"/>
    <w:rsid w:val="004478C5"/>
    <w:rsid w:val="0044794C"/>
    <w:rsid w:val="00447988"/>
    <w:rsid w:val="00447990"/>
    <w:rsid w:val="004479E5"/>
    <w:rsid w:val="004479F6"/>
    <w:rsid w:val="00447AF1"/>
    <w:rsid w:val="00447BAD"/>
    <w:rsid w:val="00447C39"/>
    <w:rsid w:val="00447CED"/>
    <w:rsid w:val="00447E04"/>
    <w:rsid w:val="00447EEE"/>
    <w:rsid w:val="004501B0"/>
    <w:rsid w:val="004501D9"/>
    <w:rsid w:val="004501EA"/>
    <w:rsid w:val="0045029C"/>
    <w:rsid w:val="004502A6"/>
    <w:rsid w:val="004502E1"/>
    <w:rsid w:val="004503DB"/>
    <w:rsid w:val="004505E3"/>
    <w:rsid w:val="00450627"/>
    <w:rsid w:val="0045064E"/>
    <w:rsid w:val="00450710"/>
    <w:rsid w:val="004507EF"/>
    <w:rsid w:val="004507F4"/>
    <w:rsid w:val="00450804"/>
    <w:rsid w:val="0045089E"/>
    <w:rsid w:val="0045097E"/>
    <w:rsid w:val="004509FA"/>
    <w:rsid w:val="00450B40"/>
    <w:rsid w:val="00450BB9"/>
    <w:rsid w:val="00450C84"/>
    <w:rsid w:val="00450CF9"/>
    <w:rsid w:val="00450D56"/>
    <w:rsid w:val="00450D5F"/>
    <w:rsid w:val="00450D90"/>
    <w:rsid w:val="00450D9D"/>
    <w:rsid w:val="00450E07"/>
    <w:rsid w:val="00450ECB"/>
    <w:rsid w:val="00450EE7"/>
    <w:rsid w:val="00450FB5"/>
    <w:rsid w:val="004510D0"/>
    <w:rsid w:val="004510D7"/>
    <w:rsid w:val="004511A1"/>
    <w:rsid w:val="004511EC"/>
    <w:rsid w:val="00451290"/>
    <w:rsid w:val="004512E4"/>
    <w:rsid w:val="00451323"/>
    <w:rsid w:val="00451357"/>
    <w:rsid w:val="004515BD"/>
    <w:rsid w:val="004515E5"/>
    <w:rsid w:val="00451608"/>
    <w:rsid w:val="004516F6"/>
    <w:rsid w:val="004516FA"/>
    <w:rsid w:val="004517D0"/>
    <w:rsid w:val="0045186E"/>
    <w:rsid w:val="00451934"/>
    <w:rsid w:val="00451993"/>
    <w:rsid w:val="00451A5B"/>
    <w:rsid w:val="00451BDA"/>
    <w:rsid w:val="00451D9C"/>
    <w:rsid w:val="00451E1A"/>
    <w:rsid w:val="00451E2E"/>
    <w:rsid w:val="00451E61"/>
    <w:rsid w:val="00451F0B"/>
    <w:rsid w:val="00451F22"/>
    <w:rsid w:val="004520F0"/>
    <w:rsid w:val="00452111"/>
    <w:rsid w:val="0045227B"/>
    <w:rsid w:val="004522AB"/>
    <w:rsid w:val="004522D4"/>
    <w:rsid w:val="00452392"/>
    <w:rsid w:val="004523B2"/>
    <w:rsid w:val="004523CA"/>
    <w:rsid w:val="00452509"/>
    <w:rsid w:val="0045261D"/>
    <w:rsid w:val="00452663"/>
    <w:rsid w:val="0045266F"/>
    <w:rsid w:val="004526DE"/>
    <w:rsid w:val="00452869"/>
    <w:rsid w:val="00452909"/>
    <w:rsid w:val="00452A8A"/>
    <w:rsid w:val="00452ADF"/>
    <w:rsid w:val="00452AFF"/>
    <w:rsid w:val="00452B61"/>
    <w:rsid w:val="00452B77"/>
    <w:rsid w:val="00452CD6"/>
    <w:rsid w:val="00452DF1"/>
    <w:rsid w:val="00452F63"/>
    <w:rsid w:val="00452FEF"/>
    <w:rsid w:val="0045302C"/>
    <w:rsid w:val="0045309C"/>
    <w:rsid w:val="004530B7"/>
    <w:rsid w:val="004530D6"/>
    <w:rsid w:val="004530FF"/>
    <w:rsid w:val="0045321A"/>
    <w:rsid w:val="0045323F"/>
    <w:rsid w:val="004532D2"/>
    <w:rsid w:val="0045331D"/>
    <w:rsid w:val="00453320"/>
    <w:rsid w:val="00453326"/>
    <w:rsid w:val="004533B3"/>
    <w:rsid w:val="00453458"/>
    <w:rsid w:val="00453528"/>
    <w:rsid w:val="0045358F"/>
    <w:rsid w:val="004535B2"/>
    <w:rsid w:val="00453614"/>
    <w:rsid w:val="00453662"/>
    <w:rsid w:val="00453687"/>
    <w:rsid w:val="004537EB"/>
    <w:rsid w:val="00453844"/>
    <w:rsid w:val="004538DB"/>
    <w:rsid w:val="004539F2"/>
    <w:rsid w:val="00453A55"/>
    <w:rsid w:val="00453ABC"/>
    <w:rsid w:val="00453B47"/>
    <w:rsid w:val="00453B60"/>
    <w:rsid w:val="00453C8C"/>
    <w:rsid w:val="00453DAB"/>
    <w:rsid w:val="00453DB6"/>
    <w:rsid w:val="00453F2C"/>
    <w:rsid w:val="004541C3"/>
    <w:rsid w:val="00454202"/>
    <w:rsid w:val="004542D8"/>
    <w:rsid w:val="0045437D"/>
    <w:rsid w:val="004545D3"/>
    <w:rsid w:val="0045461C"/>
    <w:rsid w:val="0045470F"/>
    <w:rsid w:val="00454730"/>
    <w:rsid w:val="0045477E"/>
    <w:rsid w:val="0045487C"/>
    <w:rsid w:val="00454945"/>
    <w:rsid w:val="004549A2"/>
    <w:rsid w:val="00454A25"/>
    <w:rsid w:val="00454AE9"/>
    <w:rsid w:val="00454BE1"/>
    <w:rsid w:val="00454BE4"/>
    <w:rsid w:val="00454C50"/>
    <w:rsid w:val="00454CD0"/>
    <w:rsid w:val="00454DFA"/>
    <w:rsid w:val="00455050"/>
    <w:rsid w:val="00455076"/>
    <w:rsid w:val="00455086"/>
    <w:rsid w:val="004550D2"/>
    <w:rsid w:val="004550EC"/>
    <w:rsid w:val="0045510E"/>
    <w:rsid w:val="00455121"/>
    <w:rsid w:val="00455143"/>
    <w:rsid w:val="0045515A"/>
    <w:rsid w:val="004553E3"/>
    <w:rsid w:val="00455440"/>
    <w:rsid w:val="00455453"/>
    <w:rsid w:val="00455491"/>
    <w:rsid w:val="004554FF"/>
    <w:rsid w:val="0045552A"/>
    <w:rsid w:val="004556AB"/>
    <w:rsid w:val="004556B4"/>
    <w:rsid w:val="0045585D"/>
    <w:rsid w:val="00455902"/>
    <w:rsid w:val="00455969"/>
    <w:rsid w:val="004559B3"/>
    <w:rsid w:val="00455A57"/>
    <w:rsid w:val="00455A94"/>
    <w:rsid w:val="00455B82"/>
    <w:rsid w:val="00455BE7"/>
    <w:rsid w:val="00455CC1"/>
    <w:rsid w:val="00455D0D"/>
    <w:rsid w:val="00455D10"/>
    <w:rsid w:val="00455EB1"/>
    <w:rsid w:val="0045600C"/>
    <w:rsid w:val="00456037"/>
    <w:rsid w:val="004560CE"/>
    <w:rsid w:val="0045610E"/>
    <w:rsid w:val="0045614D"/>
    <w:rsid w:val="0045628F"/>
    <w:rsid w:val="00456308"/>
    <w:rsid w:val="004563D8"/>
    <w:rsid w:val="00456480"/>
    <w:rsid w:val="00456511"/>
    <w:rsid w:val="0045659B"/>
    <w:rsid w:val="0045661A"/>
    <w:rsid w:val="00456807"/>
    <w:rsid w:val="004568E5"/>
    <w:rsid w:val="004569AB"/>
    <w:rsid w:val="00456A0E"/>
    <w:rsid w:val="00456A66"/>
    <w:rsid w:val="00456AA6"/>
    <w:rsid w:val="00456BC6"/>
    <w:rsid w:val="00456BFF"/>
    <w:rsid w:val="00456C20"/>
    <w:rsid w:val="00456C3F"/>
    <w:rsid w:val="00456CD9"/>
    <w:rsid w:val="00456D26"/>
    <w:rsid w:val="00456D2D"/>
    <w:rsid w:val="00456D9C"/>
    <w:rsid w:val="00456FEA"/>
    <w:rsid w:val="0045701E"/>
    <w:rsid w:val="0045703F"/>
    <w:rsid w:val="00457176"/>
    <w:rsid w:val="0045729D"/>
    <w:rsid w:val="0045732B"/>
    <w:rsid w:val="004573D1"/>
    <w:rsid w:val="00457497"/>
    <w:rsid w:val="0045749A"/>
    <w:rsid w:val="004574BD"/>
    <w:rsid w:val="00457515"/>
    <w:rsid w:val="0045751E"/>
    <w:rsid w:val="00457548"/>
    <w:rsid w:val="00457574"/>
    <w:rsid w:val="004575A2"/>
    <w:rsid w:val="004575A4"/>
    <w:rsid w:val="00457623"/>
    <w:rsid w:val="00457691"/>
    <w:rsid w:val="00457922"/>
    <w:rsid w:val="00457929"/>
    <w:rsid w:val="004579CC"/>
    <w:rsid w:val="004579F0"/>
    <w:rsid w:val="00457A0A"/>
    <w:rsid w:val="00457A0E"/>
    <w:rsid w:val="00457B51"/>
    <w:rsid w:val="00457CB4"/>
    <w:rsid w:val="00457E1D"/>
    <w:rsid w:val="00457E3A"/>
    <w:rsid w:val="00457ECD"/>
    <w:rsid w:val="0046002C"/>
    <w:rsid w:val="004600A6"/>
    <w:rsid w:val="0046019C"/>
    <w:rsid w:val="00460326"/>
    <w:rsid w:val="004604A6"/>
    <w:rsid w:val="004604CB"/>
    <w:rsid w:val="0046056C"/>
    <w:rsid w:val="004606CA"/>
    <w:rsid w:val="004606D4"/>
    <w:rsid w:val="00460717"/>
    <w:rsid w:val="00460768"/>
    <w:rsid w:val="004607EC"/>
    <w:rsid w:val="00460880"/>
    <w:rsid w:val="00460888"/>
    <w:rsid w:val="00460936"/>
    <w:rsid w:val="00460950"/>
    <w:rsid w:val="00460AD1"/>
    <w:rsid w:val="00460AE2"/>
    <w:rsid w:val="00460B64"/>
    <w:rsid w:val="00460BF8"/>
    <w:rsid w:val="00460EDB"/>
    <w:rsid w:val="0046100B"/>
    <w:rsid w:val="00461030"/>
    <w:rsid w:val="0046108E"/>
    <w:rsid w:val="00461173"/>
    <w:rsid w:val="0046118E"/>
    <w:rsid w:val="00461250"/>
    <w:rsid w:val="004612E6"/>
    <w:rsid w:val="004612FE"/>
    <w:rsid w:val="0046131C"/>
    <w:rsid w:val="00461361"/>
    <w:rsid w:val="00461395"/>
    <w:rsid w:val="004613E7"/>
    <w:rsid w:val="00461418"/>
    <w:rsid w:val="004614F6"/>
    <w:rsid w:val="00461554"/>
    <w:rsid w:val="0046173C"/>
    <w:rsid w:val="0046175F"/>
    <w:rsid w:val="004617A4"/>
    <w:rsid w:val="0046181E"/>
    <w:rsid w:val="004618AC"/>
    <w:rsid w:val="004618D3"/>
    <w:rsid w:val="0046198A"/>
    <w:rsid w:val="00461999"/>
    <w:rsid w:val="00461A3B"/>
    <w:rsid w:val="00461BDE"/>
    <w:rsid w:val="00461C49"/>
    <w:rsid w:val="00461DB8"/>
    <w:rsid w:val="00461DD7"/>
    <w:rsid w:val="00462017"/>
    <w:rsid w:val="0046207D"/>
    <w:rsid w:val="00462119"/>
    <w:rsid w:val="0046214A"/>
    <w:rsid w:val="00462181"/>
    <w:rsid w:val="00462215"/>
    <w:rsid w:val="0046223B"/>
    <w:rsid w:val="00462458"/>
    <w:rsid w:val="0046258D"/>
    <w:rsid w:val="00462591"/>
    <w:rsid w:val="004626C4"/>
    <w:rsid w:val="004627DE"/>
    <w:rsid w:val="0046289C"/>
    <w:rsid w:val="00462A19"/>
    <w:rsid w:val="00462A30"/>
    <w:rsid w:val="00462AA9"/>
    <w:rsid w:val="00462AF4"/>
    <w:rsid w:val="00462AFF"/>
    <w:rsid w:val="00462D74"/>
    <w:rsid w:val="00462E8E"/>
    <w:rsid w:val="00462F35"/>
    <w:rsid w:val="00462F3E"/>
    <w:rsid w:val="00463041"/>
    <w:rsid w:val="0046304E"/>
    <w:rsid w:val="00463120"/>
    <w:rsid w:val="00463224"/>
    <w:rsid w:val="004632D3"/>
    <w:rsid w:val="00463351"/>
    <w:rsid w:val="0046357A"/>
    <w:rsid w:val="004635AA"/>
    <w:rsid w:val="00463682"/>
    <w:rsid w:val="004636AC"/>
    <w:rsid w:val="004636C2"/>
    <w:rsid w:val="00463724"/>
    <w:rsid w:val="00463779"/>
    <w:rsid w:val="004637C0"/>
    <w:rsid w:val="00463844"/>
    <w:rsid w:val="00463877"/>
    <w:rsid w:val="00463A16"/>
    <w:rsid w:val="00463A36"/>
    <w:rsid w:val="00463C58"/>
    <w:rsid w:val="00463CF3"/>
    <w:rsid w:val="00463D2B"/>
    <w:rsid w:val="00463EBD"/>
    <w:rsid w:val="00463EC9"/>
    <w:rsid w:val="00463EE9"/>
    <w:rsid w:val="00463FFC"/>
    <w:rsid w:val="00464030"/>
    <w:rsid w:val="00464103"/>
    <w:rsid w:val="004641F7"/>
    <w:rsid w:val="00464352"/>
    <w:rsid w:val="004644BB"/>
    <w:rsid w:val="004644D3"/>
    <w:rsid w:val="004644D8"/>
    <w:rsid w:val="00464530"/>
    <w:rsid w:val="00464664"/>
    <w:rsid w:val="00464668"/>
    <w:rsid w:val="00464715"/>
    <w:rsid w:val="00464777"/>
    <w:rsid w:val="00464976"/>
    <w:rsid w:val="004649A6"/>
    <w:rsid w:val="00464AF6"/>
    <w:rsid w:val="00464B19"/>
    <w:rsid w:val="00464B86"/>
    <w:rsid w:val="00464B97"/>
    <w:rsid w:val="00464B9A"/>
    <w:rsid w:val="00464BCE"/>
    <w:rsid w:val="00464C37"/>
    <w:rsid w:val="00464D54"/>
    <w:rsid w:val="00464EB5"/>
    <w:rsid w:val="00464F75"/>
    <w:rsid w:val="00464FE6"/>
    <w:rsid w:val="0046504D"/>
    <w:rsid w:val="00465062"/>
    <w:rsid w:val="00465077"/>
    <w:rsid w:val="004650A3"/>
    <w:rsid w:val="004651E9"/>
    <w:rsid w:val="004653F0"/>
    <w:rsid w:val="004653F1"/>
    <w:rsid w:val="00465478"/>
    <w:rsid w:val="004654DA"/>
    <w:rsid w:val="0046563F"/>
    <w:rsid w:val="004656D7"/>
    <w:rsid w:val="004656E2"/>
    <w:rsid w:val="004656F8"/>
    <w:rsid w:val="00465726"/>
    <w:rsid w:val="00465835"/>
    <w:rsid w:val="00465A0B"/>
    <w:rsid w:val="00465B02"/>
    <w:rsid w:val="00465BEE"/>
    <w:rsid w:val="00465C21"/>
    <w:rsid w:val="00465C39"/>
    <w:rsid w:val="00465D98"/>
    <w:rsid w:val="00465EDC"/>
    <w:rsid w:val="00465EE0"/>
    <w:rsid w:val="00465F22"/>
    <w:rsid w:val="00465F41"/>
    <w:rsid w:val="00465F4B"/>
    <w:rsid w:val="00466056"/>
    <w:rsid w:val="00466372"/>
    <w:rsid w:val="004663DF"/>
    <w:rsid w:val="00466515"/>
    <w:rsid w:val="004665C1"/>
    <w:rsid w:val="00466625"/>
    <w:rsid w:val="00466777"/>
    <w:rsid w:val="004668D1"/>
    <w:rsid w:val="00466999"/>
    <w:rsid w:val="004669B5"/>
    <w:rsid w:val="00466AAE"/>
    <w:rsid w:val="00466B58"/>
    <w:rsid w:val="00466BE8"/>
    <w:rsid w:val="00466C2A"/>
    <w:rsid w:val="00466CA8"/>
    <w:rsid w:val="00466DB5"/>
    <w:rsid w:val="00466F33"/>
    <w:rsid w:val="00466FF1"/>
    <w:rsid w:val="0046701D"/>
    <w:rsid w:val="004670B7"/>
    <w:rsid w:val="00467118"/>
    <w:rsid w:val="0046719A"/>
    <w:rsid w:val="004671BF"/>
    <w:rsid w:val="004671C0"/>
    <w:rsid w:val="00467213"/>
    <w:rsid w:val="00467241"/>
    <w:rsid w:val="004673D0"/>
    <w:rsid w:val="0046754D"/>
    <w:rsid w:val="00467645"/>
    <w:rsid w:val="0046764B"/>
    <w:rsid w:val="00467678"/>
    <w:rsid w:val="004676A9"/>
    <w:rsid w:val="00467725"/>
    <w:rsid w:val="00467842"/>
    <w:rsid w:val="0046785B"/>
    <w:rsid w:val="004678A5"/>
    <w:rsid w:val="004678DE"/>
    <w:rsid w:val="00467935"/>
    <w:rsid w:val="004679B2"/>
    <w:rsid w:val="00467A33"/>
    <w:rsid w:val="00467ACB"/>
    <w:rsid w:val="00467C49"/>
    <w:rsid w:val="00467D44"/>
    <w:rsid w:val="00467DF9"/>
    <w:rsid w:val="00467E59"/>
    <w:rsid w:val="00467E68"/>
    <w:rsid w:val="00467EC2"/>
    <w:rsid w:val="00467FEB"/>
    <w:rsid w:val="00470027"/>
    <w:rsid w:val="00470162"/>
    <w:rsid w:val="004701D4"/>
    <w:rsid w:val="00470244"/>
    <w:rsid w:val="004703B1"/>
    <w:rsid w:val="00470498"/>
    <w:rsid w:val="004705A2"/>
    <w:rsid w:val="004705F2"/>
    <w:rsid w:val="0047065E"/>
    <w:rsid w:val="0047068A"/>
    <w:rsid w:val="004707E4"/>
    <w:rsid w:val="00470871"/>
    <w:rsid w:val="004709A9"/>
    <w:rsid w:val="00470A01"/>
    <w:rsid w:val="00470A15"/>
    <w:rsid w:val="00470AD9"/>
    <w:rsid w:val="00470C07"/>
    <w:rsid w:val="00470C8D"/>
    <w:rsid w:val="00470CED"/>
    <w:rsid w:val="00470D58"/>
    <w:rsid w:val="00470DE3"/>
    <w:rsid w:val="00470E02"/>
    <w:rsid w:val="00470E29"/>
    <w:rsid w:val="00471059"/>
    <w:rsid w:val="0047116F"/>
    <w:rsid w:val="00471217"/>
    <w:rsid w:val="00471257"/>
    <w:rsid w:val="00471262"/>
    <w:rsid w:val="004713D7"/>
    <w:rsid w:val="0047148F"/>
    <w:rsid w:val="0047155F"/>
    <w:rsid w:val="00471594"/>
    <w:rsid w:val="004715CC"/>
    <w:rsid w:val="00471693"/>
    <w:rsid w:val="00471695"/>
    <w:rsid w:val="00471827"/>
    <w:rsid w:val="0047183C"/>
    <w:rsid w:val="00471937"/>
    <w:rsid w:val="00471998"/>
    <w:rsid w:val="004719F6"/>
    <w:rsid w:val="00471A2B"/>
    <w:rsid w:val="00471A55"/>
    <w:rsid w:val="00471A6D"/>
    <w:rsid w:val="00471ADC"/>
    <w:rsid w:val="00471B87"/>
    <w:rsid w:val="00471B9A"/>
    <w:rsid w:val="00471C80"/>
    <w:rsid w:val="00471C9C"/>
    <w:rsid w:val="00471EDF"/>
    <w:rsid w:val="00471EE9"/>
    <w:rsid w:val="00471F07"/>
    <w:rsid w:val="00471F24"/>
    <w:rsid w:val="0047202D"/>
    <w:rsid w:val="00472170"/>
    <w:rsid w:val="0047225A"/>
    <w:rsid w:val="00472391"/>
    <w:rsid w:val="004724EA"/>
    <w:rsid w:val="00472670"/>
    <w:rsid w:val="004726D5"/>
    <w:rsid w:val="004727ED"/>
    <w:rsid w:val="00472815"/>
    <w:rsid w:val="004728EE"/>
    <w:rsid w:val="00472989"/>
    <w:rsid w:val="00472995"/>
    <w:rsid w:val="00472A84"/>
    <w:rsid w:val="00472BBA"/>
    <w:rsid w:val="00472C73"/>
    <w:rsid w:val="00472C8A"/>
    <w:rsid w:val="00472DF9"/>
    <w:rsid w:val="00472E29"/>
    <w:rsid w:val="00472E78"/>
    <w:rsid w:val="00472ED9"/>
    <w:rsid w:val="00472F32"/>
    <w:rsid w:val="00472FCF"/>
    <w:rsid w:val="00473008"/>
    <w:rsid w:val="0047301C"/>
    <w:rsid w:val="004731E8"/>
    <w:rsid w:val="004732C8"/>
    <w:rsid w:val="00473318"/>
    <w:rsid w:val="0047341F"/>
    <w:rsid w:val="00473516"/>
    <w:rsid w:val="00473606"/>
    <w:rsid w:val="004736A7"/>
    <w:rsid w:val="00473742"/>
    <w:rsid w:val="004738AF"/>
    <w:rsid w:val="00473927"/>
    <w:rsid w:val="00473978"/>
    <w:rsid w:val="004739AD"/>
    <w:rsid w:val="00473AB2"/>
    <w:rsid w:val="00473CB7"/>
    <w:rsid w:val="00473D62"/>
    <w:rsid w:val="00473D7C"/>
    <w:rsid w:val="00473E27"/>
    <w:rsid w:val="00473EEE"/>
    <w:rsid w:val="00473F34"/>
    <w:rsid w:val="00473F6C"/>
    <w:rsid w:val="00474067"/>
    <w:rsid w:val="00474090"/>
    <w:rsid w:val="004741B2"/>
    <w:rsid w:val="004741E6"/>
    <w:rsid w:val="0047426F"/>
    <w:rsid w:val="0047431D"/>
    <w:rsid w:val="0047432F"/>
    <w:rsid w:val="004743A8"/>
    <w:rsid w:val="00474435"/>
    <w:rsid w:val="00474534"/>
    <w:rsid w:val="00474604"/>
    <w:rsid w:val="0047461C"/>
    <w:rsid w:val="004746C2"/>
    <w:rsid w:val="00474720"/>
    <w:rsid w:val="004747F3"/>
    <w:rsid w:val="00474897"/>
    <w:rsid w:val="00474915"/>
    <w:rsid w:val="004749B4"/>
    <w:rsid w:val="004749DD"/>
    <w:rsid w:val="00474B3C"/>
    <w:rsid w:val="00474B9D"/>
    <w:rsid w:val="00474BA9"/>
    <w:rsid w:val="00474C90"/>
    <w:rsid w:val="00474D16"/>
    <w:rsid w:val="00474DB2"/>
    <w:rsid w:val="00474E52"/>
    <w:rsid w:val="00474EDA"/>
    <w:rsid w:val="00474F2F"/>
    <w:rsid w:val="00474FCB"/>
    <w:rsid w:val="004750F3"/>
    <w:rsid w:val="004751F9"/>
    <w:rsid w:val="004751FD"/>
    <w:rsid w:val="00475327"/>
    <w:rsid w:val="0047532D"/>
    <w:rsid w:val="004753E7"/>
    <w:rsid w:val="00475414"/>
    <w:rsid w:val="0047556E"/>
    <w:rsid w:val="0047558C"/>
    <w:rsid w:val="004755C5"/>
    <w:rsid w:val="0047560D"/>
    <w:rsid w:val="00475614"/>
    <w:rsid w:val="00475768"/>
    <w:rsid w:val="004757C0"/>
    <w:rsid w:val="00475805"/>
    <w:rsid w:val="00475815"/>
    <w:rsid w:val="0047584B"/>
    <w:rsid w:val="00475994"/>
    <w:rsid w:val="004759AF"/>
    <w:rsid w:val="00475A88"/>
    <w:rsid w:val="00475B34"/>
    <w:rsid w:val="00475B44"/>
    <w:rsid w:val="00475BEC"/>
    <w:rsid w:val="00475C1B"/>
    <w:rsid w:val="00475C46"/>
    <w:rsid w:val="00475C5E"/>
    <w:rsid w:val="00475CC1"/>
    <w:rsid w:val="00475DFC"/>
    <w:rsid w:val="00475E0F"/>
    <w:rsid w:val="00475E44"/>
    <w:rsid w:val="00475F4D"/>
    <w:rsid w:val="00475F8E"/>
    <w:rsid w:val="00476044"/>
    <w:rsid w:val="00476089"/>
    <w:rsid w:val="004760DA"/>
    <w:rsid w:val="004760E7"/>
    <w:rsid w:val="0047612B"/>
    <w:rsid w:val="00476171"/>
    <w:rsid w:val="0047623B"/>
    <w:rsid w:val="004762A9"/>
    <w:rsid w:val="004762C1"/>
    <w:rsid w:val="00476302"/>
    <w:rsid w:val="00476545"/>
    <w:rsid w:val="00476591"/>
    <w:rsid w:val="004765A5"/>
    <w:rsid w:val="0047675A"/>
    <w:rsid w:val="004767DB"/>
    <w:rsid w:val="00476807"/>
    <w:rsid w:val="00476888"/>
    <w:rsid w:val="0047698A"/>
    <w:rsid w:val="004769BA"/>
    <w:rsid w:val="004769CB"/>
    <w:rsid w:val="00476A25"/>
    <w:rsid w:val="00476B0F"/>
    <w:rsid w:val="00476B26"/>
    <w:rsid w:val="00476D6D"/>
    <w:rsid w:val="00476DB5"/>
    <w:rsid w:val="00476E41"/>
    <w:rsid w:val="00476E63"/>
    <w:rsid w:val="00476E8D"/>
    <w:rsid w:val="00476EE7"/>
    <w:rsid w:val="00476FDC"/>
    <w:rsid w:val="0047719C"/>
    <w:rsid w:val="004771A4"/>
    <w:rsid w:val="0047734E"/>
    <w:rsid w:val="0047744F"/>
    <w:rsid w:val="004774CC"/>
    <w:rsid w:val="004775E4"/>
    <w:rsid w:val="004777DC"/>
    <w:rsid w:val="00477A34"/>
    <w:rsid w:val="00477A86"/>
    <w:rsid w:val="00477B38"/>
    <w:rsid w:val="00477B45"/>
    <w:rsid w:val="00477C50"/>
    <w:rsid w:val="00477CA4"/>
    <w:rsid w:val="00477DC7"/>
    <w:rsid w:val="00477E1B"/>
    <w:rsid w:val="00477F10"/>
    <w:rsid w:val="00477FBB"/>
    <w:rsid w:val="0048030B"/>
    <w:rsid w:val="00480339"/>
    <w:rsid w:val="004803DB"/>
    <w:rsid w:val="00480522"/>
    <w:rsid w:val="00480523"/>
    <w:rsid w:val="0048057E"/>
    <w:rsid w:val="00480606"/>
    <w:rsid w:val="004806C5"/>
    <w:rsid w:val="00480874"/>
    <w:rsid w:val="004808AD"/>
    <w:rsid w:val="0048090C"/>
    <w:rsid w:val="00480957"/>
    <w:rsid w:val="004809F2"/>
    <w:rsid w:val="004809F6"/>
    <w:rsid w:val="00480A6A"/>
    <w:rsid w:val="00480B4F"/>
    <w:rsid w:val="00480B72"/>
    <w:rsid w:val="00480BBB"/>
    <w:rsid w:val="00480D24"/>
    <w:rsid w:val="00480DAD"/>
    <w:rsid w:val="00480DB2"/>
    <w:rsid w:val="00480E2B"/>
    <w:rsid w:val="00480F55"/>
    <w:rsid w:val="00481059"/>
    <w:rsid w:val="004810DF"/>
    <w:rsid w:val="0048118B"/>
    <w:rsid w:val="004811AB"/>
    <w:rsid w:val="004811FD"/>
    <w:rsid w:val="0048125E"/>
    <w:rsid w:val="004812E3"/>
    <w:rsid w:val="004813EF"/>
    <w:rsid w:val="00481455"/>
    <w:rsid w:val="00481582"/>
    <w:rsid w:val="00481603"/>
    <w:rsid w:val="0048160C"/>
    <w:rsid w:val="00481761"/>
    <w:rsid w:val="00481786"/>
    <w:rsid w:val="004818E0"/>
    <w:rsid w:val="0048190B"/>
    <w:rsid w:val="0048194B"/>
    <w:rsid w:val="004819B8"/>
    <w:rsid w:val="004819EB"/>
    <w:rsid w:val="00481A10"/>
    <w:rsid w:val="00481AE0"/>
    <w:rsid w:val="00481AE6"/>
    <w:rsid w:val="00481B7B"/>
    <w:rsid w:val="00481D10"/>
    <w:rsid w:val="00481D19"/>
    <w:rsid w:val="00481E1F"/>
    <w:rsid w:val="00481EDB"/>
    <w:rsid w:val="00481F70"/>
    <w:rsid w:val="00481F9F"/>
    <w:rsid w:val="00481FC7"/>
    <w:rsid w:val="00482007"/>
    <w:rsid w:val="0048210F"/>
    <w:rsid w:val="00482146"/>
    <w:rsid w:val="00482196"/>
    <w:rsid w:val="0048219A"/>
    <w:rsid w:val="0048223E"/>
    <w:rsid w:val="00482277"/>
    <w:rsid w:val="004822EB"/>
    <w:rsid w:val="004825A8"/>
    <w:rsid w:val="004825D6"/>
    <w:rsid w:val="0048263C"/>
    <w:rsid w:val="004826F1"/>
    <w:rsid w:val="0048274A"/>
    <w:rsid w:val="0048280C"/>
    <w:rsid w:val="0048283B"/>
    <w:rsid w:val="00482869"/>
    <w:rsid w:val="004829FC"/>
    <w:rsid w:val="00482A49"/>
    <w:rsid w:val="00482AC1"/>
    <w:rsid w:val="00482B9E"/>
    <w:rsid w:val="00482C4F"/>
    <w:rsid w:val="00482C66"/>
    <w:rsid w:val="00482D76"/>
    <w:rsid w:val="00482E6C"/>
    <w:rsid w:val="00482FEF"/>
    <w:rsid w:val="00483088"/>
    <w:rsid w:val="0048322E"/>
    <w:rsid w:val="00483326"/>
    <w:rsid w:val="004833C1"/>
    <w:rsid w:val="0048340D"/>
    <w:rsid w:val="00483413"/>
    <w:rsid w:val="0048348B"/>
    <w:rsid w:val="004834E0"/>
    <w:rsid w:val="004834FC"/>
    <w:rsid w:val="004835D5"/>
    <w:rsid w:val="0048360A"/>
    <w:rsid w:val="00483777"/>
    <w:rsid w:val="004837EC"/>
    <w:rsid w:val="00483941"/>
    <w:rsid w:val="00483ACD"/>
    <w:rsid w:val="00483AD5"/>
    <w:rsid w:val="00483B79"/>
    <w:rsid w:val="00483E98"/>
    <w:rsid w:val="00483F3E"/>
    <w:rsid w:val="0048402F"/>
    <w:rsid w:val="00484058"/>
    <w:rsid w:val="0048419F"/>
    <w:rsid w:val="0048420B"/>
    <w:rsid w:val="0048422F"/>
    <w:rsid w:val="004842C6"/>
    <w:rsid w:val="004842EC"/>
    <w:rsid w:val="0048430E"/>
    <w:rsid w:val="00484355"/>
    <w:rsid w:val="0048439B"/>
    <w:rsid w:val="004843A6"/>
    <w:rsid w:val="00484436"/>
    <w:rsid w:val="0048447A"/>
    <w:rsid w:val="0048450E"/>
    <w:rsid w:val="0048496D"/>
    <w:rsid w:val="00484980"/>
    <w:rsid w:val="00484A03"/>
    <w:rsid w:val="00484B41"/>
    <w:rsid w:val="00484D2A"/>
    <w:rsid w:val="00484EA4"/>
    <w:rsid w:val="00484FD5"/>
    <w:rsid w:val="004851DA"/>
    <w:rsid w:val="004851F9"/>
    <w:rsid w:val="00485208"/>
    <w:rsid w:val="00485269"/>
    <w:rsid w:val="004852E4"/>
    <w:rsid w:val="00485442"/>
    <w:rsid w:val="00485495"/>
    <w:rsid w:val="00485590"/>
    <w:rsid w:val="00485592"/>
    <w:rsid w:val="00485602"/>
    <w:rsid w:val="004856F7"/>
    <w:rsid w:val="0048573E"/>
    <w:rsid w:val="00485857"/>
    <w:rsid w:val="004858E1"/>
    <w:rsid w:val="004858FA"/>
    <w:rsid w:val="00485933"/>
    <w:rsid w:val="0048593E"/>
    <w:rsid w:val="0048597F"/>
    <w:rsid w:val="004859A1"/>
    <w:rsid w:val="00485AA3"/>
    <w:rsid w:val="00485B17"/>
    <w:rsid w:val="00485B92"/>
    <w:rsid w:val="00485C53"/>
    <w:rsid w:val="00485ED9"/>
    <w:rsid w:val="0048606D"/>
    <w:rsid w:val="00486129"/>
    <w:rsid w:val="0048616F"/>
    <w:rsid w:val="004861B9"/>
    <w:rsid w:val="0048620B"/>
    <w:rsid w:val="00486215"/>
    <w:rsid w:val="00486277"/>
    <w:rsid w:val="004862BC"/>
    <w:rsid w:val="004862E1"/>
    <w:rsid w:val="0048636D"/>
    <w:rsid w:val="00486394"/>
    <w:rsid w:val="004863D8"/>
    <w:rsid w:val="004865A0"/>
    <w:rsid w:val="0048669D"/>
    <w:rsid w:val="004866E5"/>
    <w:rsid w:val="00486718"/>
    <w:rsid w:val="00486720"/>
    <w:rsid w:val="00486752"/>
    <w:rsid w:val="004867B5"/>
    <w:rsid w:val="004867F9"/>
    <w:rsid w:val="0048685A"/>
    <w:rsid w:val="004868CE"/>
    <w:rsid w:val="00486982"/>
    <w:rsid w:val="004869D4"/>
    <w:rsid w:val="00486A3C"/>
    <w:rsid w:val="00486ACB"/>
    <w:rsid w:val="00486B6C"/>
    <w:rsid w:val="00486C0B"/>
    <w:rsid w:val="00486C1B"/>
    <w:rsid w:val="00486C2C"/>
    <w:rsid w:val="00486CC7"/>
    <w:rsid w:val="00486CF4"/>
    <w:rsid w:val="00486D32"/>
    <w:rsid w:val="00486D7A"/>
    <w:rsid w:val="00486DB6"/>
    <w:rsid w:val="00486DCC"/>
    <w:rsid w:val="00486E72"/>
    <w:rsid w:val="00486F14"/>
    <w:rsid w:val="00486FE2"/>
    <w:rsid w:val="00486FF0"/>
    <w:rsid w:val="0048709F"/>
    <w:rsid w:val="004870A3"/>
    <w:rsid w:val="0048714F"/>
    <w:rsid w:val="0048721E"/>
    <w:rsid w:val="00487225"/>
    <w:rsid w:val="00487322"/>
    <w:rsid w:val="00487360"/>
    <w:rsid w:val="00487369"/>
    <w:rsid w:val="00487473"/>
    <w:rsid w:val="00487484"/>
    <w:rsid w:val="00487523"/>
    <w:rsid w:val="00487551"/>
    <w:rsid w:val="0048760F"/>
    <w:rsid w:val="004877EC"/>
    <w:rsid w:val="004877F2"/>
    <w:rsid w:val="00487839"/>
    <w:rsid w:val="00487858"/>
    <w:rsid w:val="00487909"/>
    <w:rsid w:val="00487A15"/>
    <w:rsid w:val="00487A1B"/>
    <w:rsid w:val="00487B0E"/>
    <w:rsid w:val="00487B54"/>
    <w:rsid w:val="00487C57"/>
    <w:rsid w:val="00487D0B"/>
    <w:rsid w:val="00487DAA"/>
    <w:rsid w:val="00487DAF"/>
    <w:rsid w:val="00487F27"/>
    <w:rsid w:val="004900B3"/>
    <w:rsid w:val="004900C3"/>
    <w:rsid w:val="0049011D"/>
    <w:rsid w:val="00490289"/>
    <w:rsid w:val="00490459"/>
    <w:rsid w:val="00490491"/>
    <w:rsid w:val="004904BD"/>
    <w:rsid w:val="004904CC"/>
    <w:rsid w:val="004905BE"/>
    <w:rsid w:val="0049060A"/>
    <w:rsid w:val="00490640"/>
    <w:rsid w:val="004906A6"/>
    <w:rsid w:val="004906F9"/>
    <w:rsid w:val="00490915"/>
    <w:rsid w:val="0049092B"/>
    <w:rsid w:val="00490975"/>
    <w:rsid w:val="00490981"/>
    <w:rsid w:val="00490C49"/>
    <w:rsid w:val="00490DA4"/>
    <w:rsid w:val="00490E49"/>
    <w:rsid w:val="00490E93"/>
    <w:rsid w:val="00490EB7"/>
    <w:rsid w:val="00490F86"/>
    <w:rsid w:val="00491022"/>
    <w:rsid w:val="00491083"/>
    <w:rsid w:val="00491293"/>
    <w:rsid w:val="00491340"/>
    <w:rsid w:val="00491486"/>
    <w:rsid w:val="004914B2"/>
    <w:rsid w:val="004916A7"/>
    <w:rsid w:val="00491748"/>
    <w:rsid w:val="00491750"/>
    <w:rsid w:val="004917F9"/>
    <w:rsid w:val="004918FA"/>
    <w:rsid w:val="00491926"/>
    <w:rsid w:val="00491960"/>
    <w:rsid w:val="00491966"/>
    <w:rsid w:val="0049197A"/>
    <w:rsid w:val="004919C1"/>
    <w:rsid w:val="004919C3"/>
    <w:rsid w:val="00491A34"/>
    <w:rsid w:val="00491A73"/>
    <w:rsid w:val="00491A7F"/>
    <w:rsid w:val="00491BDE"/>
    <w:rsid w:val="00491CCD"/>
    <w:rsid w:val="00491E3A"/>
    <w:rsid w:val="00491E5A"/>
    <w:rsid w:val="00491F2E"/>
    <w:rsid w:val="00492040"/>
    <w:rsid w:val="00492071"/>
    <w:rsid w:val="00492291"/>
    <w:rsid w:val="00492310"/>
    <w:rsid w:val="0049237C"/>
    <w:rsid w:val="00492384"/>
    <w:rsid w:val="0049240A"/>
    <w:rsid w:val="0049241A"/>
    <w:rsid w:val="0049241F"/>
    <w:rsid w:val="00492486"/>
    <w:rsid w:val="00492488"/>
    <w:rsid w:val="0049249D"/>
    <w:rsid w:val="004924EF"/>
    <w:rsid w:val="004925AD"/>
    <w:rsid w:val="0049269C"/>
    <w:rsid w:val="0049273D"/>
    <w:rsid w:val="0049276F"/>
    <w:rsid w:val="0049286D"/>
    <w:rsid w:val="0049287C"/>
    <w:rsid w:val="00492889"/>
    <w:rsid w:val="004929C1"/>
    <w:rsid w:val="004929E0"/>
    <w:rsid w:val="00492A13"/>
    <w:rsid w:val="00492AB6"/>
    <w:rsid w:val="00492B1D"/>
    <w:rsid w:val="00492C05"/>
    <w:rsid w:val="00492C6D"/>
    <w:rsid w:val="00492D1E"/>
    <w:rsid w:val="00492D96"/>
    <w:rsid w:val="00492DA2"/>
    <w:rsid w:val="00492E46"/>
    <w:rsid w:val="00492EB4"/>
    <w:rsid w:val="00492F94"/>
    <w:rsid w:val="00492FA8"/>
    <w:rsid w:val="00493192"/>
    <w:rsid w:val="004932D0"/>
    <w:rsid w:val="00493339"/>
    <w:rsid w:val="004933FF"/>
    <w:rsid w:val="0049343B"/>
    <w:rsid w:val="00493502"/>
    <w:rsid w:val="004936BD"/>
    <w:rsid w:val="004936D4"/>
    <w:rsid w:val="004937F9"/>
    <w:rsid w:val="00493897"/>
    <w:rsid w:val="004938DA"/>
    <w:rsid w:val="00493992"/>
    <w:rsid w:val="00493A5E"/>
    <w:rsid w:val="00493C22"/>
    <w:rsid w:val="00493C7F"/>
    <w:rsid w:val="00493DB5"/>
    <w:rsid w:val="00493DF1"/>
    <w:rsid w:val="00494116"/>
    <w:rsid w:val="00494254"/>
    <w:rsid w:val="00494260"/>
    <w:rsid w:val="004942AE"/>
    <w:rsid w:val="004942B7"/>
    <w:rsid w:val="004942D7"/>
    <w:rsid w:val="00494431"/>
    <w:rsid w:val="00494481"/>
    <w:rsid w:val="00494524"/>
    <w:rsid w:val="004945F9"/>
    <w:rsid w:val="00494694"/>
    <w:rsid w:val="004949DD"/>
    <w:rsid w:val="00494A92"/>
    <w:rsid w:val="00494BB1"/>
    <w:rsid w:val="00494C25"/>
    <w:rsid w:val="00494D37"/>
    <w:rsid w:val="00494D9D"/>
    <w:rsid w:val="00494E5A"/>
    <w:rsid w:val="00494E9D"/>
    <w:rsid w:val="00494F3A"/>
    <w:rsid w:val="00495043"/>
    <w:rsid w:val="004950A9"/>
    <w:rsid w:val="00495163"/>
    <w:rsid w:val="004951D7"/>
    <w:rsid w:val="00495386"/>
    <w:rsid w:val="00495486"/>
    <w:rsid w:val="004954E7"/>
    <w:rsid w:val="004956DF"/>
    <w:rsid w:val="0049571D"/>
    <w:rsid w:val="00495721"/>
    <w:rsid w:val="00495739"/>
    <w:rsid w:val="0049578A"/>
    <w:rsid w:val="00495816"/>
    <w:rsid w:val="00495833"/>
    <w:rsid w:val="004958A8"/>
    <w:rsid w:val="0049599C"/>
    <w:rsid w:val="00495A83"/>
    <w:rsid w:val="00495AC5"/>
    <w:rsid w:val="00495B21"/>
    <w:rsid w:val="00495B23"/>
    <w:rsid w:val="00495BF0"/>
    <w:rsid w:val="00495CD3"/>
    <w:rsid w:val="00495CEA"/>
    <w:rsid w:val="00495DE9"/>
    <w:rsid w:val="00495F1C"/>
    <w:rsid w:val="00495F4F"/>
    <w:rsid w:val="00495F7C"/>
    <w:rsid w:val="0049602A"/>
    <w:rsid w:val="00496054"/>
    <w:rsid w:val="004960AF"/>
    <w:rsid w:val="00496113"/>
    <w:rsid w:val="0049617C"/>
    <w:rsid w:val="004961AD"/>
    <w:rsid w:val="004962AB"/>
    <w:rsid w:val="00496320"/>
    <w:rsid w:val="0049633B"/>
    <w:rsid w:val="00496373"/>
    <w:rsid w:val="00496400"/>
    <w:rsid w:val="00496485"/>
    <w:rsid w:val="0049652B"/>
    <w:rsid w:val="00496613"/>
    <w:rsid w:val="0049668D"/>
    <w:rsid w:val="00496939"/>
    <w:rsid w:val="00496981"/>
    <w:rsid w:val="00496B59"/>
    <w:rsid w:val="00496CBE"/>
    <w:rsid w:val="00496D01"/>
    <w:rsid w:val="00496E41"/>
    <w:rsid w:val="00496EA8"/>
    <w:rsid w:val="00496F84"/>
    <w:rsid w:val="004970D7"/>
    <w:rsid w:val="00497158"/>
    <w:rsid w:val="004971B5"/>
    <w:rsid w:val="00497217"/>
    <w:rsid w:val="004972F2"/>
    <w:rsid w:val="0049732E"/>
    <w:rsid w:val="004973C2"/>
    <w:rsid w:val="00497453"/>
    <w:rsid w:val="004974DF"/>
    <w:rsid w:val="004974F9"/>
    <w:rsid w:val="00497561"/>
    <w:rsid w:val="0049768B"/>
    <w:rsid w:val="004976D3"/>
    <w:rsid w:val="0049770C"/>
    <w:rsid w:val="00497728"/>
    <w:rsid w:val="00497804"/>
    <w:rsid w:val="0049785B"/>
    <w:rsid w:val="00497BBF"/>
    <w:rsid w:val="00497C52"/>
    <w:rsid w:val="00497D1C"/>
    <w:rsid w:val="00497E44"/>
    <w:rsid w:val="00497ED5"/>
    <w:rsid w:val="00497F2A"/>
    <w:rsid w:val="004A005B"/>
    <w:rsid w:val="004A0068"/>
    <w:rsid w:val="004A00CE"/>
    <w:rsid w:val="004A0180"/>
    <w:rsid w:val="004A01FD"/>
    <w:rsid w:val="004A0247"/>
    <w:rsid w:val="004A0253"/>
    <w:rsid w:val="004A02B2"/>
    <w:rsid w:val="004A02B8"/>
    <w:rsid w:val="004A04B7"/>
    <w:rsid w:val="004A055A"/>
    <w:rsid w:val="004A05CE"/>
    <w:rsid w:val="004A05DC"/>
    <w:rsid w:val="004A060A"/>
    <w:rsid w:val="004A065C"/>
    <w:rsid w:val="004A091D"/>
    <w:rsid w:val="004A09A2"/>
    <w:rsid w:val="004A0B73"/>
    <w:rsid w:val="004A0BCC"/>
    <w:rsid w:val="004A0C52"/>
    <w:rsid w:val="004A0D07"/>
    <w:rsid w:val="004A0EA0"/>
    <w:rsid w:val="004A0EAB"/>
    <w:rsid w:val="004A0F2F"/>
    <w:rsid w:val="004A0F7E"/>
    <w:rsid w:val="004A1029"/>
    <w:rsid w:val="004A10AB"/>
    <w:rsid w:val="004A1140"/>
    <w:rsid w:val="004A1177"/>
    <w:rsid w:val="004A1183"/>
    <w:rsid w:val="004A11F1"/>
    <w:rsid w:val="004A124C"/>
    <w:rsid w:val="004A12B7"/>
    <w:rsid w:val="004A12E1"/>
    <w:rsid w:val="004A15A1"/>
    <w:rsid w:val="004A15B7"/>
    <w:rsid w:val="004A15DC"/>
    <w:rsid w:val="004A16B6"/>
    <w:rsid w:val="004A171B"/>
    <w:rsid w:val="004A1725"/>
    <w:rsid w:val="004A17C0"/>
    <w:rsid w:val="004A1960"/>
    <w:rsid w:val="004A1974"/>
    <w:rsid w:val="004A198F"/>
    <w:rsid w:val="004A19C4"/>
    <w:rsid w:val="004A1A07"/>
    <w:rsid w:val="004A1BA9"/>
    <w:rsid w:val="004A1BD4"/>
    <w:rsid w:val="004A1BDC"/>
    <w:rsid w:val="004A1D32"/>
    <w:rsid w:val="004A1D6C"/>
    <w:rsid w:val="004A1E03"/>
    <w:rsid w:val="004A1E23"/>
    <w:rsid w:val="004A1E86"/>
    <w:rsid w:val="004A1EE9"/>
    <w:rsid w:val="004A1FB1"/>
    <w:rsid w:val="004A1FD0"/>
    <w:rsid w:val="004A2011"/>
    <w:rsid w:val="004A2068"/>
    <w:rsid w:val="004A20D6"/>
    <w:rsid w:val="004A2100"/>
    <w:rsid w:val="004A21BC"/>
    <w:rsid w:val="004A22B4"/>
    <w:rsid w:val="004A231E"/>
    <w:rsid w:val="004A23BA"/>
    <w:rsid w:val="004A2475"/>
    <w:rsid w:val="004A24BE"/>
    <w:rsid w:val="004A24D9"/>
    <w:rsid w:val="004A2514"/>
    <w:rsid w:val="004A25A6"/>
    <w:rsid w:val="004A25EF"/>
    <w:rsid w:val="004A2642"/>
    <w:rsid w:val="004A2644"/>
    <w:rsid w:val="004A268F"/>
    <w:rsid w:val="004A27A2"/>
    <w:rsid w:val="004A282E"/>
    <w:rsid w:val="004A2979"/>
    <w:rsid w:val="004A29CB"/>
    <w:rsid w:val="004A2A00"/>
    <w:rsid w:val="004A2A96"/>
    <w:rsid w:val="004A2AB8"/>
    <w:rsid w:val="004A2ABE"/>
    <w:rsid w:val="004A2AE3"/>
    <w:rsid w:val="004A2D2D"/>
    <w:rsid w:val="004A2EF8"/>
    <w:rsid w:val="004A2EFF"/>
    <w:rsid w:val="004A2F8C"/>
    <w:rsid w:val="004A2FCD"/>
    <w:rsid w:val="004A2FF0"/>
    <w:rsid w:val="004A305C"/>
    <w:rsid w:val="004A31EA"/>
    <w:rsid w:val="004A32D7"/>
    <w:rsid w:val="004A346B"/>
    <w:rsid w:val="004A348C"/>
    <w:rsid w:val="004A3502"/>
    <w:rsid w:val="004A3509"/>
    <w:rsid w:val="004A3578"/>
    <w:rsid w:val="004A3630"/>
    <w:rsid w:val="004A3723"/>
    <w:rsid w:val="004A373A"/>
    <w:rsid w:val="004A3786"/>
    <w:rsid w:val="004A3879"/>
    <w:rsid w:val="004A3A10"/>
    <w:rsid w:val="004A3A99"/>
    <w:rsid w:val="004A3AB6"/>
    <w:rsid w:val="004A3BA8"/>
    <w:rsid w:val="004A3BC4"/>
    <w:rsid w:val="004A3BED"/>
    <w:rsid w:val="004A3BFE"/>
    <w:rsid w:val="004A3D14"/>
    <w:rsid w:val="004A3DD0"/>
    <w:rsid w:val="004A3E17"/>
    <w:rsid w:val="004A3E1B"/>
    <w:rsid w:val="004A4060"/>
    <w:rsid w:val="004A4097"/>
    <w:rsid w:val="004A40A9"/>
    <w:rsid w:val="004A40D2"/>
    <w:rsid w:val="004A4136"/>
    <w:rsid w:val="004A41AF"/>
    <w:rsid w:val="004A42DB"/>
    <w:rsid w:val="004A4312"/>
    <w:rsid w:val="004A431E"/>
    <w:rsid w:val="004A4338"/>
    <w:rsid w:val="004A43BF"/>
    <w:rsid w:val="004A443E"/>
    <w:rsid w:val="004A4462"/>
    <w:rsid w:val="004A447C"/>
    <w:rsid w:val="004A4520"/>
    <w:rsid w:val="004A45A2"/>
    <w:rsid w:val="004A45C1"/>
    <w:rsid w:val="004A47B6"/>
    <w:rsid w:val="004A483E"/>
    <w:rsid w:val="004A491B"/>
    <w:rsid w:val="004A4991"/>
    <w:rsid w:val="004A4999"/>
    <w:rsid w:val="004A4A1B"/>
    <w:rsid w:val="004A4CAB"/>
    <w:rsid w:val="004A4E08"/>
    <w:rsid w:val="004A4E22"/>
    <w:rsid w:val="004A4E74"/>
    <w:rsid w:val="004A4EC1"/>
    <w:rsid w:val="004A4F14"/>
    <w:rsid w:val="004A4FC1"/>
    <w:rsid w:val="004A4FE6"/>
    <w:rsid w:val="004A50BE"/>
    <w:rsid w:val="004A52A8"/>
    <w:rsid w:val="004A52D7"/>
    <w:rsid w:val="004A53AA"/>
    <w:rsid w:val="004A53EA"/>
    <w:rsid w:val="004A5463"/>
    <w:rsid w:val="004A5520"/>
    <w:rsid w:val="004A5533"/>
    <w:rsid w:val="004A5548"/>
    <w:rsid w:val="004A5564"/>
    <w:rsid w:val="004A563C"/>
    <w:rsid w:val="004A56B4"/>
    <w:rsid w:val="004A56DE"/>
    <w:rsid w:val="004A5742"/>
    <w:rsid w:val="004A5770"/>
    <w:rsid w:val="004A57F7"/>
    <w:rsid w:val="004A5800"/>
    <w:rsid w:val="004A585F"/>
    <w:rsid w:val="004A5876"/>
    <w:rsid w:val="004A5906"/>
    <w:rsid w:val="004A59C5"/>
    <w:rsid w:val="004A5A5B"/>
    <w:rsid w:val="004A5AA3"/>
    <w:rsid w:val="004A5B2C"/>
    <w:rsid w:val="004A5BE8"/>
    <w:rsid w:val="004A5C62"/>
    <w:rsid w:val="004A5CD5"/>
    <w:rsid w:val="004A5D0A"/>
    <w:rsid w:val="004A5DD6"/>
    <w:rsid w:val="004A5EDF"/>
    <w:rsid w:val="004A5FD9"/>
    <w:rsid w:val="004A5FFB"/>
    <w:rsid w:val="004A60D6"/>
    <w:rsid w:val="004A63C0"/>
    <w:rsid w:val="004A6406"/>
    <w:rsid w:val="004A6413"/>
    <w:rsid w:val="004A641E"/>
    <w:rsid w:val="004A6520"/>
    <w:rsid w:val="004A6531"/>
    <w:rsid w:val="004A6549"/>
    <w:rsid w:val="004A657A"/>
    <w:rsid w:val="004A6642"/>
    <w:rsid w:val="004A6665"/>
    <w:rsid w:val="004A67A4"/>
    <w:rsid w:val="004A68D6"/>
    <w:rsid w:val="004A6A31"/>
    <w:rsid w:val="004A6AB4"/>
    <w:rsid w:val="004A6C92"/>
    <w:rsid w:val="004A6D3A"/>
    <w:rsid w:val="004A6DF9"/>
    <w:rsid w:val="004A6E64"/>
    <w:rsid w:val="004A6EF9"/>
    <w:rsid w:val="004A6EFC"/>
    <w:rsid w:val="004A6F18"/>
    <w:rsid w:val="004A6F1C"/>
    <w:rsid w:val="004A7097"/>
    <w:rsid w:val="004A7152"/>
    <w:rsid w:val="004A71A3"/>
    <w:rsid w:val="004A7219"/>
    <w:rsid w:val="004A726C"/>
    <w:rsid w:val="004A72D9"/>
    <w:rsid w:val="004A7343"/>
    <w:rsid w:val="004A73A5"/>
    <w:rsid w:val="004A745C"/>
    <w:rsid w:val="004A7484"/>
    <w:rsid w:val="004A7545"/>
    <w:rsid w:val="004A75F5"/>
    <w:rsid w:val="004A7627"/>
    <w:rsid w:val="004A762D"/>
    <w:rsid w:val="004A76A2"/>
    <w:rsid w:val="004A76C5"/>
    <w:rsid w:val="004A7745"/>
    <w:rsid w:val="004A7777"/>
    <w:rsid w:val="004A77BD"/>
    <w:rsid w:val="004A78E2"/>
    <w:rsid w:val="004A793D"/>
    <w:rsid w:val="004A79E2"/>
    <w:rsid w:val="004A7A46"/>
    <w:rsid w:val="004A7B86"/>
    <w:rsid w:val="004A7E6A"/>
    <w:rsid w:val="004A7F06"/>
    <w:rsid w:val="004A7F74"/>
    <w:rsid w:val="004A7FAD"/>
    <w:rsid w:val="004B001A"/>
    <w:rsid w:val="004B00D6"/>
    <w:rsid w:val="004B0180"/>
    <w:rsid w:val="004B01C7"/>
    <w:rsid w:val="004B0260"/>
    <w:rsid w:val="004B02F1"/>
    <w:rsid w:val="004B0366"/>
    <w:rsid w:val="004B06D2"/>
    <w:rsid w:val="004B0911"/>
    <w:rsid w:val="004B09AA"/>
    <w:rsid w:val="004B09B1"/>
    <w:rsid w:val="004B0A3C"/>
    <w:rsid w:val="004B0AE9"/>
    <w:rsid w:val="004B0B7F"/>
    <w:rsid w:val="004B0C00"/>
    <w:rsid w:val="004B0C50"/>
    <w:rsid w:val="004B0D39"/>
    <w:rsid w:val="004B0E42"/>
    <w:rsid w:val="004B0E8B"/>
    <w:rsid w:val="004B0F08"/>
    <w:rsid w:val="004B0FA7"/>
    <w:rsid w:val="004B0FB6"/>
    <w:rsid w:val="004B10B3"/>
    <w:rsid w:val="004B1131"/>
    <w:rsid w:val="004B11DB"/>
    <w:rsid w:val="004B120C"/>
    <w:rsid w:val="004B12F0"/>
    <w:rsid w:val="004B131C"/>
    <w:rsid w:val="004B1374"/>
    <w:rsid w:val="004B13F4"/>
    <w:rsid w:val="004B1449"/>
    <w:rsid w:val="004B16F1"/>
    <w:rsid w:val="004B1768"/>
    <w:rsid w:val="004B178F"/>
    <w:rsid w:val="004B17ED"/>
    <w:rsid w:val="004B186C"/>
    <w:rsid w:val="004B195B"/>
    <w:rsid w:val="004B19B0"/>
    <w:rsid w:val="004B1B3D"/>
    <w:rsid w:val="004B1E15"/>
    <w:rsid w:val="004B1F6C"/>
    <w:rsid w:val="004B2073"/>
    <w:rsid w:val="004B20D5"/>
    <w:rsid w:val="004B2126"/>
    <w:rsid w:val="004B2180"/>
    <w:rsid w:val="004B21E7"/>
    <w:rsid w:val="004B2263"/>
    <w:rsid w:val="004B22A5"/>
    <w:rsid w:val="004B22C1"/>
    <w:rsid w:val="004B2365"/>
    <w:rsid w:val="004B23A0"/>
    <w:rsid w:val="004B2419"/>
    <w:rsid w:val="004B2424"/>
    <w:rsid w:val="004B2496"/>
    <w:rsid w:val="004B25A7"/>
    <w:rsid w:val="004B25A8"/>
    <w:rsid w:val="004B25FD"/>
    <w:rsid w:val="004B260D"/>
    <w:rsid w:val="004B26BB"/>
    <w:rsid w:val="004B279C"/>
    <w:rsid w:val="004B281F"/>
    <w:rsid w:val="004B2828"/>
    <w:rsid w:val="004B2849"/>
    <w:rsid w:val="004B29ED"/>
    <w:rsid w:val="004B2A84"/>
    <w:rsid w:val="004B2CD4"/>
    <w:rsid w:val="004B2CF9"/>
    <w:rsid w:val="004B2F8A"/>
    <w:rsid w:val="004B3046"/>
    <w:rsid w:val="004B308C"/>
    <w:rsid w:val="004B30F7"/>
    <w:rsid w:val="004B31C3"/>
    <w:rsid w:val="004B3212"/>
    <w:rsid w:val="004B3216"/>
    <w:rsid w:val="004B334D"/>
    <w:rsid w:val="004B33CB"/>
    <w:rsid w:val="004B356D"/>
    <w:rsid w:val="004B3589"/>
    <w:rsid w:val="004B3599"/>
    <w:rsid w:val="004B36C7"/>
    <w:rsid w:val="004B3727"/>
    <w:rsid w:val="004B37A5"/>
    <w:rsid w:val="004B3977"/>
    <w:rsid w:val="004B3AAE"/>
    <w:rsid w:val="004B3B4B"/>
    <w:rsid w:val="004B3CC7"/>
    <w:rsid w:val="004B3CD1"/>
    <w:rsid w:val="004B3CE3"/>
    <w:rsid w:val="004B3E10"/>
    <w:rsid w:val="004B3E4E"/>
    <w:rsid w:val="004B3F9C"/>
    <w:rsid w:val="004B4007"/>
    <w:rsid w:val="004B4075"/>
    <w:rsid w:val="004B4087"/>
    <w:rsid w:val="004B4095"/>
    <w:rsid w:val="004B40E3"/>
    <w:rsid w:val="004B42B9"/>
    <w:rsid w:val="004B4325"/>
    <w:rsid w:val="004B4392"/>
    <w:rsid w:val="004B443A"/>
    <w:rsid w:val="004B443F"/>
    <w:rsid w:val="004B4503"/>
    <w:rsid w:val="004B4562"/>
    <w:rsid w:val="004B45E1"/>
    <w:rsid w:val="004B4655"/>
    <w:rsid w:val="004B4692"/>
    <w:rsid w:val="004B46C5"/>
    <w:rsid w:val="004B4757"/>
    <w:rsid w:val="004B484F"/>
    <w:rsid w:val="004B48D0"/>
    <w:rsid w:val="004B48DD"/>
    <w:rsid w:val="004B4946"/>
    <w:rsid w:val="004B49FA"/>
    <w:rsid w:val="004B4A51"/>
    <w:rsid w:val="004B4A67"/>
    <w:rsid w:val="004B4C1A"/>
    <w:rsid w:val="004B4CEF"/>
    <w:rsid w:val="004B4D53"/>
    <w:rsid w:val="004B4E20"/>
    <w:rsid w:val="004B4E9D"/>
    <w:rsid w:val="004B4FE7"/>
    <w:rsid w:val="004B4FE9"/>
    <w:rsid w:val="004B50E6"/>
    <w:rsid w:val="004B50FE"/>
    <w:rsid w:val="004B50FF"/>
    <w:rsid w:val="004B5145"/>
    <w:rsid w:val="004B5204"/>
    <w:rsid w:val="004B5396"/>
    <w:rsid w:val="004B53B0"/>
    <w:rsid w:val="004B53BF"/>
    <w:rsid w:val="004B53DC"/>
    <w:rsid w:val="004B548A"/>
    <w:rsid w:val="004B5494"/>
    <w:rsid w:val="004B54B3"/>
    <w:rsid w:val="004B54B4"/>
    <w:rsid w:val="004B54CC"/>
    <w:rsid w:val="004B54F1"/>
    <w:rsid w:val="004B5564"/>
    <w:rsid w:val="004B55B1"/>
    <w:rsid w:val="004B55FC"/>
    <w:rsid w:val="004B56DE"/>
    <w:rsid w:val="004B579C"/>
    <w:rsid w:val="004B5815"/>
    <w:rsid w:val="004B5866"/>
    <w:rsid w:val="004B5906"/>
    <w:rsid w:val="004B5AE5"/>
    <w:rsid w:val="004B5B2F"/>
    <w:rsid w:val="004B5B4B"/>
    <w:rsid w:val="004B5B59"/>
    <w:rsid w:val="004B5BE6"/>
    <w:rsid w:val="004B5BF2"/>
    <w:rsid w:val="004B5C09"/>
    <w:rsid w:val="004B5CB5"/>
    <w:rsid w:val="004B5E26"/>
    <w:rsid w:val="004B5F02"/>
    <w:rsid w:val="004B5F99"/>
    <w:rsid w:val="004B607A"/>
    <w:rsid w:val="004B6081"/>
    <w:rsid w:val="004B60BA"/>
    <w:rsid w:val="004B6255"/>
    <w:rsid w:val="004B6267"/>
    <w:rsid w:val="004B63D4"/>
    <w:rsid w:val="004B6592"/>
    <w:rsid w:val="004B661E"/>
    <w:rsid w:val="004B663A"/>
    <w:rsid w:val="004B6644"/>
    <w:rsid w:val="004B667F"/>
    <w:rsid w:val="004B669C"/>
    <w:rsid w:val="004B6797"/>
    <w:rsid w:val="004B67D5"/>
    <w:rsid w:val="004B681F"/>
    <w:rsid w:val="004B6854"/>
    <w:rsid w:val="004B6913"/>
    <w:rsid w:val="004B6917"/>
    <w:rsid w:val="004B6B09"/>
    <w:rsid w:val="004B6C6F"/>
    <w:rsid w:val="004B6C75"/>
    <w:rsid w:val="004B6C7E"/>
    <w:rsid w:val="004B6DEE"/>
    <w:rsid w:val="004B6EC2"/>
    <w:rsid w:val="004B6F48"/>
    <w:rsid w:val="004B6FCA"/>
    <w:rsid w:val="004B70AC"/>
    <w:rsid w:val="004B728F"/>
    <w:rsid w:val="004B734D"/>
    <w:rsid w:val="004B7391"/>
    <w:rsid w:val="004B7506"/>
    <w:rsid w:val="004B7676"/>
    <w:rsid w:val="004B7685"/>
    <w:rsid w:val="004B7740"/>
    <w:rsid w:val="004B77AA"/>
    <w:rsid w:val="004B77AB"/>
    <w:rsid w:val="004B77FC"/>
    <w:rsid w:val="004B7850"/>
    <w:rsid w:val="004B7868"/>
    <w:rsid w:val="004B78A3"/>
    <w:rsid w:val="004B78EC"/>
    <w:rsid w:val="004B7958"/>
    <w:rsid w:val="004B79A4"/>
    <w:rsid w:val="004B7A02"/>
    <w:rsid w:val="004B7A60"/>
    <w:rsid w:val="004B7ADD"/>
    <w:rsid w:val="004B7B5F"/>
    <w:rsid w:val="004B7B7E"/>
    <w:rsid w:val="004B7C13"/>
    <w:rsid w:val="004B7DA3"/>
    <w:rsid w:val="004B7E28"/>
    <w:rsid w:val="004B7E79"/>
    <w:rsid w:val="004B7F30"/>
    <w:rsid w:val="004B7F4A"/>
    <w:rsid w:val="004C0063"/>
    <w:rsid w:val="004C00A9"/>
    <w:rsid w:val="004C0169"/>
    <w:rsid w:val="004C01CE"/>
    <w:rsid w:val="004C0231"/>
    <w:rsid w:val="004C0333"/>
    <w:rsid w:val="004C036E"/>
    <w:rsid w:val="004C03B4"/>
    <w:rsid w:val="004C0414"/>
    <w:rsid w:val="004C04D5"/>
    <w:rsid w:val="004C04D8"/>
    <w:rsid w:val="004C0538"/>
    <w:rsid w:val="004C0546"/>
    <w:rsid w:val="004C078D"/>
    <w:rsid w:val="004C07A4"/>
    <w:rsid w:val="004C07C1"/>
    <w:rsid w:val="004C0826"/>
    <w:rsid w:val="004C086E"/>
    <w:rsid w:val="004C087A"/>
    <w:rsid w:val="004C08C5"/>
    <w:rsid w:val="004C0912"/>
    <w:rsid w:val="004C094D"/>
    <w:rsid w:val="004C0954"/>
    <w:rsid w:val="004C09C8"/>
    <w:rsid w:val="004C0A2B"/>
    <w:rsid w:val="004C0B5D"/>
    <w:rsid w:val="004C0C08"/>
    <w:rsid w:val="004C0C0B"/>
    <w:rsid w:val="004C0C88"/>
    <w:rsid w:val="004C0D0B"/>
    <w:rsid w:val="004C0D20"/>
    <w:rsid w:val="004C0E80"/>
    <w:rsid w:val="004C0F39"/>
    <w:rsid w:val="004C0F4E"/>
    <w:rsid w:val="004C1017"/>
    <w:rsid w:val="004C1076"/>
    <w:rsid w:val="004C1229"/>
    <w:rsid w:val="004C1250"/>
    <w:rsid w:val="004C12E7"/>
    <w:rsid w:val="004C143C"/>
    <w:rsid w:val="004C1472"/>
    <w:rsid w:val="004C14B2"/>
    <w:rsid w:val="004C14B8"/>
    <w:rsid w:val="004C14D2"/>
    <w:rsid w:val="004C1591"/>
    <w:rsid w:val="004C1625"/>
    <w:rsid w:val="004C16E6"/>
    <w:rsid w:val="004C1767"/>
    <w:rsid w:val="004C18DA"/>
    <w:rsid w:val="004C1936"/>
    <w:rsid w:val="004C19B3"/>
    <w:rsid w:val="004C19BA"/>
    <w:rsid w:val="004C1A46"/>
    <w:rsid w:val="004C1D55"/>
    <w:rsid w:val="004C1D6B"/>
    <w:rsid w:val="004C1DAF"/>
    <w:rsid w:val="004C1F04"/>
    <w:rsid w:val="004C20D3"/>
    <w:rsid w:val="004C20D9"/>
    <w:rsid w:val="004C217D"/>
    <w:rsid w:val="004C21E0"/>
    <w:rsid w:val="004C2413"/>
    <w:rsid w:val="004C2430"/>
    <w:rsid w:val="004C260B"/>
    <w:rsid w:val="004C260E"/>
    <w:rsid w:val="004C2621"/>
    <w:rsid w:val="004C2663"/>
    <w:rsid w:val="004C2879"/>
    <w:rsid w:val="004C2889"/>
    <w:rsid w:val="004C28A3"/>
    <w:rsid w:val="004C28FC"/>
    <w:rsid w:val="004C2946"/>
    <w:rsid w:val="004C2AF1"/>
    <w:rsid w:val="004C2B17"/>
    <w:rsid w:val="004C2B37"/>
    <w:rsid w:val="004C2B72"/>
    <w:rsid w:val="004C2BC4"/>
    <w:rsid w:val="004C2BF7"/>
    <w:rsid w:val="004C2D6E"/>
    <w:rsid w:val="004C2DD8"/>
    <w:rsid w:val="004C2EB3"/>
    <w:rsid w:val="004C2EBD"/>
    <w:rsid w:val="004C2F77"/>
    <w:rsid w:val="004C300C"/>
    <w:rsid w:val="004C3022"/>
    <w:rsid w:val="004C3024"/>
    <w:rsid w:val="004C30F4"/>
    <w:rsid w:val="004C30FE"/>
    <w:rsid w:val="004C3101"/>
    <w:rsid w:val="004C3269"/>
    <w:rsid w:val="004C328F"/>
    <w:rsid w:val="004C33D8"/>
    <w:rsid w:val="004C356B"/>
    <w:rsid w:val="004C3663"/>
    <w:rsid w:val="004C36F5"/>
    <w:rsid w:val="004C3809"/>
    <w:rsid w:val="004C3843"/>
    <w:rsid w:val="004C3852"/>
    <w:rsid w:val="004C3864"/>
    <w:rsid w:val="004C38BD"/>
    <w:rsid w:val="004C38DE"/>
    <w:rsid w:val="004C395B"/>
    <w:rsid w:val="004C3987"/>
    <w:rsid w:val="004C3A86"/>
    <w:rsid w:val="004C3BC8"/>
    <w:rsid w:val="004C3BEC"/>
    <w:rsid w:val="004C3CEF"/>
    <w:rsid w:val="004C3DEF"/>
    <w:rsid w:val="004C3E98"/>
    <w:rsid w:val="004C3F03"/>
    <w:rsid w:val="004C3F5B"/>
    <w:rsid w:val="004C408A"/>
    <w:rsid w:val="004C4118"/>
    <w:rsid w:val="004C4496"/>
    <w:rsid w:val="004C44AE"/>
    <w:rsid w:val="004C44CA"/>
    <w:rsid w:val="004C44FF"/>
    <w:rsid w:val="004C4502"/>
    <w:rsid w:val="004C450C"/>
    <w:rsid w:val="004C4674"/>
    <w:rsid w:val="004C478C"/>
    <w:rsid w:val="004C4A01"/>
    <w:rsid w:val="004C4A03"/>
    <w:rsid w:val="004C4BBD"/>
    <w:rsid w:val="004C4BF1"/>
    <w:rsid w:val="004C4C4B"/>
    <w:rsid w:val="004C4D78"/>
    <w:rsid w:val="004C4E3B"/>
    <w:rsid w:val="004C504F"/>
    <w:rsid w:val="004C50B1"/>
    <w:rsid w:val="004C50EA"/>
    <w:rsid w:val="004C512C"/>
    <w:rsid w:val="004C529B"/>
    <w:rsid w:val="004C5396"/>
    <w:rsid w:val="004C54C9"/>
    <w:rsid w:val="004C54F9"/>
    <w:rsid w:val="004C5529"/>
    <w:rsid w:val="004C5620"/>
    <w:rsid w:val="004C5699"/>
    <w:rsid w:val="004C56C5"/>
    <w:rsid w:val="004C57B3"/>
    <w:rsid w:val="004C5866"/>
    <w:rsid w:val="004C58FC"/>
    <w:rsid w:val="004C5918"/>
    <w:rsid w:val="004C5968"/>
    <w:rsid w:val="004C5A00"/>
    <w:rsid w:val="004C5A3B"/>
    <w:rsid w:val="004C5B09"/>
    <w:rsid w:val="004C5B8D"/>
    <w:rsid w:val="004C5CB6"/>
    <w:rsid w:val="004C5D0D"/>
    <w:rsid w:val="004C5FE2"/>
    <w:rsid w:val="004C600F"/>
    <w:rsid w:val="004C6010"/>
    <w:rsid w:val="004C6093"/>
    <w:rsid w:val="004C618A"/>
    <w:rsid w:val="004C622B"/>
    <w:rsid w:val="004C631F"/>
    <w:rsid w:val="004C63EF"/>
    <w:rsid w:val="004C65E9"/>
    <w:rsid w:val="004C66FF"/>
    <w:rsid w:val="004C68B4"/>
    <w:rsid w:val="004C68E4"/>
    <w:rsid w:val="004C6933"/>
    <w:rsid w:val="004C6A34"/>
    <w:rsid w:val="004C6BC7"/>
    <w:rsid w:val="004C6C91"/>
    <w:rsid w:val="004C6CA7"/>
    <w:rsid w:val="004C6D03"/>
    <w:rsid w:val="004C6E47"/>
    <w:rsid w:val="004C6EDC"/>
    <w:rsid w:val="004C70B2"/>
    <w:rsid w:val="004C7121"/>
    <w:rsid w:val="004C71D3"/>
    <w:rsid w:val="004C72D3"/>
    <w:rsid w:val="004C74A6"/>
    <w:rsid w:val="004C750C"/>
    <w:rsid w:val="004C7555"/>
    <w:rsid w:val="004C7634"/>
    <w:rsid w:val="004C770C"/>
    <w:rsid w:val="004C7719"/>
    <w:rsid w:val="004C7721"/>
    <w:rsid w:val="004C799B"/>
    <w:rsid w:val="004C7A5B"/>
    <w:rsid w:val="004C7BE1"/>
    <w:rsid w:val="004C7CDA"/>
    <w:rsid w:val="004C7D7A"/>
    <w:rsid w:val="004C7D93"/>
    <w:rsid w:val="004C7E05"/>
    <w:rsid w:val="004C7F56"/>
    <w:rsid w:val="004D009F"/>
    <w:rsid w:val="004D00B5"/>
    <w:rsid w:val="004D0112"/>
    <w:rsid w:val="004D012B"/>
    <w:rsid w:val="004D01D8"/>
    <w:rsid w:val="004D0247"/>
    <w:rsid w:val="004D029B"/>
    <w:rsid w:val="004D0304"/>
    <w:rsid w:val="004D0317"/>
    <w:rsid w:val="004D0372"/>
    <w:rsid w:val="004D039E"/>
    <w:rsid w:val="004D03F1"/>
    <w:rsid w:val="004D0518"/>
    <w:rsid w:val="004D052F"/>
    <w:rsid w:val="004D0533"/>
    <w:rsid w:val="004D054F"/>
    <w:rsid w:val="004D06A3"/>
    <w:rsid w:val="004D07A3"/>
    <w:rsid w:val="004D080F"/>
    <w:rsid w:val="004D0838"/>
    <w:rsid w:val="004D0900"/>
    <w:rsid w:val="004D0ABC"/>
    <w:rsid w:val="004D0AD7"/>
    <w:rsid w:val="004D0B0D"/>
    <w:rsid w:val="004D0BDF"/>
    <w:rsid w:val="004D0BE8"/>
    <w:rsid w:val="004D0BED"/>
    <w:rsid w:val="004D0BF5"/>
    <w:rsid w:val="004D0C01"/>
    <w:rsid w:val="004D0C4E"/>
    <w:rsid w:val="004D0C69"/>
    <w:rsid w:val="004D0CA9"/>
    <w:rsid w:val="004D0D0B"/>
    <w:rsid w:val="004D0D82"/>
    <w:rsid w:val="004D0DAC"/>
    <w:rsid w:val="004D0DD3"/>
    <w:rsid w:val="004D0E44"/>
    <w:rsid w:val="004D0E4C"/>
    <w:rsid w:val="004D0E5F"/>
    <w:rsid w:val="004D0E89"/>
    <w:rsid w:val="004D0F9F"/>
    <w:rsid w:val="004D10F1"/>
    <w:rsid w:val="004D11FA"/>
    <w:rsid w:val="004D123D"/>
    <w:rsid w:val="004D1254"/>
    <w:rsid w:val="004D1380"/>
    <w:rsid w:val="004D1456"/>
    <w:rsid w:val="004D15FD"/>
    <w:rsid w:val="004D1618"/>
    <w:rsid w:val="004D16AB"/>
    <w:rsid w:val="004D1757"/>
    <w:rsid w:val="004D1814"/>
    <w:rsid w:val="004D1822"/>
    <w:rsid w:val="004D18E8"/>
    <w:rsid w:val="004D199F"/>
    <w:rsid w:val="004D1A40"/>
    <w:rsid w:val="004D1C94"/>
    <w:rsid w:val="004D1D5B"/>
    <w:rsid w:val="004D1D73"/>
    <w:rsid w:val="004D1E17"/>
    <w:rsid w:val="004D1E4B"/>
    <w:rsid w:val="004D1E58"/>
    <w:rsid w:val="004D1E7E"/>
    <w:rsid w:val="004D1EBC"/>
    <w:rsid w:val="004D1EF5"/>
    <w:rsid w:val="004D1F38"/>
    <w:rsid w:val="004D1FE7"/>
    <w:rsid w:val="004D208E"/>
    <w:rsid w:val="004D20FE"/>
    <w:rsid w:val="004D230A"/>
    <w:rsid w:val="004D24FF"/>
    <w:rsid w:val="004D2560"/>
    <w:rsid w:val="004D2632"/>
    <w:rsid w:val="004D2635"/>
    <w:rsid w:val="004D264C"/>
    <w:rsid w:val="004D2661"/>
    <w:rsid w:val="004D26A0"/>
    <w:rsid w:val="004D26AD"/>
    <w:rsid w:val="004D26BF"/>
    <w:rsid w:val="004D2744"/>
    <w:rsid w:val="004D274A"/>
    <w:rsid w:val="004D2879"/>
    <w:rsid w:val="004D2885"/>
    <w:rsid w:val="004D2934"/>
    <w:rsid w:val="004D298C"/>
    <w:rsid w:val="004D29EB"/>
    <w:rsid w:val="004D2A52"/>
    <w:rsid w:val="004D2A80"/>
    <w:rsid w:val="004D2ACF"/>
    <w:rsid w:val="004D2AF7"/>
    <w:rsid w:val="004D2CDB"/>
    <w:rsid w:val="004D2CE4"/>
    <w:rsid w:val="004D2EEB"/>
    <w:rsid w:val="004D304F"/>
    <w:rsid w:val="004D309D"/>
    <w:rsid w:val="004D3119"/>
    <w:rsid w:val="004D316D"/>
    <w:rsid w:val="004D3251"/>
    <w:rsid w:val="004D33AF"/>
    <w:rsid w:val="004D356B"/>
    <w:rsid w:val="004D357F"/>
    <w:rsid w:val="004D35B7"/>
    <w:rsid w:val="004D360C"/>
    <w:rsid w:val="004D3640"/>
    <w:rsid w:val="004D39B9"/>
    <w:rsid w:val="004D39DC"/>
    <w:rsid w:val="004D3BAC"/>
    <w:rsid w:val="004D3BC6"/>
    <w:rsid w:val="004D3C64"/>
    <w:rsid w:val="004D3CAA"/>
    <w:rsid w:val="004D3DBE"/>
    <w:rsid w:val="004D3DEE"/>
    <w:rsid w:val="004D3E2C"/>
    <w:rsid w:val="004D3FFD"/>
    <w:rsid w:val="004D40A2"/>
    <w:rsid w:val="004D414C"/>
    <w:rsid w:val="004D4162"/>
    <w:rsid w:val="004D41B9"/>
    <w:rsid w:val="004D4213"/>
    <w:rsid w:val="004D43F0"/>
    <w:rsid w:val="004D4437"/>
    <w:rsid w:val="004D4466"/>
    <w:rsid w:val="004D448B"/>
    <w:rsid w:val="004D466D"/>
    <w:rsid w:val="004D470F"/>
    <w:rsid w:val="004D4835"/>
    <w:rsid w:val="004D49B0"/>
    <w:rsid w:val="004D4A4F"/>
    <w:rsid w:val="004D4C50"/>
    <w:rsid w:val="004D4D0A"/>
    <w:rsid w:val="004D4D15"/>
    <w:rsid w:val="004D4D2D"/>
    <w:rsid w:val="004D4DD0"/>
    <w:rsid w:val="004D4E78"/>
    <w:rsid w:val="004D50A7"/>
    <w:rsid w:val="004D50F3"/>
    <w:rsid w:val="004D5113"/>
    <w:rsid w:val="004D5133"/>
    <w:rsid w:val="004D5174"/>
    <w:rsid w:val="004D51E8"/>
    <w:rsid w:val="004D524F"/>
    <w:rsid w:val="004D52B0"/>
    <w:rsid w:val="004D53E1"/>
    <w:rsid w:val="004D5432"/>
    <w:rsid w:val="004D5519"/>
    <w:rsid w:val="004D5539"/>
    <w:rsid w:val="004D5566"/>
    <w:rsid w:val="004D563C"/>
    <w:rsid w:val="004D5641"/>
    <w:rsid w:val="004D568B"/>
    <w:rsid w:val="004D5699"/>
    <w:rsid w:val="004D56B7"/>
    <w:rsid w:val="004D56CE"/>
    <w:rsid w:val="004D56D2"/>
    <w:rsid w:val="004D56F3"/>
    <w:rsid w:val="004D572D"/>
    <w:rsid w:val="004D57A3"/>
    <w:rsid w:val="004D57FB"/>
    <w:rsid w:val="004D5815"/>
    <w:rsid w:val="004D5896"/>
    <w:rsid w:val="004D58E9"/>
    <w:rsid w:val="004D5986"/>
    <w:rsid w:val="004D59E0"/>
    <w:rsid w:val="004D5A81"/>
    <w:rsid w:val="004D5A8A"/>
    <w:rsid w:val="004D5ADC"/>
    <w:rsid w:val="004D5AFB"/>
    <w:rsid w:val="004D5B13"/>
    <w:rsid w:val="004D5BE6"/>
    <w:rsid w:val="004D5BE9"/>
    <w:rsid w:val="004D5C37"/>
    <w:rsid w:val="004D5C43"/>
    <w:rsid w:val="004D5D7C"/>
    <w:rsid w:val="004D5E44"/>
    <w:rsid w:val="004D5F76"/>
    <w:rsid w:val="004D5FA7"/>
    <w:rsid w:val="004D6105"/>
    <w:rsid w:val="004D6228"/>
    <w:rsid w:val="004D62DE"/>
    <w:rsid w:val="004D62FC"/>
    <w:rsid w:val="004D63AF"/>
    <w:rsid w:val="004D640A"/>
    <w:rsid w:val="004D6494"/>
    <w:rsid w:val="004D64A8"/>
    <w:rsid w:val="004D6640"/>
    <w:rsid w:val="004D66A5"/>
    <w:rsid w:val="004D66E3"/>
    <w:rsid w:val="004D6751"/>
    <w:rsid w:val="004D6763"/>
    <w:rsid w:val="004D6788"/>
    <w:rsid w:val="004D684C"/>
    <w:rsid w:val="004D68F4"/>
    <w:rsid w:val="004D6906"/>
    <w:rsid w:val="004D6980"/>
    <w:rsid w:val="004D6AA6"/>
    <w:rsid w:val="004D6AD1"/>
    <w:rsid w:val="004D6B1D"/>
    <w:rsid w:val="004D6B31"/>
    <w:rsid w:val="004D6B97"/>
    <w:rsid w:val="004D6BC3"/>
    <w:rsid w:val="004D6C7E"/>
    <w:rsid w:val="004D6CFD"/>
    <w:rsid w:val="004D6DE0"/>
    <w:rsid w:val="004D6E1C"/>
    <w:rsid w:val="004D6E33"/>
    <w:rsid w:val="004D6E37"/>
    <w:rsid w:val="004D6F1E"/>
    <w:rsid w:val="004D70EB"/>
    <w:rsid w:val="004D71DE"/>
    <w:rsid w:val="004D71E3"/>
    <w:rsid w:val="004D7231"/>
    <w:rsid w:val="004D7293"/>
    <w:rsid w:val="004D735C"/>
    <w:rsid w:val="004D73DB"/>
    <w:rsid w:val="004D7411"/>
    <w:rsid w:val="004D7418"/>
    <w:rsid w:val="004D7448"/>
    <w:rsid w:val="004D755B"/>
    <w:rsid w:val="004D7599"/>
    <w:rsid w:val="004D77DF"/>
    <w:rsid w:val="004D780E"/>
    <w:rsid w:val="004D795E"/>
    <w:rsid w:val="004D7968"/>
    <w:rsid w:val="004D7AED"/>
    <w:rsid w:val="004D7B87"/>
    <w:rsid w:val="004D7CAA"/>
    <w:rsid w:val="004D7CAD"/>
    <w:rsid w:val="004D7D45"/>
    <w:rsid w:val="004D7E98"/>
    <w:rsid w:val="004D7EC7"/>
    <w:rsid w:val="004D7F1C"/>
    <w:rsid w:val="004D7F25"/>
    <w:rsid w:val="004E0064"/>
    <w:rsid w:val="004E01FC"/>
    <w:rsid w:val="004E0252"/>
    <w:rsid w:val="004E02D1"/>
    <w:rsid w:val="004E0364"/>
    <w:rsid w:val="004E04E2"/>
    <w:rsid w:val="004E0503"/>
    <w:rsid w:val="004E0648"/>
    <w:rsid w:val="004E06D7"/>
    <w:rsid w:val="004E070D"/>
    <w:rsid w:val="004E076D"/>
    <w:rsid w:val="004E0851"/>
    <w:rsid w:val="004E08FF"/>
    <w:rsid w:val="004E09B9"/>
    <w:rsid w:val="004E0A11"/>
    <w:rsid w:val="004E0A46"/>
    <w:rsid w:val="004E0CD5"/>
    <w:rsid w:val="004E0D1C"/>
    <w:rsid w:val="004E0E9F"/>
    <w:rsid w:val="004E0EC2"/>
    <w:rsid w:val="004E0F71"/>
    <w:rsid w:val="004E0FDC"/>
    <w:rsid w:val="004E0FFA"/>
    <w:rsid w:val="004E100C"/>
    <w:rsid w:val="004E103C"/>
    <w:rsid w:val="004E1047"/>
    <w:rsid w:val="004E1062"/>
    <w:rsid w:val="004E11B0"/>
    <w:rsid w:val="004E1229"/>
    <w:rsid w:val="004E124A"/>
    <w:rsid w:val="004E1257"/>
    <w:rsid w:val="004E1294"/>
    <w:rsid w:val="004E137A"/>
    <w:rsid w:val="004E137C"/>
    <w:rsid w:val="004E13D4"/>
    <w:rsid w:val="004E1435"/>
    <w:rsid w:val="004E14CA"/>
    <w:rsid w:val="004E1557"/>
    <w:rsid w:val="004E1678"/>
    <w:rsid w:val="004E1715"/>
    <w:rsid w:val="004E17BE"/>
    <w:rsid w:val="004E17DB"/>
    <w:rsid w:val="004E1884"/>
    <w:rsid w:val="004E19BA"/>
    <w:rsid w:val="004E1BDA"/>
    <w:rsid w:val="004E1BEA"/>
    <w:rsid w:val="004E1C8F"/>
    <w:rsid w:val="004E1E1F"/>
    <w:rsid w:val="004E1E37"/>
    <w:rsid w:val="004E1EB8"/>
    <w:rsid w:val="004E1F83"/>
    <w:rsid w:val="004E2065"/>
    <w:rsid w:val="004E20EA"/>
    <w:rsid w:val="004E2182"/>
    <w:rsid w:val="004E2262"/>
    <w:rsid w:val="004E2355"/>
    <w:rsid w:val="004E23CA"/>
    <w:rsid w:val="004E2400"/>
    <w:rsid w:val="004E240E"/>
    <w:rsid w:val="004E2425"/>
    <w:rsid w:val="004E242B"/>
    <w:rsid w:val="004E256C"/>
    <w:rsid w:val="004E25FB"/>
    <w:rsid w:val="004E2690"/>
    <w:rsid w:val="004E2776"/>
    <w:rsid w:val="004E2811"/>
    <w:rsid w:val="004E28BB"/>
    <w:rsid w:val="004E28C5"/>
    <w:rsid w:val="004E29FB"/>
    <w:rsid w:val="004E2A77"/>
    <w:rsid w:val="004E2A84"/>
    <w:rsid w:val="004E2ACD"/>
    <w:rsid w:val="004E2B5D"/>
    <w:rsid w:val="004E2B62"/>
    <w:rsid w:val="004E2BB9"/>
    <w:rsid w:val="004E2C3E"/>
    <w:rsid w:val="004E2CEE"/>
    <w:rsid w:val="004E2D10"/>
    <w:rsid w:val="004E2DB1"/>
    <w:rsid w:val="004E2E24"/>
    <w:rsid w:val="004E2F21"/>
    <w:rsid w:val="004E2F96"/>
    <w:rsid w:val="004E2FE9"/>
    <w:rsid w:val="004E3049"/>
    <w:rsid w:val="004E308F"/>
    <w:rsid w:val="004E30D8"/>
    <w:rsid w:val="004E30F5"/>
    <w:rsid w:val="004E311C"/>
    <w:rsid w:val="004E3140"/>
    <w:rsid w:val="004E323F"/>
    <w:rsid w:val="004E327F"/>
    <w:rsid w:val="004E3290"/>
    <w:rsid w:val="004E32ED"/>
    <w:rsid w:val="004E33CE"/>
    <w:rsid w:val="004E3435"/>
    <w:rsid w:val="004E34C8"/>
    <w:rsid w:val="004E3535"/>
    <w:rsid w:val="004E35E1"/>
    <w:rsid w:val="004E360E"/>
    <w:rsid w:val="004E363C"/>
    <w:rsid w:val="004E36DB"/>
    <w:rsid w:val="004E371A"/>
    <w:rsid w:val="004E3735"/>
    <w:rsid w:val="004E37A2"/>
    <w:rsid w:val="004E3813"/>
    <w:rsid w:val="004E3895"/>
    <w:rsid w:val="004E38B3"/>
    <w:rsid w:val="004E38B9"/>
    <w:rsid w:val="004E38F9"/>
    <w:rsid w:val="004E3945"/>
    <w:rsid w:val="004E3A0C"/>
    <w:rsid w:val="004E3B52"/>
    <w:rsid w:val="004E3CBD"/>
    <w:rsid w:val="004E3CD5"/>
    <w:rsid w:val="004E3D4A"/>
    <w:rsid w:val="004E3F74"/>
    <w:rsid w:val="004E3FE6"/>
    <w:rsid w:val="004E414D"/>
    <w:rsid w:val="004E4197"/>
    <w:rsid w:val="004E439F"/>
    <w:rsid w:val="004E444E"/>
    <w:rsid w:val="004E4527"/>
    <w:rsid w:val="004E4583"/>
    <w:rsid w:val="004E45F9"/>
    <w:rsid w:val="004E464C"/>
    <w:rsid w:val="004E479F"/>
    <w:rsid w:val="004E4813"/>
    <w:rsid w:val="004E4825"/>
    <w:rsid w:val="004E49DE"/>
    <w:rsid w:val="004E4A65"/>
    <w:rsid w:val="004E4C6D"/>
    <w:rsid w:val="004E4D11"/>
    <w:rsid w:val="004E4E7C"/>
    <w:rsid w:val="004E4F22"/>
    <w:rsid w:val="004E4F96"/>
    <w:rsid w:val="004E4FEC"/>
    <w:rsid w:val="004E4FFE"/>
    <w:rsid w:val="004E51CA"/>
    <w:rsid w:val="004E5227"/>
    <w:rsid w:val="004E53BF"/>
    <w:rsid w:val="004E53E7"/>
    <w:rsid w:val="004E5409"/>
    <w:rsid w:val="004E5493"/>
    <w:rsid w:val="004E54A3"/>
    <w:rsid w:val="004E555C"/>
    <w:rsid w:val="004E5680"/>
    <w:rsid w:val="004E56B2"/>
    <w:rsid w:val="004E56BC"/>
    <w:rsid w:val="004E5752"/>
    <w:rsid w:val="004E5809"/>
    <w:rsid w:val="004E5810"/>
    <w:rsid w:val="004E582D"/>
    <w:rsid w:val="004E58B1"/>
    <w:rsid w:val="004E58CD"/>
    <w:rsid w:val="004E58EC"/>
    <w:rsid w:val="004E5A40"/>
    <w:rsid w:val="004E5A50"/>
    <w:rsid w:val="004E5A52"/>
    <w:rsid w:val="004E5BAA"/>
    <w:rsid w:val="004E5BB8"/>
    <w:rsid w:val="004E5DE4"/>
    <w:rsid w:val="004E5E28"/>
    <w:rsid w:val="004E5E40"/>
    <w:rsid w:val="004E5F17"/>
    <w:rsid w:val="004E60A3"/>
    <w:rsid w:val="004E60F6"/>
    <w:rsid w:val="004E6179"/>
    <w:rsid w:val="004E6592"/>
    <w:rsid w:val="004E66AA"/>
    <w:rsid w:val="004E66D4"/>
    <w:rsid w:val="004E66EF"/>
    <w:rsid w:val="004E673E"/>
    <w:rsid w:val="004E674E"/>
    <w:rsid w:val="004E67A6"/>
    <w:rsid w:val="004E68F3"/>
    <w:rsid w:val="004E699B"/>
    <w:rsid w:val="004E6B2E"/>
    <w:rsid w:val="004E6B87"/>
    <w:rsid w:val="004E6C21"/>
    <w:rsid w:val="004E6C3E"/>
    <w:rsid w:val="004E6CB9"/>
    <w:rsid w:val="004E6D50"/>
    <w:rsid w:val="004E6D9D"/>
    <w:rsid w:val="004E6DC6"/>
    <w:rsid w:val="004E6DF7"/>
    <w:rsid w:val="004E6E16"/>
    <w:rsid w:val="004E6E2F"/>
    <w:rsid w:val="004E6EEE"/>
    <w:rsid w:val="004E7115"/>
    <w:rsid w:val="004E712B"/>
    <w:rsid w:val="004E7139"/>
    <w:rsid w:val="004E7204"/>
    <w:rsid w:val="004E72DC"/>
    <w:rsid w:val="004E7390"/>
    <w:rsid w:val="004E74A7"/>
    <w:rsid w:val="004E74F9"/>
    <w:rsid w:val="004E75E7"/>
    <w:rsid w:val="004E76A7"/>
    <w:rsid w:val="004E76FD"/>
    <w:rsid w:val="004E7794"/>
    <w:rsid w:val="004E792E"/>
    <w:rsid w:val="004E7A5B"/>
    <w:rsid w:val="004E7A65"/>
    <w:rsid w:val="004E7B57"/>
    <w:rsid w:val="004E7BFF"/>
    <w:rsid w:val="004E7D49"/>
    <w:rsid w:val="004E7D97"/>
    <w:rsid w:val="004E7DBB"/>
    <w:rsid w:val="004E7E09"/>
    <w:rsid w:val="004E7F74"/>
    <w:rsid w:val="004F0110"/>
    <w:rsid w:val="004F0208"/>
    <w:rsid w:val="004F0225"/>
    <w:rsid w:val="004F0248"/>
    <w:rsid w:val="004F02BA"/>
    <w:rsid w:val="004F030B"/>
    <w:rsid w:val="004F03D3"/>
    <w:rsid w:val="004F0525"/>
    <w:rsid w:val="004F0542"/>
    <w:rsid w:val="004F055E"/>
    <w:rsid w:val="004F05C0"/>
    <w:rsid w:val="004F05CA"/>
    <w:rsid w:val="004F0791"/>
    <w:rsid w:val="004F07A2"/>
    <w:rsid w:val="004F07D4"/>
    <w:rsid w:val="004F0819"/>
    <w:rsid w:val="004F085A"/>
    <w:rsid w:val="004F0AFC"/>
    <w:rsid w:val="004F0B10"/>
    <w:rsid w:val="004F0B3C"/>
    <w:rsid w:val="004F0B5B"/>
    <w:rsid w:val="004F0B66"/>
    <w:rsid w:val="004F0CC5"/>
    <w:rsid w:val="004F0CD8"/>
    <w:rsid w:val="004F0D5B"/>
    <w:rsid w:val="004F0D80"/>
    <w:rsid w:val="004F0E09"/>
    <w:rsid w:val="004F103F"/>
    <w:rsid w:val="004F10D3"/>
    <w:rsid w:val="004F1166"/>
    <w:rsid w:val="004F119D"/>
    <w:rsid w:val="004F12DC"/>
    <w:rsid w:val="004F1350"/>
    <w:rsid w:val="004F136F"/>
    <w:rsid w:val="004F142B"/>
    <w:rsid w:val="004F14EE"/>
    <w:rsid w:val="004F159B"/>
    <w:rsid w:val="004F1603"/>
    <w:rsid w:val="004F1604"/>
    <w:rsid w:val="004F1649"/>
    <w:rsid w:val="004F16EC"/>
    <w:rsid w:val="004F16F4"/>
    <w:rsid w:val="004F18BF"/>
    <w:rsid w:val="004F18F9"/>
    <w:rsid w:val="004F1A53"/>
    <w:rsid w:val="004F1AC0"/>
    <w:rsid w:val="004F1AC9"/>
    <w:rsid w:val="004F1CAE"/>
    <w:rsid w:val="004F1D38"/>
    <w:rsid w:val="004F1D64"/>
    <w:rsid w:val="004F1EB6"/>
    <w:rsid w:val="004F2032"/>
    <w:rsid w:val="004F2126"/>
    <w:rsid w:val="004F235E"/>
    <w:rsid w:val="004F23D1"/>
    <w:rsid w:val="004F23E1"/>
    <w:rsid w:val="004F25FB"/>
    <w:rsid w:val="004F27A1"/>
    <w:rsid w:val="004F2841"/>
    <w:rsid w:val="004F28E0"/>
    <w:rsid w:val="004F28F5"/>
    <w:rsid w:val="004F2A6A"/>
    <w:rsid w:val="004F2ADA"/>
    <w:rsid w:val="004F2AE5"/>
    <w:rsid w:val="004F2BEF"/>
    <w:rsid w:val="004F2C07"/>
    <w:rsid w:val="004F2D5F"/>
    <w:rsid w:val="004F2DFE"/>
    <w:rsid w:val="004F2E23"/>
    <w:rsid w:val="004F2E5B"/>
    <w:rsid w:val="004F2EC6"/>
    <w:rsid w:val="004F311D"/>
    <w:rsid w:val="004F31CC"/>
    <w:rsid w:val="004F31DB"/>
    <w:rsid w:val="004F3365"/>
    <w:rsid w:val="004F3392"/>
    <w:rsid w:val="004F3433"/>
    <w:rsid w:val="004F3626"/>
    <w:rsid w:val="004F3634"/>
    <w:rsid w:val="004F3651"/>
    <w:rsid w:val="004F3799"/>
    <w:rsid w:val="004F37B5"/>
    <w:rsid w:val="004F37F5"/>
    <w:rsid w:val="004F3817"/>
    <w:rsid w:val="004F3853"/>
    <w:rsid w:val="004F3876"/>
    <w:rsid w:val="004F3974"/>
    <w:rsid w:val="004F39AA"/>
    <w:rsid w:val="004F39C2"/>
    <w:rsid w:val="004F3B1A"/>
    <w:rsid w:val="004F3C4D"/>
    <w:rsid w:val="004F3CF5"/>
    <w:rsid w:val="004F3D34"/>
    <w:rsid w:val="004F3E80"/>
    <w:rsid w:val="004F3FE6"/>
    <w:rsid w:val="004F4063"/>
    <w:rsid w:val="004F4106"/>
    <w:rsid w:val="004F411A"/>
    <w:rsid w:val="004F41C4"/>
    <w:rsid w:val="004F4233"/>
    <w:rsid w:val="004F43D3"/>
    <w:rsid w:val="004F4435"/>
    <w:rsid w:val="004F4446"/>
    <w:rsid w:val="004F4488"/>
    <w:rsid w:val="004F4537"/>
    <w:rsid w:val="004F45E5"/>
    <w:rsid w:val="004F45EF"/>
    <w:rsid w:val="004F465C"/>
    <w:rsid w:val="004F46B1"/>
    <w:rsid w:val="004F46B2"/>
    <w:rsid w:val="004F46DA"/>
    <w:rsid w:val="004F477D"/>
    <w:rsid w:val="004F47E1"/>
    <w:rsid w:val="004F4807"/>
    <w:rsid w:val="004F481E"/>
    <w:rsid w:val="004F497D"/>
    <w:rsid w:val="004F4C4E"/>
    <w:rsid w:val="004F4D57"/>
    <w:rsid w:val="004F4EEB"/>
    <w:rsid w:val="004F4F3C"/>
    <w:rsid w:val="004F4FAB"/>
    <w:rsid w:val="004F5063"/>
    <w:rsid w:val="004F523A"/>
    <w:rsid w:val="004F5334"/>
    <w:rsid w:val="004F543C"/>
    <w:rsid w:val="004F5481"/>
    <w:rsid w:val="004F54EA"/>
    <w:rsid w:val="004F552D"/>
    <w:rsid w:val="004F5713"/>
    <w:rsid w:val="004F58C4"/>
    <w:rsid w:val="004F58F3"/>
    <w:rsid w:val="004F596E"/>
    <w:rsid w:val="004F5981"/>
    <w:rsid w:val="004F598F"/>
    <w:rsid w:val="004F5C90"/>
    <w:rsid w:val="004F5CF0"/>
    <w:rsid w:val="004F5D41"/>
    <w:rsid w:val="004F5F0A"/>
    <w:rsid w:val="004F5F5A"/>
    <w:rsid w:val="004F6014"/>
    <w:rsid w:val="004F6068"/>
    <w:rsid w:val="004F610A"/>
    <w:rsid w:val="004F6216"/>
    <w:rsid w:val="004F62C5"/>
    <w:rsid w:val="004F631F"/>
    <w:rsid w:val="004F6393"/>
    <w:rsid w:val="004F66AF"/>
    <w:rsid w:val="004F66B8"/>
    <w:rsid w:val="004F66CD"/>
    <w:rsid w:val="004F66FF"/>
    <w:rsid w:val="004F67F1"/>
    <w:rsid w:val="004F6832"/>
    <w:rsid w:val="004F684D"/>
    <w:rsid w:val="004F68F0"/>
    <w:rsid w:val="004F6B49"/>
    <w:rsid w:val="004F6B4D"/>
    <w:rsid w:val="004F6C89"/>
    <w:rsid w:val="004F6C90"/>
    <w:rsid w:val="004F6D6D"/>
    <w:rsid w:val="004F6DC4"/>
    <w:rsid w:val="004F6DEF"/>
    <w:rsid w:val="004F6E12"/>
    <w:rsid w:val="004F6E41"/>
    <w:rsid w:val="004F6E4E"/>
    <w:rsid w:val="004F6E91"/>
    <w:rsid w:val="004F6F64"/>
    <w:rsid w:val="004F6F97"/>
    <w:rsid w:val="004F701D"/>
    <w:rsid w:val="004F7031"/>
    <w:rsid w:val="004F73DF"/>
    <w:rsid w:val="004F7432"/>
    <w:rsid w:val="004F745C"/>
    <w:rsid w:val="004F7485"/>
    <w:rsid w:val="004F7494"/>
    <w:rsid w:val="004F7510"/>
    <w:rsid w:val="004F7563"/>
    <w:rsid w:val="004F7659"/>
    <w:rsid w:val="004F76E7"/>
    <w:rsid w:val="004F774F"/>
    <w:rsid w:val="004F7767"/>
    <w:rsid w:val="004F77F1"/>
    <w:rsid w:val="004F7813"/>
    <w:rsid w:val="004F785B"/>
    <w:rsid w:val="004F7878"/>
    <w:rsid w:val="004F788B"/>
    <w:rsid w:val="004F7957"/>
    <w:rsid w:val="004F7975"/>
    <w:rsid w:val="004F7A3E"/>
    <w:rsid w:val="004F7AEA"/>
    <w:rsid w:val="004F7BCD"/>
    <w:rsid w:val="004F7D60"/>
    <w:rsid w:val="004F7DB9"/>
    <w:rsid w:val="004F7E0B"/>
    <w:rsid w:val="00500008"/>
    <w:rsid w:val="00500028"/>
    <w:rsid w:val="0050003E"/>
    <w:rsid w:val="0050010F"/>
    <w:rsid w:val="00500145"/>
    <w:rsid w:val="005001DD"/>
    <w:rsid w:val="00500253"/>
    <w:rsid w:val="0050035D"/>
    <w:rsid w:val="0050037D"/>
    <w:rsid w:val="0050039A"/>
    <w:rsid w:val="005003B2"/>
    <w:rsid w:val="005003D6"/>
    <w:rsid w:val="00500575"/>
    <w:rsid w:val="00500610"/>
    <w:rsid w:val="0050068D"/>
    <w:rsid w:val="005006FF"/>
    <w:rsid w:val="00500752"/>
    <w:rsid w:val="005008B9"/>
    <w:rsid w:val="005009C4"/>
    <w:rsid w:val="005009DF"/>
    <w:rsid w:val="00500A2A"/>
    <w:rsid w:val="00500B12"/>
    <w:rsid w:val="00500B60"/>
    <w:rsid w:val="00500BDB"/>
    <w:rsid w:val="00500D23"/>
    <w:rsid w:val="00500DD0"/>
    <w:rsid w:val="00500F03"/>
    <w:rsid w:val="00500FB3"/>
    <w:rsid w:val="0050111D"/>
    <w:rsid w:val="00501138"/>
    <w:rsid w:val="00501220"/>
    <w:rsid w:val="00501245"/>
    <w:rsid w:val="0050124B"/>
    <w:rsid w:val="00501268"/>
    <w:rsid w:val="0050128A"/>
    <w:rsid w:val="0050134D"/>
    <w:rsid w:val="0050144D"/>
    <w:rsid w:val="00501511"/>
    <w:rsid w:val="00501558"/>
    <w:rsid w:val="005015B4"/>
    <w:rsid w:val="005015CA"/>
    <w:rsid w:val="0050165F"/>
    <w:rsid w:val="00501777"/>
    <w:rsid w:val="005017DD"/>
    <w:rsid w:val="00501A38"/>
    <w:rsid w:val="00501A43"/>
    <w:rsid w:val="00501A52"/>
    <w:rsid w:val="00501A5B"/>
    <w:rsid w:val="00501A93"/>
    <w:rsid w:val="00501AAB"/>
    <w:rsid w:val="00501AB6"/>
    <w:rsid w:val="00501B40"/>
    <w:rsid w:val="00501C9F"/>
    <w:rsid w:val="00501CF6"/>
    <w:rsid w:val="00501D95"/>
    <w:rsid w:val="00501F49"/>
    <w:rsid w:val="00501FAD"/>
    <w:rsid w:val="00501FF6"/>
    <w:rsid w:val="005020C2"/>
    <w:rsid w:val="005022F5"/>
    <w:rsid w:val="0050232B"/>
    <w:rsid w:val="00502473"/>
    <w:rsid w:val="00502475"/>
    <w:rsid w:val="0050259B"/>
    <w:rsid w:val="005026B8"/>
    <w:rsid w:val="005026DA"/>
    <w:rsid w:val="00502761"/>
    <w:rsid w:val="00502883"/>
    <w:rsid w:val="0050289D"/>
    <w:rsid w:val="005028D3"/>
    <w:rsid w:val="00502925"/>
    <w:rsid w:val="00502A10"/>
    <w:rsid w:val="00502AF7"/>
    <w:rsid w:val="00502B11"/>
    <w:rsid w:val="00502B45"/>
    <w:rsid w:val="00502CEB"/>
    <w:rsid w:val="00502F76"/>
    <w:rsid w:val="00502F7E"/>
    <w:rsid w:val="00502FF5"/>
    <w:rsid w:val="00503058"/>
    <w:rsid w:val="00503146"/>
    <w:rsid w:val="00503266"/>
    <w:rsid w:val="0050338C"/>
    <w:rsid w:val="0050344D"/>
    <w:rsid w:val="0050351D"/>
    <w:rsid w:val="005035D7"/>
    <w:rsid w:val="00503688"/>
    <w:rsid w:val="00503730"/>
    <w:rsid w:val="0050374B"/>
    <w:rsid w:val="00503990"/>
    <w:rsid w:val="005039A5"/>
    <w:rsid w:val="00503A94"/>
    <w:rsid w:val="00503AA0"/>
    <w:rsid w:val="00503C2A"/>
    <w:rsid w:val="00503D19"/>
    <w:rsid w:val="00503F3F"/>
    <w:rsid w:val="0050402E"/>
    <w:rsid w:val="00504089"/>
    <w:rsid w:val="005040C2"/>
    <w:rsid w:val="00504126"/>
    <w:rsid w:val="0050423B"/>
    <w:rsid w:val="00504283"/>
    <w:rsid w:val="005042D2"/>
    <w:rsid w:val="005043CF"/>
    <w:rsid w:val="005043EE"/>
    <w:rsid w:val="005045F3"/>
    <w:rsid w:val="005046A3"/>
    <w:rsid w:val="005046F1"/>
    <w:rsid w:val="005047B3"/>
    <w:rsid w:val="0050484C"/>
    <w:rsid w:val="00504B61"/>
    <w:rsid w:val="00504C34"/>
    <w:rsid w:val="00504CB6"/>
    <w:rsid w:val="00504CD5"/>
    <w:rsid w:val="00504DC4"/>
    <w:rsid w:val="00504E80"/>
    <w:rsid w:val="00504E87"/>
    <w:rsid w:val="005050E9"/>
    <w:rsid w:val="005051CF"/>
    <w:rsid w:val="005052E1"/>
    <w:rsid w:val="005052FA"/>
    <w:rsid w:val="0050534A"/>
    <w:rsid w:val="00505489"/>
    <w:rsid w:val="005054A9"/>
    <w:rsid w:val="00505533"/>
    <w:rsid w:val="005055DB"/>
    <w:rsid w:val="005055F2"/>
    <w:rsid w:val="00505783"/>
    <w:rsid w:val="005057B5"/>
    <w:rsid w:val="005057E0"/>
    <w:rsid w:val="005057E1"/>
    <w:rsid w:val="00505821"/>
    <w:rsid w:val="0050582F"/>
    <w:rsid w:val="0050585F"/>
    <w:rsid w:val="005058E8"/>
    <w:rsid w:val="00505935"/>
    <w:rsid w:val="00505A4A"/>
    <w:rsid w:val="00505ABF"/>
    <w:rsid w:val="00505B2B"/>
    <w:rsid w:val="00505BEC"/>
    <w:rsid w:val="00505C0C"/>
    <w:rsid w:val="00505C97"/>
    <w:rsid w:val="00505D19"/>
    <w:rsid w:val="00505D3C"/>
    <w:rsid w:val="00505D48"/>
    <w:rsid w:val="00505E6E"/>
    <w:rsid w:val="005060B5"/>
    <w:rsid w:val="005060BD"/>
    <w:rsid w:val="00506132"/>
    <w:rsid w:val="00506155"/>
    <w:rsid w:val="005061FF"/>
    <w:rsid w:val="00506206"/>
    <w:rsid w:val="00506217"/>
    <w:rsid w:val="005063FB"/>
    <w:rsid w:val="0050646C"/>
    <w:rsid w:val="0050650A"/>
    <w:rsid w:val="00506512"/>
    <w:rsid w:val="00506567"/>
    <w:rsid w:val="0050666E"/>
    <w:rsid w:val="005066D5"/>
    <w:rsid w:val="005066D6"/>
    <w:rsid w:val="005067CB"/>
    <w:rsid w:val="005067FB"/>
    <w:rsid w:val="0050686A"/>
    <w:rsid w:val="00506895"/>
    <w:rsid w:val="005069A8"/>
    <w:rsid w:val="00506A42"/>
    <w:rsid w:val="00506A52"/>
    <w:rsid w:val="00506A65"/>
    <w:rsid w:val="00506B07"/>
    <w:rsid w:val="00506B6C"/>
    <w:rsid w:val="00506C1E"/>
    <w:rsid w:val="00506C9A"/>
    <w:rsid w:val="00506CFD"/>
    <w:rsid w:val="00506D24"/>
    <w:rsid w:val="00506E42"/>
    <w:rsid w:val="00506EB5"/>
    <w:rsid w:val="00506FFA"/>
    <w:rsid w:val="00507018"/>
    <w:rsid w:val="0050702A"/>
    <w:rsid w:val="00507085"/>
    <w:rsid w:val="0050709D"/>
    <w:rsid w:val="00507128"/>
    <w:rsid w:val="0050717A"/>
    <w:rsid w:val="005071D0"/>
    <w:rsid w:val="005071D4"/>
    <w:rsid w:val="005073C0"/>
    <w:rsid w:val="0050744E"/>
    <w:rsid w:val="0050746B"/>
    <w:rsid w:val="005075B3"/>
    <w:rsid w:val="00507681"/>
    <w:rsid w:val="0050768B"/>
    <w:rsid w:val="00507758"/>
    <w:rsid w:val="0050776E"/>
    <w:rsid w:val="005078A2"/>
    <w:rsid w:val="00507999"/>
    <w:rsid w:val="005079C8"/>
    <w:rsid w:val="00507AFB"/>
    <w:rsid w:val="00507D16"/>
    <w:rsid w:val="00507E24"/>
    <w:rsid w:val="00507E82"/>
    <w:rsid w:val="00507F0C"/>
    <w:rsid w:val="00507FF3"/>
    <w:rsid w:val="005102D5"/>
    <w:rsid w:val="005102F0"/>
    <w:rsid w:val="00510394"/>
    <w:rsid w:val="005103B0"/>
    <w:rsid w:val="005103E1"/>
    <w:rsid w:val="005105AE"/>
    <w:rsid w:val="0051060D"/>
    <w:rsid w:val="00510699"/>
    <w:rsid w:val="005106BF"/>
    <w:rsid w:val="00510801"/>
    <w:rsid w:val="005108A2"/>
    <w:rsid w:val="005108C2"/>
    <w:rsid w:val="00510944"/>
    <w:rsid w:val="00510992"/>
    <w:rsid w:val="005109BE"/>
    <w:rsid w:val="005109FC"/>
    <w:rsid w:val="00510B90"/>
    <w:rsid w:val="00510BB1"/>
    <w:rsid w:val="00510BBE"/>
    <w:rsid w:val="00510C81"/>
    <w:rsid w:val="00510D6C"/>
    <w:rsid w:val="00510D9C"/>
    <w:rsid w:val="00510E16"/>
    <w:rsid w:val="00510E72"/>
    <w:rsid w:val="00510E94"/>
    <w:rsid w:val="00510EFE"/>
    <w:rsid w:val="00510F6F"/>
    <w:rsid w:val="00511016"/>
    <w:rsid w:val="00511067"/>
    <w:rsid w:val="00511107"/>
    <w:rsid w:val="005112B6"/>
    <w:rsid w:val="005112D0"/>
    <w:rsid w:val="0051143C"/>
    <w:rsid w:val="00511452"/>
    <w:rsid w:val="00511485"/>
    <w:rsid w:val="0051152A"/>
    <w:rsid w:val="0051152C"/>
    <w:rsid w:val="00511565"/>
    <w:rsid w:val="005117EE"/>
    <w:rsid w:val="0051182A"/>
    <w:rsid w:val="0051187A"/>
    <w:rsid w:val="005118B8"/>
    <w:rsid w:val="00511931"/>
    <w:rsid w:val="0051194E"/>
    <w:rsid w:val="00511DA2"/>
    <w:rsid w:val="00511E0E"/>
    <w:rsid w:val="00511E54"/>
    <w:rsid w:val="00511E71"/>
    <w:rsid w:val="00511F3B"/>
    <w:rsid w:val="00511F96"/>
    <w:rsid w:val="00511FF8"/>
    <w:rsid w:val="0051201F"/>
    <w:rsid w:val="00512086"/>
    <w:rsid w:val="005120E7"/>
    <w:rsid w:val="005120EB"/>
    <w:rsid w:val="005122BD"/>
    <w:rsid w:val="00512324"/>
    <w:rsid w:val="005123E5"/>
    <w:rsid w:val="005124D1"/>
    <w:rsid w:val="00512592"/>
    <w:rsid w:val="00512631"/>
    <w:rsid w:val="00512647"/>
    <w:rsid w:val="005126BA"/>
    <w:rsid w:val="005127B3"/>
    <w:rsid w:val="00512812"/>
    <w:rsid w:val="005128BC"/>
    <w:rsid w:val="005128F5"/>
    <w:rsid w:val="00512917"/>
    <w:rsid w:val="005129A7"/>
    <w:rsid w:val="00512AB1"/>
    <w:rsid w:val="00512AD9"/>
    <w:rsid w:val="00512B34"/>
    <w:rsid w:val="00512BDC"/>
    <w:rsid w:val="00512CA5"/>
    <w:rsid w:val="00512D69"/>
    <w:rsid w:val="00512E6B"/>
    <w:rsid w:val="00512F1D"/>
    <w:rsid w:val="00512F79"/>
    <w:rsid w:val="00512F8C"/>
    <w:rsid w:val="00513060"/>
    <w:rsid w:val="005132F1"/>
    <w:rsid w:val="0051339C"/>
    <w:rsid w:val="005133D4"/>
    <w:rsid w:val="00513558"/>
    <w:rsid w:val="00513572"/>
    <w:rsid w:val="00513577"/>
    <w:rsid w:val="005135DE"/>
    <w:rsid w:val="00513845"/>
    <w:rsid w:val="0051394F"/>
    <w:rsid w:val="00513A95"/>
    <w:rsid w:val="00513BFF"/>
    <w:rsid w:val="00513CC2"/>
    <w:rsid w:val="00513D2F"/>
    <w:rsid w:val="00513E7E"/>
    <w:rsid w:val="00513F3E"/>
    <w:rsid w:val="0051405B"/>
    <w:rsid w:val="0051408E"/>
    <w:rsid w:val="005140AA"/>
    <w:rsid w:val="00514111"/>
    <w:rsid w:val="005141BA"/>
    <w:rsid w:val="005141D9"/>
    <w:rsid w:val="005141F0"/>
    <w:rsid w:val="00514232"/>
    <w:rsid w:val="00514284"/>
    <w:rsid w:val="0051438B"/>
    <w:rsid w:val="005143EE"/>
    <w:rsid w:val="00514415"/>
    <w:rsid w:val="0051452E"/>
    <w:rsid w:val="005145A8"/>
    <w:rsid w:val="0051464F"/>
    <w:rsid w:val="00514656"/>
    <w:rsid w:val="00514709"/>
    <w:rsid w:val="0051470A"/>
    <w:rsid w:val="0051473F"/>
    <w:rsid w:val="0051475E"/>
    <w:rsid w:val="0051478F"/>
    <w:rsid w:val="00514843"/>
    <w:rsid w:val="00514866"/>
    <w:rsid w:val="00514876"/>
    <w:rsid w:val="00514924"/>
    <w:rsid w:val="0051496D"/>
    <w:rsid w:val="00514AD7"/>
    <w:rsid w:val="00514AFB"/>
    <w:rsid w:val="00514B07"/>
    <w:rsid w:val="00514C14"/>
    <w:rsid w:val="00514D10"/>
    <w:rsid w:val="00514E2E"/>
    <w:rsid w:val="00514EA1"/>
    <w:rsid w:val="005150F9"/>
    <w:rsid w:val="0051510E"/>
    <w:rsid w:val="005151A0"/>
    <w:rsid w:val="005151C6"/>
    <w:rsid w:val="00515230"/>
    <w:rsid w:val="00515238"/>
    <w:rsid w:val="00515271"/>
    <w:rsid w:val="00515297"/>
    <w:rsid w:val="005153AF"/>
    <w:rsid w:val="00515454"/>
    <w:rsid w:val="0051545A"/>
    <w:rsid w:val="0051548C"/>
    <w:rsid w:val="005154A0"/>
    <w:rsid w:val="005154A1"/>
    <w:rsid w:val="005154A8"/>
    <w:rsid w:val="005154B0"/>
    <w:rsid w:val="00515617"/>
    <w:rsid w:val="005156BA"/>
    <w:rsid w:val="005156D8"/>
    <w:rsid w:val="005156F8"/>
    <w:rsid w:val="00515711"/>
    <w:rsid w:val="00515746"/>
    <w:rsid w:val="005159C9"/>
    <w:rsid w:val="00515AB3"/>
    <w:rsid w:val="00515AD0"/>
    <w:rsid w:val="00515B65"/>
    <w:rsid w:val="00515BD6"/>
    <w:rsid w:val="00515BDE"/>
    <w:rsid w:val="00515D00"/>
    <w:rsid w:val="00515F0D"/>
    <w:rsid w:val="00515F49"/>
    <w:rsid w:val="00515F52"/>
    <w:rsid w:val="00515FE3"/>
    <w:rsid w:val="00516070"/>
    <w:rsid w:val="0051608E"/>
    <w:rsid w:val="00516219"/>
    <w:rsid w:val="0051621B"/>
    <w:rsid w:val="0051622B"/>
    <w:rsid w:val="00516286"/>
    <w:rsid w:val="005163A1"/>
    <w:rsid w:val="005163BD"/>
    <w:rsid w:val="005163C3"/>
    <w:rsid w:val="0051641F"/>
    <w:rsid w:val="005164BD"/>
    <w:rsid w:val="00516542"/>
    <w:rsid w:val="00516587"/>
    <w:rsid w:val="005165F9"/>
    <w:rsid w:val="005166DE"/>
    <w:rsid w:val="00516863"/>
    <w:rsid w:val="00516982"/>
    <w:rsid w:val="005169F0"/>
    <w:rsid w:val="00516A4B"/>
    <w:rsid w:val="00516A76"/>
    <w:rsid w:val="00516AA3"/>
    <w:rsid w:val="00516BC2"/>
    <w:rsid w:val="00516C5E"/>
    <w:rsid w:val="00516CC2"/>
    <w:rsid w:val="00516E6B"/>
    <w:rsid w:val="00516E86"/>
    <w:rsid w:val="00516EEF"/>
    <w:rsid w:val="00516FCD"/>
    <w:rsid w:val="005170F0"/>
    <w:rsid w:val="0051714E"/>
    <w:rsid w:val="0051717A"/>
    <w:rsid w:val="00517181"/>
    <w:rsid w:val="0051726E"/>
    <w:rsid w:val="0051734E"/>
    <w:rsid w:val="00517369"/>
    <w:rsid w:val="005173AF"/>
    <w:rsid w:val="0051751D"/>
    <w:rsid w:val="00517531"/>
    <w:rsid w:val="005175A8"/>
    <w:rsid w:val="0051764F"/>
    <w:rsid w:val="0051779F"/>
    <w:rsid w:val="005177AF"/>
    <w:rsid w:val="00517812"/>
    <w:rsid w:val="005178F7"/>
    <w:rsid w:val="00517989"/>
    <w:rsid w:val="005179EA"/>
    <w:rsid w:val="00517A02"/>
    <w:rsid w:val="00517A06"/>
    <w:rsid w:val="00517A45"/>
    <w:rsid w:val="00517B14"/>
    <w:rsid w:val="00517B1F"/>
    <w:rsid w:val="00517CE9"/>
    <w:rsid w:val="00517D71"/>
    <w:rsid w:val="00517FF0"/>
    <w:rsid w:val="005200C7"/>
    <w:rsid w:val="00520174"/>
    <w:rsid w:val="0052026D"/>
    <w:rsid w:val="0052027C"/>
    <w:rsid w:val="005203AF"/>
    <w:rsid w:val="005203B8"/>
    <w:rsid w:val="005203BA"/>
    <w:rsid w:val="005203D4"/>
    <w:rsid w:val="00520545"/>
    <w:rsid w:val="0052072A"/>
    <w:rsid w:val="005208BB"/>
    <w:rsid w:val="00520922"/>
    <w:rsid w:val="00520941"/>
    <w:rsid w:val="005209B7"/>
    <w:rsid w:val="005209BE"/>
    <w:rsid w:val="005209C0"/>
    <w:rsid w:val="00520A4E"/>
    <w:rsid w:val="00520A91"/>
    <w:rsid w:val="00520B36"/>
    <w:rsid w:val="00520BB6"/>
    <w:rsid w:val="00520C43"/>
    <w:rsid w:val="00520D5B"/>
    <w:rsid w:val="00520D5F"/>
    <w:rsid w:val="00520DB8"/>
    <w:rsid w:val="00520DEE"/>
    <w:rsid w:val="00520F1D"/>
    <w:rsid w:val="00521001"/>
    <w:rsid w:val="00521076"/>
    <w:rsid w:val="00521077"/>
    <w:rsid w:val="005210E7"/>
    <w:rsid w:val="0052117E"/>
    <w:rsid w:val="005211C3"/>
    <w:rsid w:val="005212A4"/>
    <w:rsid w:val="0052134C"/>
    <w:rsid w:val="00521546"/>
    <w:rsid w:val="005215D4"/>
    <w:rsid w:val="00521603"/>
    <w:rsid w:val="005217C7"/>
    <w:rsid w:val="00521830"/>
    <w:rsid w:val="0052194B"/>
    <w:rsid w:val="00521A01"/>
    <w:rsid w:val="00521DFF"/>
    <w:rsid w:val="00521E1F"/>
    <w:rsid w:val="00521E74"/>
    <w:rsid w:val="00521E82"/>
    <w:rsid w:val="00521EB2"/>
    <w:rsid w:val="00521EB9"/>
    <w:rsid w:val="00522165"/>
    <w:rsid w:val="005222E8"/>
    <w:rsid w:val="00522447"/>
    <w:rsid w:val="0052251C"/>
    <w:rsid w:val="00522564"/>
    <w:rsid w:val="005225B5"/>
    <w:rsid w:val="005225CB"/>
    <w:rsid w:val="00522710"/>
    <w:rsid w:val="0052275D"/>
    <w:rsid w:val="005227AE"/>
    <w:rsid w:val="005227F8"/>
    <w:rsid w:val="00522A50"/>
    <w:rsid w:val="00522C0A"/>
    <w:rsid w:val="00522C21"/>
    <w:rsid w:val="00522C7A"/>
    <w:rsid w:val="00522CDF"/>
    <w:rsid w:val="00522E9E"/>
    <w:rsid w:val="00522EC7"/>
    <w:rsid w:val="00522ED1"/>
    <w:rsid w:val="00522F3F"/>
    <w:rsid w:val="00523071"/>
    <w:rsid w:val="005230E0"/>
    <w:rsid w:val="005231ED"/>
    <w:rsid w:val="005233FD"/>
    <w:rsid w:val="00523423"/>
    <w:rsid w:val="00523424"/>
    <w:rsid w:val="005234A0"/>
    <w:rsid w:val="005234D5"/>
    <w:rsid w:val="005234F0"/>
    <w:rsid w:val="005235C1"/>
    <w:rsid w:val="00523645"/>
    <w:rsid w:val="00523716"/>
    <w:rsid w:val="0052373A"/>
    <w:rsid w:val="00523789"/>
    <w:rsid w:val="0052378E"/>
    <w:rsid w:val="005237AF"/>
    <w:rsid w:val="005238C8"/>
    <w:rsid w:val="0052396A"/>
    <w:rsid w:val="00523A00"/>
    <w:rsid w:val="00523AC8"/>
    <w:rsid w:val="00523AEB"/>
    <w:rsid w:val="00523B55"/>
    <w:rsid w:val="00523CB3"/>
    <w:rsid w:val="00523DB9"/>
    <w:rsid w:val="00523E14"/>
    <w:rsid w:val="00523E98"/>
    <w:rsid w:val="00523F9A"/>
    <w:rsid w:val="00523FA0"/>
    <w:rsid w:val="005240DA"/>
    <w:rsid w:val="0052419B"/>
    <w:rsid w:val="0052422A"/>
    <w:rsid w:val="00524259"/>
    <w:rsid w:val="0052429C"/>
    <w:rsid w:val="005242DA"/>
    <w:rsid w:val="00524328"/>
    <w:rsid w:val="00524340"/>
    <w:rsid w:val="00524561"/>
    <w:rsid w:val="00524569"/>
    <w:rsid w:val="00524576"/>
    <w:rsid w:val="00524647"/>
    <w:rsid w:val="005246CB"/>
    <w:rsid w:val="00524721"/>
    <w:rsid w:val="0052475D"/>
    <w:rsid w:val="00524799"/>
    <w:rsid w:val="005247D6"/>
    <w:rsid w:val="0052484A"/>
    <w:rsid w:val="005248B9"/>
    <w:rsid w:val="005248F6"/>
    <w:rsid w:val="00524900"/>
    <w:rsid w:val="0052498D"/>
    <w:rsid w:val="0052499A"/>
    <w:rsid w:val="00524A7E"/>
    <w:rsid w:val="00524B54"/>
    <w:rsid w:val="00524BE7"/>
    <w:rsid w:val="00524C27"/>
    <w:rsid w:val="00524C5D"/>
    <w:rsid w:val="00524D28"/>
    <w:rsid w:val="00524D9C"/>
    <w:rsid w:val="00524E5D"/>
    <w:rsid w:val="00524F0D"/>
    <w:rsid w:val="00524F49"/>
    <w:rsid w:val="00524F4B"/>
    <w:rsid w:val="00524F5C"/>
    <w:rsid w:val="00524FA3"/>
    <w:rsid w:val="00524FDC"/>
    <w:rsid w:val="00525140"/>
    <w:rsid w:val="005251A2"/>
    <w:rsid w:val="005251F0"/>
    <w:rsid w:val="00525203"/>
    <w:rsid w:val="005254EB"/>
    <w:rsid w:val="0052561F"/>
    <w:rsid w:val="0052564D"/>
    <w:rsid w:val="0052568F"/>
    <w:rsid w:val="005256B5"/>
    <w:rsid w:val="005257C5"/>
    <w:rsid w:val="005258AE"/>
    <w:rsid w:val="005258FC"/>
    <w:rsid w:val="00525966"/>
    <w:rsid w:val="00525B43"/>
    <w:rsid w:val="00525B74"/>
    <w:rsid w:val="00525B90"/>
    <w:rsid w:val="00525C00"/>
    <w:rsid w:val="00525C27"/>
    <w:rsid w:val="00525C30"/>
    <w:rsid w:val="00525D80"/>
    <w:rsid w:val="00525DDB"/>
    <w:rsid w:val="00525E67"/>
    <w:rsid w:val="00525EC7"/>
    <w:rsid w:val="00526025"/>
    <w:rsid w:val="00526106"/>
    <w:rsid w:val="0052617F"/>
    <w:rsid w:val="005261D0"/>
    <w:rsid w:val="00526367"/>
    <w:rsid w:val="005263C3"/>
    <w:rsid w:val="005263F1"/>
    <w:rsid w:val="0052647F"/>
    <w:rsid w:val="00526512"/>
    <w:rsid w:val="005266E6"/>
    <w:rsid w:val="0052673C"/>
    <w:rsid w:val="00526761"/>
    <w:rsid w:val="0052677B"/>
    <w:rsid w:val="0052678C"/>
    <w:rsid w:val="005267D9"/>
    <w:rsid w:val="0052685F"/>
    <w:rsid w:val="005269A3"/>
    <w:rsid w:val="005269DA"/>
    <w:rsid w:val="00526A7B"/>
    <w:rsid w:val="00526B03"/>
    <w:rsid w:val="00526B28"/>
    <w:rsid w:val="00526C53"/>
    <w:rsid w:val="00526D53"/>
    <w:rsid w:val="00526DD0"/>
    <w:rsid w:val="00526E2E"/>
    <w:rsid w:val="00526F07"/>
    <w:rsid w:val="00526F54"/>
    <w:rsid w:val="005270CA"/>
    <w:rsid w:val="005271B4"/>
    <w:rsid w:val="00527204"/>
    <w:rsid w:val="00527212"/>
    <w:rsid w:val="00527408"/>
    <w:rsid w:val="005275F8"/>
    <w:rsid w:val="0052764A"/>
    <w:rsid w:val="00527681"/>
    <w:rsid w:val="005276F9"/>
    <w:rsid w:val="0052776A"/>
    <w:rsid w:val="00527886"/>
    <w:rsid w:val="005278E8"/>
    <w:rsid w:val="0052791B"/>
    <w:rsid w:val="005279A2"/>
    <w:rsid w:val="00527A43"/>
    <w:rsid w:val="00527A88"/>
    <w:rsid w:val="00527B48"/>
    <w:rsid w:val="00527B68"/>
    <w:rsid w:val="00527BB4"/>
    <w:rsid w:val="00527BBF"/>
    <w:rsid w:val="00527C1C"/>
    <w:rsid w:val="00527C4D"/>
    <w:rsid w:val="00527C60"/>
    <w:rsid w:val="00527CAE"/>
    <w:rsid w:val="00527CE3"/>
    <w:rsid w:val="00527DA3"/>
    <w:rsid w:val="00530038"/>
    <w:rsid w:val="00530070"/>
    <w:rsid w:val="0053012F"/>
    <w:rsid w:val="00530498"/>
    <w:rsid w:val="005304F0"/>
    <w:rsid w:val="005305D8"/>
    <w:rsid w:val="005305E6"/>
    <w:rsid w:val="0053063C"/>
    <w:rsid w:val="0053064D"/>
    <w:rsid w:val="005306E5"/>
    <w:rsid w:val="00530703"/>
    <w:rsid w:val="00530713"/>
    <w:rsid w:val="0053072A"/>
    <w:rsid w:val="0053078C"/>
    <w:rsid w:val="0053087A"/>
    <w:rsid w:val="00530AC5"/>
    <w:rsid w:val="00530C0D"/>
    <w:rsid w:val="00530F2B"/>
    <w:rsid w:val="00530FDC"/>
    <w:rsid w:val="005310DD"/>
    <w:rsid w:val="00531118"/>
    <w:rsid w:val="00531186"/>
    <w:rsid w:val="00531203"/>
    <w:rsid w:val="005314A8"/>
    <w:rsid w:val="00531582"/>
    <w:rsid w:val="005315B6"/>
    <w:rsid w:val="005316E5"/>
    <w:rsid w:val="0053174D"/>
    <w:rsid w:val="005317BC"/>
    <w:rsid w:val="005317C4"/>
    <w:rsid w:val="005317F3"/>
    <w:rsid w:val="00531810"/>
    <w:rsid w:val="005319D9"/>
    <w:rsid w:val="00531A20"/>
    <w:rsid w:val="00531A3A"/>
    <w:rsid w:val="00531B23"/>
    <w:rsid w:val="00531B2A"/>
    <w:rsid w:val="00531B46"/>
    <w:rsid w:val="00531CF4"/>
    <w:rsid w:val="00531DD6"/>
    <w:rsid w:val="00531E8D"/>
    <w:rsid w:val="00531ECA"/>
    <w:rsid w:val="00531F04"/>
    <w:rsid w:val="00531F54"/>
    <w:rsid w:val="005321A5"/>
    <w:rsid w:val="005321AD"/>
    <w:rsid w:val="00532219"/>
    <w:rsid w:val="005322BA"/>
    <w:rsid w:val="005322D7"/>
    <w:rsid w:val="0053251A"/>
    <w:rsid w:val="005325AA"/>
    <w:rsid w:val="00532678"/>
    <w:rsid w:val="00532694"/>
    <w:rsid w:val="0053272D"/>
    <w:rsid w:val="00532823"/>
    <w:rsid w:val="00532876"/>
    <w:rsid w:val="00532989"/>
    <w:rsid w:val="005329D8"/>
    <w:rsid w:val="005329E9"/>
    <w:rsid w:val="005329F7"/>
    <w:rsid w:val="00532B2F"/>
    <w:rsid w:val="00532BB0"/>
    <w:rsid w:val="00532C0A"/>
    <w:rsid w:val="00532C74"/>
    <w:rsid w:val="00532CC3"/>
    <w:rsid w:val="00532CFA"/>
    <w:rsid w:val="00532D0E"/>
    <w:rsid w:val="00532D2D"/>
    <w:rsid w:val="00532D2F"/>
    <w:rsid w:val="00532D3A"/>
    <w:rsid w:val="00532D70"/>
    <w:rsid w:val="00532DF2"/>
    <w:rsid w:val="00532E0F"/>
    <w:rsid w:val="00532F4B"/>
    <w:rsid w:val="00532F7B"/>
    <w:rsid w:val="0053305E"/>
    <w:rsid w:val="00533219"/>
    <w:rsid w:val="005332CD"/>
    <w:rsid w:val="0053336C"/>
    <w:rsid w:val="005333BF"/>
    <w:rsid w:val="005333E0"/>
    <w:rsid w:val="005334F2"/>
    <w:rsid w:val="00533508"/>
    <w:rsid w:val="005335A6"/>
    <w:rsid w:val="005335AD"/>
    <w:rsid w:val="005335C6"/>
    <w:rsid w:val="00533674"/>
    <w:rsid w:val="00533697"/>
    <w:rsid w:val="005336C2"/>
    <w:rsid w:val="00533846"/>
    <w:rsid w:val="005339A1"/>
    <w:rsid w:val="00533A72"/>
    <w:rsid w:val="00533B39"/>
    <w:rsid w:val="00533C32"/>
    <w:rsid w:val="00533C99"/>
    <w:rsid w:val="00533E4D"/>
    <w:rsid w:val="00533EF6"/>
    <w:rsid w:val="0053407F"/>
    <w:rsid w:val="005340DD"/>
    <w:rsid w:val="00534244"/>
    <w:rsid w:val="0053429C"/>
    <w:rsid w:val="00534309"/>
    <w:rsid w:val="00534310"/>
    <w:rsid w:val="005345DC"/>
    <w:rsid w:val="0053463B"/>
    <w:rsid w:val="00534649"/>
    <w:rsid w:val="005346A6"/>
    <w:rsid w:val="005346D9"/>
    <w:rsid w:val="005347F4"/>
    <w:rsid w:val="00534828"/>
    <w:rsid w:val="00534844"/>
    <w:rsid w:val="005348F2"/>
    <w:rsid w:val="0053490F"/>
    <w:rsid w:val="005349A8"/>
    <w:rsid w:val="005349B1"/>
    <w:rsid w:val="00534A87"/>
    <w:rsid w:val="00534A8D"/>
    <w:rsid w:val="00534A94"/>
    <w:rsid w:val="00534AA2"/>
    <w:rsid w:val="00534AA7"/>
    <w:rsid w:val="00534AB4"/>
    <w:rsid w:val="00534AF9"/>
    <w:rsid w:val="00534B98"/>
    <w:rsid w:val="00534BFA"/>
    <w:rsid w:val="00534CB3"/>
    <w:rsid w:val="00534E1B"/>
    <w:rsid w:val="00534FF7"/>
    <w:rsid w:val="00535065"/>
    <w:rsid w:val="0053517A"/>
    <w:rsid w:val="005351F2"/>
    <w:rsid w:val="0053529C"/>
    <w:rsid w:val="00535363"/>
    <w:rsid w:val="005353D2"/>
    <w:rsid w:val="00535416"/>
    <w:rsid w:val="00535458"/>
    <w:rsid w:val="0053550F"/>
    <w:rsid w:val="0053551F"/>
    <w:rsid w:val="0053563F"/>
    <w:rsid w:val="0053564A"/>
    <w:rsid w:val="0053564E"/>
    <w:rsid w:val="00535674"/>
    <w:rsid w:val="005356BF"/>
    <w:rsid w:val="0053576C"/>
    <w:rsid w:val="0053588E"/>
    <w:rsid w:val="00535960"/>
    <w:rsid w:val="005359A3"/>
    <w:rsid w:val="00535A0A"/>
    <w:rsid w:val="00535A61"/>
    <w:rsid w:val="00535A66"/>
    <w:rsid w:val="00535A81"/>
    <w:rsid w:val="00535C84"/>
    <w:rsid w:val="00535CDE"/>
    <w:rsid w:val="00535D00"/>
    <w:rsid w:val="00535D27"/>
    <w:rsid w:val="00535D29"/>
    <w:rsid w:val="00535D7B"/>
    <w:rsid w:val="00535E35"/>
    <w:rsid w:val="00535E7E"/>
    <w:rsid w:val="00535E99"/>
    <w:rsid w:val="00535F2A"/>
    <w:rsid w:val="0053608E"/>
    <w:rsid w:val="0053615E"/>
    <w:rsid w:val="00536335"/>
    <w:rsid w:val="0053633D"/>
    <w:rsid w:val="0053642B"/>
    <w:rsid w:val="0053642C"/>
    <w:rsid w:val="00536496"/>
    <w:rsid w:val="0053658F"/>
    <w:rsid w:val="00536625"/>
    <w:rsid w:val="00536673"/>
    <w:rsid w:val="00536737"/>
    <w:rsid w:val="005367E2"/>
    <w:rsid w:val="00536835"/>
    <w:rsid w:val="00536924"/>
    <w:rsid w:val="005369D6"/>
    <w:rsid w:val="005369DE"/>
    <w:rsid w:val="00536B01"/>
    <w:rsid w:val="00536B20"/>
    <w:rsid w:val="00536B64"/>
    <w:rsid w:val="00536B85"/>
    <w:rsid w:val="00536CCA"/>
    <w:rsid w:val="00536D3D"/>
    <w:rsid w:val="00536EBA"/>
    <w:rsid w:val="00536FAD"/>
    <w:rsid w:val="0053708A"/>
    <w:rsid w:val="005370A8"/>
    <w:rsid w:val="00537100"/>
    <w:rsid w:val="00537107"/>
    <w:rsid w:val="0053714C"/>
    <w:rsid w:val="0053715B"/>
    <w:rsid w:val="00537258"/>
    <w:rsid w:val="005372B6"/>
    <w:rsid w:val="005374B3"/>
    <w:rsid w:val="005375F8"/>
    <w:rsid w:val="00537725"/>
    <w:rsid w:val="005377E3"/>
    <w:rsid w:val="00537852"/>
    <w:rsid w:val="00537976"/>
    <w:rsid w:val="005379B0"/>
    <w:rsid w:val="005379D2"/>
    <w:rsid w:val="00537A4B"/>
    <w:rsid w:val="00537AED"/>
    <w:rsid w:val="00537B30"/>
    <w:rsid w:val="00537C91"/>
    <w:rsid w:val="00537CAD"/>
    <w:rsid w:val="00537D2A"/>
    <w:rsid w:val="00537D54"/>
    <w:rsid w:val="00537ED9"/>
    <w:rsid w:val="00537F23"/>
    <w:rsid w:val="00540071"/>
    <w:rsid w:val="0054014C"/>
    <w:rsid w:val="00540174"/>
    <w:rsid w:val="00540199"/>
    <w:rsid w:val="0054019B"/>
    <w:rsid w:val="005401B0"/>
    <w:rsid w:val="005401C0"/>
    <w:rsid w:val="005401C5"/>
    <w:rsid w:val="00540321"/>
    <w:rsid w:val="00540381"/>
    <w:rsid w:val="0054040F"/>
    <w:rsid w:val="0054042A"/>
    <w:rsid w:val="00540484"/>
    <w:rsid w:val="005404D0"/>
    <w:rsid w:val="0054054D"/>
    <w:rsid w:val="00540618"/>
    <w:rsid w:val="005406C5"/>
    <w:rsid w:val="005407EA"/>
    <w:rsid w:val="005407F1"/>
    <w:rsid w:val="00540802"/>
    <w:rsid w:val="00540897"/>
    <w:rsid w:val="00540B91"/>
    <w:rsid w:val="00540BC8"/>
    <w:rsid w:val="00540C21"/>
    <w:rsid w:val="00540CFA"/>
    <w:rsid w:val="00540DAC"/>
    <w:rsid w:val="00540DF6"/>
    <w:rsid w:val="00540E50"/>
    <w:rsid w:val="005410C8"/>
    <w:rsid w:val="0054114C"/>
    <w:rsid w:val="00541177"/>
    <w:rsid w:val="00541190"/>
    <w:rsid w:val="00541209"/>
    <w:rsid w:val="00541239"/>
    <w:rsid w:val="0054125A"/>
    <w:rsid w:val="005412A9"/>
    <w:rsid w:val="005412B7"/>
    <w:rsid w:val="00541331"/>
    <w:rsid w:val="00541353"/>
    <w:rsid w:val="00541390"/>
    <w:rsid w:val="005415CE"/>
    <w:rsid w:val="00541612"/>
    <w:rsid w:val="00541657"/>
    <w:rsid w:val="005417E8"/>
    <w:rsid w:val="005419E5"/>
    <w:rsid w:val="005419F9"/>
    <w:rsid w:val="00541B43"/>
    <w:rsid w:val="00541BE8"/>
    <w:rsid w:val="00541C9C"/>
    <w:rsid w:val="00541E23"/>
    <w:rsid w:val="00542002"/>
    <w:rsid w:val="00542018"/>
    <w:rsid w:val="005420E2"/>
    <w:rsid w:val="005421DD"/>
    <w:rsid w:val="00542225"/>
    <w:rsid w:val="005422BF"/>
    <w:rsid w:val="005423E6"/>
    <w:rsid w:val="00542403"/>
    <w:rsid w:val="00542457"/>
    <w:rsid w:val="00542476"/>
    <w:rsid w:val="00542563"/>
    <w:rsid w:val="00542736"/>
    <w:rsid w:val="00542751"/>
    <w:rsid w:val="00542753"/>
    <w:rsid w:val="005427E4"/>
    <w:rsid w:val="00542917"/>
    <w:rsid w:val="0054297D"/>
    <w:rsid w:val="00542A14"/>
    <w:rsid w:val="00542ACD"/>
    <w:rsid w:val="00542B48"/>
    <w:rsid w:val="00542C39"/>
    <w:rsid w:val="00542D23"/>
    <w:rsid w:val="00542DDD"/>
    <w:rsid w:val="00542F48"/>
    <w:rsid w:val="0054302F"/>
    <w:rsid w:val="005430D8"/>
    <w:rsid w:val="0054310C"/>
    <w:rsid w:val="00543339"/>
    <w:rsid w:val="00543406"/>
    <w:rsid w:val="0054357A"/>
    <w:rsid w:val="00543603"/>
    <w:rsid w:val="00543609"/>
    <w:rsid w:val="005436C0"/>
    <w:rsid w:val="00543762"/>
    <w:rsid w:val="005437FD"/>
    <w:rsid w:val="0054393C"/>
    <w:rsid w:val="0054395D"/>
    <w:rsid w:val="005439EF"/>
    <w:rsid w:val="00543B03"/>
    <w:rsid w:val="00543BD4"/>
    <w:rsid w:val="00543BFD"/>
    <w:rsid w:val="00543C11"/>
    <w:rsid w:val="00543C93"/>
    <w:rsid w:val="00543CE3"/>
    <w:rsid w:val="00543D86"/>
    <w:rsid w:val="00543E38"/>
    <w:rsid w:val="00543EC6"/>
    <w:rsid w:val="005440F9"/>
    <w:rsid w:val="00544150"/>
    <w:rsid w:val="00544187"/>
    <w:rsid w:val="00544349"/>
    <w:rsid w:val="0054436A"/>
    <w:rsid w:val="0054441B"/>
    <w:rsid w:val="00544439"/>
    <w:rsid w:val="0054449D"/>
    <w:rsid w:val="005445D0"/>
    <w:rsid w:val="00544756"/>
    <w:rsid w:val="0054481E"/>
    <w:rsid w:val="005448EE"/>
    <w:rsid w:val="005448FA"/>
    <w:rsid w:val="00544A0C"/>
    <w:rsid w:val="00544A91"/>
    <w:rsid w:val="00544B82"/>
    <w:rsid w:val="00544C74"/>
    <w:rsid w:val="00544D6E"/>
    <w:rsid w:val="00544D85"/>
    <w:rsid w:val="00544E32"/>
    <w:rsid w:val="00544E81"/>
    <w:rsid w:val="00544EA7"/>
    <w:rsid w:val="00544EAE"/>
    <w:rsid w:val="00544EE0"/>
    <w:rsid w:val="00544F30"/>
    <w:rsid w:val="00544F74"/>
    <w:rsid w:val="005451FF"/>
    <w:rsid w:val="0054529A"/>
    <w:rsid w:val="005452A0"/>
    <w:rsid w:val="005452C0"/>
    <w:rsid w:val="005452D5"/>
    <w:rsid w:val="005455A3"/>
    <w:rsid w:val="005455BA"/>
    <w:rsid w:val="00545646"/>
    <w:rsid w:val="005456DB"/>
    <w:rsid w:val="005456E2"/>
    <w:rsid w:val="0054581D"/>
    <w:rsid w:val="00545866"/>
    <w:rsid w:val="00545910"/>
    <w:rsid w:val="0054591A"/>
    <w:rsid w:val="0054592B"/>
    <w:rsid w:val="0054594F"/>
    <w:rsid w:val="00545954"/>
    <w:rsid w:val="005459C6"/>
    <w:rsid w:val="00545A9E"/>
    <w:rsid w:val="00545B63"/>
    <w:rsid w:val="00545C66"/>
    <w:rsid w:val="00545C82"/>
    <w:rsid w:val="00545F40"/>
    <w:rsid w:val="00546002"/>
    <w:rsid w:val="00546037"/>
    <w:rsid w:val="00546169"/>
    <w:rsid w:val="00546192"/>
    <w:rsid w:val="00546232"/>
    <w:rsid w:val="00546300"/>
    <w:rsid w:val="00546311"/>
    <w:rsid w:val="00546333"/>
    <w:rsid w:val="005464F9"/>
    <w:rsid w:val="0054650E"/>
    <w:rsid w:val="005465BC"/>
    <w:rsid w:val="005466E4"/>
    <w:rsid w:val="00546751"/>
    <w:rsid w:val="00546807"/>
    <w:rsid w:val="00546882"/>
    <w:rsid w:val="005468EE"/>
    <w:rsid w:val="005469C8"/>
    <w:rsid w:val="00546A33"/>
    <w:rsid w:val="00546AA0"/>
    <w:rsid w:val="00546C02"/>
    <w:rsid w:val="00546CC1"/>
    <w:rsid w:val="00546CD1"/>
    <w:rsid w:val="00546CD8"/>
    <w:rsid w:val="00546D23"/>
    <w:rsid w:val="00546E36"/>
    <w:rsid w:val="00546E8E"/>
    <w:rsid w:val="005470AD"/>
    <w:rsid w:val="005470D5"/>
    <w:rsid w:val="005470E9"/>
    <w:rsid w:val="005470F8"/>
    <w:rsid w:val="0054728E"/>
    <w:rsid w:val="005472E4"/>
    <w:rsid w:val="00547396"/>
    <w:rsid w:val="0054745C"/>
    <w:rsid w:val="0054767F"/>
    <w:rsid w:val="0054772B"/>
    <w:rsid w:val="00547806"/>
    <w:rsid w:val="00547834"/>
    <w:rsid w:val="00547894"/>
    <w:rsid w:val="005478A7"/>
    <w:rsid w:val="005478DB"/>
    <w:rsid w:val="00547A55"/>
    <w:rsid w:val="00547A61"/>
    <w:rsid w:val="00547B21"/>
    <w:rsid w:val="00547B3E"/>
    <w:rsid w:val="00547BA2"/>
    <w:rsid w:val="00547C7C"/>
    <w:rsid w:val="00547C7F"/>
    <w:rsid w:val="00547CD8"/>
    <w:rsid w:val="00547FF7"/>
    <w:rsid w:val="005500B0"/>
    <w:rsid w:val="005500CC"/>
    <w:rsid w:val="005500DD"/>
    <w:rsid w:val="00550116"/>
    <w:rsid w:val="00550195"/>
    <w:rsid w:val="00550198"/>
    <w:rsid w:val="005501E7"/>
    <w:rsid w:val="00550241"/>
    <w:rsid w:val="0055027B"/>
    <w:rsid w:val="00550357"/>
    <w:rsid w:val="0055043E"/>
    <w:rsid w:val="00550440"/>
    <w:rsid w:val="00550534"/>
    <w:rsid w:val="005505D2"/>
    <w:rsid w:val="00550601"/>
    <w:rsid w:val="00550665"/>
    <w:rsid w:val="00550745"/>
    <w:rsid w:val="00550753"/>
    <w:rsid w:val="00550785"/>
    <w:rsid w:val="0055094F"/>
    <w:rsid w:val="005509DE"/>
    <w:rsid w:val="00550A90"/>
    <w:rsid w:val="00550AEF"/>
    <w:rsid w:val="00550C7C"/>
    <w:rsid w:val="00550CE5"/>
    <w:rsid w:val="00550DD7"/>
    <w:rsid w:val="00550E24"/>
    <w:rsid w:val="00550E48"/>
    <w:rsid w:val="00550F99"/>
    <w:rsid w:val="00551031"/>
    <w:rsid w:val="0055119B"/>
    <w:rsid w:val="00551266"/>
    <w:rsid w:val="00551290"/>
    <w:rsid w:val="005513BE"/>
    <w:rsid w:val="005513D9"/>
    <w:rsid w:val="0055141D"/>
    <w:rsid w:val="00551456"/>
    <w:rsid w:val="00551547"/>
    <w:rsid w:val="005515D2"/>
    <w:rsid w:val="005515EC"/>
    <w:rsid w:val="0055162C"/>
    <w:rsid w:val="00551853"/>
    <w:rsid w:val="0055193D"/>
    <w:rsid w:val="0055193F"/>
    <w:rsid w:val="00551B9C"/>
    <w:rsid w:val="00551C20"/>
    <w:rsid w:val="00551C31"/>
    <w:rsid w:val="00551E5D"/>
    <w:rsid w:val="00551ECA"/>
    <w:rsid w:val="00551F0C"/>
    <w:rsid w:val="00551F5A"/>
    <w:rsid w:val="00551FBF"/>
    <w:rsid w:val="005521A6"/>
    <w:rsid w:val="005521D4"/>
    <w:rsid w:val="00552261"/>
    <w:rsid w:val="005522BB"/>
    <w:rsid w:val="005522C1"/>
    <w:rsid w:val="005522C3"/>
    <w:rsid w:val="00552458"/>
    <w:rsid w:val="0055256E"/>
    <w:rsid w:val="00552570"/>
    <w:rsid w:val="005525B7"/>
    <w:rsid w:val="005525F0"/>
    <w:rsid w:val="00552703"/>
    <w:rsid w:val="005527A2"/>
    <w:rsid w:val="0055283F"/>
    <w:rsid w:val="00552888"/>
    <w:rsid w:val="005528B4"/>
    <w:rsid w:val="00552941"/>
    <w:rsid w:val="005529CB"/>
    <w:rsid w:val="005529DC"/>
    <w:rsid w:val="005529E1"/>
    <w:rsid w:val="00552A5D"/>
    <w:rsid w:val="00552B6A"/>
    <w:rsid w:val="00552C97"/>
    <w:rsid w:val="00552CCE"/>
    <w:rsid w:val="00552CDD"/>
    <w:rsid w:val="00552CE4"/>
    <w:rsid w:val="00552DEC"/>
    <w:rsid w:val="00552DF5"/>
    <w:rsid w:val="00552E7C"/>
    <w:rsid w:val="00552E9C"/>
    <w:rsid w:val="00552F1F"/>
    <w:rsid w:val="00552F43"/>
    <w:rsid w:val="00552F63"/>
    <w:rsid w:val="00552F91"/>
    <w:rsid w:val="00553092"/>
    <w:rsid w:val="005530D1"/>
    <w:rsid w:val="00553157"/>
    <w:rsid w:val="00553167"/>
    <w:rsid w:val="005531A8"/>
    <w:rsid w:val="00553339"/>
    <w:rsid w:val="005533D1"/>
    <w:rsid w:val="00553472"/>
    <w:rsid w:val="00553485"/>
    <w:rsid w:val="005535A5"/>
    <w:rsid w:val="005535AE"/>
    <w:rsid w:val="00553742"/>
    <w:rsid w:val="005537D5"/>
    <w:rsid w:val="005537E7"/>
    <w:rsid w:val="005538B3"/>
    <w:rsid w:val="005538DC"/>
    <w:rsid w:val="00553917"/>
    <w:rsid w:val="00553A8E"/>
    <w:rsid w:val="00553B8B"/>
    <w:rsid w:val="00553C09"/>
    <w:rsid w:val="00553D16"/>
    <w:rsid w:val="00553E1F"/>
    <w:rsid w:val="00553E8D"/>
    <w:rsid w:val="00553E90"/>
    <w:rsid w:val="00553F68"/>
    <w:rsid w:val="00553FDD"/>
    <w:rsid w:val="00554018"/>
    <w:rsid w:val="005540F9"/>
    <w:rsid w:val="00554275"/>
    <w:rsid w:val="005542C6"/>
    <w:rsid w:val="005542DB"/>
    <w:rsid w:val="0055435F"/>
    <w:rsid w:val="00554373"/>
    <w:rsid w:val="00554386"/>
    <w:rsid w:val="005544B0"/>
    <w:rsid w:val="005544CC"/>
    <w:rsid w:val="005546D1"/>
    <w:rsid w:val="005546FE"/>
    <w:rsid w:val="00554819"/>
    <w:rsid w:val="005548DB"/>
    <w:rsid w:val="005549A5"/>
    <w:rsid w:val="00554AE1"/>
    <w:rsid w:val="00554CA6"/>
    <w:rsid w:val="00554CD9"/>
    <w:rsid w:val="00554D45"/>
    <w:rsid w:val="00554E43"/>
    <w:rsid w:val="00554E55"/>
    <w:rsid w:val="00554EA7"/>
    <w:rsid w:val="00554F78"/>
    <w:rsid w:val="00554F7A"/>
    <w:rsid w:val="00554F8B"/>
    <w:rsid w:val="00554FDC"/>
    <w:rsid w:val="00555019"/>
    <w:rsid w:val="00555116"/>
    <w:rsid w:val="0055520B"/>
    <w:rsid w:val="005553CF"/>
    <w:rsid w:val="0055546E"/>
    <w:rsid w:val="00555473"/>
    <w:rsid w:val="00555477"/>
    <w:rsid w:val="00555491"/>
    <w:rsid w:val="0055549A"/>
    <w:rsid w:val="005554EF"/>
    <w:rsid w:val="00555558"/>
    <w:rsid w:val="005555E7"/>
    <w:rsid w:val="00555650"/>
    <w:rsid w:val="00555651"/>
    <w:rsid w:val="00555663"/>
    <w:rsid w:val="0055567F"/>
    <w:rsid w:val="00555721"/>
    <w:rsid w:val="00555789"/>
    <w:rsid w:val="00555934"/>
    <w:rsid w:val="00555AD1"/>
    <w:rsid w:val="00555CED"/>
    <w:rsid w:val="00555ED9"/>
    <w:rsid w:val="005560C3"/>
    <w:rsid w:val="00556108"/>
    <w:rsid w:val="0055614F"/>
    <w:rsid w:val="0055629E"/>
    <w:rsid w:val="0055647A"/>
    <w:rsid w:val="00556536"/>
    <w:rsid w:val="005567C8"/>
    <w:rsid w:val="00556953"/>
    <w:rsid w:val="00556968"/>
    <w:rsid w:val="005569DA"/>
    <w:rsid w:val="00556AA3"/>
    <w:rsid w:val="00556BB9"/>
    <w:rsid w:val="00556C24"/>
    <w:rsid w:val="00556C75"/>
    <w:rsid w:val="00556C7C"/>
    <w:rsid w:val="00556D89"/>
    <w:rsid w:val="00556DB6"/>
    <w:rsid w:val="00556E54"/>
    <w:rsid w:val="00556F87"/>
    <w:rsid w:val="00556FE9"/>
    <w:rsid w:val="00557067"/>
    <w:rsid w:val="00557095"/>
    <w:rsid w:val="005570B9"/>
    <w:rsid w:val="005571AC"/>
    <w:rsid w:val="005571F7"/>
    <w:rsid w:val="005571FD"/>
    <w:rsid w:val="0055721F"/>
    <w:rsid w:val="00557271"/>
    <w:rsid w:val="0055749C"/>
    <w:rsid w:val="0055777D"/>
    <w:rsid w:val="005577C4"/>
    <w:rsid w:val="00557919"/>
    <w:rsid w:val="00557A6F"/>
    <w:rsid w:val="00557B1E"/>
    <w:rsid w:val="00557C97"/>
    <w:rsid w:val="00557CB1"/>
    <w:rsid w:val="00557DB2"/>
    <w:rsid w:val="00557E52"/>
    <w:rsid w:val="00557E5A"/>
    <w:rsid w:val="0056002B"/>
    <w:rsid w:val="005601C7"/>
    <w:rsid w:val="0056023C"/>
    <w:rsid w:val="0056025E"/>
    <w:rsid w:val="005602E6"/>
    <w:rsid w:val="00560384"/>
    <w:rsid w:val="005603D2"/>
    <w:rsid w:val="005603FE"/>
    <w:rsid w:val="005604F5"/>
    <w:rsid w:val="00560504"/>
    <w:rsid w:val="0056051B"/>
    <w:rsid w:val="00560523"/>
    <w:rsid w:val="005606E4"/>
    <w:rsid w:val="00560773"/>
    <w:rsid w:val="0056097E"/>
    <w:rsid w:val="0056099B"/>
    <w:rsid w:val="005609B8"/>
    <w:rsid w:val="00560A22"/>
    <w:rsid w:val="00560AE7"/>
    <w:rsid w:val="00560B36"/>
    <w:rsid w:val="00560B94"/>
    <w:rsid w:val="00560CE4"/>
    <w:rsid w:val="00560EF9"/>
    <w:rsid w:val="00560F26"/>
    <w:rsid w:val="00560FAE"/>
    <w:rsid w:val="00561089"/>
    <w:rsid w:val="00561110"/>
    <w:rsid w:val="00561129"/>
    <w:rsid w:val="00561168"/>
    <w:rsid w:val="00561191"/>
    <w:rsid w:val="005611B8"/>
    <w:rsid w:val="005612EC"/>
    <w:rsid w:val="005612F0"/>
    <w:rsid w:val="00561378"/>
    <w:rsid w:val="005615D1"/>
    <w:rsid w:val="005615DE"/>
    <w:rsid w:val="005615ED"/>
    <w:rsid w:val="0056165B"/>
    <w:rsid w:val="00561788"/>
    <w:rsid w:val="005618E0"/>
    <w:rsid w:val="00561A2F"/>
    <w:rsid w:val="00561B64"/>
    <w:rsid w:val="00561BF3"/>
    <w:rsid w:val="00561CAE"/>
    <w:rsid w:val="00561CAF"/>
    <w:rsid w:val="00561D12"/>
    <w:rsid w:val="00561D2A"/>
    <w:rsid w:val="00561E40"/>
    <w:rsid w:val="00561EA6"/>
    <w:rsid w:val="00561F0C"/>
    <w:rsid w:val="00561FEE"/>
    <w:rsid w:val="00562004"/>
    <w:rsid w:val="00562059"/>
    <w:rsid w:val="005620C1"/>
    <w:rsid w:val="0056214A"/>
    <w:rsid w:val="00562151"/>
    <w:rsid w:val="0056215D"/>
    <w:rsid w:val="0056220A"/>
    <w:rsid w:val="0056221B"/>
    <w:rsid w:val="005622B3"/>
    <w:rsid w:val="00562354"/>
    <w:rsid w:val="00562392"/>
    <w:rsid w:val="005623CA"/>
    <w:rsid w:val="00562422"/>
    <w:rsid w:val="00562485"/>
    <w:rsid w:val="005624EE"/>
    <w:rsid w:val="005625BE"/>
    <w:rsid w:val="0056263F"/>
    <w:rsid w:val="0056272B"/>
    <w:rsid w:val="005627F1"/>
    <w:rsid w:val="0056281F"/>
    <w:rsid w:val="00562827"/>
    <w:rsid w:val="0056286A"/>
    <w:rsid w:val="00562879"/>
    <w:rsid w:val="005628E4"/>
    <w:rsid w:val="00562A90"/>
    <w:rsid w:val="00562D8A"/>
    <w:rsid w:val="00562DEE"/>
    <w:rsid w:val="00562E2D"/>
    <w:rsid w:val="00562E8B"/>
    <w:rsid w:val="00562EB5"/>
    <w:rsid w:val="00562F64"/>
    <w:rsid w:val="005630CB"/>
    <w:rsid w:val="00563124"/>
    <w:rsid w:val="00563163"/>
    <w:rsid w:val="005631F8"/>
    <w:rsid w:val="005632E0"/>
    <w:rsid w:val="0056334E"/>
    <w:rsid w:val="005633A4"/>
    <w:rsid w:val="005633E2"/>
    <w:rsid w:val="005633FA"/>
    <w:rsid w:val="00563401"/>
    <w:rsid w:val="0056350B"/>
    <w:rsid w:val="005635E1"/>
    <w:rsid w:val="0056363C"/>
    <w:rsid w:val="005637F0"/>
    <w:rsid w:val="00563953"/>
    <w:rsid w:val="005639AD"/>
    <w:rsid w:val="00563B05"/>
    <w:rsid w:val="00563C35"/>
    <w:rsid w:val="00563C4D"/>
    <w:rsid w:val="00563D56"/>
    <w:rsid w:val="00563D77"/>
    <w:rsid w:val="00563D8D"/>
    <w:rsid w:val="00563DDC"/>
    <w:rsid w:val="00563E43"/>
    <w:rsid w:val="00563E69"/>
    <w:rsid w:val="00563F02"/>
    <w:rsid w:val="00563F5E"/>
    <w:rsid w:val="00563FA7"/>
    <w:rsid w:val="00563FB1"/>
    <w:rsid w:val="00564076"/>
    <w:rsid w:val="00564087"/>
    <w:rsid w:val="00564122"/>
    <w:rsid w:val="00564157"/>
    <w:rsid w:val="005641BB"/>
    <w:rsid w:val="005641FA"/>
    <w:rsid w:val="00564290"/>
    <w:rsid w:val="005642F3"/>
    <w:rsid w:val="0056432E"/>
    <w:rsid w:val="00564361"/>
    <w:rsid w:val="00564426"/>
    <w:rsid w:val="005644BB"/>
    <w:rsid w:val="0056466E"/>
    <w:rsid w:val="0056467E"/>
    <w:rsid w:val="0056469E"/>
    <w:rsid w:val="005646D0"/>
    <w:rsid w:val="00564729"/>
    <w:rsid w:val="00564990"/>
    <w:rsid w:val="00564991"/>
    <w:rsid w:val="00564A82"/>
    <w:rsid w:val="00564A9F"/>
    <w:rsid w:val="00564E3D"/>
    <w:rsid w:val="00564F81"/>
    <w:rsid w:val="00564FCD"/>
    <w:rsid w:val="00564FD3"/>
    <w:rsid w:val="00565008"/>
    <w:rsid w:val="00565095"/>
    <w:rsid w:val="005650D3"/>
    <w:rsid w:val="0056522A"/>
    <w:rsid w:val="005652BE"/>
    <w:rsid w:val="005652F4"/>
    <w:rsid w:val="00565460"/>
    <w:rsid w:val="005654CD"/>
    <w:rsid w:val="0056552F"/>
    <w:rsid w:val="0056564A"/>
    <w:rsid w:val="005657A5"/>
    <w:rsid w:val="00565819"/>
    <w:rsid w:val="0056584C"/>
    <w:rsid w:val="0056584E"/>
    <w:rsid w:val="0056589F"/>
    <w:rsid w:val="00565A0A"/>
    <w:rsid w:val="00565A47"/>
    <w:rsid w:val="00565AFC"/>
    <w:rsid w:val="00565BFE"/>
    <w:rsid w:val="00565CF9"/>
    <w:rsid w:val="00565D71"/>
    <w:rsid w:val="00566001"/>
    <w:rsid w:val="0056608E"/>
    <w:rsid w:val="005660B5"/>
    <w:rsid w:val="00566128"/>
    <w:rsid w:val="005661AC"/>
    <w:rsid w:val="0056624D"/>
    <w:rsid w:val="005662B5"/>
    <w:rsid w:val="005662BF"/>
    <w:rsid w:val="00566334"/>
    <w:rsid w:val="00566353"/>
    <w:rsid w:val="005663CD"/>
    <w:rsid w:val="005663D7"/>
    <w:rsid w:val="00566585"/>
    <w:rsid w:val="00566704"/>
    <w:rsid w:val="005667A8"/>
    <w:rsid w:val="005667FA"/>
    <w:rsid w:val="0056681A"/>
    <w:rsid w:val="0056685A"/>
    <w:rsid w:val="00566978"/>
    <w:rsid w:val="005669C0"/>
    <w:rsid w:val="00566A0A"/>
    <w:rsid w:val="00566A21"/>
    <w:rsid w:val="00566AD9"/>
    <w:rsid w:val="00566B91"/>
    <w:rsid w:val="00566B9F"/>
    <w:rsid w:val="00566C15"/>
    <w:rsid w:val="00566C4B"/>
    <w:rsid w:val="00566CA9"/>
    <w:rsid w:val="00566CE0"/>
    <w:rsid w:val="00566D8A"/>
    <w:rsid w:val="00566F9A"/>
    <w:rsid w:val="00566FA4"/>
    <w:rsid w:val="00566FEF"/>
    <w:rsid w:val="005670C4"/>
    <w:rsid w:val="00567179"/>
    <w:rsid w:val="005671C3"/>
    <w:rsid w:val="0056734B"/>
    <w:rsid w:val="00567350"/>
    <w:rsid w:val="005673BD"/>
    <w:rsid w:val="00567464"/>
    <w:rsid w:val="005674CE"/>
    <w:rsid w:val="005674D1"/>
    <w:rsid w:val="005674D8"/>
    <w:rsid w:val="00567505"/>
    <w:rsid w:val="00567552"/>
    <w:rsid w:val="00567632"/>
    <w:rsid w:val="0056763B"/>
    <w:rsid w:val="00567720"/>
    <w:rsid w:val="00567765"/>
    <w:rsid w:val="005678A9"/>
    <w:rsid w:val="0056795B"/>
    <w:rsid w:val="00567961"/>
    <w:rsid w:val="00567A56"/>
    <w:rsid w:val="00567A60"/>
    <w:rsid w:val="00567A7A"/>
    <w:rsid w:val="00567B30"/>
    <w:rsid w:val="00567C03"/>
    <w:rsid w:val="00567C20"/>
    <w:rsid w:val="00567C5F"/>
    <w:rsid w:val="00567E58"/>
    <w:rsid w:val="00567F9F"/>
    <w:rsid w:val="00567FF7"/>
    <w:rsid w:val="00570058"/>
    <w:rsid w:val="00570066"/>
    <w:rsid w:val="00570071"/>
    <w:rsid w:val="00570131"/>
    <w:rsid w:val="00570218"/>
    <w:rsid w:val="00570306"/>
    <w:rsid w:val="0057051F"/>
    <w:rsid w:val="005705B1"/>
    <w:rsid w:val="005705C5"/>
    <w:rsid w:val="00570829"/>
    <w:rsid w:val="0057083A"/>
    <w:rsid w:val="005708F4"/>
    <w:rsid w:val="005708FF"/>
    <w:rsid w:val="0057097A"/>
    <w:rsid w:val="00570B2C"/>
    <w:rsid w:val="00570C66"/>
    <w:rsid w:val="00570DBD"/>
    <w:rsid w:val="00570DE4"/>
    <w:rsid w:val="00570DF0"/>
    <w:rsid w:val="00570E59"/>
    <w:rsid w:val="00570E84"/>
    <w:rsid w:val="00570EDE"/>
    <w:rsid w:val="00570F3A"/>
    <w:rsid w:val="00570F45"/>
    <w:rsid w:val="00570FD5"/>
    <w:rsid w:val="00571070"/>
    <w:rsid w:val="0057107F"/>
    <w:rsid w:val="00571143"/>
    <w:rsid w:val="0057117D"/>
    <w:rsid w:val="005711F4"/>
    <w:rsid w:val="005712F7"/>
    <w:rsid w:val="0057132B"/>
    <w:rsid w:val="0057149A"/>
    <w:rsid w:val="005714B3"/>
    <w:rsid w:val="005714FD"/>
    <w:rsid w:val="00571520"/>
    <w:rsid w:val="00571560"/>
    <w:rsid w:val="005716A1"/>
    <w:rsid w:val="005716C0"/>
    <w:rsid w:val="005716DA"/>
    <w:rsid w:val="00571736"/>
    <w:rsid w:val="0057173F"/>
    <w:rsid w:val="00571881"/>
    <w:rsid w:val="00571884"/>
    <w:rsid w:val="005718A3"/>
    <w:rsid w:val="0057193E"/>
    <w:rsid w:val="0057197F"/>
    <w:rsid w:val="00571A1B"/>
    <w:rsid w:val="00571A2A"/>
    <w:rsid w:val="00571A7D"/>
    <w:rsid w:val="00571BEA"/>
    <w:rsid w:val="00571C8D"/>
    <w:rsid w:val="00571C94"/>
    <w:rsid w:val="00571CF4"/>
    <w:rsid w:val="00571D4C"/>
    <w:rsid w:val="00571E1A"/>
    <w:rsid w:val="00571E52"/>
    <w:rsid w:val="00571E68"/>
    <w:rsid w:val="00571FA4"/>
    <w:rsid w:val="005720A5"/>
    <w:rsid w:val="0057216B"/>
    <w:rsid w:val="005721ED"/>
    <w:rsid w:val="00572274"/>
    <w:rsid w:val="0057229A"/>
    <w:rsid w:val="00572372"/>
    <w:rsid w:val="00572399"/>
    <w:rsid w:val="005723A6"/>
    <w:rsid w:val="00572529"/>
    <w:rsid w:val="00572626"/>
    <w:rsid w:val="00572655"/>
    <w:rsid w:val="005726D3"/>
    <w:rsid w:val="005726E1"/>
    <w:rsid w:val="0057272A"/>
    <w:rsid w:val="0057273C"/>
    <w:rsid w:val="005727C3"/>
    <w:rsid w:val="0057282F"/>
    <w:rsid w:val="0057285B"/>
    <w:rsid w:val="0057289D"/>
    <w:rsid w:val="00572918"/>
    <w:rsid w:val="00572925"/>
    <w:rsid w:val="00572948"/>
    <w:rsid w:val="0057295E"/>
    <w:rsid w:val="00572A09"/>
    <w:rsid w:val="00572ACC"/>
    <w:rsid w:val="00572B56"/>
    <w:rsid w:val="00572C0A"/>
    <w:rsid w:val="00572CAD"/>
    <w:rsid w:val="00572CD1"/>
    <w:rsid w:val="00572CDA"/>
    <w:rsid w:val="00572EFD"/>
    <w:rsid w:val="0057301F"/>
    <w:rsid w:val="00573195"/>
    <w:rsid w:val="00573430"/>
    <w:rsid w:val="005734D3"/>
    <w:rsid w:val="005734F7"/>
    <w:rsid w:val="0057365B"/>
    <w:rsid w:val="00573713"/>
    <w:rsid w:val="00573715"/>
    <w:rsid w:val="00573816"/>
    <w:rsid w:val="00573834"/>
    <w:rsid w:val="0057387F"/>
    <w:rsid w:val="005738AB"/>
    <w:rsid w:val="005738BF"/>
    <w:rsid w:val="005738E2"/>
    <w:rsid w:val="00573963"/>
    <w:rsid w:val="00573A09"/>
    <w:rsid w:val="00573A50"/>
    <w:rsid w:val="00573A8E"/>
    <w:rsid w:val="00573AC7"/>
    <w:rsid w:val="00573BF5"/>
    <w:rsid w:val="00573C20"/>
    <w:rsid w:val="00573D76"/>
    <w:rsid w:val="00573DCE"/>
    <w:rsid w:val="00573F9E"/>
    <w:rsid w:val="00573FB1"/>
    <w:rsid w:val="00573FC8"/>
    <w:rsid w:val="00574027"/>
    <w:rsid w:val="00574065"/>
    <w:rsid w:val="005740FD"/>
    <w:rsid w:val="0057411E"/>
    <w:rsid w:val="005741C5"/>
    <w:rsid w:val="0057423B"/>
    <w:rsid w:val="0057426A"/>
    <w:rsid w:val="005742F0"/>
    <w:rsid w:val="005743D5"/>
    <w:rsid w:val="005743F0"/>
    <w:rsid w:val="00574582"/>
    <w:rsid w:val="005745D4"/>
    <w:rsid w:val="0057461E"/>
    <w:rsid w:val="00574690"/>
    <w:rsid w:val="005746C9"/>
    <w:rsid w:val="0057474F"/>
    <w:rsid w:val="005747BD"/>
    <w:rsid w:val="0057491B"/>
    <w:rsid w:val="005749AC"/>
    <w:rsid w:val="00574A30"/>
    <w:rsid w:val="00574A32"/>
    <w:rsid w:val="00574B34"/>
    <w:rsid w:val="00574BAC"/>
    <w:rsid w:val="00574D9E"/>
    <w:rsid w:val="00574E1D"/>
    <w:rsid w:val="00574E45"/>
    <w:rsid w:val="00574F44"/>
    <w:rsid w:val="00574FFB"/>
    <w:rsid w:val="00575007"/>
    <w:rsid w:val="005750AE"/>
    <w:rsid w:val="00575143"/>
    <w:rsid w:val="0057514F"/>
    <w:rsid w:val="005751AA"/>
    <w:rsid w:val="005752DD"/>
    <w:rsid w:val="0057542F"/>
    <w:rsid w:val="00575583"/>
    <w:rsid w:val="00575621"/>
    <w:rsid w:val="00575632"/>
    <w:rsid w:val="005756FB"/>
    <w:rsid w:val="005756FE"/>
    <w:rsid w:val="00575870"/>
    <w:rsid w:val="00575A16"/>
    <w:rsid w:val="00575A3C"/>
    <w:rsid w:val="00575A49"/>
    <w:rsid w:val="00575AA7"/>
    <w:rsid w:val="00575AF7"/>
    <w:rsid w:val="00575B82"/>
    <w:rsid w:val="00575BBE"/>
    <w:rsid w:val="00575C04"/>
    <w:rsid w:val="00575C26"/>
    <w:rsid w:val="00575C5C"/>
    <w:rsid w:val="00575CE3"/>
    <w:rsid w:val="00575E98"/>
    <w:rsid w:val="00575EFF"/>
    <w:rsid w:val="00576010"/>
    <w:rsid w:val="00576052"/>
    <w:rsid w:val="005761C1"/>
    <w:rsid w:val="00576208"/>
    <w:rsid w:val="005763CB"/>
    <w:rsid w:val="005765D3"/>
    <w:rsid w:val="00576659"/>
    <w:rsid w:val="0057669F"/>
    <w:rsid w:val="0057679F"/>
    <w:rsid w:val="00576883"/>
    <w:rsid w:val="00576AB8"/>
    <w:rsid w:val="00576B6F"/>
    <w:rsid w:val="00576B8B"/>
    <w:rsid w:val="00576CE8"/>
    <w:rsid w:val="00576D4D"/>
    <w:rsid w:val="00576E58"/>
    <w:rsid w:val="0057702D"/>
    <w:rsid w:val="005770DF"/>
    <w:rsid w:val="0057716F"/>
    <w:rsid w:val="0057717B"/>
    <w:rsid w:val="005771DC"/>
    <w:rsid w:val="00577252"/>
    <w:rsid w:val="00577327"/>
    <w:rsid w:val="0057733D"/>
    <w:rsid w:val="0057741D"/>
    <w:rsid w:val="00577519"/>
    <w:rsid w:val="00577544"/>
    <w:rsid w:val="0057778F"/>
    <w:rsid w:val="0057783D"/>
    <w:rsid w:val="0057794F"/>
    <w:rsid w:val="0057796C"/>
    <w:rsid w:val="00577A24"/>
    <w:rsid w:val="00577C48"/>
    <w:rsid w:val="00577C62"/>
    <w:rsid w:val="00577D59"/>
    <w:rsid w:val="00577DF3"/>
    <w:rsid w:val="00577EE1"/>
    <w:rsid w:val="005800F1"/>
    <w:rsid w:val="0058011F"/>
    <w:rsid w:val="00580127"/>
    <w:rsid w:val="0058013C"/>
    <w:rsid w:val="005801FE"/>
    <w:rsid w:val="00580296"/>
    <w:rsid w:val="005803F4"/>
    <w:rsid w:val="005804E9"/>
    <w:rsid w:val="0058058E"/>
    <w:rsid w:val="005806D3"/>
    <w:rsid w:val="0058079C"/>
    <w:rsid w:val="0058079F"/>
    <w:rsid w:val="005808AC"/>
    <w:rsid w:val="005808B3"/>
    <w:rsid w:val="005809DF"/>
    <w:rsid w:val="00580A3C"/>
    <w:rsid w:val="00580AA6"/>
    <w:rsid w:val="00580B99"/>
    <w:rsid w:val="00580B9C"/>
    <w:rsid w:val="00580BC5"/>
    <w:rsid w:val="00580C1A"/>
    <w:rsid w:val="00580C24"/>
    <w:rsid w:val="00580C52"/>
    <w:rsid w:val="00580C75"/>
    <w:rsid w:val="00580D09"/>
    <w:rsid w:val="00580D45"/>
    <w:rsid w:val="00580DFE"/>
    <w:rsid w:val="00580E12"/>
    <w:rsid w:val="00580EF8"/>
    <w:rsid w:val="00580F31"/>
    <w:rsid w:val="00580F4A"/>
    <w:rsid w:val="00580FDF"/>
    <w:rsid w:val="005810B7"/>
    <w:rsid w:val="005810BB"/>
    <w:rsid w:val="00581107"/>
    <w:rsid w:val="0058116B"/>
    <w:rsid w:val="005811C9"/>
    <w:rsid w:val="00581213"/>
    <w:rsid w:val="00581246"/>
    <w:rsid w:val="0058133E"/>
    <w:rsid w:val="005813E5"/>
    <w:rsid w:val="005813EF"/>
    <w:rsid w:val="00581442"/>
    <w:rsid w:val="005814F3"/>
    <w:rsid w:val="0058164B"/>
    <w:rsid w:val="0058167A"/>
    <w:rsid w:val="005816DB"/>
    <w:rsid w:val="00581737"/>
    <w:rsid w:val="005817BD"/>
    <w:rsid w:val="005817C6"/>
    <w:rsid w:val="005817E5"/>
    <w:rsid w:val="0058180B"/>
    <w:rsid w:val="005819AB"/>
    <w:rsid w:val="005819D6"/>
    <w:rsid w:val="00581A0D"/>
    <w:rsid w:val="00581AB0"/>
    <w:rsid w:val="00581AC7"/>
    <w:rsid w:val="00581C26"/>
    <w:rsid w:val="00581C85"/>
    <w:rsid w:val="00581EED"/>
    <w:rsid w:val="00581F15"/>
    <w:rsid w:val="00581F2F"/>
    <w:rsid w:val="00581FAE"/>
    <w:rsid w:val="005820FB"/>
    <w:rsid w:val="00582294"/>
    <w:rsid w:val="005823A3"/>
    <w:rsid w:val="00582552"/>
    <w:rsid w:val="005825C3"/>
    <w:rsid w:val="005825E3"/>
    <w:rsid w:val="0058260C"/>
    <w:rsid w:val="00582625"/>
    <w:rsid w:val="005826B8"/>
    <w:rsid w:val="0058280F"/>
    <w:rsid w:val="0058286B"/>
    <w:rsid w:val="005828A1"/>
    <w:rsid w:val="00582A3C"/>
    <w:rsid w:val="00582AF8"/>
    <w:rsid w:val="00582AFD"/>
    <w:rsid w:val="00582B88"/>
    <w:rsid w:val="00582BB9"/>
    <w:rsid w:val="00582C9E"/>
    <w:rsid w:val="00582D7C"/>
    <w:rsid w:val="00582DC2"/>
    <w:rsid w:val="00582DEF"/>
    <w:rsid w:val="00582E15"/>
    <w:rsid w:val="00582EFE"/>
    <w:rsid w:val="00582F8B"/>
    <w:rsid w:val="005830E0"/>
    <w:rsid w:val="00583100"/>
    <w:rsid w:val="00583145"/>
    <w:rsid w:val="00583338"/>
    <w:rsid w:val="0058333C"/>
    <w:rsid w:val="00583393"/>
    <w:rsid w:val="0058349E"/>
    <w:rsid w:val="005834B6"/>
    <w:rsid w:val="0058361D"/>
    <w:rsid w:val="0058363B"/>
    <w:rsid w:val="0058363C"/>
    <w:rsid w:val="0058365A"/>
    <w:rsid w:val="005836FD"/>
    <w:rsid w:val="00583730"/>
    <w:rsid w:val="00583789"/>
    <w:rsid w:val="005837AC"/>
    <w:rsid w:val="005838CA"/>
    <w:rsid w:val="005838E0"/>
    <w:rsid w:val="00583939"/>
    <w:rsid w:val="00583A57"/>
    <w:rsid w:val="00583A7F"/>
    <w:rsid w:val="00583AFA"/>
    <w:rsid w:val="00583B06"/>
    <w:rsid w:val="00583B5A"/>
    <w:rsid w:val="00583D2B"/>
    <w:rsid w:val="00583E18"/>
    <w:rsid w:val="00583E3E"/>
    <w:rsid w:val="00583EC1"/>
    <w:rsid w:val="00583EE3"/>
    <w:rsid w:val="00583F13"/>
    <w:rsid w:val="00583F6A"/>
    <w:rsid w:val="0058421E"/>
    <w:rsid w:val="00584340"/>
    <w:rsid w:val="005843A2"/>
    <w:rsid w:val="00584496"/>
    <w:rsid w:val="005844AA"/>
    <w:rsid w:val="005844FB"/>
    <w:rsid w:val="0058457E"/>
    <w:rsid w:val="0058466D"/>
    <w:rsid w:val="00584769"/>
    <w:rsid w:val="00584A90"/>
    <w:rsid w:val="00584B4C"/>
    <w:rsid w:val="00584BC7"/>
    <w:rsid w:val="00584C2C"/>
    <w:rsid w:val="00584C5F"/>
    <w:rsid w:val="00584F17"/>
    <w:rsid w:val="005850D8"/>
    <w:rsid w:val="005850F3"/>
    <w:rsid w:val="00585104"/>
    <w:rsid w:val="0058520B"/>
    <w:rsid w:val="005852CF"/>
    <w:rsid w:val="00585333"/>
    <w:rsid w:val="00585589"/>
    <w:rsid w:val="00585666"/>
    <w:rsid w:val="005856B7"/>
    <w:rsid w:val="005856C8"/>
    <w:rsid w:val="0058587C"/>
    <w:rsid w:val="0058588B"/>
    <w:rsid w:val="00585A13"/>
    <w:rsid w:val="00585A38"/>
    <w:rsid w:val="00585A76"/>
    <w:rsid w:val="00585B39"/>
    <w:rsid w:val="00585BDA"/>
    <w:rsid w:val="00585BF1"/>
    <w:rsid w:val="00585C7E"/>
    <w:rsid w:val="00585D47"/>
    <w:rsid w:val="00585EC0"/>
    <w:rsid w:val="00585EC7"/>
    <w:rsid w:val="00585F88"/>
    <w:rsid w:val="00585FBF"/>
    <w:rsid w:val="0058601B"/>
    <w:rsid w:val="0058607A"/>
    <w:rsid w:val="0058608C"/>
    <w:rsid w:val="00586396"/>
    <w:rsid w:val="00586648"/>
    <w:rsid w:val="00586663"/>
    <w:rsid w:val="0058669D"/>
    <w:rsid w:val="005866B4"/>
    <w:rsid w:val="005866C7"/>
    <w:rsid w:val="005866D5"/>
    <w:rsid w:val="005866E3"/>
    <w:rsid w:val="005867ED"/>
    <w:rsid w:val="0058686F"/>
    <w:rsid w:val="0058687B"/>
    <w:rsid w:val="00586A09"/>
    <w:rsid w:val="00586A24"/>
    <w:rsid w:val="00586AAF"/>
    <w:rsid w:val="00586B19"/>
    <w:rsid w:val="00586D24"/>
    <w:rsid w:val="00586DE9"/>
    <w:rsid w:val="00586EF7"/>
    <w:rsid w:val="00587093"/>
    <w:rsid w:val="005870A3"/>
    <w:rsid w:val="005870AD"/>
    <w:rsid w:val="005870BC"/>
    <w:rsid w:val="0058712B"/>
    <w:rsid w:val="005872E2"/>
    <w:rsid w:val="005873BB"/>
    <w:rsid w:val="00587436"/>
    <w:rsid w:val="005874CD"/>
    <w:rsid w:val="00587569"/>
    <w:rsid w:val="005876CF"/>
    <w:rsid w:val="00587739"/>
    <w:rsid w:val="00587850"/>
    <w:rsid w:val="0058786B"/>
    <w:rsid w:val="005879CE"/>
    <w:rsid w:val="00587AAD"/>
    <w:rsid w:val="00587C7C"/>
    <w:rsid w:val="00587C80"/>
    <w:rsid w:val="00587E7D"/>
    <w:rsid w:val="00587F5E"/>
    <w:rsid w:val="00587F76"/>
    <w:rsid w:val="00590034"/>
    <w:rsid w:val="005900BF"/>
    <w:rsid w:val="00590257"/>
    <w:rsid w:val="005902AD"/>
    <w:rsid w:val="00590406"/>
    <w:rsid w:val="0059064F"/>
    <w:rsid w:val="0059079A"/>
    <w:rsid w:val="005907F3"/>
    <w:rsid w:val="00590881"/>
    <w:rsid w:val="00590A02"/>
    <w:rsid w:val="00590A12"/>
    <w:rsid w:val="00590AFC"/>
    <w:rsid w:val="00590BEA"/>
    <w:rsid w:val="00590BF0"/>
    <w:rsid w:val="00590C2D"/>
    <w:rsid w:val="00590C6F"/>
    <w:rsid w:val="00590CA0"/>
    <w:rsid w:val="00590D42"/>
    <w:rsid w:val="00590D4C"/>
    <w:rsid w:val="00590E83"/>
    <w:rsid w:val="00590FF7"/>
    <w:rsid w:val="0059101E"/>
    <w:rsid w:val="00591023"/>
    <w:rsid w:val="0059106F"/>
    <w:rsid w:val="00591225"/>
    <w:rsid w:val="005912A2"/>
    <w:rsid w:val="0059131E"/>
    <w:rsid w:val="005914B9"/>
    <w:rsid w:val="00591569"/>
    <w:rsid w:val="005915B6"/>
    <w:rsid w:val="00591669"/>
    <w:rsid w:val="0059178E"/>
    <w:rsid w:val="005917C9"/>
    <w:rsid w:val="00591805"/>
    <w:rsid w:val="0059181A"/>
    <w:rsid w:val="00591881"/>
    <w:rsid w:val="005918CD"/>
    <w:rsid w:val="00591A62"/>
    <w:rsid w:val="00591AB3"/>
    <w:rsid w:val="00591B0E"/>
    <w:rsid w:val="00591CDB"/>
    <w:rsid w:val="00591D4D"/>
    <w:rsid w:val="00591E77"/>
    <w:rsid w:val="00591E96"/>
    <w:rsid w:val="00591ED8"/>
    <w:rsid w:val="005921D1"/>
    <w:rsid w:val="00592207"/>
    <w:rsid w:val="00592299"/>
    <w:rsid w:val="005923B4"/>
    <w:rsid w:val="005923CA"/>
    <w:rsid w:val="0059241B"/>
    <w:rsid w:val="005925B7"/>
    <w:rsid w:val="005925FE"/>
    <w:rsid w:val="00592669"/>
    <w:rsid w:val="005926C0"/>
    <w:rsid w:val="005927ED"/>
    <w:rsid w:val="0059281D"/>
    <w:rsid w:val="005929BE"/>
    <w:rsid w:val="005929E4"/>
    <w:rsid w:val="00592A11"/>
    <w:rsid w:val="00592A5B"/>
    <w:rsid w:val="00592B0B"/>
    <w:rsid w:val="00592B57"/>
    <w:rsid w:val="00592B72"/>
    <w:rsid w:val="00592B7A"/>
    <w:rsid w:val="00592CBC"/>
    <w:rsid w:val="00592D2A"/>
    <w:rsid w:val="00592E06"/>
    <w:rsid w:val="00592E3B"/>
    <w:rsid w:val="00592EEE"/>
    <w:rsid w:val="00592EFF"/>
    <w:rsid w:val="00592F97"/>
    <w:rsid w:val="00592FD6"/>
    <w:rsid w:val="005930FF"/>
    <w:rsid w:val="0059319B"/>
    <w:rsid w:val="00593285"/>
    <w:rsid w:val="00593343"/>
    <w:rsid w:val="0059334B"/>
    <w:rsid w:val="00593474"/>
    <w:rsid w:val="0059376D"/>
    <w:rsid w:val="005938AB"/>
    <w:rsid w:val="005939D8"/>
    <w:rsid w:val="00593A01"/>
    <w:rsid w:val="00593A70"/>
    <w:rsid w:val="00593B66"/>
    <w:rsid w:val="00593B98"/>
    <w:rsid w:val="00593BC8"/>
    <w:rsid w:val="00593C69"/>
    <w:rsid w:val="00593DB3"/>
    <w:rsid w:val="00593F16"/>
    <w:rsid w:val="00593FA7"/>
    <w:rsid w:val="0059428C"/>
    <w:rsid w:val="005942DB"/>
    <w:rsid w:val="005943DC"/>
    <w:rsid w:val="00594478"/>
    <w:rsid w:val="0059447A"/>
    <w:rsid w:val="005944D1"/>
    <w:rsid w:val="005944F7"/>
    <w:rsid w:val="00594594"/>
    <w:rsid w:val="0059462D"/>
    <w:rsid w:val="00594745"/>
    <w:rsid w:val="00594928"/>
    <w:rsid w:val="0059499B"/>
    <w:rsid w:val="005949D8"/>
    <w:rsid w:val="00594AD0"/>
    <w:rsid w:val="00594B1F"/>
    <w:rsid w:val="00594B73"/>
    <w:rsid w:val="00594BEB"/>
    <w:rsid w:val="00594C88"/>
    <w:rsid w:val="00594CA7"/>
    <w:rsid w:val="00594D4C"/>
    <w:rsid w:val="00594E0A"/>
    <w:rsid w:val="00594E1A"/>
    <w:rsid w:val="00594F56"/>
    <w:rsid w:val="00595016"/>
    <w:rsid w:val="0059506C"/>
    <w:rsid w:val="00595092"/>
    <w:rsid w:val="005950D9"/>
    <w:rsid w:val="005951E5"/>
    <w:rsid w:val="005952FB"/>
    <w:rsid w:val="0059545A"/>
    <w:rsid w:val="00595506"/>
    <w:rsid w:val="005955EF"/>
    <w:rsid w:val="005956A9"/>
    <w:rsid w:val="005956CC"/>
    <w:rsid w:val="0059573F"/>
    <w:rsid w:val="0059574D"/>
    <w:rsid w:val="0059577F"/>
    <w:rsid w:val="0059578A"/>
    <w:rsid w:val="0059588B"/>
    <w:rsid w:val="0059590A"/>
    <w:rsid w:val="00595976"/>
    <w:rsid w:val="005959D8"/>
    <w:rsid w:val="00595B70"/>
    <w:rsid w:val="00595BD3"/>
    <w:rsid w:val="00595D9B"/>
    <w:rsid w:val="00595DB7"/>
    <w:rsid w:val="00595DDD"/>
    <w:rsid w:val="00595EC6"/>
    <w:rsid w:val="00595F1F"/>
    <w:rsid w:val="00596033"/>
    <w:rsid w:val="005960AA"/>
    <w:rsid w:val="00596178"/>
    <w:rsid w:val="005961BC"/>
    <w:rsid w:val="005962BD"/>
    <w:rsid w:val="00596335"/>
    <w:rsid w:val="00596364"/>
    <w:rsid w:val="00596396"/>
    <w:rsid w:val="005963C8"/>
    <w:rsid w:val="00596439"/>
    <w:rsid w:val="00596479"/>
    <w:rsid w:val="00596483"/>
    <w:rsid w:val="005964E0"/>
    <w:rsid w:val="0059650A"/>
    <w:rsid w:val="00596525"/>
    <w:rsid w:val="0059656B"/>
    <w:rsid w:val="00596571"/>
    <w:rsid w:val="00596575"/>
    <w:rsid w:val="0059669B"/>
    <w:rsid w:val="00596702"/>
    <w:rsid w:val="0059678F"/>
    <w:rsid w:val="0059684F"/>
    <w:rsid w:val="00596917"/>
    <w:rsid w:val="005969C1"/>
    <w:rsid w:val="00596A31"/>
    <w:rsid w:val="00596A87"/>
    <w:rsid w:val="00596AF1"/>
    <w:rsid w:val="00596B1E"/>
    <w:rsid w:val="00596BF1"/>
    <w:rsid w:val="00596C1B"/>
    <w:rsid w:val="00596C81"/>
    <w:rsid w:val="00596CAB"/>
    <w:rsid w:val="00596CBE"/>
    <w:rsid w:val="00596E71"/>
    <w:rsid w:val="00596E9B"/>
    <w:rsid w:val="00596EB5"/>
    <w:rsid w:val="00596EE9"/>
    <w:rsid w:val="0059700F"/>
    <w:rsid w:val="00597043"/>
    <w:rsid w:val="005970DB"/>
    <w:rsid w:val="0059738A"/>
    <w:rsid w:val="00597496"/>
    <w:rsid w:val="00597626"/>
    <w:rsid w:val="0059779A"/>
    <w:rsid w:val="00597811"/>
    <w:rsid w:val="005979B9"/>
    <w:rsid w:val="00597A70"/>
    <w:rsid w:val="00597A8E"/>
    <w:rsid w:val="00597BCC"/>
    <w:rsid w:val="00597C8F"/>
    <w:rsid w:val="00597E45"/>
    <w:rsid w:val="00597E5E"/>
    <w:rsid w:val="00597ED2"/>
    <w:rsid w:val="00597F39"/>
    <w:rsid w:val="005A00D6"/>
    <w:rsid w:val="005A00D7"/>
    <w:rsid w:val="005A0115"/>
    <w:rsid w:val="005A017A"/>
    <w:rsid w:val="005A0185"/>
    <w:rsid w:val="005A021E"/>
    <w:rsid w:val="005A0314"/>
    <w:rsid w:val="005A03C9"/>
    <w:rsid w:val="005A0429"/>
    <w:rsid w:val="005A0462"/>
    <w:rsid w:val="005A04DE"/>
    <w:rsid w:val="005A0557"/>
    <w:rsid w:val="005A067F"/>
    <w:rsid w:val="005A0691"/>
    <w:rsid w:val="005A0692"/>
    <w:rsid w:val="005A06F5"/>
    <w:rsid w:val="005A0772"/>
    <w:rsid w:val="005A08A7"/>
    <w:rsid w:val="005A0B62"/>
    <w:rsid w:val="005A0B93"/>
    <w:rsid w:val="005A0C6B"/>
    <w:rsid w:val="005A0CAF"/>
    <w:rsid w:val="005A0DA5"/>
    <w:rsid w:val="005A0E55"/>
    <w:rsid w:val="005A0F09"/>
    <w:rsid w:val="005A101B"/>
    <w:rsid w:val="005A1058"/>
    <w:rsid w:val="005A1070"/>
    <w:rsid w:val="005A119E"/>
    <w:rsid w:val="005A1251"/>
    <w:rsid w:val="005A1353"/>
    <w:rsid w:val="005A13E5"/>
    <w:rsid w:val="005A1409"/>
    <w:rsid w:val="005A1471"/>
    <w:rsid w:val="005A15FF"/>
    <w:rsid w:val="005A1691"/>
    <w:rsid w:val="005A1794"/>
    <w:rsid w:val="005A179E"/>
    <w:rsid w:val="005A17EB"/>
    <w:rsid w:val="005A181A"/>
    <w:rsid w:val="005A199F"/>
    <w:rsid w:val="005A19B8"/>
    <w:rsid w:val="005A1A02"/>
    <w:rsid w:val="005A1A76"/>
    <w:rsid w:val="005A1AD4"/>
    <w:rsid w:val="005A1D09"/>
    <w:rsid w:val="005A1EF4"/>
    <w:rsid w:val="005A1F6C"/>
    <w:rsid w:val="005A1F82"/>
    <w:rsid w:val="005A2007"/>
    <w:rsid w:val="005A22A0"/>
    <w:rsid w:val="005A23A2"/>
    <w:rsid w:val="005A23FE"/>
    <w:rsid w:val="005A241A"/>
    <w:rsid w:val="005A251A"/>
    <w:rsid w:val="005A2627"/>
    <w:rsid w:val="005A26D5"/>
    <w:rsid w:val="005A271A"/>
    <w:rsid w:val="005A27DE"/>
    <w:rsid w:val="005A280C"/>
    <w:rsid w:val="005A288C"/>
    <w:rsid w:val="005A29A0"/>
    <w:rsid w:val="005A29C8"/>
    <w:rsid w:val="005A2AE0"/>
    <w:rsid w:val="005A2AFF"/>
    <w:rsid w:val="005A2C24"/>
    <w:rsid w:val="005A2D00"/>
    <w:rsid w:val="005A2D03"/>
    <w:rsid w:val="005A2D41"/>
    <w:rsid w:val="005A2E60"/>
    <w:rsid w:val="005A2E7A"/>
    <w:rsid w:val="005A2F38"/>
    <w:rsid w:val="005A3060"/>
    <w:rsid w:val="005A3076"/>
    <w:rsid w:val="005A3134"/>
    <w:rsid w:val="005A31B0"/>
    <w:rsid w:val="005A3280"/>
    <w:rsid w:val="005A3376"/>
    <w:rsid w:val="005A34C3"/>
    <w:rsid w:val="005A3520"/>
    <w:rsid w:val="005A3532"/>
    <w:rsid w:val="005A364A"/>
    <w:rsid w:val="005A369B"/>
    <w:rsid w:val="005A37CA"/>
    <w:rsid w:val="005A37F6"/>
    <w:rsid w:val="005A3907"/>
    <w:rsid w:val="005A3909"/>
    <w:rsid w:val="005A393C"/>
    <w:rsid w:val="005A3AFA"/>
    <w:rsid w:val="005A3B9C"/>
    <w:rsid w:val="005A3BD5"/>
    <w:rsid w:val="005A3C16"/>
    <w:rsid w:val="005A3C3A"/>
    <w:rsid w:val="005A3C89"/>
    <w:rsid w:val="005A3CFC"/>
    <w:rsid w:val="005A3D95"/>
    <w:rsid w:val="005A3FB8"/>
    <w:rsid w:val="005A3FEA"/>
    <w:rsid w:val="005A40E4"/>
    <w:rsid w:val="005A41B9"/>
    <w:rsid w:val="005A41F0"/>
    <w:rsid w:val="005A42A6"/>
    <w:rsid w:val="005A4353"/>
    <w:rsid w:val="005A4395"/>
    <w:rsid w:val="005A44E9"/>
    <w:rsid w:val="005A458A"/>
    <w:rsid w:val="005A46B6"/>
    <w:rsid w:val="005A474B"/>
    <w:rsid w:val="005A4782"/>
    <w:rsid w:val="005A484B"/>
    <w:rsid w:val="005A4934"/>
    <w:rsid w:val="005A4A6F"/>
    <w:rsid w:val="005A4B41"/>
    <w:rsid w:val="005A4CC0"/>
    <w:rsid w:val="005A4D09"/>
    <w:rsid w:val="005A4D2B"/>
    <w:rsid w:val="005A4E57"/>
    <w:rsid w:val="005A4E81"/>
    <w:rsid w:val="005A4EC4"/>
    <w:rsid w:val="005A4EFC"/>
    <w:rsid w:val="005A4F4F"/>
    <w:rsid w:val="005A4F70"/>
    <w:rsid w:val="005A5024"/>
    <w:rsid w:val="005A5080"/>
    <w:rsid w:val="005A50F5"/>
    <w:rsid w:val="005A5100"/>
    <w:rsid w:val="005A519B"/>
    <w:rsid w:val="005A5214"/>
    <w:rsid w:val="005A5415"/>
    <w:rsid w:val="005A541E"/>
    <w:rsid w:val="005A5466"/>
    <w:rsid w:val="005A54CA"/>
    <w:rsid w:val="005A55A2"/>
    <w:rsid w:val="005A56AD"/>
    <w:rsid w:val="005A5725"/>
    <w:rsid w:val="005A5798"/>
    <w:rsid w:val="005A57AE"/>
    <w:rsid w:val="005A57F8"/>
    <w:rsid w:val="005A5892"/>
    <w:rsid w:val="005A58B9"/>
    <w:rsid w:val="005A5917"/>
    <w:rsid w:val="005A5950"/>
    <w:rsid w:val="005A5970"/>
    <w:rsid w:val="005A5990"/>
    <w:rsid w:val="005A59AE"/>
    <w:rsid w:val="005A59CC"/>
    <w:rsid w:val="005A5ABD"/>
    <w:rsid w:val="005A5AE1"/>
    <w:rsid w:val="005A5AFC"/>
    <w:rsid w:val="005A5BC8"/>
    <w:rsid w:val="005A5C69"/>
    <w:rsid w:val="005A5CBB"/>
    <w:rsid w:val="005A5CED"/>
    <w:rsid w:val="005A5E43"/>
    <w:rsid w:val="005A5E71"/>
    <w:rsid w:val="005A5F3F"/>
    <w:rsid w:val="005A5F48"/>
    <w:rsid w:val="005A607A"/>
    <w:rsid w:val="005A620D"/>
    <w:rsid w:val="005A6282"/>
    <w:rsid w:val="005A6342"/>
    <w:rsid w:val="005A63D8"/>
    <w:rsid w:val="005A652D"/>
    <w:rsid w:val="005A653B"/>
    <w:rsid w:val="005A657B"/>
    <w:rsid w:val="005A69D9"/>
    <w:rsid w:val="005A6A2C"/>
    <w:rsid w:val="005A6B20"/>
    <w:rsid w:val="005A6B77"/>
    <w:rsid w:val="005A6DAB"/>
    <w:rsid w:val="005A6E14"/>
    <w:rsid w:val="005A6F50"/>
    <w:rsid w:val="005A70BE"/>
    <w:rsid w:val="005A70EF"/>
    <w:rsid w:val="005A717C"/>
    <w:rsid w:val="005A7190"/>
    <w:rsid w:val="005A7260"/>
    <w:rsid w:val="005A7275"/>
    <w:rsid w:val="005A7316"/>
    <w:rsid w:val="005A7447"/>
    <w:rsid w:val="005A74E3"/>
    <w:rsid w:val="005A7516"/>
    <w:rsid w:val="005A766B"/>
    <w:rsid w:val="005A766C"/>
    <w:rsid w:val="005A767A"/>
    <w:rsid w:val="005A76D2"/>
    <w:rsid w:val="005A76FA"/>
    <w:rsid w:val="005A772E"/>
    <w:rsid w:val="005A7746"/>
    <w:rsid w:val="005A782B"/>
    <w:rsid w:val="005A7906"/>
    <w:rsid w:val="005A79AB"/>
    <w:rsid w:val="005A7A11"/>
    <w:rsid w:val="005A7AC2"/>
    <w:rsid w:val="005A7B17"/>
    <w:rsid w:val="005A7E8C"/>
    <w:rsid w:val="005A7E8D"/>
    <w:rsid w:val="005A7EAB"/>
    <w:rsid w:val="005A7F4A"/>
    <w:rsid w:val="005A7FF5"/>
    <w:rsid w:val="005B0081"/>
    <w:rsid w:val="005B010B"/>
    <w:rsid w:val="005B016A"/>
    <w:rsid w:val="005B0249"/>
    <w:rsid w:val="005B0298"/>
    <w:rsid w:val="005B0300"/>
    <w:rsid w:val="005B03C0"/>
    <w:rsid w:val="005B044D"/>
    <w:rsid w:val="005B04B9"/>
    <w:rsid w:val="005B05EF"/>
    <w:rsid w:val="005B0603"/>
    <w:rsid w:val="005B062B"/>
    <w:rsid w:val="005B064A"/>
    <w:rsid w:val="005B067B"/>
    <w:rsid w:val="005B06B4"/>
    <w:rsid w:val="005B06D0"/>
    <w:rsid w:val="005B06DF"/>
    <w:rsid w:val="005B071F"/>
    <w:rsid w:val="005B074B"/>
    <w:rsid w:val="005B0777"/>
    <w:rsid w:val="005B0778"/>
    <w:rsid w:val="005B093B"/>
    <w:rsid w:val="005B09E0"/>
    <w:rsid w:val="005B0A40"/>
    <w:rsid w:val="005B0B07"/>
    <w:rsid w:val="005B0B97"/>
    <w:rsid w:val="005B0BD9"/>
    <w:rsid w:val="005B0C2F"/>
    <w:rsid w:val="005B0C6A"/>
    <w:rsid w:val="005B0CAB"/>
    <w:rsid w:val="005B0D86"/>
    <w:rsid w:val="005B0DD3"/>
    <w:rsid w:val="005B0E38"/>
    <w:rsid w:val="005B0E55"/>
    <w:rsid w:val="005B0E9B"/>
    <w:rsid w:val="005B0FA9"/>
    <w:rsid w:val="005B1064"/>
    <w:rsid w:val="005B106C"/>
    <w:rsid w:val="005B110E"/>
    <w:rsid w:val="005B1133"/>
    <w:rsid w:val="005B11CE"/>
    <w:rsid w:val="005B11D7"/>
    <w:rsid w:val="005B11DF"/>
    <w:rsid w:val="005B132A"/>
    <w:rsid w:val="005B1386"/>
    <w:rsid w:val="005B13D1"/>
    <w:rsid w:val="005B13EE"/>
    <w:rsid w:val="005B141A"/>
    <w:rsid w:val="005B1489"/>
    <w:rsid w:val="005B14D4"/>
    <w:rsid w:val="005B15DC"/>
    <w:rsid w:val="005B1746"/>
    <w:rsid w:val="005B1819"/>
    <w:rsid w:val="005B1873"/>
    <w:rsid w:val="005B18D0"/>
    <w:rsid w:val="005B1956"/>
    <w:rsid w:val="005B1965"/>
    <w:rsid w:val="005B19FC"/>
    <w:rsid w:val="005B1A6C"/>
    <w:rsid w:val="005B1ADA"/>
    <w:rsid w:val="005B1AE1"/>
    <w:rsid w:val="005B1B51"/>
    <w:rsid w:val="005B1BC3"/>
    <w:rsid w:val="005B1C6B"/>
    <w:rsid w:val="005B1F23"/>
    <w:rsid w:val="005B1F8B"/>
    <w:rsid w:val="005B1F9A"/>
    <w:rsid w:val="005B205B"/>
    <w:rsid w:val="005B20CC"/>
    <w:rsid w:val="005B212A"/>
    <w:rsid w:val="005B216D"/>
    <w:rsid w:val="005B223D"/>
    <w:rsid w:val="005B239C"/>
    <w:rsid w:val="005B23C3"/>
    <w:rsid w:val="005B2571"/>
    <w:rsid w:val="005B264E"/>
    <w:rsid w:val="005B26F1"/>
    <w:rsid w:val="005B2887"/>
    <w:rsid w:val="005B28E0"/>
    <w:rsid w:val="005B28F1"/>
    <w:rsid w:val="005B2979"/>
    <w:rsid w:val="005B299A"/>
    <w:rsid w:val="005B29C2"/>
    <w:rsid w:val="005B2BA0"/>
    <w:rsid w:val="005B2C60"/>
    <w:rsid w:val="005B2E1D"/>
    <w:rsid w:val="005B2F78"/>
    <w:rsid w:val="005B3009"/>
    <w:rsid w:val="005B3148"/>
    <w:rsid w:val="005B3181"/>
    <w:rsid w:val="005B3319"/>
    <w:rsid w:val="005B3375"/>
    <w:rsid w:val="005B337F"/>
    <w:rsid w:val="005B33EA"/>
    <w:rsid w:val="005B34CB"/>
    <w:rsid w:val="005B34EA"/>
    <w:rsid w:val="005B37F4"/>
    <w:rsid w:val="005B38CA"/>
    <w:rsid w:val="005B39EA"/>
    <w:rsid w:val="005B3A28"/>
    <w:rsid w:val="005B3A3D"/>
    <w:rsid w:val="005B3B53"/>
    <w:rsid w:val="005B3B8F"/>
    <w:rsid w:val="005B3BE1"/>
    <w:rsid w:val="005B3C19"/>
    <w:rsid w:val="005B3D4F"/>
    <w:rsid w:val="005B3DDA"/>
    <w:rsid w:val="005B3FE2"/>
    <w:rsid w:val="005B3FE8"/>
    <w:rsid w:val="005B4021"/>
    <w:rsid w:val="005B4053"/>
    <w:rsid w:val="005B4070"/>
    <w:rsid w:val="005B4167"/>
    <w:rsid w:val="005B416C"/>
    <w:rsid w:val="005B4174"/>
    <w:rsid w:val="005B41EA"/>
    <w:rsid w:val="005B4223"/>
    <w:rsid w:val="005B42B9"/>
    <w:rsid w:val="005B4331"/>
    <w:rsid w:val="005B433E"/>
    <w:rsid w:val="005B464C"/>
    <w:rsid w:val="005B468F"/>
    <w:rsid w:val="005B46E9"/>
    <w:rsid w:val="005B4719"/>
    <w:rsid w:val="005B475D"/>
    <w:rsid w:val="005B477A"/>
    <w:rsid w:val="005B4811"/>
    <w:rsid w:val="005B4862"/>
    <w:rsid w:val="005B4896"/>
    <w:rsid w:val="005B48B6"/>
    <w:rsid w:val="005B4925"/>
    <w:rsid w:val="005B4964"/>
    <w:rsid w:val="005B4A33"/>
    <w:rsid w:val="005B4A5F"/>
    <w:rsid w:val="005B4B0B"/>
    <w:rsid w:val="005B4BB1"/>
    <w:rsid w:val="005B4C09"/>
    <w:rsid w:val="005B4D7F"/>
    <w:rsid w:val="005B4DA3"/>
    <w:rsid w:val="005B4DA7"/>
    <w:rsid w:val="005B4DC3"/>
    <w:rsid w:val="005B4E57"/>
    <w:rsid w:val="005B4FD4"/>
    <w:rsid w:val="005B508F"/>
    <w:rsid w:val="005B50E0"/>
    <w:rsid w:val="005B512A"/>
    <w:rsid w:val="005B5176"/>
    <w:rsid w:val="005B51FD"/>
    <w:rsid w:val="005B5254"/>
    <w:rsid w:val="005B5351"/>
    <w:rsid w:val="005B536F"/>
    <w:rsid w:val="005B5391"/>
    <w:rsid w:val="005B53F1"/>
    <w:rsid w:val="005B5430"/>
    <w:rsid w:val="005B54C8"/>
    <w:rsid w:val="005B5553"/>
    <w:rsid w:val="005B561C"/>
    <w:rsid w:val="005B5761"/>
    <w:rsid w:val="005B577B"/>
    <w:rsid w:val="005B581F"/>
    <w:rsid w:val="005B586E"/>
    <w:rsid w:val="005B58B6"/>
    <w:rsid w:val="005B58F2"/>
    <w:rsid w:val="005B58F6"/>
    <w:rsid w:val="005B5907"/>
    <w:rsid w:val="005B5954"/>
    <w:rsid w:val="005B5960"/>
    <w:rsid w:val="005B5AE7"/>
    <w:rsid w:val="005B5B33"/>
    <w:rsid w:val="005B5BFE"/>
    <w:rsid w:val="005B5D1A"/>
    <w:rsid w:val="005B5DB4"/>
    <w:rsid w:val="005B5ED0"/>
    <w:rsid w:val="005B5F8F"/>
    <w:rsid w:val="005B5FDC"/>
    <w:rsid w:val="005B603B"/>
    <w:rsid w:val="005B6134"/>
    <w:rsid w:val="005B6141"/>
    <w:rsid w:val="005B619F"/>
    <w:rsid w:val="005B6222"/>
    <w:rsid w:val="005B628B"/>
    <w:rsid w:val="005B63CB"/>
    <w:rsid w:val="005B65B4"/>
    <w:rsid w:val="005B66B5"/>
    <w:rsid w:val="005B6826"/>
    <w:rsid w:val="005B699A"/>
    <w:rsid w:val="005B69C1"/>
    <w:rsid w:val="005B6C8D"/>
    <w:rsid w:val="005B6CFA"/>
    <w:rsid w:val="005B6CFC"/>
    <w:rsid w:val="005B6D18"/>
    <w:rsid w:val="005B6D1D"/>
    <w:rsid w:val="005B6D37"/>
    <w:rsid w:val="005B6DA3"/>
    <w:rsid w:val="005B6E68"/>
    <w:rsid w:val="005B6E85"/>
    <w:rsid w:val="005B6F12"/>
    <w:rsid w:val="005B6F1D"/>
    <w:rsid w:val="005B6F43"/>
    <w:rsid w:val="005B6F47"/>
    <w:rsid w:val="005B6F76"/>
    <w:rsid w:val="005B6FE4"/>
    <w:rsid w:val="005B7062"/>
    <w:rsid w:val="005B7167"/>
    <w:rsid w:val="005B7187"/>
    <w:rsid w:val="005B71E1"/>
    <w:rsid w:val="005B7332"/>
    <w:rsid w:val="005B76D6"/>
    <w:rsid w:val="005B7778"/>
    <w:rsid w:val="005B777B"/>
    <w:rsid w:val="005B78A1"/>
    <w:rsid w:val="005B7A08"/>
    <w:rsid w:val="005B7A53"/>
    <w:rsid w:val="005B7A6E"/>
    <w:rsid w:val="005B7C2A"/>
    <w:rsid w:val="005B7D04"/>
    <w:rsid w:val="005B7D2D"/>
    <w:rsid w:val="005B7D6D"/>
    <w:rsid w:val="005B7E1E"/>
    <w:rsid w:val="005B7E29"/>
    <w:rsid w:val="005B7FAB"/>
    <w:rsid w:val="005B7FB1"/>
    <w:rsid w:val="005B7FD0"/>
    <w:rsid w:val="005B7FF0"/>
    <w:rsid w:val="005C001D"/>
    <w:rsid w:val="005C00F0"/>
    <w:rsid w:val="005C0118"/>
    <w:rsid w:val="005C013D"/>
    <w:rsid w:val="005C01A0"/>
    <w:rsid w:val="005C01B8"/>
    <w:rsid w:val="005C0271"/>
    <w:rsid w:val="005C02A2"/>
    <w:rsid w:val="005C02D0"/>
    <w:rsid w:val="005C02DB"/>
    <w:rsid w:val="005C0318"/>
    <w:rsid w:val="005C0412"/>
    <w:rsid w:val="005C0449"/>
    <w:rsid w:val="005C04DB"/>
    <w:rsid w:val="005C04FC"/>
    <w:rsid w:val="005C0690"/>
    <w:rsid w:val="005C06F9"/>
    <w:rsid w:val="005C07AD"/>
    <w:rsid w:val="005C0949"/>
    <w:rsid w:val="005C0AAD"/>
    <w:rsid w:val="005C0AB2"/>
    <w:rsid w:val="005C0BEC"/>
    <w:rsid w:val="005C0CBD"/>
    <w:rsid w:val="005C0D04"/>
    <w:rsid w:val="005C0ED6"/>
    <w:rsid w:val="005C1007"/>
    <w:rsid w:val="005C1062"/>
    <w:rsid w:val="005C1090"/>
    <w:rsid w:val="005C127A"/>
    <w:rsid w:val="005C131E"/>
    <w:rsid w:val="005C1333"/>
    <w:rsid w:val="005C1339"/>
    <w:rsid w:val="005C14AD"/>
    <w:rsid w:val="005C1598"/>
    <w:rsid w:val="005C16B4"/>
    <w:rsid w:val="005C16E7"/>
    <w:rsid w:val="005C17D3"/>
    <w:rsid w:val="005C186B"/>
    <w:rsid w:val="005C1962"/>
    <w:rsid w:val="005C1A45"/>
    <w:rsid w:val="005C1A58"/>
    <w:rsid w:val="005C1A84"/>
    <w:rsid w:val="005C1B17"/>
    <w:rsid w:val="005C1BF2"/>
    <w:rsid w:val="005C1E4B"/>
    <w:rsid w:val="005C1E4C"/>
    <w:rsid w:val="005C1F25"/>
    <w:rsid w:val="005C1F6A"/>
    <w:rsid w:val="005C1FD6"/>
    <w:rsid w:val="005C20FA"/>
    <w:rsid w:val="005C210C"/>
    <w:rsid w:val="005C218E"/>
    <w:rsid w:val="005C21BA"/>
    <w:rsid w:val="005C222D"/>
    <w:rsid w:val="005C2281"/>
    <w:rsid w:val="005C2296"/>
    <w:rsid w:val="005C22A7"/>
    <w:rsid w:val="005C2339"/>
    <w:rsid w:val="005C23C4"/>
    <w:rsid w:val="005C2460"/>
    <w:rsid w:val="005C24C1"/>
    <w:rsid w:val="005C24EF"/>
    <w:rsid w:val="005C250C"/>
    <w:rsid w:val="005C256D"/>
    <w:rsid w:val="005C26A2"/>
    <w:rsid w:val="005C26B0"/>
    <w:rsid w:val="005C26E8"/>
    <w:rsid w:val="005C27F5"/>
    <w:rsid w:val="005C28FC"/>
    <w:rsid w:val="005C29DA"/>
    <w:rsid w:val="005C2A28"/>
    <w:rsid w:val="005C2A8C"/>
    <w:rsid w:val="005C2AD3"/>
    <w:rsid w:val="005C2B90"/>
    <w:rsid w:val="005C2CAE"/>
    <w:rsid w:val="005C2DB3"/>
    <w:rsid w:val="005C2E23"/>
    <w:rsid w:val="005C2EBC"/>
    <w:rsid w:val="005C30C8"/>
    <w:rsid w:val="005C3184"/>
    <w:rsid w:val="005C328A"/>
    <w:rsid w:val="005C3378"/>
    <w:rsid w:val="005C3384"/>
    <w:rsid w:val="005C343C"/>
    <w:rsid w:val="005C3444"/>
    <w:rsid w:val="005C3509"/>
    <w:rsid w:val="005C352B"/>
    <w:rsid w:val="005C3586"/>
    <w:rsid w:val="005C35B6"/>
    <w:rsid w:val="005C35CE"/>
    <w:rsid w:val="005C3613"/>
    <w:rsid w:val="005C3620"/>
    <w:rsid w:val="005C3687"/>
    <w:rsid w:val="005C37A7"/>
    <w:rsid w:val="005C3A82"/>
    <w:rsid w:val="005C3AA5"/>
    <w:rsid w:val="005C3B8F"/>
    <w:rsid w:val="005C3B9B"/>
    <w:rsid w:val="005C3CB3"/>
    <w:rsid w:val="005C3CC0"/>
    <w:rsid w:val="005C3D4E"/>
    <w:rsid w:val="005C4054"/>
    <w:rsid w:val="005C4145"/>
    <w:rsid w:val="005C4264"/>
    <w:rsid w:val="005C4279"/>
    <w:rsid w:val="005C4302"/>
    <w:rsid w:val="005C4331"/>
    <w:rsid w:val="005C4494"/>
    <w:rsid w:val="005C44F2"/>
    <w:rsid w:val="005C4554"/>
    <w:rsid w:val="005C45AD"/>
    <w:rsid w:val="005C471F"/>
    <w:rsid w:val="005C47A7"/>
    <w:rsid w:val="005C484E"/>
    <w:rsid w:val="005C4956"/>
    <w:rsid w:val="005C4AD1"/>
    <w:rsid w:val="005C4BA3"/>
    <w:rsid w:val="005C4C98"/>
    <w:rsid w:val="005C4D4D"/>
    <w:rsid w:val="005C4F37"/>
    <w:rsid w:val="005C4F4D"/>
    <w:rsid w:val="005C4F7A"/>
    <w:rsid w:val="005C506E"/>
    <w:rsid w:val="005C50C4"/>
    <w:rsid w:val="005C5123"/>
    <w:rsid w:val="005C5177"/>
    <w:rsid w:val="005C51CC"/>
    <w:rsid w:val="005C5420"/>
    <w:rsid w:val="005C5431"/>
    <w:rsid w:val="005C5432"/>
    <w:rsid w:val="005C5576"/>
    <w:rsid w:val="005C55AA"/>
    <w:rsid w:val="005C563E"/>
    <w:rsid w:val="005C573C"/>
    <w:rsid w:val="005C579B"/>
    <w:rsid w:val="005C57AC"/>
    <w:rsid w:val="005C5834"/>
    <w:rsid w:val="005C58B1"/>
    <w:rsid w:val="005C58D2"/>
    <w:rsid w:val="005C595A"/>
    <w:rsid w:val="005C596F"/>
    <w:rsid w:val="005C59C4"/>
    <w:rsid w:val="005C5A73"/>
    <w:rsid w:val="005C5AA0"/>
    <w:rsid w:val="005C5AB7"/>
    <w:rsid w:val="005C5B87"/>
    <w:rsid w:val="005C5BA9"/>
    <w:rsid w:val="005C5BB1"/>
    <w:rsid w:val="005C5BFE"/>
    <w:rsid w:val="005C5C02"/>
    <w:rsid w:val="005C5C10"/>
    <w:rsid w:val="005C5C3C"/>
    <w:rsid w:val="005C5D25"/>
    <w:rsid w:val="005C5DB0"/>
    <w:rsid w:val="005C606E"/>
    <w:rsid w:val="005C60CB"/>
    <w:rsid w:val="005C60E6"/>
    <w:rsid w:val="005C61AE"/>
    <w:rsid w:val="005C61BD"/>
    <w:rsid w:val="005C61F8"/>
    <w:rsid w:val="005C62A5"/>
    <w:rsid w:val="005C6301"/>
    <w:rsid w:val="005C6417"/>
    <w:rsid w:val="005C650D"/>
    <w:rsid w:val="005C6551"/>
    <w:rsid w:val="005C6575"/>
    <w:rsid w:val="005C663D"/>
    <w:rsid w:val="005C6707"/>
    <w:rsid w:val="005C6BC0"/>
    <w:rsid w:val="005C6BE1"/>
    <w:rsid w:val="005C6BF9"/>
    <w:rsid w:val="005C6FF6"/>
    <w:rsid w:val="005C716A"/>
    <w:rsid w:val="005C7174"/>
    <w:rsid w:val="005C720F"/>
    <w:rsid w:val="005C73A8"/>
    <w:rsid w:val="005C74A8"/>
    <w:rsid w:val="005C76FD"/>
    <w:rsid w:val="005C7706"/>
    <w:rsid w:val="005C776D"/>
    <w:rsid w:val="005C77FA"/>
    <w:rsid w:val="005C786B"/>
    <w:rsid w:val="005C796B"/>
    <w:rsid w:val="005C7986"/>
    <w:rsid w:val="005C798F"/>
    <w:rsid w:val="005C7B07"/>
    <w:rsid w:val="005C7B34"/>
    <w:rsid w:val="005C7B4C"/>
    <w:rsid w:val="005C7DBD"/>
    <w:rsid w:val="005C7E32"/>
    <w:rsid w:val="005C7E81"/>
    <w:rsid w:val="005C7F18"/>
    <w:rsid w:val="005D009B"/>
    <w:rsid w:val="005D01C3"/>
    <w:rsid w:val="005D0256"/>
    <w:rsid w:val="005D0258"/>
    <w:rsid w:val="005D02DA"/>
    <w:rsid w:val="005D03F8"/>
    <w:rsid w:val="005D0437"/>
    <w:rsid w:val="005D048F"/>
    <w:rsid w:val="005D05E9"/>
    <w:rsid w:val="005D06B2"/>
    <w:rsid w:val="005D0764"/>
    <w:rsid w:val="005D07A1"/>
    <w:rsid w:val="005D07C7"/>
    <w:rsid w:val="005D08D0"/>
    <w:rsid w:val="005D094A"/>
    <w:rsid w:val="005D09A6"/>
    <w:rsid w:val="005D0A07"/>
    <w:rsid w:val="005D0CAF"/>
    <w:rsid w:val="005D0DDF"/>
    <w:rsid w:val="005D0E01"/>
    <w:rsid w:val="005D0E6B"/>
    <w:rsid w:val="005D0F82"/>
    <w:rsid w:val="005D105F"/>
    <w:rsid w:val="005D108C"/>
    <w:rsid w:val="005D10CA"/>
    <w:rsid w:val="005D1188"/>
    <w:rsid w:val="005D12F6"/>
    <w:rsid w:val="005D1493"/>
    <w:rsid w:val="005D150F"/>
    <w:rsid w:val="005D1512"/>
    <w:rsid w:val="005D16B2"/>
    <w:rsid w:val="005D1862"/>
    <w:rsid w:val="005D193B"/>
    <w:rsid w:val="005D19C6"/>
    <w:rsid w:val="005D19DD"/>
    <w:rsid w:val="005D1A6E"/>
    <w:rsid w:val="005D1AAE"/>
    <w:rsid w:val="005D1AEE"/>
    <w:rsid w:val="005D1B9A"/>
    <w:rsid w:val="005D1BB6"/>
    <w:rsid w:val="005D1BD6"/>
    <w:rsid w:val="005D1BD8"/>
    <w:rsid w:val="005D1C80"/>
    <w:rsid w:val="005D1D89"/>
    <w:rsid w:val="005D2013"/>
    <w:rsid w:val="005D219F"/>
    <w:rsid w:val="005D230D"/>
    <w:rsid w:val="005D2353"/>
    <w:rsid w:val="005D2447"/>
    <w:rsid w:val="005D2462"/>
    <w:rsid w:val="005D24CB"/>
    <w:rsid w:val="005D25DB"/>
    <w:rsid w:val="005D26C7"/>
    <w:rsid w:val="005D2773"/>
    <w:rsid w:val="005D27D9"/>
    <w:rsid w:val="005D2802"/>
    <w:rsid w:val="005D2816"/>
    <w:rsid w:val="005D2956"/>
    <w:rsid w:val="005D29CA"/>
    <w:rsid w:val="005D2A2C"/>
    <w:rsid w:val="005D2AC9"/>
    <w:rsid w:val="005D2AE9"/>
    <w:rsid w:val="005D2B0D"/>
    <w:rsid w:val="005D2B84"/>
    <w:rsid w:val="005D2D9F"/>
    <w:rsid w:val="005D2E94"/>
    <w:rsid w:val="005D2EC7"/>
    <w:rsid w:val="005D2EE7"/>
    <w:rsid w:val="005D3072"/>
    <w:rsid w:val="005D3141"/>
    <w:rsid w:val="005D31D4"/>
    <w:rsid w:val="005D32BD"/>
    <w:rsid w:val="005D32C0"/>
    <w:rsid w:val="005D32CC"/>
    <w:rsid w:val="005D3373"/>
    <w:rsid w:val="005D345F"/>
    <w:rsid w:val="005D35EA"/>
    <w:rsid w:val="005D36D1"/>
    <w:rsid w:val="005D3931"/>
    <w:rsid w:val="005D3956"/>
    <w:rsid w:val="005D3A30"/>
    <w:rsid w:val="005D3B6F"/>
    <w:rsid w:val="005D3C38"/>
    <w:rsid w:val="005D3C94"/>
    <w:rsid w:val="005D3E6C"/>
    <w:rsid w:val="005D3F7E"/>
    <w:rsid w:val="005D40C1"/>
    <w:rsid w:val="005D4204"/>
    <w:rsid w:val="005D42A0"/>
    <w:rsid w:val="005D4303"/>
    <w:rsid w:val="005D4321"/>
    <w:rsid w:val="005D436C"/>
    <w:rsid w:val="005D43AB"/>
    <w:rsid w:val="005D43C3"/>
    <w:rsid w:val="005D4511"/>
    <w:rsid w:val="005D47E2"/>
    <w:rsid w:val="005D49FF"/>
    <w:rsid w:val="005D4A45"/>
    <w:rsid w:val="005D4D6E"/>
    <w:rsid w:val="005D4E3E"/>
    <w:rsid w:val="005D516B"/>
    <w:rsid w:val="005D51A5"/>
    <w:rsid w:val="005D537F"/>
    <w:rsid w:val="005D5446"/>
    <w:rsid w:val="005D5482"/>
    <w:rsid w:val="005D5499"/>
    <w:rsid w:val="005D5573"/>
    <w:rsid w:val="005D5629"/>
    <w:rsid w:val="005D562B"/>
    <w:rsid w:val="005D564E"/>
    <w:rsid w:val="005D588C"/>
    <w:rsid w:val="005D58DC"/>
    <w:rsid w:val="005D598D"/>
    <w:rsid w:val="005D59CF"/>
    <w:rsid w:val="005D5A41"/>
    <w:rsid w:val="005D5AE0"/>
    <w:rsid w:val="005D5E03"/>
    <w:rsid w:val="005D5ECD"/>
    <w:rsid w:val="005D608B"/>
    <w:rsid w:val="005D60B7"/>
    <w:rsid w:val="005D61BC"/>
    <w:rsid w:val="005D61E2"/>
    <w:rsid w:val="005D629C"/>
    <w:rsid w:val="005D640A"/>
    <w:rsid w:val="005D6410"/>
    <w:rsid w:val="005D653C"/>
    <w:rsid w:val="005D6549"/>
    <w:rsid w:val="005D65D1"/>
    <w:rsid w:val="005D65F3"/>
    <w:rsid w:val="005D66EC"/>
    <w:rsid w:val="005D6777"/>
    <w:rsid w:val="005D6825"/>
    <w:rsid w:val="005D6828"/>
    <w:rsid w:val="005D685E"/>
    <w:rsid w:val="005D6A3D"/>
    <w:rsid w:val="005D6C12"/>
    <w:rsid w:val="005D6C83"/>
    <w:rsid w:val="005D6E06"/>
    <w:rsid w:val="005D6E13"/>
    <w:rsid w:val="005D708D"/>
    <w:rsid w:val="005D708F"/>
    <w:rsid w:val="005D7154"/>
    <w:rsid w:val="005D7197"/>
    <w:rsid w:val="005D727D"/>
    <w:rsid w:val="005D72EE"/>
    <w:rsid w:val="005D7307"/>
    <w:rsid w:val="005D744D"/>
    <w:rsid w:val="005D75C8"/>
    <w:rsid w:val="005D7678"/>
    <w:rsid w:val="005D767C"/>
    <w:rsid w:val="005D76AE"/>
    <w:rsid w:val="005D7797"/>
    <w:rsid w:val="005D77B2"/>
    <w:rsid w:val="005D77ED"/>
    <w:rsid w:val="005D7815"/>
    <w:rsid w:val="005D788D"/>
    <w:rsid w:val="005D78D2"/>
    <w:rsid w:val="005D78E5"/>
    <w:rsid w:val="005D78E8"/>
    <w:rsid w:val="005D797A"/>
    <w:rsid w:val="005D7AAB"/>
    <w:rsid w:val="005D7B22"/>
    <w:rsid w:val="005D7B4D"/>
    <w:rsid w:val="005D7C80"/>
    <w:rsid w:val="005D7C8A"/>
    <w:rsid w:val="005D7C8B"/>
    <w:rsid w:val="005D7CAD"/>
    <w:rsid w:val="005D7CE9"/>
    <w:rsid w:val="005D7DE5"/>
    <w:rsid w:val="005D7ED9"/>
    <w:rsid w:val="005D7F33"/>
    <w:rsid w:val="005D7F80"/>
    <w:rsid w:val="005D7FB5"/>
    <w:rsid w:val="005E000D"/>
    <w:rsid w:val="005E00CF"/>
    <w:rsid w:val="005E0149"/>
    <w:rsid w:val="005E0192"/>
    <w:rsid w:val="005E01BB"/>
    <w:rsid w:val="005E0356"/>
    <w:rsid w:val="005E03A7"/>
    <w:rsid w:val="005E0508"/>
    <w:rsid w:val="005E05FB"/>
    <w:rsid w:val="005E0815"/>
    <w:rsid w:val="005E0942"/>
    <w:rsid w:val="005E0952"/>
    <w:rsid w:val="005E0988"/>
    <w:rsid w:val="005E0996"/>
    <w:rsid w:val="005E09AB"/>
    <w:rsid w:val="005E0A02"/>
    <w:rsid w:val="005E0A20"/>
    <w:rsid w:val="005E0B40"/>
    <w:rsid w:val="005E0BD9"/>
    <w:rsid w:val="005E0C55"/>
    <w:rsid w:val="005E0C71"/>
    <w:rsid w:val="005E0CA1"/>
    <w:rsid w:val="005E0D36"/>
    <w:rsid w:val="005E0D38"/>
    <w:rsid w:val="005E0DB4"/>
    <w:rsid w:val="005E0E3F"/>
    <w:rsid w:val="005E0F28"/>
    <w:rsid w:val="005E0FA3"/>
    <w:rsid w:val="005E1003"/>
    <w:rsid w:val="005E1096"/>
    <w:rsid w:val="005E10E7"/>
    <w:rsid w:val="005E110A"/>
    <w:rsid w:val="005E117B"/>
    <w:rsid w:val="005E1208"/>
    <w:rsid w:val="005E127A"/>
    <w:rsid w:val="005E1337"/>
    <w:rsid w:val="005E1347"/>
    <w:rsid w:val="005E1446"/>
    <w:rsid w:val="005E14D1"/>
    <w:rsid w:val="005E15DB"/>
    <w:rsid w:val="005E16E1"/>
    <w:rsid w:val="005E1772"/>
    <w:rsid w:val="005E1773"/>
    <w:rsid w:val="005E17D0"/>
    <w:rsid w:val="005E1809"/>
    <w:rsid w:val="005E1836"/>
    <w:rsid w:val="005E18AB"/>
    <w:rsid w:val="005E1A45"/>
    <w:rsid w:val="005E1AFB"/>
    <w:rsid w:val="005E1C2A"/>
    <w:rsid w:val="005E1C6F"/>
    <w:rsid w:val="005E1CE3"/>
    <w:rsid w:val="005E1CF3"/>
    <w:rsid w:val="005E1D6A"/>
    <w:rsid w:val="005E1E5C"/>
    <w:rsid w:val="005E1F26"/>
    <w:rsid w:val="005E1F39"/>
    <w:rsid w:val="005E1F44"/>
    <w:rsid w:val="005E20C8"/>
    <w:rsid w:val="005E2161"/>
    <w:rsid w:val="005E2195"/>
    <w:rsid w:val="005E2310"/>
    <w:rsid w:val="005E2322"/>
    <w:rsid w:val="005E23B9"/>
    <w:rsid w:val="005E2453"/>
    <w:rsid w:val="005E2464"/>
    <w:rsid w:val="005E24D5"/>
    <w:rsid w:val="005E2517"/>
    <w:rsid w:val="005E257A"/>
    <w:rsid w:val="005E26EF"/>
    <w:rsid w:val="005E270B"/>
    <w:rsid w:val="005E2A1E"/>
    <w:rsid w:val="005E2AAF"/>
    <w:rsid w:val="005E2AE7"/>
    <w:rsid w:val="005E2B29"/>
    <w:rsid w:val="005E2B76"/>
    <w:rsid w:val="005E2B7E"/>
    <w:rsid w:val="005E2D25"/>
    <w:rsid w:val="005E2E06"/>
    <w:rsid w:val="005E2EF4"/>
    <w:rsid w:val="005E2F2E"/>
    <w:rsid w:val="005E3089"/>
    <w:rsid w:val="005E3105"/>
    <w:rsid w:val="005E3115"/>
    <w:rsid w:val="005E3153"/>
    <w:rsid w:val="005E318A"/>
    <w:rsid w:val="005E31AB"/>
    <w:rsid w:val="005E3283"/>
    <w:rsid w:val="005E335A"/>
    <w:rsid w:val="005E34B0"/>
    <w:rsid w:val="005E3552"/>
    <w:rsid w:val="005E37AE"/>
    <w:rsid w:val="005E37CD"/>
    <w:rsid w:val="005E37E3"/>
    <w:rsid w:val="005E3820"/>
    <w:rsid w:val="005E3B09"/>
    <w:rsid w:val="005E3B42"/>
    <w:rsid w:val="005E3B7D"/>
    <w:rsid w:val="005E3C01"/>
    <w:rsid w:val="005E3D20"/>
    <w:rsid w:val="005E3E14"/>
    <w:rsid w:val="005E3F5A"/>
    <w:rsid w:val="005E3F6E"/>
    <w:rsid w:val="005E4076"/>
    <w:rsid w:val="005E40F0"/>
    <w:rsid w:val="005E4109"/>
    <w:rsid w:val="005E4118"/>
    <w:rsid w:val="005E41AB"/>
    <w:rsid w:val="005E429B"/>
    <w:rsid w:val="005E4304"/>
    <w:rsid w:val="005E4399"/>
    <w:rsid w:val="005E43EB"/>
    <w:rsid w:val="005E4436"/>
    <w:rsid w:val="005E4441"/>
    <w:rsid w:val="005E4592"/>
    <w:rsid w:val="005E459A"/>
    <w:rsid w:val="005E45D0"/>
    <w:rsid w:val="005E45DA"/>
    <w:rsid w:val="005E4608"/>
    <w:rsid w:val="005E4612"/>
    <w:rsid w:val="005E467F"/>
    <w:rsid w:val="005E4783"/>
    <w:rsid w:val="005E4889"/>
    <w:rsid w:val="005E48B3"/>
    <w:rsid w:val="005E4934"/>
    <w:rsid w:val="005E49AB"/>
    <w:rsid w:val="005E4A1A"/>
    <w:rsid w:val="005E4A87"/>
    <w:rsid w:val="005E4B27"/>
    <w:rsid w:val="005E4C3B"/>
    <w:rsid w:val="005E4CB9"/>
    <w:rsid w:val="005E4E93"/>
    <w:rsid w:val="005E4EC8"/>
    <w:rsid w:val="005E50E1"/>
    <w:rsid w:val="005E50FB"/>
    <w:rsid w:val="005E5187"/>
    <w:rsid w:val="005E538F"/>
    <w:rsid w:val="005E53C7"/>
    <w:rsid w:val="005E53E8"/>
    <w:rsid w:val="005E5447"/>
    <w:rsid w:val="005E5455"/>
    <w:rsid w:val="005E55BA"/>
    <w:rsid w:val="005E55C5"/>
    <w:rsid w:val="005E55D6"/>
    <w:rsid w:val="005E564F"/>
    <w:rsid w:val="005E56AB"/>
    <w:rsid w:val="005E5753"/>
    <w:rsid w:val="005E57C6"/>
    <w:rsid w:val="005E593F"/>
    <w:rsid w:val="005E59B1"/>
    <w:rsid w:val="005E59F4"/>
    <w:rsid w:val="005E5A54"/>
    <w:rsid w:val="005E5A81"/>
    <w:rsid w:val="005E5ABF"/>
    <w:rsid w:val="005E5DDC"/>
    <w:rsid w:val="005E6022"/>
    <w:rsid w:val="005E62BC"/>
    <w:rsid w:val="005E638C"/>
    <w:rsid w:val="005E643F"/>
    <w:rsid w:val="005E64E8"/>
    <w:rsid w:val="005E65E4"/>
    <w:rsid w:val="005E6707"/>
    <w:rsid w:val="005E6794"/>
    <w:rsid w:val="005E6B1A"/>
    <w:rsid w:val="005E6B4A"/>
    <w:rsid w:val="005E6BD3"/>
    <w:rsid w:val="005E6CA3"/>
    <w:rsid w:val="005E6E2E"/>
    <w:rsid w:val="005E6E2F"/>
    <w:rsid w:val="005E6E8F"/>
    <w:rsid w:val="005E6EA1"/>
    <w:rsid w:val="005E6EF7"/>
    <w:rsid w:val="005E6F7C"/>
    <w:rsid w:val="005E7027"/>
    <w:rsid w:val="005E711D"/>
    <w:rsid w:val="005E7232"/>
    <w:rsid w:val="005E7371"/>
    <w:rsid w:val="005E7372"/>
    <w:rsid w:val="005E750E"/>
    <w:rsid w:val="005E772F"/>
    <w:rsid w:val="005E7757"/>
    <w:rsid w:val="005E7820"/>
    <w:rsid w:val="005E787C"/>
    <w:rsid w:val="005E7DD0"/>
    <w:rsid w:val="005E7E7D"/>
    <w:rsid w:val="005F0097"/>
    <w:rsid w:val="005F00A2"/>
    <w:rsid w:val="005F00BB"/>
    <w:rsid w:val="005F0158"/>
    <w:rsid w:val="005F0241"/>
    <w:rsid w:val="005F0425"/>
    <w:rsid w:val="005F0462"/>
    <w:rsid w:val="005F04E7"/>
    <w:rsid w:val="005F053A"/>
    <w:rsid w:val="005F0562"/>
    <w:rsid w:val="005F05AF"/>
    <w:rsid w:val="005F05D3"/>
    <w:rsid w:val="005F0656"/>
    <w:rsid w:val="005F0729"/>
    <w:rsid w:val="005F0767"/>
    <w:rsid w:val="005F07B0"/>
    <w:rsid w:val="005F091B"/>
    <w:rsid w:val="005F0AAE"/>
    <w:rsid w:val="005F0AC0"/>
    <w:rsid w:val="005F0B43"/>
    <w:rsid w:val="005F0BC5"/>
    <w:rsid w:val="005F0C51"/>
    <w:rsid w:val="005F0C9A"/>
    <w:rsid w:val="005F0D26"/>
    <w:rsid w:val="005F0DC4"/>
    <w:rsid w:val="005F0DE3"/>
    <w:rsid w:val="005F0F43"/>
    <w:rsid w:val="005F0FE5"/>
    <w:rsid w:val="005F0FF7"/>
    <w:rsid w:val="005F1055"/>
    <w:rsid w:val="005F1124"/>
    <w:rsid w:val="005F11CB"/>
    <w:rsid w:val="005F126E"/>
    <w:rsid w:val="005F1472"/>
    <w:rsid w:val="005F1481"/>
    <w:rsid w:val="005F14AA"/>
    <w:rsid w:val="005F1843"/>
    <w:rsid w:val="005F185A"/>
    <w:rsid w:val="005F1890"/>
    <w:rsid w:val="005F1A57"/>
    <w:rsid w:val="005F1AAC"/>
    <w:rsid w:val="005F1AE6"/>
    <w:rsid w:val="005F1B8E"/>
    <w:rsid w:val="005F1BE5"/>
    <w:rsid w:val="005F1C6C"/>
    <w:rsid w:val="005F1C72"/>
    <w:rsid w:val="005F1FA0"/>
    <w:rsid w:val="005F1FAF"/>
    <w:rsid w:val="005F2020"/>
    <w:rsid w:val="005F2090"/>
    <w:rsid w:val="005F2228"/>
    <w:rsid w:val="005F22BB"/>
    <w:rsid w:val="005F23D3"/>
    <w:rsid w:val="005F24AA"/>
    <w:rsid w:val="005F24B1"/>
    <w:rsid w:val="005F2569"/>
    <w:rsid w:val="005F257B"/>
    <w:rsid w:val="005F26CC"/>
    <w:rsid w:val="005F2806"/>
    <w:rsid w:val="005F2837"/>
    <w:rsid w:val="005F28FB"/>
    <w:rsid w:val="005F29FC"/>
    <w:rsid w:val="005F2A3A"/>
    <w:rsid w:val="005F2B00"/>
    <w:rsid w:val="005F2B8D"/>
    <w:rsid w:val="005F2C17"/>
    <w:rsid w:val="005F2C5E"/>
    <w:rsid w:val="005F2CB6"/>
    <w:rsid w:val="005F2E81"/>
    <w:rsid w:val="005F2FCF"/>
    <w:rsid w:val="005F3088"/>
    <w:rsid w:val="005F311E"/>
    <w:rsid w:val="005F3143"/>
    <w:rsid w:val="005F31A3"/>
    <w:rsid w:val="005F32EF"/>
    <w:rsid w:val="005F3323"/>
    <w:rsid w:val="005F335F"/>
    <w:rsid w:val="005F33A7"/>
    <w:rsid w:val="005F33DF"/>
    <w:rsid w:val="005F343B"/>
    <w:rsid w:val="005F356B"/>
    <w:rsid w:val="005F35F0"/>
    <w:rsid w:val="005F361B"/>
    <w:rsid w:val="005F363E"/>
    <w:rsid w:val="005F3649"/>
    <w:rsid w:val="005F3686"/>
    <w:rsid w:val="005F3707"/>
    <w:rsid w:val="005F3720"/>
    <w:rsid w:val="005F3758"/>
    <w:rsid w:val="005F37ED"/>
    <w:rsid w:val="005F37F0"/>
    <w:rsid w:val="005F3915"/>
    <w:rsid w:val="005F3A4D"/>
    <w:rsid w:val="005F3AAD"/>
    <w:rsid w:val="005F3AEF"/>
    <w:rsid w:val="005F3B3B"/>
    <w:rsid w:val="005F3B76"/>
    <w:rsid w:val="005F3BD8"/>
    <w:rsid w:val="005F3C90"/>
    <w:rsid w:val="005F3C96"/>
    <w:rsid w:val="005F3D2F"/>
    <w:rsid w:val="005F3DD6"/>
    <w:rsid w:val="005F3E67"/>
    <w:rsid w:val="005F3F22"/>
    <w:rsid w:val="005F3F8B"/>
    <w:rsid w:val="005F400C"/>
    <w:rsid w:val="005F40C2"/>
    <w:rsid w:val="005F4154"/>
    <w:rsid w:val="005F415C"/>
    <w:rsid w:val="005F424D"/>
    <w:rsid w:val="005F424F"/>
    <w:rsid w:val="005F42FC"/>
    <w:rsid w:val="005F435D"/>
    <w:rsid w:val="005F4364"/>
    <w:rsid w:val="005F4375"/>
    <w:rsid w:val="005F4439"/>
    <w:rsid w:val="005F4471"/>
    <w:rsid w:val="005F44B3"/>
    <w:rsid w:val="005F44E3"/>
    <w:rsid w:val="005F4536"/>
    <w:rsid w:val="005F45FA"/>
    <w:rsid w:val="005F47C7"/>
    <w:rsid w:val="005F483C"/>
    <w:rsid w:val="005F4991"/>
    <w:rsid w:val="005F4ADF"/>
    <w:rsid w:val="005F4B08"/>
    <w:rsid w:val="005F4B3D"/>
    <w:rsid w:val="005F4C09"/>
    <w:rsid w:val="005F4C62"/>
    <w:rsid w:val="005F4D22"/>
    <w:rsid w:val="005F4D85"/>
    <w:rsid w:val="005F4EDD"/>
    <w:rsid w:val="005F4F0F"/>
    <w:rsid w:val="005F50B4"/>
    <w:rsid w:val="005F50D2"/>
    <w:rsid w:val="005F50D3"/>
    <w:rsid w:val="005F512B"/>
    <w:rsid w:val="005F515E"/>
    <w:rsid w:val="005F51A3"/>
    <w:rsid w:val="005F51FE"/>
    <w:rsid w:val="005F5309"/>
    <w:rsid w:val="005F53B4"/>
    <w:rsid w:val="005F53D4"/>
    <w:rsid w:val="005F53E2"/>
    <w:rsid w:val="005F546E"/>
    <w:rsid w:val="005F548D"/>
    <w:rsid w:val="005F5683"/>
    <w:rsid w:val="005F56DC"/>
    <w:rsid w:val="005F57F6"/>
    <w:rsid w:val="005F588C"/>
    <w:rsid w:val="005F588D"/>
    <w:rsid w:val="005F588F"/>
    <w:rsid w:val="005F58BA"/>
    <w:rsid w:val="005F59BA"/>
    <w:rsid w:val="005F5A1E"/>
    <w:rsid w:val="005F5A95"/>
    <w:rsid w:val="005F5B20"/>
    <w:rsid w:val="005F5B7E"/>
    <w:rsid w:val="005F5D05"/>
    <w:rsid w:val="005F5D14"/>
    <w:rsid w:val="005F5E1D"/>
    <w:rsid w:val="005F5FB6"/>
    <w:rsid w:val="005F6014"/>
    <w:rsid w:val="005F60DB"/>
    <w:rsid w:val="005F60E3"/>
    <w:rsid w:val="005F61A1"/>
    <w:rsid w:val="005F61D8"/>
    <w:rsid w:val="005F6219"/>
    <w:rsid w:val="005F6306"/>
    <w:rsid w:val="005F6360"/>
    <w:rsid w:val="005F639E"/>
    <w:rsid w:val="005F6457"/>
    <w:rsid w:val="005F6758"/>
    <w:rsid w:val="005F67FD"/>
    <w:rsid w:val="005F685F"/>
    <w:rsid w:val="005F689A"/>
    <w:rsid w:val="005F68A5"/>
    <w:rsid w:val="005F6A06"/>
    <w:rsid w:val="005F6A4A"/>
    <w:rsid w:val="005F6B13"/>
    <w:rsid w:val="005F6C89"/>
    <w:rsid w:val="005F6CAF"/>
    <w:rsid w:val="005F6D79"/>
    <w:rsid w:val="005F6E13"/>
    <w:rsid w:val="005F6F37"/>
    <w:rsid w:val="005F6FD5"/>
    <w:rsid w:val="005F7129"/>
    <w:rsid w:val="005F716C"/>
    <w:rsid w:val="005F716F"/>
    <w:rsid w:val="005F71F5"/>
    <w:rsid w:val="005F7242"/>
    <w:rsid w:val="005F72CF"/>
    <w:rsid w:val="005F72F1"/>
    <w:rsid w:val="005F7381"/>
    <w:rsid w:val="005F73B6"/>
    <w:rsid w:val="005F7421"/>
    <w:rsid w:val="005F7497"/>
    <w:rsid w:val="005F74C0"/>
    <w:rsid w:val="005F759C"/>
    <w:rsid w:val="005F7701"/>
    <w:rsid w:val="005F78D5"/>
    <w:rsid w:val="005F7955"/>
    <w:rsid w:val="005F79F0"/>
    <w:rsid w:val="005F7A03"/>
    <w:rsid w:val="005F7B1C"/>
    <w:rsid w:val="005F7D5B"/>
    <w:rsid w:val="005F7D6D"/>
    <w:rsid w:val="005F7D82"/>
    <w:rsid w:val="005F7DB2"/>
    <w:rsid w:val="005F7DC3"/>
    <w:rsid w:val="005F7DD8"/>
    <w:rsid w:val="005F7E05"/>
    <w:rsid w:val="005F7E4E"/>
    <w:rsid w:val="005F7F47"/>
    <w:rsid w:val="005F7F72"/>
    <w:rsid w:val="005F7FFA"/>
    <w:rsid w:val="00600027"/>
    <w:rsid w:val="00600177"/>
    <w:rsid w:val="00600218"/>
    <w:rsid w:val="006003EF"/>
    <w:rsid w:val="00600418"/>
    <w:rsid w:val="006004B8"/>
    <w:rsid w:val="006005D6"/>
    <w:rsid w:val="0060064F"/>
    <w:rsid w:val="00600662"/>
    <w:rsid w:val="0060069F"/>
    <w:rsid w:val="006008CF"/>
    <w:rsid w:val="006009CF"/>
    <w:rsid w:val="00600A1C"/>
    <w:rsid w:val="00600AC0"/>
    <w:rsid w:val="00600B00"/>
    <w:rsid w:val="00600B73"/>
    <w:rsid w:val="00600B98"/>
    <w:rsid w:val="00600D02"/>
    <w:rsid w:val="00600E65"/>
    <w:rsid w:val="00600E9A"/>
    <w:rsid w:val="00600EAE"/>
    <w:rsid w:val="00600FBD"/>
    <w:rsid w:val="006010D1"/>
    <w:rsid w:val="00601156"/>
    <w:rsid w:val="00601273"/>
    <w:rsid w:val="00601278"/>
    <w:rsid w:val="0060131A"/>
    <w:rsid w:val="006014CF"/>
    <w:rsid w:val="006015A6"/>
    <w:rsid w:val="006015B8"/>
    <w:rsid w:val="0060170C"/>
    <w:rsid w:val="0060176A"/>
    <w:rsid w:val="006017C9"/>
    <w:rsid w:val="006017DD"/>
    <w:rsid w:val="006017E2"/>
    <w:rsid w:val="0060185A"/>
    <w:rsid w:val="006019E5"/>
    <w:rsid w:val="006019FA"/>
    <w:rsid w:val="00601A95"/>
    <w:rsid w:val="00601BD0"/>
    <w:rsid w:val="00601BDA"/>
    <w:rsid w:val="00601BE8"/>
    <w:rsid w:val="00601D07"/>
    <w:rsid w:val="00601D1E"/>
    <w:rsid w:val="00601D32"/>
    <w:rsid w:val="00601D97"/>
    <w:rsid w:val="00601F02"/>
    <w:rsid w:val="00601F8B"/>
    <w:rsid w:val="00601FE5"/>
    <w:rsid w:val="0060210A"/>
    <w:rsid w:val="00602128"/>
    <w:rsid w:val="006021BD"/>
    <w:rsid w:val="0060232C"/>
    <w:rsid w:val="006024BD"/>
    <w:rsid w:val="006024D7"/>
    <w:rsid w:val="006025B7"/>
    <w:rsid w:val="00602787"/>
    <w:rsid w:val="006027BD"/>
    <w:rsid w:val="00602941"/>
    <w:rsid w:val="006029AD"/>
    <w:rsid w:val="00602A2B"/>
    <w:rsid w:val="00602A62"/>
    <w:rsid w:val="00602A8F"/>
    <w:rsid w:val="00602B3F"/>
    <w:rsid w:val="00602CBF"/>
    <w:rsid w:val="00602D3E"/>
    <w:rsid w:val="00602D43"/>
    <w:rsid w:val="00602DAC"/>
    <w:rsid w:val="00602EBA"/>
    <w:rsid w:val="00602ECB"/>
    <w:rsid w:val="00602F51"/>
    <w:rsid w:val="00602F6B"/>
    <w:rsid w:val="00603047"/>
    <w:rsid w:val="0060324D"/>
    <w:rsid w:val="00603316"/>
    <w:rsid w:val="00603348"/>
    <w:rsid w:val="006035A2"/>
    <w:rsid w:val="00603629"/>
    <w:rsid w:val="0060366E"/>
    <w:rsid w:val="00603768"/>
    <w:rsid w:val="00603833"/>
    <w:rsid w:val="00603963"/>
    <w:rsid w:val="006039E6"/>
    <w:rsid w:val="00603D9A"/>
    <w:rsid w:val="00603EB7"/>
    <w:rsid w:val="00603EC3"/>
    <w:rsid w:val="00603ED8"/>
    <w:rsid w:val="00603F06"/>
    <w:rsid w:val="00603FE9"/>
    <w:rsid w:val="00604074"/>
    <w:rsid w:val="0060407C"/>
    <w:rsid w:val="006040D2"/>
    <w:rsid w:val="00604237"/>
    <w:rsid w:val="00604253"/>
    <w:rsid w:val="00604396"/>
    <w:rsid w:val="0060454A"/>
    <w:rsid w:val="006045A3"/>
    <w:rsid w:val="00604690"/>
    <w:rsid w:val="00604723"/>
    <w:rsid w:val="00604748"/>
    <w:rsid w:val="0060475D"/>
    <w:rsid w:val="00604792"/>
    <w:rsid w:val="006047A4"/>
    <w:rsid w:val="00604812"/>
    <w:rsid w:val="00604820"/>
    <w:rsid w:val="00604859"/>
    <w:rsid w:val="0060493A"/>
    <w:rsid w:val="00604B80"/>
    <w:rsid w:val="00604BFF"/>
    <w:rsid w:val="00604C87"/>
    <w:rsid w:val="00604D79"/>
    <w:rsid w:val="00604D93"/>
    <w:rsid w:val="00604E92"/>
    <w:rsid w:val="00604FA9"/>
    <w:rsid w:val="00604FCE"/>
    <w:rsid w:val="006051CB"/>
    <w:rsid w:val="00605204"/>
    <w:rsid w:val="00605233"/>
    <w:rsid w:val="00605450"/>
    <w:rsid w:val="0060559C"/>
    <w:rsid w:val="006056FF"/>
    <w:rsid w:val="00605A3B"/>
    <w:rsid w:val="00605A56"/>
    <w:rsid w:val="00605AF6"/>
    <w:rsid w:val="00605B0C"/>
    <w:rsid w:val="00605B35"/>
    <w:rsid w:val="00605C2C"/>
    <w:rsid w:val="00605C73"/>
    <w:rsid w:val="00605D2E"/>
    <w:rsid w:val="00605E7B"/>
    <w:rsid w:val="00605ECB"/>
    <w:rsid w:val="00606018"/>
    <w:rsid w:val="0060609C"/>
    <w:rsid w:val="006060E2"/>
    <w:rsid w:val="006060E4"/>
    <w:rsid w:val="006060E6"/>
    <w:rsid w:val="00606149"/>
    <w:rsid w:val="0060619B"/>
    <w:rsid w:val="00606251"/>
    <w:rsid w:val="00606260"/>
    <w:rsid w:val="00606274"/>
    <w:rsid w:val="0060627C"/>
    <w:rsid w:val="00606284"/>
    <w:rsid w:val="006062DB"/>
    <w:rsid w:val="006062E9"/>
    <w:rsid w:val="00606391"/>
    <w:rsid w:val="006063E6"/>
    <w:rsid w:val="006063EE"/>
    <w:rsid w:val="0060649A"/>
    <w:rsid w:val="0060665E"/>
    <w:rsid w:val="0060670D"/>
    <w:rsid w:val="006067C0"/>
    <w:rsid w:val="0060682C"/>
    <w:rsid w:val="0060687C"/>
    <w:rsid w:val="00606A70"/>
    <w:rsid w:val="00606AC3"/>
    <w:rsid w:val="00606D88"/>
    <w:rsid w:val="00606E31"/>
    <w:rsid w:val="00606EBA"/>
    <w:rsid w:val="00606FB6"/>
    <w:rsid w:val="00606FB9"/>
    <w:rsid w:val="0060704B"/>
    <w:rsid w:val="006070CE"/>
    <w:rsid w:val="006070FC"/>
    <w:rsid w:val="00607121"/>
    <w:rsid w:val="00607141"/>
    <w:rsid w:val="00607146"/>
    <w:rsid w:val="00607148"/>
    <w:rsid w:val="00607284"/>
    <w:rsid w:val="006072E3"/>
    <w:rsid w:val="00607304"/>
    <w:rsid w:val="006073B0"/>
    <w:rsid w:val="00607464"/>
    <w:rsid w:val="00607546"/>
    <w:rsid w:val="006075D3"/>
    <w:rsid w:val="0060761B"/>
    <w:rsid w:val="006077CB"/>
    <w:rsid w:val="0060796F"/>
    <w:rsid w:val="00607A08"/>
    <w:rsid w:val="00607A5C"/>
    <w:rsid w:val="00607B33"/>
    <w:rsid w:val="00607C4D"/>
    <w:rsid w:val="00607CB8"/>
    <w:rsid w:val="00607CEC"/>
    <w:rsid w:val="00607D82"/>
    <w:rsid w:val="00607DB4"/>
    <w:rsid w:val="00607EC4"/>
    <w:rsid w:val="00607EE4"/>
    <w:rsid w:val="00607FF4"/>
    <w:rsid w:val="0061000A"/>
    <w:rsid w:val="00610038"/>
    <w:rsid w:val="006100BE"/>
    <w:rsid w:val="006101DB"/>
    <w:rsid w:val="00610250"/>
    <w:rsid w:val="006102FB"/>
    <w:rsid w:val="0061034D"/>
    <w:rsid w:val="00610427"/>
    <w:rsid w:val="0061046B"/>
    <w:rsid w:val="0061056B"/>
    <w:rsid w:val="006105C0"/>
    <w:rsid w:val="006105E6"/>
    <w:rsid w:val="00610607"/>
    <w:rsid w:val="0061064C"/>
    <w:rsid w:val="00610657"/>
    <w:rsid w:val="00610694"/>
    <w:rsid w:val="006106CF"/>
    <w:rsid w:val="006107A0"/>
    <w:rsid w:val="006107C3"/>
    <w:rsid w:val="006107FA"/>
    <w:rsid w:val="006108D1"/>
    <w:rsid w:val="006108DC"/>
    <w:rsid w:val="00610B2C"/>
    <w:rsid w:val="00610CC5"/>
    <w:rsid w:val="00610D24"/>
    <w:rsid w:val="00610DC1"/>
    <w:rsid w:val="00610DCB"/>
    <w:rsid w:val="00610EFD"/>
    <w:rsid w:val="00610F73"/>
    <w:rsid w:val="00610F95"/>
    <w:rsid w:val="006111EB"/>
    <w:rsid w:val="00611375"/>
    <w:rsid w:val="006113B2"/>
    <w:rsid w:val="00611459"/>
    <w:rsid w:val="00611580"/>
    <w:rsid w:val="006115AA"/>
    <w:rsid w:val="00611627"/>
    <w:rsid w:val="006116C4"/>
    <w:rsid w:val="0061174B"/>
    <w:rsid w:val="00611789"/>
    <w:rsid w:val="006117E1"/>
    <w:rsid w:val="00611C0A"/>
    <w:rsid w:val="00611CF4"/>
    <w:rsid w:val="00611DC6"/>
    <w:rsid w:val="00611E19"/>
    <w:rsid w:val="00611E2D"/>
    <w:rsid w:val="00611F60"/>
    <w:rsid w:val="0061209C"/>
    <w:rsid w:val="00612257"/>
    <w:rsid w:val="0061231B"/>
    <w:rsid w:val="0061245F"/>
    <w:rsid w:val="006124D2"/>
    <w:rsid w:val="0061257F"/>
    <w:rsid w:val="006126B1"/>
    <w:rsid w:val="00612700"/>
    <w:rsid w:val="00612B3A"/>
    <w:rsid w:val="00612B62"/>
    <w:rsid w:val="00612B82"/>
    <w:rsid w:val="00612DB3"/>
    <w:rsid w:val="00612E0D"/>
    <w:rsid w:val="00612F76"/>
    <w:rsid w:val="0061300D"/>
    <w:rsid w:val="0061305E"/>
    <w:rsid w:val="00613086"/>
    <w:rsid w:val="006130DB"/>
    <w:rsid w:val="00613171"/>
    <w:rsid w:val="00613176"/>
    <w:rsid w:val="006131E0"/>
    <w:rsid w:val="006132F5"/>
    <w:rsid w:val="00613337"/>
    <w:rsid w:val="006133D0"/>
    <w:rsid w:val="0061343F"/>
    <w:rsid w:val="006134F2"/>
    <w:rsid w:val="00613518"/>
    <w:rsid w:val="00613A83"/>
    <w:rsid w:val="00613B4C"/>
    <w:rsid w:val="00613BB8"/>
    <w:rsid w:val="00613D0A"/>
    <w:rsid w:val="00613D69"/>
    <w:rsid w:val="00613ED8"/>
    <w:rsid w:val="0061412B"/>
    <w:rsid w:val="006141B8"/>
    <w:rsid w:val="0061421A"/>
    <w:rsid w:val="006142C3"/>
    <w:rsid w:val="006142E0"/>
    <w:rsid w:val="00614301"/>
    <w:rsid w:val="0061443B"/>
    <w:rsid w:val="0061446B"/>
    <w:rsid w:val="006144E5"/>
    <w:rsid w:val="006145B0"/>
    <w:rsid w:val="006145B5"/>
    <w:rsid w:val="00614711"/>
    <w:rsid w:val="006147EB"/>
    <w:rsid w:val="006147EE"/>
    <w:rsid w:val="0061483F"/>
    <w:rsid w:val="006148DB"/>
    <w:rsid w:val="00614979"/>
    <w:rsid w:val="006149ED"/>
    <w:rsid w:val="00614B59"/>
    <w:rsid w:val="00614BFD"/>
    <w:rsid w:val="00614CDB"/>
    <w:rsid w:val="00614D89"/>
    <w:rsid w:val="00614DA9"/>
    <w:rsid w:val="00614EAA"/>
    <w:rsid w:val="00614EC6"/>
    <w:rsid w:val="00614F2F"/>
    <w:rsid w:val="00614FE1"/>
    <w:rsid w:val="0061508C"/>
    <w:rsid w:val="006150C7"/>
    <w:rsid w:val="0061512B"/>
    <w:rsid w:val="0061516D"/>
    <w:rsid w:val="0061517B"/>
    <w:rsid w:val="00615182"/>
    <w:rsid w:val="0061526A"/>
    <w:rsid w:val="006152C9"/>
    <w:rsid w:val="0061535D"/>
    <w:rsid w:val="00615480"/>
    <w:rsid w:val="006154AE"/>
    <w:rsid w:val="006155B4"/>
    <w:rsid w:val="006155EB"/>
    <w:rsid w:val="006155ED"/>
    <w:rsid w:val="006156FF"/>
    <w:rsid w:val="00615730"/>
    <w:rsid w:val="0061573D"/>
    <w:rsid w:val="00615753"/>
    <w:rsid w:val="00615868"/>
    <w:rsid w:val="006158AC"/>
    <w:rsid w:val="00615985"/>
    <w:rsid w:val="00615B3C"/>
    <w:rsid w:val="00615C13"/>
    <w:rsid w:val="00615C64"/>
    <w:rsid w:val="00615CB0"/>
    <w:rsid w:val="00615D3E"/>
    <w:rsid w:val="00615D62"/>
    <w:rsid w:val="00615E44"/>
    <w:rsid w:val="00615E4D"/>
    <w:rsid w:val="00615E8D"/>
    <w:rsid w:val="00615EDC"/>
    <w:rsid w:val="00615F0B"/>
    <w:rsid w:val="00615F27"/>
    <w:rsid w:val="00615F6B"/>
    <w:rsid w:val="00615FB9"/>
    <w:rsid w:val="00615FBC"/>
    <w:rsid w:val="00616010"/>
    <w:rsid w:val="00616318"/>
    <w:rsid w:val="00616462"/>
    <w:rsid w:val="006165CE"/>
    <w:rsid w:val="00616632"/>
    <w:rsid w:val="0061664B"/>
    <w:rsid w:val="006166D1"/>
    <w:rsid w:val="0061687A"/>
    <w:rsid w:val="006168BF"/>
    <w:rsid w:val="006168C9"/>
    <w:rsid w:val="006169B5"/>
    <w:rsid w:val="00616A54"/>
    <w:rsid w:val="00616B37"/>
    <w:rsid w:val="00616B51"/>
    <w:rsid w:val="00616BA0"/>
    <w:rsid w:val="00616C19"/>
    <w:rsid w:val="00616C79"/>
    <w:rsid w:val="00616CDF"/>
    <w:rsid w:val="00616D58"/>
    <w:rsid w:val="00616DD0"/>
    <w:rsid w:val="00616E7A"/>
    <w:rsid w:val="00616EC1"/>
    <w:rsid w:val="00616EE8"/>
    <w:rsid w:val="0061704A"/>
    <w:rsid w:val="00617139"/>
    <w:rsid w:val="0061715A"/>
    <w:rsid w:val="006171B2"/>
    <w:rsid w:val="006171F8"/>
    <w:rsid w:val="00617242"/>
    <w:rsid w:val="00617267"/>
    <w:rsid w:val="00617290"/>
    <w:rsid w:val="00617369"/>
    <w:rsid w:val="006174D1"/>
    <w:rsid w:val="00617546"/>
    <w:rsid w:val="006175C9"/>
    <w:rsid w:val="00617644"/>
    <w:rsid w:val="0061764C"/>
    <w:rsid w:val="00617651"/>
    <w:rsid w:val="006176B8"/>
    <w:rsid w:val="00617770"/>
    <w:rsid w:val="006178D7"/>
    <w:rsid w:val="006178E1"/>
    <w:rsid w:val="006178F2"/>
    <w:rsid w:val="006179B3"/>
    <w:rsid w:val="00617AED"/>
    <w:rsid w:val="00617B05"/>
    <w:rsid w:val="00617B60"/>
    <w:rsid w:val="00617B99"/>
    <w:rsid w:val="00617C0A"/>
    <w:rsid w:val="00617C34"/>
    <w:rsid w:val="00617CEE"/>
    <w:rsid w:val="00617E8A"/>
    <w:rsid w:val="00617F16"/>
    <w:rsid w:val="00617F1C"/>
    <w:rsid w:val="00617F56"/>
    <w:rsid w:val="00617FF5"/>
    <w:rsid w:val="00620018"/>
    <w:rsid w:val="00620124"/>
    <w:rsid w:val="00620291"/>
    <w:rsid w:val="006202C3"/>
    <w:rsid w:val="0062035B"/>
    <w:rsid w:val="0062042C"/>
    <w:rsid w:val="0062042E"/>
    <w:rsid w:val="00620460"/>
    <w:rsid w:val="00620462"/>
    <w:rsid w:val="006205E5"/>
    <w:rsid w:val="00620690"/>
    <w:rsid w:val="00620733"/>
    <w:rsid w:val="00620970"/>
    <w:rsid w:val="0062098B"/>
    <w:rsid w:val="006209ED"/>
    <w:rsid w:val="00620A0A"/>
    <w:rsid w:val="00620A6C"/>
    <w:rsid w:val="00620A9A"/>
    <w:rsid w:val="00620B07"/>
    <w:rsid w:val="00620B11"/>
    <w:rsid w:val="00620BA7"/>
    <w:rsid w:val="00620D12"/>
    <w:rsid w:val="00620D21"/>
    <w:rsid w:val="00620D6B"/>
    <w:rsid w:val="00620F06"/>
    <w:rsid w:val="00620FE6"/>
    <w:rsid w:val="00621004"/>
    <w:rsid w:val="00621115"/>
    <w:rsid w:val="0062116A"/>
    <w:rsid w:val="0062117D"/>
    <w:rsid w:val="006211DC"/>
    <w:rsid w:val="0062129A"/>
    <w:rsid w:val="006214F5"/>
    <w:rsid w:val="0062154D"/>
    <w:rsid w:val="00621750"/>
    <w:rsid w:val="006217C0"/>
    <w:rsid w:val="0062180D"/>
    <w:rsid w:val="00621854"/>
    <w:rsid w:val="00621A3B"/>
    <w:rsid w:val="00621A8D"/>
    <w:rsid w:val="00621A96"/>
    <w:rsid w:val="00621B4F"/>
    <w:rsid w:val="00621B8F"/>
    <w:rsid w:val="00621B9B"/>
    <w:rsid w:val="00621BFD"/>
    <w:rsid w:val="00621C55"/>
    <w:rsid w:val="00621DA4"/>
    <w:rsid w:val="00621E17"/>
    <w:rsid w:val="00621E86"/>
    <w:rsid w:val="00621ECA"/>
    <w:rsid w:val="00621F0C"/>
    <w:rsid w:val="0062225C"/>
    <w:rsid w:val="00622336"/>
    <w:rsid w:val="006223CA"/>
    <w:rsid w:val="006225DB"/>
    <w:rsid w:val="006227D1"/>
    <w:rsid w:val="006227D3"/>
    <w:rsid w:val="00622828"/>
    <w:rsid w:val="0062285F"/>
    <w:rsid w:val="00622871"/>
    <w:rsid w:val="006228C9"/>
    <w:rsid w:val="00622938"/>
    <w:rsid w:val="00622A4D"/>
    <w:rsid w:val="00622ADC"/>
    <w:rsid w:val="00622BC1"/>
    <w:rsid w:val="00622C81"/>
    <w:rsid w:val="00622D88"/>
    <w:rsid w:val="00622DA6"/>
    <w:rsid w:val="006230E9"/>
    <w:rsid w:val="00623137"/>
    <w:rsid w:val="006231A7"/>
    <w:rsid w:val="00623207"/>
    <w:rsid w:val="006234C0"/>
    <w:rsid w:val="006234DD"/>
    <w:rsid w:val="006235C4"/>
    <w:rsid w:val="006236A9"/>
    <w:rsid w:val="00623704"/>
    <w:rsid w:val="0062377D"/>
    <w:rsid w:val="0062393B"/>
    <w:rsid w:val="006239B0"/>
    <w:rsid w:val="00623A85"/>
    <w:rsid w:val="00623B40"/>
    <w:rsid w:val="00623BDF"/>
    <w:rsid w:val="00623C88"/>
    <w:rsid w:val="00623CAF"/>
    <w:rsid w:val="00623CF3"/>
    <w:rsid w:val="00623DFF"/>
    <w:rsid w:val="00623E0E"/>
    <w:rsid w:val="00623E8F"/>
    <w:rsid w:val="00623EE5"/>
    <w:rsid w:val="00623F7D"/>
    <w:rsid w:val="00624021"/>
    <w:rsid w:val="006240F3"/>
    <w:rsid w:val="00624165"/>
    <w:rsid w:val="0062423D"/>
    <w:rsid w:val="00624275"/>
    <w:rsid w:val="006242E2"/>
    <w:rsid w:val="006243AA"/>
    <w:rsid w:val="0062441A"/>
    <w:rsid w:val="00624460"/>
    <w:rsid w:val="006244D1"/>
    <w:rsid w:val="006244D4"/>
    <w:rsid w:val="006244D8"/>
    <w:rsid w:val="0062459A"/>
    <w:rsid w:val="0062459B"/>
    <w:rsid w:val="00624634"/>
    <w:rsid w:val="006247F9"/>
    <w:rsid w:val="0062488E"/>
    <w:rsid w:val="00624892"/>
    <w:rsid w:val="006248F9"/>
    <w:rsid w:val="00624C27"/>
    <w:rsid w:val="00624DF5"/>
    <w:rsid w:val="00624EC3"/>
    <w:rsid w:val="00624F46"/>
    <w:rsid w:val="00624F4D"/>
    <w:rsid w:val="00624F6F"/>
    <w:rsid w:val="00624FDF"/>
    <w:rsid w:val="00625060"/>
    <w:rsid w:val="0062508D"/>
    <w:rsid w:val="006250BC"/>
    <w:rsid w:val="00625109"/>
    <w:rsid w:val="006251A7"/>
    <w:rsid w:val="00625272"/>
    <w:rsid w:val="00625358"/>
    <w:rsid w:val="006253ED"/>
    <w:rsid w:val="00625652"/>
    <w:rsid w:val="00625706"/>
    <w:rsid w:val="00625744"/>
    <w:rsid w:val="00625752"/>
    <w:rsid w:val="006258B5"/>
    <w:rsid w:val="00625AF9"/>
    <w:rsid w:val="00625C5E"/>
    <w:rsid w:val="00625DD3"/>
    <w:rsid w:val="00625E0E"/>
    <w:rsid w:val="00625EBE"/>
    <w:rsid w:val="00625F56"/>
    <w:rsid w:val="00625F6A"/>
    <w:rsid w:val="006260CC"/>
    <w:rsid w:val="0062612A"/>
    <w:rsid w:val="00626160"/>
    <w:rsid w:val="006261CD"/>
    <w:rsid w:val="006261FE"/>
    <w:rsid w:val="00626296"/>
    <w:rsid w:val="0062632F"/>
    <w:rsid w:val="0062634A"/>
    <w:rsid w:val="00626483"/>
    <w:rsid w:val="00626510"/>
    <w:rsid w:val="00626633"/>
    <w:rsid w:val="006267B1"/>
    <w:rsid w:val="00626812"/>
    <w:rsid w:val="006268A4"/>
    <w:rsid w:val="0062699D"/>
    <w:rsid w:val="006269FB"/>
    <w:rsid w:val="00626B7E"/>
    <w:rsid w:val="00626BBE"/>
    <w:rsid w:val="00626D43"/>
    <w:rsid w:val="00626D5E"/>
    <w:rsid w:val="00626F2D"/>
    <w:rsid w:val="00626FB1"/>
    <w:rsid w:val="0062700F"/>
    <w:rsid w:val="0062701F"/>
    <w:rsid w:val="00627023"/>
    <w:rsid w:val="006270EE"/>
    <w:rsid w:val="006270F0"/>
    <w:rsid w:val="0062736E"/>
    <w:rsid w:val="0062751F"/>
    <w:rsid w:val="00627525"/>
    <w:rsid w:val="00627578"/>
    <w:rsid w:val="006275EE"/>
    <w:rsid w:val="0062760A"/>
    <w:rsid w:val="00627664"/>
    <w:rsid w:val="006276F5"/>
    <w:rsid w:val="00627767"/>
    <w:rsid w:val="006278C8"/>
    <w:rsid w:val="006278F4"/>
    <w:rsid w:val="00627A1C"/>
    <w:rsid w:val="00627CD6"/>
    <w:rsid w:val="00627E11"/>
    <w:rsid w:val="00627E35"/>
    <w:rsid w:val="00627E90"/>
    <w:rsid w:val="00627EEC"/>
    <w:rsid w:val="00627FC5"/>
    <w:rsid w:val="00627FEE"/>
    <w:rsid w:val="00630115"/>
    <w:rsid w:val="0063031D"/>
    <w:rsid w:val="00630415"/>
    <w:rsid w:val="0063043C"/>
    <w:rsid w:val="006304F8"/>
    <w:rsid w:val="00630639"/>
    <w:rsid w:val="006306EE"/>
    <w:rsid w:val="0063078C"/>
    <w:rsid w:val="00630831"/>
    <w:rsid w:val="006308A8"/>
    <w:rsid w:val="006308FE"/>
    <w:rsid w:val="00630931"/>
    <w:rsid w:val="00630A5C"/>
    <w:rsid w:val="00630B27"/>
    <w:rsid w:val="00630B6D"/>
    <w:rsid w:val="00630BCB"/>
    <w:rsid w:val="00630C88"/>
    <w:rsid w:val="00630D81"/>
    <w:rsid w:val="00630EAE"/>
    <w:rsid w:val="00630F0A"/>
    <w:rsid w:val="00630F36"/>
    <w:rsid w:val="006310F3"/>
    <w:rsid w:val="006311DD"/>
    <w:rsid w:val="00631248"/>
    <w:rsid w:val="00631283"/>
    <w:rsid w:val="0063135F"/>
    <w:rsid w:val="0063139A"/>
    <w:rsid w:val="0063148E"/>
    <w:rsid w:val="006314E8"/>
    <w:rsid w:val="00631778"/>
    <w:rsid w:val="00631944"/>
    <w:rsid w:val="00631951"/>
    <w:rsid w:val="00631A1D"/>
    <w:rsid w:val="00631B34"/>
    <w:rsid w:val="00631B58"/>
    <w:rsid w:val="00631BF7"/>
    <w:rsid w:val="00631C3A"/>
    <w:rsid w:val="00631C8F"/>
    <w:rsid w:val="00631D59"/>
    <w:rsid w:val="00631D5E"/>
    <w:rsid w:val="00631DBB"/>
    <w:rsid w:val="00631FEE"/>
    <w:rsid w:val="006320DF"/>
    <w:rsid w:val="006320FC"/>
    <w:rsid w:val="00632103"/>
    <w:rsid w:val="00632120"/>
    <w:rsid w:val="006321C0"/>
    <w:rsid w:val="00632270"/>
    <w:rsid w:val="00632298"/>
    <w:rsid w:val="00632299"/>
    <w:rsid w:val="006323E7"/>
    <w:rsid w:val="00632409"/>
    <w:rsid w:val="006325B4"/>
    <w:rsid w:val="006325E5"/>
    <w:rsid w:val="00632656"/>
    <w:rsid w:val="0063276D"/>
    <w:rsid w:val="0063279E"/>
    <w:rsid w:val="006328B2"/>
    <w:rsid w:val="00632999"/>
    <w:rsid w:val="006329CF"/>
    <w:rsid w:val="006329D0"/>
    <w:rsid w:val="00632A4C"/>
    <w:rsid w:val="00632A6D"/>
    <w:rsid w:val="00632AA4"/>
    <w:rsid w:val="00632AD8"/>
    <w:rsid w:val="00632B95"/>
    <w:rsid w:val="00632BBF"/>
    <w:rsid w:val="00632BC2"/>
    <w:rsid w:val="00632C4F"/>
    <w:rsid w:val="00632C86"/>
    <w:rsid w:val="00632CA0"/>
    <w:rsid w:val="00632D7A"/>
    <w:rsid w:val="00632E06"/>
    <w:rsid w:val="00632E0A"/>
    <w:rsid w:val="00632E6B"/>
    <w:rsid w:val="00632EE2"/>
    <w:rsid w:val="00632FBE"/>
    <w:rsid w:val="006330A5"/>
    <w:rsid w:val="006330FE"/>
    <w:rsid w:val="00633108"/>
    <w:rsid w:val="0063313D"/>
    <w:rsid w:val="006334B7"/>
    <w:rsid w:val="0063353E"/>
    <w:rsid w:val="006336CA"/>
    <w:rsid w:val="0063376E"/>
    <w:rsid w:val="00633851"/>
    <w:rsid w:val="006338E4"/>
    <w:rsid w:val="00633975"/>
    <w:rsid w:val="006339DD"/>
    <w:rsid w:val="00633AC0"/>
    <w:rsid w:val="00633AD5"/>
    <w:rsid w:val="00633BF4"/>
    <w:rsid w:val="00633F7F"/>
    <w:rsid w:val="00633FDF"/>
    <w:rsid w:val="0063410B"/>
    <w:rsid w:val="0063426F"/>
    <w:rsid w:val="00634490"/>
    <w:rsid w:val="00634573"/>
    <w:rsid w:val="006346C4"/>
    <w:rsid w:val="0063472E"/>
    <w:rsid w:val="006347B2"/>
    <w:rsid w:val="00634856"/>
    <w:rsid w:val="00634859"/>
    <w:rsid w:val="0063485F"/>
    <w:rsid w:val="00634978"/>
    <w:rsid w:val="00634B72"/>
    <w:rsid w:val="00634BA5"/>
    <w:rsid w:val="00634CCD"/>
    <w:rsid w:val="00634D62"/>
    <w:rsid w:val="00634DCA"/>
    <w:rsid w:val="00634E0E"/>
    <w:rsid w:val="00634E9A"/>
    <w:rsid w:val="00634EC6"/>
    <w:rsid w:val="00634FF7"/>
    <w:rsid w:val="0063503B"/>
    <w:rsid w:val="00635044"/>
    <w:rsid w:val="00635060"/>
    <w:rsid w:val="00635067"/>
    <w:rsid w:val="0063507E"/>
    <w:rsid w:val="00635181"/>
    <w:rsid w:val="0063524D"/>
    <w:rsid w:val="006353B0"/>
    <w:rsid w:val="0063551D"/>
    <w:rsid w:val="006355B0"/>
    <w:rsid w:val="006356A5"/>
    <w:rsid w:val="006356B5"/>
    <w:rsid w:val="006356DF"/>
    <w:rsid w:val="006356FA"/>
    <w:rsid w:val="00635745"/>
    <w:rsid w:val="006357CD"/>
    <w:rsid w:val="00635801"/>
    <w:rsid w:val="0063581B"/>
    <w:rsid w:val="0063597A"/>
    <w:rsid w:val="00635A80"/>
    <w:rsid w:val="00635AAD"/>
    <w:rsid w:val="00635AD1"/>
    <w:rsid w:val="00635B28"/>
    <w:rsid w:val="00635B5B"/>
    <w:rsid w:val="00635C72"/>
    <w:rsid w:val="00635D6B"/>
    <w:rsid w:val="00635D7C"/>
    <w:rsid w:val="00635E2E"/>
    <w:rsid w:val="00635E87"/>
    <w:rsid w:val="00635F18"/>
    <w:rsid w:val="00635F3E"/>
    <w:rsid w:val="00635F44"/>
    <w:rsid w:val="00635F4D"/>
    <w:rsid w:val="006360CB"/>
    <w:rsid w:val="0063611D"/>
    <w:rsid w:val="00636130"/>
    <w:rsid w:val="006361B4"/>
    <w:rsid w:val="006361C2"/>
    <w:rsid w:val="0063627C"/>
    <w:rsid w:val="00636320"/>
    <w:rsid w:val="006363D5"/>
    <w:rsid w:val="0063643B"/>
    <w:rsid w:val="00636483"/>
    <w:rsid w:val="0063651C"/>
    <w:rsid w:val="0063655D"/>
    <w:rsid w:val="0063656E"/>
    <w:rsid w:val="00636631"/>
    <w:rsid w:val="00636637"/>
    <w:rsid w:val="00636804"/>
    <w:rsid w:val="00636908"/>
    <w:rsid w:val="00636911"/>
    <w:rsid w:val="006369AE"/>
    <w:rsid w:val="006369C0"/>
    <w:rsid w:val="00636A3C"/>
    <w:rsid w:val="00636A6A"/>
    <w:rsid w:val="00636C05"/>
    <w:rsid w:val="00636C37"/>
    <w:rsid w:val="00636C50"/>
    <w:rsid w:val="00636D38"/>
    <w:rsid w:val="00636E38"/>
    <w:rsid w:val="00636FC5"/>
    <w:rsid w:val="00637082"/>
    <w:rsid w:val="006370C4"/>
    <w:rsid w:val="006370D9"/>
    <w:rsid w:val="00637455"/>
    <w:rsid w:val="0063773C"/>
    <w:rsid w:val="00637834"/>
    <w:rsid w:val="0063783B"/>
    <w:rsid w:val="0063786A"/>
    <w:rsid w:val="0063789D"/>
    <w:rsid w:val="00637916"/>
    <w:rsid w:val="00637935"/>
    <w:rsid w:val="00637991"/>
    <w:rsid w:val="006379A9"/>
    <w:rsid w:val="00637A17"/>
    <w:rsid w:val="00637B6E"/>
    <w:rsid w:val="00637B89"/>
    <w:rsid w:val="00637B9D"/>
    <w:rsid w:val="00637C0C"/>
    <w:rsid w:val="00637D76"/>
    <w:rsid w:val="00637E20"/>
    <w:rsid w:val="00637F73"/>
    <w:rsid w:val="00637F8B"/>
    <w:rsid w:val="00637FCD"/>
    <w:rsid w:val="0064004B"/>
    <w:rsid w:val="006401D7"/>
    <w:rsid w:val="006402B1"/>
    <w:rsid w:val="00640377"/>
    <w:rsid w:val="0064042A"/>
    <w:rsid w:val="0064043A"/>
    <w:rsid w:val="0064048C"/>
    <w:rsid w:val="00640511"/>
    <w:rsid w:val="0064053B"/>
    <w:rsid w:val="00640622"/>
    <w:rsid w:val="006407B9"/>
    <w:rsid w:val="006408A8"/>
    <w:rsid w:val="006408D3"/>
    <w:rsid w:val="00640AAC"/>
    <w:rsid w:val="00640AC3"/>
    <w:rsid w:val="00640B3C"/>
    <w:rsid w:val="00640BE3"/>
    <w:rsid w:val="00640CA8"/>
    <w:rsid w:val="00640D82"/>
    <w:rsid w:val="00640D8C"/>
    <w:rsid w:val="00640D9A"/>
    <w:rsid w:val="00640DBD"/>
    <w:rsid w:val="00640E18"/>
    <w:rsid w:val="00640EAE"/>
    <w:rsid w:val="00640F43"/>
    <w:rsid w:val="00640F9A"/>
    <w:rsid w:val="00640FB3"/>
    <w:rsid w:val="00641018"/>
    <w:rsid w:val="00641034"/>
    <w:rsid w:val="00641147"/>
    <w:rsid w:val="0064114C"/>
    <w:rsid w:val="00641166"/>
    <w:rsid w:val="006411EC"/>
    <w:rsid w:val="00641238"/>
    <w:rsid w:val="00641273"/>
    <w:rsid w:val="00641392"/>
    <w:rsid w:val="00641621"/>
    <w:rsid w:val="006416A6"/>
    <w:rsid w:val="006416F8"/>
    <w:rsid w:val="00641847"/>
    <w:rsid w:val="006418FC"/>
    <w:rsid w:val="006419A0"/>
    <w:rsid w:val="006419B4"/>
    <w:rsid w:val="006419BD"/>
    <w:rsid w:val="00641AD9"/>
    <w:rsid w:val="00641B1D"/>
    <w:rsid w:val="00641BF4"/>
    <w:rsid w:val="00641E68"/>
    <w:rsid w:val="00641E92"/>
    <w:rsid w:val="00641F68"/>
    <w:rsid w:val="00642003"/>
    <w:rsid w:val="006420AF"/>
    <w:rsid w:val="006420EE"/>
    <w:rsid w:val="00642144"/>
    <w:rsid w:val="00642162"/>
    <w:rsid w:val="0064217A"/>
    <w:rsid w:val="0064219E"/>
    <w:rsid w:val="00642428"/>
    <w:rsid w:val="0064244D"/>
    <w:rsid w:val="00642535"/>
    <w:rsid w:val="006425BC"/>
    <w:rsid w:val="00642635"/>
    <w:rsid w:val="006426BC"/>
    <w:rsid w:val="006426C6"/>
    <w:rsid w:val="0064274A"/>
    <w:rsid w:val="00642777"/>
    <w:rsid w:val="00642814"/>
    <w:rsid w:val="00642871"/>
    <w:rsid w:val="00642901"/>
    <w:rsid w:val="006429F0"/>
    <w:rsid w:val="00642A1E"/>
    <w:rsid w:val="00642AAD"/>
    <w:rsid w:val="00642CBD"/>
    <w:rsid w:val="00642CEA"/>
    <w:rsid w:val="00642D42"/>
    <w:rsid w:val="00642DC9"/>
    <w:rsid w:val="00642E4E"/>
    <w:rsid w:val="00642EDC"/>
    <w:rsid w:val="00642F30"/>
    <w:rsid w:val="00642F3F"/>
    <w:rsid w:val="00642F96"/>
    <w:rsid w:val="00643026"/>
    <w:rsid w:val="006430BC"/>
    <w:rsid w:val="006430F6"/>
    <w:rsid w:val="0064310F"/>
    <w:rsid w:val="006432D3"/>
    <w:rsid w:val="006432D5"/>
    <w:rsid w:val="006432E1"/>
    <w:rsid w:val="00643347"/>
    <w:rsid w:val="0064335C"/>
    <w:rsid w:val="006433F3"/>
    <w:rsid w:val="0064347A"/>
    <w:rsid w:val="0064347C"/>
    <w:rsid w:val="006434AB"/>
    <w:rsid w:val="00643608"/>
    <w:rsid w:val="00643717"/>
    <w:rsid w:val="0064377D"/>
    <w:rsid w:val="006437FC"/>
    <w:rsid w:val="0064382E"/>
    <w:rsid w:val="0064385D"/>
    <w:rsid w:val="00643931"/>
    <w:rsid w:val="006439F1"/>
    <w:rsid w:val="006439F9"/>
    <w:rsid w:val="00643B90"/>
    <w:rsid w:val="00643B95"/>
    <w:rsid w:val="00643BBD"/>
    <w:rsid w:val="00643BC2"/>
    <w:rsid w:val="00643C8E"/>
    <w:rsid w:val="00643CB9"/>
    <w:rsid w:val="00643CE4"/>
    <w:rsid w:val="00643D15"/>
    <w:rsid w:val="00643E30"/>
    <w:rsid w:val="00643E98"/>
    <w:rsid w:val="00643ECB"/>
    <w:rsid w:val="00643EDF"/>
    <w:rsid w:val="006441A0"/>
    <w:rsid w:val="00644258"/>
    <w:rsid w:val="006443B9"/>
    <w:rsid w:val="006446CF"/>
    <w:rsid w:val="0064485C"/>
    <w:rsid w:val="00644906"/>
    <w:rsid w:val="0064491F"/>
    <w:rsid w:val="00644ACE"/>
    <w:rsid w:val="00644B3E"/>
    <w:rsid w:val="00644C73"/>
    <w:rsid w:val="00644CDB"/>
    <w:rsid w:val="00644D8F"/>
    <w:rsid w:val="00644EA6"/>
    <w:rsid w:val="00644F47"/>
    <w:rsid w:val="00644FB7"/>
    <w:rsid w:val="00645063"/>
    <w:rsid w:val="00645128"/>
    <w:rsid w:val="00645228"/>
    <w:rsid w:val="006455A5"/>
    <w:rsid w:val="00645623"/>
    <w:rsid w:val="00645726"/>
    <w:rsid w:val="00645841"/>
    <w:rsid w:val="00645879"/>
    <w:rsid w:val="006459DA"/>
    <w:rsid w:val="006459F1"/>
    <w:rsid w:val="00645B0A"/>
    <w:rsid w:val="00645B7F"/>
    <w:rsid w:val="00645BB3"/>
    <w:rsid w:val="00645C14"/>
    <w:rsid w:val="00645E73"/>
    <w:rsid w:val="00645EFC"/>
    <w:rsid w:val="00645F10"/>
    <w:rsid w:val="00645F69"/>
    <w:rsid w:val="00645F6E"/>
    <w:rsid w:val="00645F7F"/>
    <w:rsid w:val="00645FA5"/>
    <w:rsid w:val="00646122"/>
    <w:rsid w:val="006461B4"/>
    <w:rsid w:val="006461F5"/>
    <w:rsid w:val="006462AC"/>
    <w:rsid w:val="006462D5"/>
    <w:rsid w:val="006463A5"/>
    <w:rsid w:val="0064643F"/>
    <w:rsid w:val="0064644C"/>
    <w:rsid w:val="006464F0"/>
    <w:rsid w:val="00646525"/>
    <w:rsid w:val="00646552"/>
    <w:rsid w:val="00646656"/>
    <w:rsid w:val="00646767"/>
    <w:rsid w:val="00646833"/>
    <w:rsid w:val="0064687D"/>
    <w:rsid w:val="00646931"/>
    <w:rsid w:val="00646942"/>
    <w:rsid w:val="00646949"/>
    <w:rsid w:val="00646951"/>
    <w:rsid w:val="006469F2"/>
    <w:rsid w:val="00646A29"/>
    <w:rsid w:val="00646B5C"/>
    <w:rsid w:val="00646CAF"/>
    <w:rsid w:val="00646CB8"/>
    <w:rsid w:val="00646CFA"/>
    <w:rsid w:val="00646D57"/>
    <w:rsid w:val="00646FD1"/>
    <w:rsid w:val="0064706D"/>
    <w:rsid w:val="0064713F"/>
    <w:rsid w:val="006472A2"/>
    <w:rsid w:val="006472D9"/>
    <w:rsid w:val="006472EA"/>
    <w:rsid w:val="0064748D"/>
    <w:rsid w:val="006474C6"/>
    <w:rsid w:val="00647509"/>
    <w:rsid w:val="0064759B"/>
    <w:rsid w:val="006475A6"/>
    <w:rsid w:val="006476D5"/>
    <w:rsid w:val="006476E8"/>
    <w:rsid w:val="0064770E"/>
    <w:rsid w:val="00647796"/>
    <w:rsid w:val="006477BC"/>
    <w:rsid w:val="006477ED"/>
    <w:rsid w:val="00647859"/>
    <w:rsid w:val="00647872"/>
    <w:rsid w:val="006478DE"/>
    <w:rsid w:val="006478E9"/>
    <w:rsid w:val="006478FD"/>
    <w:rsid w:val="00647A2D"/>
    <w:rsid w:val="00647B03"/>
    <w:rsid w:val="00647C71"/>
    <w:rsid w:val="00647E5F"/>
    <w:rsid w:val="00647F6B"/>
    <w:rsid w:val="00647F6F"/>
    <w:rsid w:val="00647F81"/>
    <w:rsid w:val="00647F9D"/>
    <w:rsid w:val="006500AE"/>
    <w:rsid w:val="006500D7"/>
    <w:rsid w:val="00650217"/>
    <w:rsid w:val="006504C9"/>
    <w:rsid w:val="00650504"/>
    <w:rsid w:val="00650507"/>
    <w:rsid w:val="0065053B"/>
    <w:rsid w:val="0065053C"/>
    <w:rsid w:val="0065066F"/>
    <w:rsid w:val="006506A2"/>
    <w:rsid w:val="006506FB"/>
    <w:rsid w:val="0065074C"/>
    <w:rsid w:val="006507D6"/>
    <w:rsid w:val="0065081B"/>
    <w:rsid w:val="0065091A"/>
    <w:rsid w:val="0065096B"/>
    <w:rsid w:val="00650AEB"/>
    <w:rsid w:val="00650C2C"/>
    <w:rsid w:val="00650C78"/>
    <w:rsid w:val="00650CDC"/>
    <w:rsid w:val="00650CF6"/>
    <w:rsid w:val="00650D09"/>
    <w:rsid w:val="00650D0A"/>
    <w:rsid w:val="00650D39"/>
    <w:rsid w:val="00650E1D"/>
    <w:rsid w:val="00650E33"/>
    <w:rsid w:val="00650EB5"/>
    <w:rsid w:val="00650EBD"/>
    <w:rsid w:val="00650F31"/>
    <w:rsid w:val="00650FE1"/>
    <w:rsid w:val="00650FEF"/>
    <w:rsid w:val="0065114C"/>
    <w:rsid w:val="006511F6"/>
    <w:rsid w:val="0065121F"/>
    <w:rsid w:val="00651287"/>
    <w:rsid w:val="0065129E"/>
    <w:rsid w:val="0065140D"/>
    <w:rsid w:val="00651418"/>
    <w:rsid w:val="00651433"/>
    <w:rsid w:val="00651453"/>
    <w:rsid w:val="006514A0"/>
    <w:rsid w:val="006514B8"/>
    <w:rsid w:val="00651676"/>
    <w:rsid w:val="006516C4"/>
    <w:rsid w:val="00651747"/>
    <w:rsid w:val="00651828"/>
    <w:rsid w:val="0065186E"/>
    <w:rsid w:val="006518BF"/>
    <w:rsid w:val="00651956"/>
    <w:rsid w:val="0065199F"/>
    <w:rsid w:val="006519F0"/>
    <w:rsid w:val="00651A1D"/>
    <w:rsid w:val="00651A42"/>
    <w:rsid w:val="00651AA2"/>
    <w:rsid w:val="00651BC6"/>
    <w:rsid w:val="00651D5E"/>
    <w:rsid w:val="00651DB9"/>
    <w:rsid w:val="00651DE5"/>
    <w:rsid w:val="00651E23"/>
    <w:rsid w:val="00651EB6"/>
    <w:rsid w:val="00651FFC"/>
    <w:rsid w:val="00652063"/>
    <w:rsid w:val="00652066"/>
    <w:rsid w:val="00652071"/>
    <w:rsid w:val="006521D7"/>
    <w:rsid w:val="006521F7"/>
    <w:rsid w:val="00652224"/>
    <w:rsid w:val="006522B3"/>
    <w:rsid w:val="00652308"/>
    <w:rsid w:val="0065236A"/>
    <w:rsid w:val="00652396"/>
    <w:rsid w:val="006523A2"/>
    <w:rsid w:val="006523B9"/>
    <w:rsid w:val="0065246D"/>
    <w:rsid w:val="00652514"/>
    <w:rsid w:val="006525DC"/>
    <w:rsid w:val="006528DA"/>
    <w:rsid w:val="00652943"/>
    <w:rsid w:val="00652A22"/>
    <w:rsid w:val="00652A26"/>
    <w:rsid w:val="00652AA6"/>
    <w:rsid w:val="00652B3F"/>
    <w:rsid w:val="00652BDE"/>
    <w:rsid w:val="00652C0F"/>
    <w:rsid w:val="00652C2B"/>
    <w:rsid w:val="00652C46"/>
    <w:rsid w:val="00652C68"/>
    <w:rsid w:val="00652C80"/>
    <w:rsid w:val="00652CC0"/>
    <w:rsid w:val="00652F82"/>
    <w:rsid w:val="0065306E"/>
    <w:rsid w:val="0065310F"/>
    <w:rsid w:val="0065311F"/>
    <w:rsid w:val="0065313A"/>
    <w:rsid w:val="006531AE"/>
    <w:rsid w:val="0065324B"/>
    <w:rsid w:val="00653265"/>
    <w:rsid w:val="006532F8"/>
    <w:rsid w:val="00653358"/>
    <w:rsid w:val="0065336F"/>
    <w:rsid w:val="006533C4"/>
    <w:rsid w:val="006534F8"/>
    <w:rsid w:val="0065360F"/>
    <w:rsid w:val="00653625"/>
    <w:rsid w:val="006537C1"/>
    <w:rsid w:val="00653816"/>
    <w:rsid w:val="006538AF"/>
    <w:rsid w:val="006538D1"/>
    <w:rsid w:val="00653A95"/>
    <w:rsid w:val="00653AAB"/>
    <w:rsid w:val="00653AD5"/>
    <w:rsid w:val="00653C39"/>
    <w:rsid w:val="00653D4B"/>
    <w:rsid w:val="00653E1D"/>
    <w:rsid w:val="00654030"/>
    <w:rsid w:val="00654036"/>
    <w:rsid w:val="006540A0"/>
    <w:rsid w:val="006541EE"/>
    <w:rsid w:val="00654217"/>
    <w:rsid w:val="00654233"/>
    <w:rsid w:val="0065429A"/>
    <w:rsid w:val="006542B1"/>
    <w:rsid w:val="00654326"/>
    <w:rsid w:val="00654333"/>
    <w:rsid w:val="00654354"/>
    <w:rsid w:val="00654358"/>
    <w:rsid w:val="0065446E"/>
    <w:rsid w:val="006545E2"/>
    <w:rsid w:val="006546E5"/>
    <w:rsid w:val="0065479C"/>
    <w:rsid w:val="006548B2"/>
    <w:rsid w:val="00654987"/>
    <w:rsid w:val="00654C6E"/>
    <w:rsid w:val="00654D38"/>
    <w:rsid w:val="00654DD6"/>
    <w:rsid w:val="00654DFF"/>
    <w:rsid w:val="00654E80"/>
    <w:rsid w:val="00654F05"/>
    <w:rsid w:val="00654F24"/>
    <w:rsid w:val="00654FB1"/>
    <w:rsid w:val="0065513D"/>
    <w:rsid w:val="006551BE"/>
    <w:rsid w:val="006551F2"/>
    <w:rsid w:val="00655213"/>
    <w:rsid w:val="00655251"/>
    <w:rsid w:val="006553E4"/>
    <w:rsid w:val="006554DF"/>
    <w:rsid w:val="006555C1"/>
    <w:rsid w:val="00655675"/>
    <w:rsid w:val="006556B2"/>
    <w:rsid w:val="006556E9"/>
    <w:rsid w:val="00655783"/>
    <w:rsid w:val="00655799"/>
    <w:rsid w:val="006557BD"/>
    <w:rsid w:val="00655930"/>
    <w:rsid w:val="006559A8"/>
    <w:rsid w:val="00655A32"/>
    <w:rsid w:val="00655AEA"/>
    <w:rsid w:val="00655B99"/>
    <w:rsid w:val="00655BD6"/>
    <w:rsid w:val="00655CC3"/>
    <w:rsid w:val="00655E3B"/>
    <w:rsid w:val="00655E3F"/>
    <w:rsid w:val="00655E4F"/>
    <w:rsid w:val="00655EF1"/>
    <w:rsid w:val="00655F29"/>
    <w:rsid w:val="00655F38"/>
    <w:rsid w:val="00656066"/>
    <w:rsid w:val="006561FC"/>
    <w:rsid w:val="0065622C"/>
    <w:rsid w:val="00656231"/>
    <w:rsid w:val="00656256"/>
    <w:rsid w:val="00656352"/>
    <w:rsid w:val="0065653A"/>
    <w:rsid w:val="006565CF"/>
    <w:rsid w:val="00656631"/>
    <w:rsid w:val="006566C0"/>
    <w:rsid w:val="0065671F"/>
    <w:rsid w:val="00656749"/>
    <w:rsid w:val="00656761"/>
    <w:rsid w:val="0065686A"/>
    <w:rsid w:val="0065687E"/>
    <w:rsid w:val="00656904"/>
    <w:rsid w:val="00656925"/>
    <w:rsid w:val="00656A01"/>
    <w:rsid w:val="00656A7F"/>
    <w:rsid w:val="00656BE1"/>
    <w:rsid w:val="00656C2E"/>
    <w:rsid w:val="00656C57"/>
    <w:rsid w:val="00656C75"/>
    <w:rsid w:val="00656C83"/>
    <w:rsid w:val="00656CB9"/>
    <w:rsid w:val="00656D4C"/>
    <w:rsid w:val="00656D82"/>
    <w:rsid w:val="00656E65"/>
    <w:rsid w:val="00656EBB"/>
    <w:rsid w:val="00656F79"/>
    <w:rsid w:val="00656F8C"/>
    <w:rsid w:val="00656F9B"/>
    <w:rsid w:val="00657007"/>
    <w:rsid w:val="00657135"/>
    <w:rsid w:val="00657221"/>
    <w:rsid w:val="006572F2"/>
    <w:rsid w:val="0065733F"/>
    <w:rsid w:val="00657364"/>
    <w:rsid w:val="006573D4"/>
    <w:rsid w:val="0065741D"/>
    <w:rsid w:val="00657460"/>
    <w:rsid w:val="0065756C"/>
    <w:rsid w:val="00657635"/>
    <w:rsid w:val="0065765D"/>
    <w:rsid w:val="006576EA"/>
    <w:rsid w:val="00657709"/>
    <w:rsid w:val="00657811"/>
    <w:rsid w:val="006578D7"/>
    <w:rsid w:val="0065790F"/>
    <w:rsid w:val="00657941"/>
    <w:rsid w:val="00657A38"/>
    <w:rsid w:val="00657A45"/>
    <w:rsid w:val="00657B91"/>
    <w:rsid w:val="00657B9F"/>
    <w:rsid w:val="00657C30"/>
    <w:rsid w:val="00657C85"/>
    <w:rsid w:val="00657CBC"/>
    <w:rsid w:val="00657D1D"/>
    <w:rsid w:val="00657DC5"/>
    <w:rsid w:val="00657EA9"/>
    <w:rsid w:val="00657F15"/>
    <w:rsid w:val="00657F40"/>
    <w:rsid w:val="00657F7C"/>
    <w:rsid w:val="00657F7E"/>
    <w:rsid w:val="0066006A"/>
    <w:rsid w:val="0066008F"/>
    <w:rsid w:val="00660265"/>
    <w:rsid w:val="006602B9"/>
    <w:rsid w:val="006602DD"/>
    <w:rsid w:val="0066037B"/>
    <w:rsid w:val="00660412"/>
    <w:rsid w:val="0066068D"/>
    <w:rsid w:val="0066082A"/>
    <w:rsid w:val="00660891"/>
    <w:rsid w:val="0066092C"/>
    <w:rsid w:val="00660970"/>
    <w:rsid w:val="00660A35"/>
    <w:rsid w:val="00660A38"/>
    <w:rsid w:val="00660A90"/>
    <w:rsid w:val="00660AE5"/>
    <w:rsid w:val="00660B7B"/>
    <w:rsid w:val="00660C68"/>
    <w:rsid w:val="00660C9A"/>
    <w:rsid w:val="00660CF0"/>
    <w:rsid w:val="00660E37"/>
    <w:rsid w:val="00660F16"/>
    <w:rsid w:val="00661057"/>
    <w:rsid w:val="00661070"/>
    <w:rsid w:val="006610E7"/>
    <w:rsid w:val="006612CD"/>
    <w:rsid w:val="0066133A"/>
    <w:rsid w:val="006613AB"/>
    <w:rsid w:val="006613E0"/>
    <w:rsid w:val="00661463"/>
    <w:rsid w:val="00661521"/>
    <w:rsid w:val="0066170E"/>
    <w:rsid w:val="00661733"/>
    <w:rsid w:val="0066179C"/>
    <w:rsid w:val="006617F2"/>
    <w:rsid w:val="006617F6"/>
    <w:rsid w:val="0066185A"/>
    <w:rsid w:val="0066188D"/>
    <w:rsid w:val="00661A76"/>
    <w:rsid w:val="00661AA3"/>
    <w:rsid w:val="00661ACD"/>
    <w:rsid w:val="00661AE6"/>
    <w:rsid w:val="00661B83"/>
    <w:rsid w:val="00661B9C"/>
    <w:rsid w:val="00661C13"/>
    <w:rsid w:val="00661C28"/>
    <w:rsid w:val="00661C72"/>
    <w:rsid w:val="00661C92"/>
    <w:rsid w:val="00661D13"/>
    <w:rsid w:val="00661DAF"/>
    <w:rsid w:val="00661E6A"/>
    <w:rsid w:val="00661E8B"/>
    <w:rsid w:val="00661FDA"/>
    <w:rsid w:val="00661FF5"/>
    <w:rsid w:val="0066215C"/>
    <w:rsid w:val="006621D6"/>
    <w:rsid w:val="006621E9"/>
    <w:rsid w:val="00662214"/>
    <w:rsid w:val="00662230"/>
    <w:rsid w:val="006623A9"/>
    <w:rsid w:val="0066242C"/>
    <w:rsid w:val="00662468"/>
    <w:rsid w:val="0066249A"/>
    <w:rsid w:val="006624C1"/>
    <w:rsid w:val="0066264A"/>
    <w:rsid w:val="006627F2"/>
    <w:rsid w:val="00662831"/>
    <w:rsid w:val="00662847"/>
    <w:rsid w:val="00662878"/>
    <w:rsid w:val="006628E2"/>
    <w:rsid w:val="0066292A"/>
    <w:rsid w:val="00662B21"/>
    <w:rsid w:val="00662D70"/>
    <w:rsid w:val="00662E02"/>
    <w:rsid w:val="00662E2D"/>
    <w:rsid w:val="00662E3D"/>
    <w:rsid w:val="00662E6B"/>
    <w:rsid w:val="00662ED2"/>
    <w:rsid w:val="00662EF7"/>
    <w:rsid w:val="00662F37"/>
    <w:rsid w:val="00662F3B"/>
    <w:rsid w:val="00662F72"/>
    <w:rsid w:val="00663013"/>
    <w:rsid w:val="00663039"/>
    <w:rsid w:val="006630D5"/>
    <w:rsid w:val="006631FC"/>
    <w:rsid w:val="00663210"/>
    <w:rsid w:val="006632F1"/>
    <w:rsid w:val="00663312"/>
    <w:rsid w:val="00663379"/>
    <w:rsid w:val="0066339B"/>
    <w:rsid w:val="006635CD"/>
    <w:rsid w:val="006635F8"/>
    <w:rsid w:val="00663706"/>
    <w:rsid w:val="00663812"/>
    <w:rsid w:val="006639FF"/>
    <w:rsid w:val="00663A11"/>
    <w:rsid w:val="00663A77"/>
    <w:rsid w:val="00663B17"/>
    <w:rsid w:val="00663BA5"/>
    <w:rsid w:val="00663BE2"/>
    <w:rsid w:val="00663CAC"/>
    <w:rsid w:val="00663DCF"/>
    <w:rsid w:val="00663F04"/>
    <w:rsid w:val="00663FD5"/>
    <w:rsid w:val="006640BC"/>
    <w:rsid w:val="00664190"/>
    <w:rsid w:val="006641B8"/>
    <w:rsid w:val="006642C7"/>
    <w:rsid w:val="00664313"/>
    <w:rsid w:val="0066431B"/>
    <w:rsid w:val="0066439A"/>
    <w:rsid w:val="006644F6"/>
    <w:rsid w:val="00664525"/>
    <w:rsid w:val="0066455A"/>
    <w:rsid w:val="0066459A"/>
    <w:rsid w:val="006645D4"/>
    <w:rsid w:val="00664613"/>
    <w:rsid w:val="0066477C"/>
    <w:rsid w:val="006647B2"/>
    <w:rsid w:val="006647D6"/>
    <w:rsid w:val="006648A9"/>
    <w:rsid w:val="006648B2"/>
    <w:rsid w:val="0066493E"/>
    <w:rsid w:val="00664993"/>
    <w:rsid w:val="006649CC"/>
    <w:rsid w:val="006649CE"/>
    <w:rsid w:val="00664B34"/>
    <w:rsid w:val="00664BAD"/>
    <w:rsid w:val="00664C3E"/>
    <w:rsid w:val="00664C8B"/>
    <w:rsid w:val="00664D2C"/>
    <w:rsid w:val="00664D8B"/>
    <w:rsid w:val="00664DA5"/>
    <w:rsid w:val="00664F61"/>
    <w:rsid w:val="00664F7C"/>
    <w:rsid w:val="00664FFC"/>
    <w:rsid w:val="006650C5"/>
    <w:rsid w:val="00665140"/>
    <w:rsid w:val="006652E1"/>
    <w:rsid w:val="00665419"/>
    <w:rsid w:val="00665448"/>
    <w:rsid w:val="006654D9"/>
    <w:rsid w:val="00665503"/>
    <w:rsid w:val="00665576"/>
    <w:rsid w:val="00665584"/>
    <w:rsid w:val="006655E4"/>
    <w:rsid w:val="006656D1"/>
    <w:rsid w:val="006656D4"/>
    <w:rsid w:val="0066575D"/>
    <w:rsid w:val="006658A1"/>
    <w:rsid w:val="0066599F"/>
    <w:rsid w:val="00665A66"/>
    <w:rsid w:val="00665AD7"/>
    <w:rsid w:val="00665BAF"/>
    <w:rsid w:val="00665CB3"/>
    <w:rsid w:val="00665D9E"/>
    <w:rsid w:val="00665E01"/>
    <w:rsid w:val="00665F92"/>
    <w:rsid w:val="00666081"/>
    <w:rsid w:val="0066622C"/>
    <w:rsid w:val="0066623A"/>
    <w:rsid w:val="00666414"/>
    <w:rsid w:val="00666495"/>
    <w:rsid w:val="00666642"/>
    <w:rsid w:val="006666FA"/>
    <w:rsid w:val="00666711"/>
    <w:rsid w:val="0066674C"/>
    <w:rsid w:val="00666822"/>
    <w:rsid w:val="0066683D"/>
    <w:rsid w:val="0066684B"/>
    <w:rsid w:val="006668AC"/>
    <w:rsid w:val="00666992"/>
    <w:rsid w:val="006669FE"/>
    <w:rsid w:val="00666A49"/>
    <w:rsid w:val="00666A68"/>
    <w:rsid w:val="00666B11"/>
    <w:rsid w:val="00666D7D"/>
    <w:rsid w:val="00666E53"/>
    <w:rsid w:val="00666F1D"/>
    <w:rsid w:val="00666F82"/>
    <w:rsid w:val="00666FB4"/>
    <w:rsid w:val="0066704C"/>
    <w:rsid w:val="00667065"/>
    <w:rsid w:val="0066706F"/>
    <w:rsid w:val="0066712B"/>
    <w:rsid w:val="0066718D"/>
    <w:rsid w:val="00667192"/>
    <w:rsid w:val="006671C3"/>
    <w:rsid w:val="006671F5"/>
    <w:rsid w:val="006671F9"/>
    <w:rsid w:val="0066748F"/>
    <w:rsid w:val="006674A8"/>
    <w:rsid w:val="006674E6"/>
    <w:rsid w:val="006675FC"/>
    <w:rsid w:val="0066766A"/>
    <w:rsid w:val="00667713"/>
    <w:rsid w:val="006677B4"/>
    <w:rsid w:val="0066784A"/>
    <w:rsid w:val="006678E9"/>
    <w:rsid w:val="00667978"/>
    <w:rsid w:val="00667A8F"/>
    <w:rsid w:val="00667AD8"/>
    <w:rsid w:val="00667B3E"/>
    <w:rsid w:val="00667B6D"/>
    <w:rsid w:val="00667B75"/>
    <w:rsid w:val="00667BE6"/>
    <w:rsid w:val="00667CB5"/>
    <w:rsid w:val="00667DBF"/>
    <w:rsid w:val="00667E00"/>
    <w:rsid w:val="00667E59"/>
    <w:rsid w:val="00667E88"/>
    <w:rsid w:val="00667EAD"/>
    <w:rsid w:val="00667FA8"/>
    <w:rsid w:val="00670232"/>
    <w:rsid w:val="006702DA"/>
    <w:rsid w:val="00670470"/>
    <w:rsid w:val="006704AC"/>
    <w:rsid w:val="006706B9"/>
    <w:rsid w:val="006706E4"/>
    <w:rsid w:val="00670728"/>
    <w:rsid w:val="00670858"/>
    <w:rsid w:val="0067096C"/>
    <w:rsid w:val="00670999"/>
    <w:rsid w:val="006709CF"/>
    <w:rsid w:val="006709D5"/>
    <w:rsid w:val="00670AF2"/>
    <w:rsid w:val="00670B1C"/>
    <w:rsid w:val="00670BAE"/>
    <w:rsid w:val="00670BC3"/>
    <w:rsid w:val="00670E23"/>
    <w:rsid w:val="00670E35"/>
    <w:rsid w:val="00670E3A"/>
    <w:rsid w:val="00670EEF"/>
    <w:rsid w:val="00670FDB"/>
    <w:rsid w:val="00671072"/>
    <w:rsid w:val="0067108D"/>
    <w:rsid w:val="0067116D"/>
    <w:rsid w:val="00671394"/>
    <w:rsid w:val="006713A7"/>
    <w:rsid w:val="0067162D"/>
    <w:rsid w:val="00671659"/>
    <w:rsid w:val="0067167C"/>
    <w:rsid w:val="00671765"/>
    <w:rsid w:val="0067176E"/>
    <w:rsid w:val="006717C4"/>
    <w:rsid w:val="00671961"/>
    <w:rsid w:val="00671AEA"/>
    <w:rsid w:val="00671B5F"/>
    <w:rsid w:val="00671BCD"/>
    <w:rsid w:val="00671BF7"/>
    <w:rsid w:val="00671C6E"/>
    <w:rsid w:val="00671CFB"/>
    <w:rsid w:val="00671CFE"/>
    <w:rsid w:val="00671D04"/>
    <w:rsid w:val="00671D17"/>
    <w:rsid w:val="00671D6F"/>
    <w:rsid w:val="00671E9F"/>
    <w:rsid w:val="00671F27"/>
    <w:rsid w:val="00671F43"/>
    <w:rsid w:val="00671F7D"/>
    <w:rsid w:val="00671F95"/>
    <w:rsid w:val="00671FC1"/>
    <w:rsid w:val="00672098"/>
    <w:rsid w:val="006720DF"/>
    <w:rsid w:val="006721F9"/>
    <w:rsid w:val="00672244"/>
    <w:rsid w:val="006722D8"/>
    <w:rsid w:val="00672317"/>
    <w:rsid w:val="00672438"/>
    <w:rsid w:val="00672538"/>
    <w:rsid w:val="0067259C"/>
    <w:rsid w:val="006725A0"/>
    <w:rsid w:val="0067284F"/>
    <w:rsid w:val="00672890"/>
    <w:rsid w:val="006728AD"/>
    <w:rsid w:val="006729CD"/>
    <w:rsid w:val="00672A8A"/>
    <w:rsid w:val="00672AA2"/>
    <w:rsid w:val="00672AA9"/>
    <w:rsid w:val="00672CC8"/>
    <w:rsid w:val="00672D53"/>
    <w:rsid w:val="00672D58"/>
    <w:rsid w:val="00672E13"/>
    <w:rsid w:val="00672E9D"/>
    <w:rsid w:val="00672F29"/>
    <w:rsid w:val="00673070"/>
    <w:rsid w:val="006730DF"/>
    <w:rsid w:val="00673115"/>
    <w:rsid w:val="0067322E"/>
    <w:rsid w:val="006732B4"/>
    <w:rsid w:val="00673335"/>
    <w:rsid w:val="006734B2"/>
    <w:rsid w:val="00673638"/>
    <w:rsid w:val="0067365D"/>
    <w:rsid w:val="00673931"/>
    <w:rsid w:val="00673A6B"/>
    <w:rsid w:val="00673A81"/>
    <w:rsid w:val="00673BB6"/>
    <w:rsid w:val="00673CF1"/>
    <w:rsid w:val="00673D0C"/>
    <w:rsid w:val="00673D3F"/>
    <w:rsid w:val="00673DB0"/>
    <w:rsid w:val="00673E39"/>
    <w:rsid w:val="00673F5D"/>
    <w:rsid w:val="00673F84"/>
    <w:rsid w:val="0067404E"/>
    <w:rsid w:val="00674089"/>
    <w:rsid w:val="0067408A"/>
    <w:rsid w:val="006740E8"/>
    <w:rsid w:val="00674154"/>
    <w:rsid w:val="006741C4"/>
    <w:rsid w:val="006742A9"/>
    <w:rsid w:val="006742F5"/>
    <w:rsid w:val="0067439F"/>
    <w:rsid w:val="006743A6"/>
    <w:rsid w:val="006743C6"/>
    <w:rsid w:val="006743E9"/>
    <w:rsid w:val="0067455B"/>
    <w:rsid w:val="006745D5"/>
    <w:rsid w:val="006746C6"/>
    <w:rsid w:val="00674712"/>
    <w:rsid w:val="0067481B"/>
    <w:rsid w:val="006748EF"/>
    <w:rsid w:val="00674903"/>
    <w:rsid w:val="00674B7A"/>
    <w:rsid w:val="00674C93"/>
    <w:rsid w:val="00674CF8"/>
    <w:rsid w:val="00674D23"/>
    <w:rsid w:val="00674E33"/>
    <w:rsid w:val="00674F61"/>
    <w:rsid w:val="006750D0"/>
    <w:rsid w:val="0067511B"/>
    <w:rsid w:val="00675127"/>
    <w:rsid w:val="00675170"/>
    <w:rsid w:val="006751BA"/>
    <w:rsid w:val="006751F5"/>
    <w:rsid w:val="0067522B"/>
    <w:rsid w:val="00675235"/>
    <w:rsid w:val="00675268"/>
    <w:rsid w:val="0067526B"/>
    <w:rsid w:val="00675318"/>
    <w:rsid w:val="00675324"/>
    <w:rsid w:val="00675387"/>
    <w:rsid w:val="00675432"/>
    <w:rsid w:val="0067558C"/>
    <w:rsid w:val="00675618"/>
    <w:rsid w:val="00675630"/>
    <w:rsid w:val="0067567D"/>
    <w:rsid w:val="0067569F"/>
    <w:rsid w:val="006757D1"/>
    <w:rsid w:val="0067599A"/>
    <w:rsid w:val="00675A05"/>
    <w:rsid w:val="00675A7C"/>
    <w:rsid w:val="00675AFE"/>
    <w:rsid w:val="00675B0C"/>
    <w:rsid w:val="00675BD7"/>
    <w:rsid w:val="00675C1D"/>
    <w:rsid w:val="00675C75"/>
    <w:rsid w:val="00675CA1"/>
    <w:rsid w:val="00675CC8"/>
    <w:rsid w:val="00675CCA"/>
    <w:rsid w:val="00675CD9"/>
    <w:rsid w:val="00675D88"/>
    <w:rsid w:val="00675E32"/>
    <w:rsid w:val="00675EFD"/>
    <w:rsid w:val="00675F1A"/>
    <w:rsid w:val="006761CC"/>
    <w:rsid w:val="006762CC"/>
    <w:rsid w:val="006762F5"/>
    <w:rsid w:val="0067644F"/>
    <w:rsid w:val="00676576"/>
    <w:rsid w:val="006765E5"/>
    <w:rsid w:val="0067664C"/>
    <w:rsid w:val="0067674B"/>
    <w:rsid w:val="0067687C"/>
    <w:rsid w:val="0067690B"/>
    <w:rsid w:val="00676ABC"/>
    <w:rsid w:val="00676ACF"/>
    <w:rsid w:val="00676BE1"/>
    <w:rsid w:val="00676CCC"/>
    <w:rsid w:val="00676CF2"/>
    <w:rsid w:val="00676D63"/>
    <w:rsid w:val="00676D92"/>
    <w:rsid w:val="00676E19"/>
    <w:rsid w:val="00676E41"/>
    <w:rsid w:val="00676E6F"/>
    <w:rsid w:val="00676FA1"/>
    <w:rsid w:val="0067708D"/>
    <w:rsid w:val="00677104"/>
    <w:rsid w:val="00677155"/>
    <w:rsid w:val="00677258"/>
    <w:rsid w:val="006772D6"/>
    <w:rsid w:val="00677348"/>
    <w:rsid w:val="00677384"/>
    <w:rsid w:val="00677391"/>
    <w:rsid w:val="00677513"/>
    <w:rsid w:val="00677676"/>
    <w:rsid w:val="006776E1"/>
    <w:rsid w:val="006777D8"/>
    <w:rsid w:val="006777EA"/>
    <w:rsid w:val="00677908"/>
    <w:rsid w:val="0067791D"/>
    <w:rsid w:val="00677979"/>
    <w:rsid w:val="0067797F"/>
    <w:rsid w:val="00677A5C"/>
    <w:rsid w:val="00677A6A"/>
    <w:rsid w:val="00677B4C"/>
    <w:rsid w:val="00677B9D"/>
    <w:rsid w:val="00677D8A"/>
    <w:rsid w:val="00680129"/>
    <w:rsid w:val="006801B2"/>
    <w:rsid w:val="006801E0"/>
    <w:rsid w:val="0068026C"/>
    <w:rsid w:val="0068029B"/>
    <w:rsid w:val="00680318"/>
    <w:rsid w:val="0068038F"/>
    <w:rsid w:val="00680515"/>
    <w:rsid w:val="00680518"/>
    <w:rsid w:val="0068053A"/>
    <w:rsid w:val="0068058C"/>
    <w:rsid w:val="0068071D"/>
    <w:rsid w:val="006807B6"/>
    <w:rsid w:val="00680864"/>
    <w:rsid w:val="006808D4"/>
    <w:rsid w:val="006809AD"/>
    <w:rsid w:val="00680A85"/>
    <w:rsid w:val="00680ACD"/>
    <w:rsid w:val="00680CE1"/>
    <w:rsid w:val="00680CF6"/>
    <w:rsid w:val="00680D49"/>
    <w:rsid w:val="00680DB6"/>
    <w:rsid w:val="00680E66"/>
    <w:rsid w:val="00680E70"/>
    <w:rsid w:val="00680E7F"/>
    <w:rsid w:val="00680F2F"/>
    <w:rsid w:val="00680FAF"/>
    <w:rsid w:val="00681051"/>
    <w:rsid w:val="00681054"/>
    <w:rsid w:val="0068120C"/>
    <w:rsid w:val="006812BB"/>
    <w:rsid w:val="00681347"/>
    <w:rsid w:val="0068148A"/>
    <w:rsid w:val="0068156F"/>
    <w:rsid w:val="00681633"/>
    <w:rsid w:val="00681706"/>
    <w:rsid w:val="006817A0"/>
    <w:rsid w:val="006817B5"/>
    <w:rsid w:val="006817C3"/>
    <w:rsid w:val="006817FC"/>
    <w:rsid w:val="00681873"/>
    <w:rsid w:val="00681971"/>
    <w:rsid w:val="006819BA"/>
    <w:rsid w:val="006819C0"/>
    <w:rsid w:val="00681AEE"/>
    <w:rsid w:val="00681AFF"/>
    <w:rsid w:val="00681B48"/>
    <w:rsid w:val="00681B57"/>
    <w:rsid w:val="00681BAD"/>
    <w:rsid w:val="00681C49"/>
    <w:rsid w:val="00681E18"/>
    <w:rsid w:val="00681ED1"/>
    <w:rsid w:val="00681EED"/>
    <w:rsid w:val="00681FAF"/>
    <w:rsid w:val="00681FC7"/>
    <w:rsid w:val="0068205E"/>
    <w:rsid w:val="006820D2"/>
    <w:rsid w:val="00682129"/>
    <w:rsid w:val="0068212F"/>
    <w:rsid w:val="0068216C"/>
    <w:rsid w:val="0068221C"/>
    <w:rsid w:val="006823E9"/>
    <w:rsid w:val="0068246B"/>
    <w:rsid w:val="006824C5"/>
    <w:rsid w:val="0068254B"/>
    <w:rsid w:val="006826AA"/>
    <w:rsid w:val="006826E1"/>
    <w:rsid w:val="006827B0"/>
    <w:rsid w:val="0068281E"/>
    <w:rsid w:val="00682919"/>
    <w:rsid w:val="00682933"/>
    <w:rsid w:val="0068296F"/>
    <w:rsid w:val="00682A77"/>
    <w:rsid w:val="00682BCD"/>
    <w:rsid w:val="00682C6D"/>
    <w:rsid w:val="00682CCC"/>
    <w:rsid w:val="00682D6E"/>
    <w:rsid w:val="00682D72"/>
    <w:rsid w:val="00682D79"/>
    <w:rsid w:val="00682DCA"/>
    <w:rsid w:val="00682DD7"/>
    <w:rsid w:val="00682E70"/>
    <w:rsid w:val="00682EA6"/>
    <w:rsid w:val="00682EB1"/>
    <w:rsid w:val="00682F18"/>
    <w:rsid w:val="00682F40"/>
    <w:rsid w:val="00683025"/>
    <w:rsid w:val="006830F4"/>
    <w:rsid w:val="006831DD"/>
    <w:rsid w:val="00683280"/>
    <w:rsid w:val="0068329E"/>
    <w:rsid w:val="00683370"/>
    <w:rsid w:val="006834AF"/>
    <w:rsid w:val="0068366E"/>
    <w:rsid w:val="006836CC"/>
    <w:rsid w:val="00683714"/>
    <w:rsid w:val="006837CD"/>
    <w:rsid w:val="006837FA"/>
    <w:rsid w:val="006839B4"/>
    <w:rsid w:val="00683A05"/>
    <w:rsid w:val="00683A1B"/>
    <w:rsid w:val="00683B1F"/>
    <w:rsid w:val="00683B4B"/>
    <w:rsid w:val="00683B6D"/>
    <w:rsid w:val="00683BB9"/>
    <w:rsid w:val="00683C96"/>
    <w:rsid w:val="00683CD1"/>
    <w:rsid w:val="00683DB2"/>
    <w:rsid w:val="00683E27"/>
    <w:rsid w:val="00683E28"/>
    <w:rsid w:val="00683E2B"/>
    <w:rsid w:val="00683E31"/>
    <w:rsid w:val="00683EEC"/>
    <w:rsid w:val="00683F3B"/>
    <w:rsid w:val="00683FD7"/>
    <w:rsid w:val="006840AC"/>
    <w:rsid w:val="006840F2"/>
    <w:rsid w:val="00684149"/>
    <w:rsid w:val="0068421A"/>
    <w:rsid w:val="00684221"/>
    <w:rsid w:val="0068435C"/>
    <w:rsid w:val="006843A0"/>
    <w:rsid w:val="006845AD"/>
    <w:rsid w:val="00684673"/>
    <w:rsid w:val="006846EF"/>
    <w:rsid w:val="0068484B"/>
    <w:rsid w:val="0068488A"/>
    <w:rsid w:val="00684899"/>
    <w:rsid w:val="0068489F"/>
    <w:rsid w:val="006848E7"/>
    <w:rsid w:val="00684910"/>
    <w:rsid w:val="00684949"/>
    <w:rsid w:val="006849D6"/>
    <w:rsid w:val="006849D7"/>
    <w:rsid w:val="00684A0C"/>
    <w:rsid w:val="00684A9A"/>
    <w:rsid w:val="00684AAE"/>
    <w:rsid w:val="00684B24"/>
    <w:rsid w:val="00684C84"/>
    <w:rsid w:val="00684E9A"/>
    <w:rsid w:val="00684F0E"/>
    <w:rsid w:val="0068503D"/>
    <w:rsid w:val="00685059"/>
    <w:rsid w:val="00685120"/>
    <w:rsid w:val="0068517A"/>
    <w:rsid w:val="0068521E"/>
    <w:rsid w:val="006852A3"/>
    <w:rsid w:val="00685384"/>
    <w:rsid w:val="0068540D"/>
    <w:rsid w:val="0068547E"/>
    <w:rsid w:val="0068548D"/>
    <w:rsid w:val="006855F6"/>
    <w:rsid w:val="006856D2"/>
    <w:rsid w:val="00685877"/>
    <w:rsid w:val="00685984"/>
    <w:rsid w:val="00685A64"/>
    <w:rsid w:val="00685B7E"/>
    <w:rsid w:val="00685C7D"/>
    <w:rsid w:val="00685D20"/>
    <w:rsid w:val="00685D93"/>
    <w:rsid w:val="00685E56"/>
    <w:rsid w:val="00685E8C"/>
    <w:rsid w:val="00685FD6"/>
    <w:rsid w:val="00685FEB"/>
    <w:rsid w:val="0068617A"/>
    <w:rsid w:val="006861ED"/>
    <w:rsid w:val="00686205"/>
    <w:rsid w:val="0068623F"/>
    <w:rsid w:val="00686343"/>
    <w:rsid w:val="00686382"/>
    <w:rsid w:val="006863CB"/>
    <w:rsid w:val="0068642D"/>
    <w:rsid w:val="00686430"/>
    <w:rsid w:val="0068644F"/>
    <w:rsid w:val="00686506"/>
    <w:rsid w:val="00686606"/>
    <w:rsid w:val="0068665D"/>
    <w:rsid w:val="00686773"/>
    <w:rsid w:val="00686893"/>
    <w:rsid w:val="00686945"/>
    <w:rsid w:val="00686B09"/>
    <w:rsid w:val="00686D36"/>
    <w:rsid w:val="00686D5E"/>
    <w:rsid w:val="00686DB2"/>
    <w:rsid w:val="00686DBD"/>
    <w:rsid w:val="00686DC3"/>
    <w:rsid w:val="00686E12"/>
    <w:rsid w:val="00686EF4"/>
    <w:rsid w:val="00686F42"/>
    <w:rsid w:val="0068708D"/>
    <w:rsid w:val="006870EE"/>
    <w:rsid w:val="00687123"/>
    <w:rsid w:val="00687258"/>
    <w:rsid w:val="006872BB"/>
    <w:rsid w:val="00687328"/>
    <w:rsid w:val="00687508"/>
    <w:rsid w:val="006875DB"/>
    <w:rsid w:val="00687620"/>
    <w:rsid w:val="006876AB"/>
    <w:rsid w:val="006877E8"/>
    <w:rsid w:val="00687805"/>
    <w:rsid w:val="00687895"/>
    <w:rsid w:val="00687943"/>
    <w:rsid w:val="0068795F"/>
    <w:rsid w:val="00687AE5"/>
    <w:rsid w:val="00687C74"/>
    <w:rsid w:val="00687E2A"/>
    <w:rsid w:val="00687EA6"/>
    <w:rsid w:val="00687F37"/>
    <w:rsid w:val="00687F91"/>
    <w:rsid w:val="00690027"/>
    <w:rsid w:val="00690029"/>
    <w:rsid w:val="00690034"/>
    <w:rsid w:val="006900E7"/>
    <w:rsid w:val="00690176"/>
    <w:rsid w:val="00690235"/>
    <w:rsid w:val="0069028B"/>
    <w:rsid w:val="00690351"/>
    <w:rsid w:val="00690372"/>
    <w:rsid w:val="00690609"/>
    <w:rsid w:val="00690638"/>
    <w:rsid w:val="00690657"/>
    <w:rsid w:val="0069066F"/>
    <w:rsid w:val="00690702"/>
    <w:rsid w:val="00690848"/>
    <w:rsid w:val="00690854"/>
    <w:rsid w:val="006908EB"/>
    <w:rsid w:val="0069090B"/>
    <w:rsid w:val="00690914"/>
    <w:rsid w:val="006909EA"/>
    <w:rsid w:val="00690A4C"/>
    <w:rsid w:val="00690CD8"/>
    <w:rsid w:val="00690CDF"/>
    <w:rsid w:val="00690DE7"/>
    <w:rsid w:val="00690DFC"/>
    <w:rsid w:val="00690ED2"/>
    <w:rsid w:val="00690F47"/>
    <w:rsid w:val="00691055"/>
    <w:rsid w:val="0069109B"/>
    <w:rsid w:val="006910AC"/>
    <w:rsid w:val="006910E7"/>
    <w:rsid w:val="0069119D"/>
    <w:rsid w:val="006911F7"/>
    <w:rsid w:val="006912BE"/>
    <w:rsid w:val="0069131F"/>
    <w:rsid w:val="00691383"/>
    <w:rsid w:val="006913D9"/>
    <w:rsid w:val="0069142E"/>
    <w:rsid w:val="00691451"/>
    <w:rsid w:val="006914A9"/>
    <w:rsid w:val="0069151E"/>
    <w:rsid w:val="00691571"/>
    <w:rsid w:val="0069167A"/>
    <w:rsid w:val="006916C5"/>
    <w:rsid w:val="006916C6"/>
    <w:rsid w:val="00691788"/>
    <w:rsid w:val="006917BF"/>
    <w:rsid w:val="0069188B"/>
    <w:rsid w:val="0069197A"/>
    <w:rsid w:val="00691A2B"/>
    <w:rsid w:val="00691A45"/>
    <w:rsid w:val="00691A82"/>
    <w:rsid w:val="00691B13"/>
    <w:rsid w:val="00691B14"/>
    <w:rsid w:val="00691B5D"/>
    <w:rsid w:val="00691B67"/>
    <w:rsid w:val="00691BE9"/>
    <w:rsid w:val="00691C70"/>
    <w:rsid w:val="00691CB7"/>
    <w:rsid w:val="00691D53"/>
    <w:rsid w:val="00691E26"/>
    <w:rsid w:val="00691E2E"/>
    <w:rsid w:val="00691EF4"/>
    <w:rsid w:val="00691FB3"/>
    <w:rsid w:val="00692057"/>
    <w:rsid w:val="006921A5"/>
    <w:rsid w:val="00692285"/>
    <w:rsid w:val="006922BA"/>
    <w:rsid w:val="006923AE"/>
    <w:rsid w:val="006924AD"/>
    <w:rsid w:val="006924B4"/>
    <w:rsid w:val="006924C7"/>
    <w:rsid w:val="006924FA"/>
    <w:rsid w:val="0069267C"/>
    <w:rsid w:val="006926E6"/>
    <w:rsid w:val="006926F5"/>
    <w:rsid w:val="00692767"/>
    <w:rsid w:val="006928A0"/>
    <w:rsid w:val="006929ED"/>
    <w:rsid w:val="00692A40"/>
    <w:rsid w:val="00692AF3"/>
    <w:rsid w:val="00692C0D"/>
    <w:rsid w:val="00692C28"/>
    <w:rsid w:val="00692C3F"/>
    <w:rsid w:val="00692D01"/>
    <w:rsid w:val="00692E34"/>
    <w:rsid w:val="00692E3B"/>
    <w:rsid w:val="0069301E"/>
    <w:rsid w:val="00693061"/>
    <w:rsid w:val="006930FB"/>
    <w:rsid w:val="00693168"/>
    <w:rsid w:val="006931A8"/>
    <w:rsid w:val="006932D9"/>
    <w:rsid w:val="006932E4"/>
    <w:rsid w:val="006933F2"/>
    <w:rsid w:val="00693435"/>
    <w:rsid w:val="00693466"/>
    <w:rsid w:val="00693503"/>
    <w:rsid w:val="0069354C"/>
    <w:rsid w:val="0069358D"/>
    <w:rsid w:val="006935F9"/>
    <w:rsid w:val="0069368D"/>
    <w:rsid w:val="0069372E"/>
    <w:rsid w:val="006937DE"/>
    <w:rsid w:val="0069387B"/>
    <w:rsid w:val="00693959"/>
    <w:rsid w:val="00693B3E"/>
    <w:rsid w:val="00693B44"/>
    <w:rsid w:val="00693BA6"/>
    <w:rsid w:val="00693C48"/>
    <w:rsid w:val="00693C68"/>
    <w:rsid w:val="00693CC6"/>
    <w:rsid w:val="00693CDC"/>
    <w:rsid w:val="00693D4C"/>
    <w:rsid w:val="00693DE4"/>
    <w:rsid w:val="00693DE5"/>
    <w:rsid w:val="00693DE8"/>
    <w:rsid w:val="00693FC9"/>
    <w:rsid w:val="00694016"/>
    <w:rsid w:val="00694043"/>
    <w:rsid w:val="006940C7"/>
    <w:rsid w:val="00694137"/>
    <w:rsid w:val="0069415D"/>
    <w:rsid w:val="0069426F"/>
    <w:rsid w:val="0069433D"/>
    <w:rsid w:val="0069438C"/>
    <w:rsid w:val="006943F9"/>
    <w:rsid w:val="006944EE"/>
    <w:rsid w:val="00694555"/>
    <w:rsid w:val="0069457F"/>
    <w:rsid w:val="006945ED"/>
    <w:rsid w:val="0069471B"/>
    <w:rsid w:val="00694834"/>
    <w:rsid w:val="00694868"/>
    <w:rsid w:val="00694877"/>
    <w:rsid w:val="00694881"/>
    <w:rsid w:val="006948C8"/>
    <w:rsid w:val="00694909"/>
    <w:rsid w:val="00694988"/>
    <w:rsid w:val="006949D8"/>
    <w:rsid w:val="00694AD7"/>
    <w:rsid w:val="00694B29"/>
    <w:rsid w:val="00694DB4"/>
    <w:rsid w:val="00694DE0"/>
    <w:rsid w:val="00694E5C"/>
    <w:rsid w:val="00694F13"/>
    <w:rsid w:val="00694F38"/>
    <w:rsid w:val="00694FE2"/>
    <w:rsid w:val="00695090"/>
    <w:rsid w:val="006950B1"/>
    <w:rsid w:val="0069511C"/>
    <w:rsid w:val="00695173"/>
    <w:rsid w:val="00695184"/>
    <w:rsid w:val="006951AE"/>
    <w:rsid w:val="00695282"/>
    <w:rsid w:val="006952B3"/>
    <w:rsid w:val="00695312"/>
    <w:rsid w:val="00695569"/>
    <w:rsid w:val="006955BA"/>
    <w:rsid w:val="006956BD"/>
    <w:rsid w:val="006956D8"/>
    <w:rsid w:val="006957BB"/>
    <w:rsid w:val="006958B0"/>
    <w:rsid w:val="006958F6"/>
    <w:rsid w:val="00695971"/>
    <w:rsid w:val="006959E7"/>
    <w:rsid w:val="00695A3E"/>
    <w:rsid w:val="00695A7C"/>
    <w:rsid w:val="00695AFD"/>
    <w:rsid w:val="00695B2B"/>
    <w:rsid w:val="00695BB6"/>
    <w:rsid w:val="00695C15"/>
    <w:rsid w:val="00695C64"/>
    <w:rsid w:val="00695CD0"/>
    <w:rsid w:val="00695D00"/>
    <w:rsid w:val="00695D08"/>
    <w:rsid w:val="00695D56"/>
    <w:rsid w:val="00695E41"/>
    <w:rsid w:val="00695E9E"/>
    <w:rsid w:val="00695F03"/>
    <w:rsid w:val="00695FE2"/>
    <w:rsid w:val="00696198"/>
    <w:rsid w:val="0069634C"/>
    <w:rsid w:val="006964F6"/>
    <w:rsid w:val="00696522"/>
    <w:rsid w:val="006965D9"/>
    <w:rsid w:val="006966CF"/>
    <w:rsid w:val="00696719"/>
    <w:rsid w:val="006967E9"/>
    <w:rsid w:val="0069681A"/>
    <w:rsid w:val="0069697F"/>
    <w:rsid w:val="006969CE"/>
    <w:rsid w:val="00696AE7"/>
    <w:rsid w:val="00696B04"/>
    <w:rsid w:val="00696B05"/>
    <w:rsid w:val="00696BDC"/>
    <w:rsid w:val="00696C92"/>
    <w:rsid w:val="00696CFB"/>
    <w:rsid w:val="00696D5D"/>
    <w:rsid w:val="00696E13"/>
    <w:rsid w:val="00696E3F"/>
    <w:rsid w:val="00696F10"/>
    <w:rsid w:val="00696F22"/>
    <w:rsid w:val="00696F69"/>
    <w:rsid w:val="0069712B"/>
    <w:rsid w:val="0069716C"/>
    <w:rsid w:val="006971DF"/>
    <w:rsid w:val="00697291"/>
    <w:rsid w:val="006972E8"/>
    <w:rsid w:val="00697320"/>
    <w:rsid w:val="00697357"/>
    <w:rsid w:val="006973CB"/>
    <w:rsid w:val="00697430"/>
    <w:rsid w:val="00697475"/>
    <w:rsid w:val="006974B4"/>
    <w:rsid w:val="006974E9"/>
    <w:rsid w:val="00697513"/>
    <w:rsid w:val="0069756D"/>
    <w:rsid w:val="0069760D"/>
    <w:rsid w:val="006979AB"/>
    <w:rsid w:val="00697B57"/>
    <w:rsid w:val="00697BC0"/>
    <w:rsid w:val="00697C35"/>
    <w:rsid w:val="00697C7D"/>
    <w:rsid w:val="00697CB5"/>
    <w:rsid w:val="00697CF4"/>
    <w:rsid w:val="00697D2C"/>
    <w:rsid w:val="00697D54"/>
    <w:rsid w:val="00697D7F"/>
    <w:rsid w:val="00697E22"/>
    <w:rsid w:val="00697E83"/>
    <w:rsid w:val="00697EBB"/>
    <w:rsid w:val="00697F3D"/>
    <w:rsid w:val="00697FB9"/>
    <w:rsid w:val="00697FBA"/>
    <w:rsid w:val="006A0129"/>
    <w:rsid w:val="006A021C"/>
    <w:rsid w:val="006A0294"/>
    <w:rsid w:val="006A02B7"/>
    <w:rsid w:val="006A0432"/>
    <w:rsid w:val="006A0497"/>
    <w:rsid w:val="006A04CB"/>
    <w:rsid w:val="006A0519"/>
    <w:rsid w:val="006A082E"/>
    <w:rsid w:val="006A08CD"/>
    <w:rsid w:val="006A09B1"/>
    <w:rsid w:val="006A0A57"/>
    <w:rsid w:val="006A0B68"/>
    <w:rsid w:val="006A0C5F"/>
    <w:rsid w:val="006A0DEF"/>
    <w:rsid w:val="006A0E58"/>
    <w:rsid w:val="006A0F33"/>
    <w:rsid w:val="006A1002"/>
    <w:rsid w:val="006A11DE"/>
    <w:rsid w:val="006A11EB"/>
    <w:rsid w:val="006A134C"/>
    <w:rsid w:val="006A1361"/>
    <w:rsid w:val="006A13B9"/>
    <w:rsid w:val="006A1402"/>
    <w:rsid w:val="006A1488"/>
    <w:rsid w:val="006A15FE"/>
    <w:rsid w:val="006A16A3"/>
    <w:rsid w:val="006A17BE"/>
    <w:rsid w:val="006A18AE"/>
    <w:rsid w:val="006A191E"/>
    <w:rsid w:val="006A1A2C"/>
    <w:rsid w:val="006A1B62"/>
    <w:rsid w:val="006A1B7B"/>
    <w:rsid w:val="006A1D02"/>
    <w:rsid w:val="006A1D87"/>
    <w:rsid w:val="006A1DAA"/>
    <w:rsid w:val="006A1FAC"/>
    <w:rsid w:val="006A2047"/>
    <w:rsid w:val="006A2114"/>
    <w:rsid w:val="006A2170"/>
    <w:rsid w:val="006A21B6"/>
    <w:rsid w:val="006A2222"/>
    <w:rsid w:val="006A2226"/>
    <w:rsid w:val="006A2258"/>
    <w:rsid w:val="006A22EB"/>
    <w:rsid w:val="006A23AF"/>
    <w:rsid w:val="006A24A1"/>
    <w:rsid w:val="006A24A8"/>
    <w:rsid w:val="006A24DD"/>
    <w:rsid w:val="006A268C"/>
    <w:rsid w:val="006A2694"/>
    <w:rsid w:val="006A285A"/>
    <w:rsid w:val="006A2887"/>
    <w:rsid w:val="006A2890"/>
    <w:rsid w:val="006A296B"/>
    <w:rsid w:val="006A2AA7"/>
    <w:rsid w:val="006A2B17"/>
    <w:rsid w:val="006A2B23"/>
    <w:rsid w:val="006A2BB2"/>
    <w:rsid w:val="006A2CFE"/>
    <w:rsid w:val="006A2D4D"/>
    <w:rsid w:val="006A2DA5"/>
    <w:rsid w:val="006A2DC9"/>
    <w:rsid w:val="006A2DFF"/>
    <w:rsid w:val="006A2ECC"/>
    <w:rsid w:val="006A2F65"/>
    <w:rsid w:val="006A2F76"/>
    <w:rsid w:val="006A2F85"/>
    <w:rsid w:val="006A2FE7"/>
    <w:rsid w:val="006A3008"/>
    <w:rsid w:val="006A3146"/>
    <w:rsid w:val="006A31A4"/>
    <w:rsid w:val="006A3333"/>
    <w:rsid w:val="006A3450"/>
    <w:rsid w:val="006A35C6"/>
    <w:rsid w:val="006A35D9"/>
    <w:rsid w:val="006A3614"/>
    <w:rsid w:val="006A3628"/>
    <w:rsid w:val="006A3787"/>
    <w:rsid w:val="006A3790"/>
    <w:rsid w:val="006A37C5"/>
    <w:rsid w:val="006A37C8"/>
    <w:rsid w:val="006A3831"/>
    <w:rsid w:val="006A3877"/>
    <w:rsid w:val="006A38A3"/>
    <w:rsid w:val="006A398B"/>
    <w:rsid w:val="006A3A4F"/>
    <w:rsid w:val="006A3A64"/>
    <w:rsid w:val="006A3A72"/>
    <w:rsid w:val="006A3A83"/>
    <w:rsid w:val="006A3BA9"/>
    <w:rsid w:val="006A3C53"/>
    <w:rsid w:val="006A3C81"/>
    <w:rsid w:val="006A3CB6"/>
    <w:rsid w:val="006A3DFB"/>
    <w:rsid w:val="006A4080"/>
    <w:rsid w:val="006A4165"/>
    <w:rsid w:val="006A4269"/>
    <w:rsid w:val="006A4302"/>
    <w:rsid w:val="006A4453"/>
    <w:rsid w:val="006A4477"/>
    <w:rsid w:val="006A44AE"/>
    <w:rsid w:val="006A44B0"/>
    <w:rsid w:val="006A469C"/>
    <w:rsid w:val="006A46FA"/>
    <w:rsid w:val="006A4713"/>
    <w:rsid w:val="006A477E"/>
    <w:rsid w:val="006A47A2"/>
    <w:rsid w:val="006A480B"/>
    <w:rsid w:val="006A48F9"/>
    <w:rsid w:val="006A495E"/>
    <w:rsid w:val="006A4987"/>
    <w:rsid w:val="006A4BC2"/>
    <w:rsid w:val="006A4BE1"/>
    <w:rsid w:val="006A4BF7"/>
    <w:rsid w:val="006A4D24"/>
    <w:rsid w:val="006A4DA5"/>
    <w:rsid w:val="006A4DB9"/>
    <w:rsid w:val="006A4F56"/>
    <w:rsid w:val="006A4FB1"/>
    <w:rsid w:val="006A5040"/>
    <w:rsid w:val="006A5078"/>
    <w:rsid w:val="006A5117"/>
    <w:rsid w:val="006A51AD"/>
    <w:rsid w:val="006A524A"/>
    <w:rsid w:val="006A528E"/>
    <w:rsid w:val="006A529E"/>
    <w:rsid w:val="006A531E"/>
    <w:rsid w:val="006A542A"/>
    <w:rsid w:val="006A544F"/>
    <w:rsid w:val="006A5611"/>
    <w:rsid w:val="006A571E"/>
    <w:rsid w:val="006A578F"/>
    <w:rsid w:val="006A5954"/>
    <w:rsid w:val="006A595A"/>
    <w:rsid w:val="006A5B3C"/>
    <w:rsid w:val="006A5B4D"/>
    <w:rsid w:val="006A5BD8"/>
    <w:rsid w:val="006A5CE3"/>
    <w:rsid w:val="006A5CF5"/>
    <w:rsid w:val="006A5D49"/>
    <w:rsid w:val="006A5DCC"/>
    <w:rsid w:val="006A5E8F"/>
    <w:rsid w:val="006A5EAE"/>
    <w:rsid w:val="006A5F03"/>
    <w:rsid w:val="006A5F71"/>
    <w:rsid w:val="006A5FA5"/>
    <w:rsid w:val="006A601A"/>
    <w:rsid w:val="006A601F"/>
    <w:rsid w:val="006A6036"/>
    <w:rsid w:val="006A6056"/>
    <w:rsid w:val="006A607E"/>
    <w:rsid w:val="006A6182"/>
    <w:rsid w:val="006A62AB"/>
    <w:rsid w:val="006A62D8"/>
    <w:rsid w:val="006A62F3"/>
    <w:rsid w:val="006A6398"/>
    <w:rsid w:val="006A6487"/>
    <w:rsid w:val="006A648C"/>
    <w:rsid w:val="006A6538"/>
    <w:rsid w:val="006A6705"/>
    <w:rsid w:val="006A68F7"/>
    <w:rsid w:val="006A6A25"/>
    <w:rsid w:val="006A6AE6"/>
    <w:rsid w:val="006A6B94"/>
    <w:rsid w:val="006A6BEF"/>
    <w:rsid w:val="006A6CC2"/>
    <w:rsid w:val="006A6D66"/>
    <w:rsid w:val="006A6EEA"/>
    <w:rsid w:val="006A7064"/>
    <w:rsid w:val="006A71A2"/>
    <w:rsid w:val="006A71BF"/>
    <w:rsid w:val="006A71F7"/>
    <w:rsid w:val="006A721C"/>
    <w:rsid w:val="006A72FC"/>
    <w:rsid w:val="006A73A4"/>
    <w:rsid w:val="006A73EE"/>
    <w:rsid w:val="006A75CC"/>
    <w:rsid w:val="006A76A3"/>
    <w:rsid w:val="006A76C1"/>
    <w:rsid w:val="006A779D"/>
    <w:rsid w:val="006A77D0"/>
    <w:rsid w:val="006A792D"/>
    <w:rsid w:val="006A793B"/>
    <w:rsid w:val="006A7A0E"/>
    <w:rsid w:val="006A7AC1"/>
    <w:rsid w:val="006A7AC4"/>
    <w:rsid w:val="006A7B8B"/>
    <w:rsid w:val="006A7BB4"/>
    <w:rsid w:val="006A7D6E"/>
    <w:rsid w:val="006A7DA1"/>
    <w:rsid w:val="006A7FBC"/>
    <w:rsid w:val="006B0139"/>
    <w:rsid w:val="006B01DE"/>
    <w:rsid w:val="006B026B"/>
    <w:rsid w:val="006B02D8"/>
    <w:rsid w:val="006B0310"/>
    <w:rsid w:val="006B03BB"/>
    <w:rsid w:val="006B0431"/>
    <w:rsid w:val="006B043A"/>
    <w:rsid w:val="006B04DB"/>
    <w:rsid w:val="006B04ED"/>
    <w:rsid w:val="006B0557"/>
    <w:rsid w:val="006B0601"/>
    <w:rsid w:val="006B06C3"/>
    <w:rsid w:val="006B076E"/>
    <w:rsid w:val="006B08A1"/>
    <w:rsid w:val="006B08F1"/>
    <w:rsid w:val="006B0907"/>
    <w:rsid w:val="006B0A55"/>
    <w:rsid w:val="006B0AB1"/>
    <w:rsid w:val="006B0AD3"/>
    <w:rsid w:val="006B0B0B"/>
    <w:rsid w:val="006B0B0E"/>
    <w:rsid w:val="006B0B43"/>
    <w:rsid w:val="006B0BDE"/>
    <w:rsid w:val="006B0BF2"/>
    <w:rsid w:val="006B0CDD"/>
    <w:rsid w:val="006B0E05"/>
    <w:rsid w:val="006B0F75"/>
    <w:rsid w:val="006B0FC3"/>
    <w:rsid w:val="006B0FF3"/>
    <w:rsid w:val="006B1002"/>
    <w:rsid w:val="006B1037"/>
    <w:rsid w:val="006B10FA"/>
    <w:rsid w:val="006B11D2"/>
    <w:rsid w:val="006B1457"/>
    <w:rsid w:val="006B154C"/>
    <w:rsid w:val="006B1555"/>
    <w:rsid w:val="006B15B8"/>
    <w:rsid w:val="006B1645"/>
    <w:rsid w:val="006B1693"/>
    <w:rsid w:val="006B171C"/>
    <w:rsid w:val="006B1778"/>
    <w:rsid w:val="006B17B9"/>
    <w:rsid w:val="006B184D"/>
    <w:rsid w:val="006B19B0"/>
    <w:rsid w:val="006B1A08"/>
    <w:rsid w:val="006B1A58"/>
    <w:rsid w:val="006B1A5E"/>
    <w:rsid w:val="006B1AA4"/>
    <w:rsid w:val="006B1B61"/>
    <w:rsid w:val="006B1B78"/>
    <w:rsid w:val="006B1BFD"/>
    <w:rsid w:val="006B1D79"/>
    <w:rsid w:val="006B1EBF"/>
    <w:rsid w:val="006B1EFD"/>
    <w:rsid w:val="006B1F18"/>
    <w:rsid w:val="006B2004"/>
    <w:rsid w:val="006B2175"/>
    <w:rsid w:val="006B23D3"/>
    <w:rsid w:val="006B2416"/>
    <w:rsid w:val="006B248A"/>
    <w:rsid w:val="006B24B5"/>
    <w:rsid w:val="006B2530"/>
    <w:rsid w:val="006B259D"/>
    <w:rsid w:val="006B2609"/>
    <w:rsid w:val="006B26ED"/>
    <w:rsid w:val="006B27B7"/>
    <w:rsid w:val="006B28DD"/>
    <w:rsid w:val="006B28F1"/>
    <w:rsid w:val="006B2A53"/>
    <w:rsid w:val="006B2B0C"/>
    <w:rsid w:val="006B2C37"/>
    <w:rsid w:val="006B2C66"/>
    <w:rsid w:val="006B2C9B"/>
    <w:rsid w:val="006B2CD3"/>
    <w:rsid w:val="006B2DA9"/>
    <w:rsid w:val="006B2DB8"/>
    <w:rsid w:val="006B2E47"/>
    <w:rsid w:val="006B2E7B"/>
    <w:rsid w:val="006B2FB8"/>
    <w:rsid w:val="006B301E"/>
    <w:rsid w:val="006B302E"/>
    <w:rsid w:val="006B30D4"/>
    <w:rsid w:val="006B30E6"/>
    <w:rsid w:val="006B3154"/>
    <w:rsid w:val="006B318A"/>
    <w:rsid w:val="006B3265"/>
    <w:rsid w:val="006B33C5"/>
    <w:rsid w:val="006B33CA"/>
    <w:rsid w:val="006B3402"/>
    <w:rsid w:val="006B34C8"/>
    <w:rsid w:val="006B358C"/>
    <w:rsid w:val="006B36C5"/>
    <w:rsid w:val="006B370A"/>
    <w:rsid w:val="006B38BD"/>
    <w:rsid w:val="006B39D8"/>
    <w:rsid w:val="006B39F7"/>
    <w:rsid w:val="006B3A4F"/>
    <w:rsid w:val="006B3B18"/>
    <w:rsid w:val="006B3B2E"/>
    <w:rsid w:val="006B3B4D"/>
    <w:rsid w:val="006B3B76"/>
    <w:rsid w:val="006B3B82"/>
    <w:rsid w:val="006B3CA4"/>
    <w:rsid w:val="006B3D15"/>
    <w:rsid w:val="006B3D1E"/>
    <w:rsid w:val="006B3DE5"/>
    <w:rsid w:val="006B3F19"/>
    <w:rsid w:val="006B3F1C"/>
    <w:rsid w:val="006B3F95"/>
    <w:rsid w:val="006B4027"/>
    <w:rsid w:val="006B4162"/>
    <w:rsid w:val="006B41A1"/>
    <w:rsid w:val="006B4333"/>
    <w:rsid w:val="006B4348"/>
    <w:rsid w:val="006B438E"/>
    <w:rsid w:val="006B43A0"/>
    <w:rsid w:val="006B44B8"/>
    <w:rsid w:val="006B46E0"/>
    <w:rsid w:val="006B4735"/>
    <w:rsid w:val="006B477F"/>
    <w:rsid w:val="006B4781"/>
    <w:rsid w:val="006B4815"/>
    <w:rsid w:val="006B4881"/>
    <w:rsid w:val="006B4967"/>
    <w:rsid w:val="006B4982"/>
    <w:rsid w:val="006B4BD7"/>
    <w:rsid w:val="006B4C6E"/>
    <w:rsid w:val="006B4CDD"/>
    <w:rsid w:val="006B4CE9"/>
    <w:rsid w:val="006B4EF2"/>
    <w:rsid w:val="006B500B"/>
    <w:rsid w:val="006B510A"/>
    <w:rsid w:val="006B547D"/>
    <w:rsid w:val="006B5495"/>
    <w:rsid w:val="006B5577"/>
    <w:rsid w:val="006B5606"/>
    <w:rsid w:val="006B5702"/>
    <w:rsid w:val="006B5775"/>
    <w:rsid w:val="006B5778"/>
    <w:rsid w:val="006B5899"/>
    <w:rsid w:val="006B597F"/>
    <w:rsid w:val="006B59F0"/>
    <w:rsid w:val="006B5B1C"/>
    <w:rsid w:val="006B5BAA"/>
    <w:rsid w:val="006B5C6A"/>
    <w:rsid w:val="006B5CDB"/>
    <w:rsid w:val="006B5D50"/>
    <w:rsid w:val="006B5D63"/>
    <w:rsid w:val="006B5E3F"/>
    <w:rsid w:val="006B5F34"/>
    <w:rsid w:val="006B5F79"/>
    <w:rsid w:val="006B5FB6"/>
    <w:rsid w:val="006B5FBF"/>
    <w:rsid w:val="006B5FE6"/>
    <w:rsid w:val="006B6017"/>
    <w:rsid w:val="006B60F7"/>
    <w:rsid w:val="006B60FB"/>
    <w:rsid w:val="006B6302"/>
    <w:rsid w:val="006B6405"/>
    <w:rsid w:val="006B643F"/>
    <w:rsid w:val="006B6615"/>
    <w:rsid w:val="006B66B1"/>
    <w:rsid w:val="006B6771"/>
    <w:rsid w:val="006B67EA"/>
    <w:rsid w:val="006B686B"/>
    <w:rsid w:val="006B68EB"/>
    <w:rsid w:val="006B6983"/>
    <w:rsid w:val="006B69D8"/>
    <w:rsid w:val="006B6A12"/>
    <w:rsid w:val="006B6BFD"/>
    <w:rsid w:val="006B6C2C"/>
    <w:rsid w:val="006B6C83"/>
    <w:rsid w:val="006B6CA8"/>
    <w:rsid w:val="006B6D9D"/>
    <w:rsid w:val="006B6F9B"/>
    <w:rsid w:val="006B708D"/>
    <w:rsid w:val="006B70F3"/>
    <w:rsid w:val="006B7168"/>
    <w:rsid w:val="006B7197"/>
    <w:rsid w:val="006B71D1"/>
    <w:rsid w:val="006B721D"/>
    <w:rsid w:val="006B7244"/>
    <w:rsid w:val="006B724B"/>
    <w:rsid w:val="006B72D0"/>
    <w:rsid w:val="006B7313"/>
    <w:rsid w:val="006B75AA"/>
    <w:rsid w:val="006B762D"/>
    <w:rsid w:val="006B7658"/>
    <w:rsid w:val="006B771A"/>
    <w:rsid w:val="006B771F"/>
    <w:rsid w:val="006B7788"/>
    <w:rsid w:val="006B778E"/>
    <w:rsid w:val="006B77A4"/>
    <w:rsid w:val="006B7808"/>
    <w:rsid w:val="006B790C"/>
    <w:rsid w:val="006B7984"/>
    <w:rsid w:val="006B7A28"/>
    <w:rsid w:val="006B7BEC"/>
    <w:rsid w:val="006B7BF9"/>
    <w:rsid w:val="006B7C3A"/>
    <w:rsid w:val="006B7CF5"/>
    <w:rsid w:val="006B7DA5"/>
    <w:rsid w:val="006B7FB8"/>
    <w:rsid w:val="006C0115"/>
    <w:rsid w:val="006C01E6"/>
    <w:rsid w:val="006C0276"/>
    <w:rsid w:val="006C03F1"/>
    <w:rsid w:val="006C04CB"/>
    <w:rsid w:val="006C0580"/>
    <w:rsid w:val="006C06EE"/>
    <w:rsid w:val="006C083D"/>
    <w:rsid w:val="006C0866"/>
    <w:rsid w:val="006C098A"/>
    <w:rsid w:val="006C09BA"/>
    <w:rsid w:val="006C0A1D"/>
    <w:rsid w:val="006C0AEE"/>
    <w:rsid w:val="006C0BB1"/>
    <w:rsid w:val="006C0C98"/>
    <w:rsid w:val="006C0DD3"/>
    <w:rsid w:val="006C0E64"/>
    <w:rsid w:val="006C0E8A"/>
    <w:rsid w:val="006C0F30"/>
    <w:rsid w:val="006C0FFA"/>
    <w:rsid w:val="006C1068"/>
    <w:rsid w:val="006C109B"/>
    <w:rsid w:val="006C11F9"/>
    <w:rsid w:val="006C11FE"/>
    <w:rsid w:val="006C12A8"/>
    <w:rsid w:val="006C132C"/>
    <w:rsid w:val="006C1487"/>
    <w:rsid w:val="006C14E0"/>
    <w:rsid w:val="006C15DD"/>
    <w:rsid w:val="006C16EC"/>
    <w:rsid w:val="006C174E"/>
    <w:rsid w:val="006C1754"/>
    <w:rsid w:val="006C18D1"/>
    <w:rsid w:val="006C19A4"/>
    <w:rsid w:val="006C19F5"/>
    <w:rsid w:val="006C1A47"/>
    <w:rsid w:val="006C1A8B"/>
    <w:rsid w:val="006C1AB4"/>
    <w:rsid w:val="006C1B94"/>
    <w:rsid w:val="006C1C65"/>
    <w:rsid w:val="006C1C82"/>
    <w:rsid w:val="006C1D5B"/>
    <w:rsid w:val="006C1EE0"/>
    <w:rsid w:val="006C1F09"/>
    <w:rsid w:val="006C1F48"/>
    <w:rsid w:val="006C1F61"/>
    <w:rsid w:val="006C1FB6"/>
    <w:rsid w:val="006C200D"/>
    <w:rsid w:val="006C2136"/>
    <w:rsid w:val="006C2157"/>
    <w:rsid w:val="006C22AD"/>
    <w:rsid w:val="006C243F"/>
    <w:rsid w:val="006C2588"/>
    <w:rsid w:val="006C27E3"/>
    <w:rsid w:val="006C28C8"/>
    <w:rsid w:val="006C28E5"/>
    <w:rsid w:val="006C2950"/>
    <w:rsid w:val="006C299A"/>
    <w:rsid w:val="006C29A9"/>
    <w:rsid w:val="006C29C8"/>
    <w:rsid w:val="006C2A9A"/>
    <w:rsid w:val="006C2D37"/>
    <w:rsid w:val="006C2E16"/>
    <w:rsid w:val="006C2E2C"/>
    <w:rsid w:val="006C2EA1"/>
    <w:rsid w:val="006C2FA3"/>
    <w:rsid w:val="006C3033"/>
    <w:rsid w:val="006C31DB"/>
    <w:rsid w:val="006C31DE"/>
    <w:rsid w:val="006C3227"/>
    <w:rsid w:val="006C328E"/>
    <w:rsid w:val="006C33E3"/>
    <w:rsid w:val="006C3464"/>
    <w:rsid w:val="006C358B"/>
    <w:rsid w:val="006C35A5"/>
    <w:rsid w:val="006C364B"/>
    <w:rsid w:val="006C36C8"/>
    <w:rsid w:val="006C3982"/>
    <w:rsid w:val="006C3A0E"/>
    <w:rsid w:val="006C3A1A"/>
    <w:rsid w:val="006C3A57"/>
    <w:rsid w:val="006C3A64"/>
    <w:rsid w:val="006C3B08"/>
    <w:rsid w:val="006C3B43"/>
    <w:rsid w:val="006C3CBD"/>
    <w:rsid w:val="006C3D6C"/>
    <w:rsid w:val="006C3DD3"/>
    <w:rsid w:val="006C3E0B"/>
    <w:rsid w:val="006C3E77"/>
    <w:rsid w:val="006C3F44"/>
    <w:rsid w:val="006C4019"/>
    <w:rsid w:val="006C40CB"/>
    <w:rsid w:val="006C413E"/>
    <w:rsid w:val="006C422C"/>
    <w:rsid w:val="006C42FC"/>
    <w:rsid w:val="006C4374"/>
    <w:rsid w:val="006C4423"/>
    <w:rsid w:val="006C4621"/>
    <w:rsid w:val="006C4663"/>
    <w:rsid w:val="006C47B0"/>
    <w:rsid w:val="006C4811"/>
    <w:rsid w:val="006C48C2"/>
    <w:rsid w:val="006C495E"/>
    <w:rsid w:val="006C4988"/>
    <w:rsid w:val="006C49D8"/>
    <w:rsid w:val="006C4A83"/>
    <w:rsid w:val="006C4AA8"/>
    <w:rsid w:val="006C4AAB"/>
    <w:rsid w:val="006C4AFC"/>
    <w:rsid w:val="006C4B02"/>
    <w:rsid w:val="006C4C3A"/>
    <w:rsid w:val="006C4C76"/>
    <w:rsid w:val="006C4D0C"/>
    <w:rsid w:val="006C4D14"/>
    <w:rsid w:val="006C4D37"/>
    <w:rsid w:val="006C4D54"/>
    <w:rsid w:val="006C4D94"/>
    <w:rsid w:val="006C4EA1"/>
    <w:rsid w:val="006C4F49"/>
    <w:rsid w:val="006C4FB8"/>
    <w:rsid w:val="006C502A"/>
    <w:rsid w:val="006C50A4"/>
    <w:rsid w:val="006C5144"/>
    <w:rsid w:val="006C51D2"/>
    <w:rsid w:val="006C51FF"/>
    <w:rsid w:val="006C5218"/>
    <w:rsid w:val="006C522A"/>
    <w:rsid w:val="006C5251"/>
    <w:rsid w:val="006C5300"/>
    <w:rsid w:val="006C5355"/>
    <w:rsid w:val="006C5499"/>
    <w:rsid w:val="006C54BD"/>
    <w:rsid w:val="006C5525"/>
    <w:rsid w:val="006C5632"/>
    <w:rsid w:val="006C5643"/>
    <w:rsid w:val="006C56E9"/>
    <w:rsid w:val="006C5869"/>
    <w:rsid w:val="006C58C7"/>
    <w:rsid w:val="006C5910"/>
    <w:rsid w:val="006C59D0"/>
    <w:rsid w:val="006C5A01"/>
    <w:rsid w:val="006C5B39"/>
    <w:rsid w:val="006C5BB9"/>
    <w:rsid w:val="006C5C47"/>
    <w:rsid w:val="006C5C99"/>
    <w:rsid w:val="006C5D2A"/>
    <w:rsid w:val="006C5D49"/>
    <w:rsid w:val="006C5EA7"/>
    <w:rsid w:val="006C5EF5"/>
    <w:rsid w:val="006C5F22"/>
    <w:rsid w:val="006C602C"/>
    <w:rsid w:val="006C6051"/>
    <w:rsid w:val="006C60F3"/>
    <w:rsid w:val="006C60FB"/>
    <w:rsid w:val="006C61C9"/>
    <w:rsid w:val="006C61F2"/>
    <w:rsid w:val="006C638C"/>
    <w:rsid w:val="006C6441"/>
    <w:rsid w:val="006C6533"/>
    <w:rsid w:val="006C65B1"/>
    <w:rsid w:val="006C666B"/>
    <w:rsid w:val="006C66A7"/>
    <w:rsid w:val="006C66BA"/>
    <w:rsid w:val="006C66D7"/>
    <w:rsid w:val="006C6784"/>
    <w:rsid w:val="006C67D3"/>
    <w:rsid w:val="006C6854"/>
    <w:rsid w:val="006C6A84"/>
    <w:rsid w:val="006C6AD3"/>
    <w:rsid w:val="006C6AF4"/>
    <w:rsid w:val="006C6C88"/>
    <w:rsid w:val="006C6EA5"/>
    <w:rsid w:val="006C6F05"/>
    <w:rsid w:val="006C6F95"/>
    <w:rsid w:val="006C6FC2"/>
    <w:rsid w:val="006C700A"/>
    <w:rsid w:val="006C7061"/>
    <w:rsid w:val="006C7127"/>
    <w:rsid w:val="006C7204"/>
    <w:rsid w:val="006C7210"/>
    <w:rsid w:val="006C7214"/>
    <w:rsid w:val="006C731B"/>
    <w:rsid w:val="006C747E"/>
    <w:rsid w:val="006C74B5"/>
    <w:rsid w:val="006C7515"/>
    <w:rsid w:val="006C7579"/>
    <w:rsid w:val="006C767F"/>
    <w:rsid w:val="006C77CE"/>
    <w:rsid w:val="006C77D2"/>
    <w:rsid w:val="006C77EC"/>
    <w:rsid w:val="006C7827"/>
    <w:rsid w:val="006C7A84"/>
    <w:rsid w:val="006C7B19"/>
    <w:rsid w:val="006C7C4E"/>
    <w:rsid w:val="006C7CF1"/>
    <w:rsid w:val="006C7DAB"/>
    <w:rsid w:val="006C7E3A"/>
    <w:rsid w:val="006C7EC2"/>
    <w:rsid w:val="006C7F59"/>
    <w:rsid w:val="006C7FA8"/>
    <w:rsid w:val="006C7FC3"/>
    <w:rsid w:val="006D0081"/>
    <w:rsid w:val="006D013B"/>
    <w:rsid w:val="006D0189"/>
    <w:rsid w:val="006D01D1"/>
    <w:rsid w:val="006D01DA"/>
    <w:rsid w:val="006D01E4"/>
    <w:rsid w:val="006D029C"/>
    <w:rsid w:val="006D02DB"/>
    <w:rsid w:val="006D02E1"/>
    <w:rsid w:val="006D03F0"/>
    <w:rsid w:val="006D0481"/>
    <w:rsid w:val="006D0575"/>
    <w:rsid w:val="006D05C9"/>
    <w:rsid w:val="006D05CD"/>
    <w:rsid w:val="006D066F"/>
    <w:rsid w:val="006D06A5"/>
    <w:rsid w:val="006D06CF"/>
    <w:rsid w:val="006D0837"/>
    <w:rsid w:val="006D08E1"/>
    <w:rsid w:val="006D0940"/>
    <w:rsid w:val="006D0956"/>
    <w:rsid w:val="006D0BE3"/>
    <w:rsid w:val="006D0C2F"/>
    <w:rsid w:val="006D0C86"/>
    <w:rsid w:val="006D0CB3"/>
    <w:rsid w:val="006D0D5E"/>
    <w:rsid w:val="006D0D61"/>
    <w:rsid w:val="006D0E19"/>
    <w:rsid w:val="006D0F5C"/>
    <w:rsid w:val="006D0FE1"/>
    <w:rsid w:val="006D1078"/>
    <w:rsid w:val="006D1153"/>
    <w:rsid w:val="006D1154"/>
    <w:rsid w:val="006D1190"/>
    <w:rsid w:val="006D11D9"/>
    <w:rsid w:val="006D12A1"/>
    <w:rsid w:val="006D12BC"/>
    <w:rsid w:val="006D12BF"/>
    <w:rsid w:val="006D12F1"/>
    <w:rsid w:val="006D1419"/>
    <w:rsid w:val="006D152B"/>
    <w:rsid w:val="006D16D5"/>
    <w:rsid w:val="006D16F5"/>
    <w:rsid w:val="006D16F7"/>
    <w:rsid w:val="006D17A6"/>
    <w:rsid w:val="006D18CC"/>
    <w:rsid w:val="006D1918"/>
    <w:rsid w:val="006D19A4"/>
    <w:rsid w:val="006D19D5"/>
    <w:rsid w:val="006D1C5B"/>
    <w:rsid w:val="006D1DC1"/>
    <w:rsid w:val="006D1DFB"/>
    <w:rsid w:val="006D1E83"/>
    <w:rsid w:val="006D1F5C"/>
    <w:rsid w:val="006D2032"/>
    <w:rsid w:val="006D2084"/>
    <w:rsid w:val="006D20AF"/>
    <w:rsid w:val="006D20D8"/>
    <w:rsid w:val="006D2122"/>
    <w:rsid w:val="006D2178"/>
    <w:rsid w:val="006D22BF"/>
    <w:rsid w:val="006D22D7"/>
    <w:rsid w:val="006D234C"/>
    <w:rsid w:val="006D2419"/>
    <w:rsid w:val="006D257F"/>
    <w:rsid w:val="006D2598"/>
    <w:rsid w:val="006D265F"/>
    <w:rsid w:val="006D2754"/>
    <w:rsid w:val="006D27D9"/>
    <w:rsid w:val="006D27DA"/>
    <w:rsid w:val="006D29A5"/>
    <w:rsid w:val="006D2A96"/>
    <w:rsid w:val="006D2AE9"/>
    <w:rsid w:val="006D2B09"/>
    <w:rsid w:val="006D2B3E"/>
    <w:rsid w:val="006D2B43"/>
    <w:rsid w:val="006D2B4F"/>
    <w:rsid w:val="006D2BB1"/>
    <w:rsid w:val="006D2C7A"/>
    <w:rsid w:val="006D2D40"/>
    <w:rsid w:val="006D2E7A"/>
    <w:rsid w:val="006D2EE6"/>
    <w:rsid w:val="006D3058"/>
    <w:rsid w:val="006D305C"/>
    <w:rsid w:val="006D3076"/>
    <w:rsid w:val="006D30A0"/>
    <w:rsid w:val="006D3104"/>
    <w:rsid w:val="006D31EE"/>
    <w:rsid w:val="006D3249"/>
    <w:rsid w:val="006D3250"/>
    <w:rsid w:val="006D3336"/>
    <w:rsid w:val="006D33F9"/>
    <w:rsid w:val="006D34F6"/>
    <w:rsid w:val="006D3554"/>
    <w:rsid w:val="006D3569"/>
    <w:rsid w:val="006D3580"/>
    <w:rsid w:val="006D3598"/>
    <w:rsid w:val="006D3673"/>
    <w:rsid w:val="006D3678"/>
    <w:rsid w:val="006D380F"/>
    <w:rsid w:val="006D382A"/>
    <w:rsid w:val="006D3A3E"/>
    <w:rsid w:val="006D3A53"/>
    <w:rsid w:val="006D3AC5"/>
    <w:rsid w:val="006D3AE0"/>
    <w:rsid w:val="006D3B6B"/>
    <w:rsid w:val="006D3B8F"/>
    <w:rsid w:val="006D3BC4"/>
    <w:rsid w:val="006D3D52"/>
    <w:rsid w:val="006D3DAB"/>
    <w:rsid w:val="006D3DD4"/>
    <w:rsid w:val="006D3E39"/>
    <w:rsid w:val="006D3F1A"/>
    <w:rsid w:val="006D4124"/>
    <w:rsid w:val="006D416D"/>
    <w:rsid w:val="006D417D"/>
    <w:rsid w:val="006D41B9"/>
    <w:rsid w:val="006D43BA"/>
    <w:rsid w:val="006D4490"/>
    <w:rsid w:val="006D45CE"/>
    <w:rsid w:val="006D4635"/>
    <w:rsid w:val="006D4636"/>
    <w:rsid w:val="006D463C"/>
    <w:rsid w:val="006D46C3"/>
    <w:rsid w:val="006D47DA"/>
    <w:rsid w:val="006D47DB"/>
    <w:rsid w:val="006D47E2"/>
    <w:rsid w:val="006D4825"/>
    <w:rsid w:val="006D488E"/>
    <w:rsid w:val="006D495D"/>
    <w:rsid w:val="006D499C"/>
    <w:rsid w:val="006D49E1"/>
    <w:rsid w:val="006D4A20"/>
    <w:rsid w:val="006D4A5D"/>
    <w:rsid w:val="006D4A8E"/>
    <w:rsid w:val="006D4AFD"/>
    <w:rsid w:val="006D4B7E"/>
    <w:rsid w:val="006D4B89"/>
    <w:rsid w:val="006D4C2D"/>
    <w:rsid w:val="006D4CE8"/>
    <w:rsid w:val="006D4CF6"/>
    <w:rsid w:val="006D4D2B"/>
    <w:rsid w:val="006D4D42"/>
    <w:rsid w:val="006D4DDB"/>
    <w:rsid w:val="006D4E38"/>
    <w:rsid w:val="006D4E7E"/>
    <w:rsid w:val="006D4FC6"/>
    <w:rsid w:val="006D5027"/>
    <w:rsid w:val="006D5041"/>
    <w:rsid w:val="006D5050"/>
    <w:rsid w:val="006D514B"/>
    <w:rsid w:val="006D5214"/>
    <w:rsid w:val="006D5339"/>
    <w:rsid w:val="006D5361"/>
    <w:rsid w:val="006D545D"/>
    <w:rsid w:val="006D5555"/>
    <w:rsid w:val="006D5618"/>
    <w:rsid w:val="006D56C6"/>
    <w:rsid w:val="006D56F2"/>
    <w:rsid w:val="006D56FA"/>
    <w:rsid w:val="006D5720"/>
    <w:rsid w:val="006D5762"/>
    <w:rsid w:val="006D57D4"/>
    <w:rsid w:val="006D5899"/>
    <w:rsid w:val="006D59BB"/>
    <w:rsid w:val="006D5A59"/>
    <w:rsid w:val="006D5CA0"/>
    <w:rsid w:val="006D5D1C"/>
    <w:rsid w:val="006D5DA8"/>
    <w:rsid w:val="006D5E03"/>
    <w:rsid w:val="006D5E32"/>
    <w:rsid w:val="006D5E34"/>
    <w:rsid w:val="006D5EC0"/>
    <w:rsid w:val="006D5EC9"/>
    <w:rsid w:val="006D5F6C"/>
    <w:rsid w:val="006D5FC0"/>
    <w:rsid w:val="006D5FE9"/>
    <w:rsid w:val="006D6142"/>
    <w:rsid w:val="006D6153"/>
    <w:rsid w:val="006D6158"/>
    <w:rsid w:val="006D6170"/>
    <w:rsid w:val="006D630E"/>
    <w:rsid w:val="006D632A"/>
    <w:rsid w:val="006D638F"/>
    <w:rsid w:val="006D6483"/>
    <w:rsid w:val="006D64AA"/>
    <w:rsid w:val="006D6552"/>
    <w:rsid w:val="006D6577"/>
    <w:rsid w:val="006D6593"/>
    <w:rsid w:val="006D69FB"/>
    <w:rsid w:val="006D6A17"/>
    <w:rsid w:val="006D6C18"/>
    <w:rsid w:val="006D6DF6"/>
    <w:rsid w:val="006D6EA6"/>
    <w:rsid w:val="006D6F70"/>
    <w:rsid w:val="006D6FF1"/>
    <w:rsid w:val="006D704D"/>
    <w:rsid w:val="006D70FB"/>
    <w:rsid w:val="006D7246"/>
    <w:rsid w:val="006D72A2"/>
    <w:rsid w:val="006D72FA"/>
    <w:rsid w:val="006D74A4"/>
    <w:rsid w:val="006D74ED"/>
    <w:rsid w:val="006D7554"/>
    <w:rsid w:val="006D77D0"/>
    <w:rsid w:val="006D7897"/>
    <w:rsid w:val="006D78CD"/>
    <w:rsid w:val="006D7963"/>
    <w:rsid w:val="006D7989"/>
    <w:rsid w:val="006D7A48"/>
    <w:rsid w:val="006D7A58"/>
    <w:rsid w:val="006D7AAA"/>
    <w:rsid w:val="006D7AFF"/>
    <w:rsid w:val="006D7B64"/>
    <w:rsid w:val="006D7B71"/>
    <w:rsid w:val="006D7F1D"/>
    <w:rsid w:val="006D7F21"/>
    <w:rsid w:val="006D7F59"/>
    <w:rsid w:val="006D7F70"/>
    <w:rsid w:val="006D7FDA"/>
    <w:rsid w:val="006E00D5"/>
    <w:rsid w:val="006E014A"/>
    <w:rsid w:val="006E01A4"/>
    <w:rsid w:val="006E0250"/>
    <w:rsid w:val="006E02DC"/>
    <w:rsid w:val="006E02F8"/>
    <w:rsid w:val="006E0372"/>
    <w:rsid w:val="006E03C6"/>
    <w:rsid w:val="006E03F6"/>
    <w:rsid w:val="006E055D"/>
    <w:rsid w:val="006E057A"/>
    <w:rsid w:val="006E05C0"/>
    <w:rsid w:val="006E067E"/>
    <w:rsid w:val="006E06AE"/>
    <w:rsid w:val="006E07FC"/>
    <w:rsid w:val="006E0871"/>
    <w:rsid w:val="006E08F3"/>
    <w:rsid w:val="006E0998"/>
    <w:rsid w:val="006E09A9"/>
    <w:rsid w:val="006E0B41"/>
    <w:rsid w:val="006E0B46"/>
    <w:rsid w:val="006E0D2B"/>
    <w:rsid w:val="006E0D92"/>
    <w:rsid w:val="006E0DBC"/>
    <w:rsid w:val="006E0DBD"/>
    <w:rsid w:val="006E0FCE"/>
    <w:rsid w:val="006E10BB"/>
    <w:rsid w:val="006E1114"/>
    <w:rsid w:val="006E11DD"/>
    <w:rsid w:val="006E11E3"/>
    <w:rsid w:val="006E1247"/>
    <w:rsid w:val="006E1365"/>
    <w:rsid w:val="006E136A"/>
    <w:rsid w:val="006E1465"/>
    <w:rsid w:val="006E1478"/>
    <w:rsid w:val="006E1491"/>
    <w:rsid w:val="006E15EC"/>
    <w:rsid w:val="006E15FF"/>
    <w:rsid w:val="006E1769"/>
    <w:rsid w:val="006E1831"/>
    <w:rsid w:val="006E1865"/>
    <w:rsid w:val="006E1867"/>
    <w:rsid w:val="006E1875"/>
    <w:rsid w:val="006E1A29"/>
    <w:rsid w:val="006E1AA2"/>
    <w:rsid w:val="006E1BDE"/>
    <w:rsid w:val="006E1C28"/>
    <w:rsid w:val="006E1CB1"/>
    <w:rsid w:val="006E1CC7"/>
    <w:rsid w:val="006E1D87"/>
    <w:rsid w:val="006E1FA9"/>
    <w:rsid w:val="006E1FE1"/>
    <w:rsid w:val="006E2082"/>
    <w:rsid w:val="006E20FE"/>
    <w:rsid w:val="006E2111"/>
    <w:rsid w:val="006E21D4"/>
    <w:rsid w:val="006E22ED"/>
    <w:rsid w:val="006E2374"/>
    <w:rsid w:val="006E25FF"/>
    <w:rsid w:val="006E27F3"/>
    <w:rsid w:val="006E2832"/>
    <w:rsid w:val="006E285B"/>
    <w:rsid w:val="006E28DB"/>
    <w:rsid w:val="006E29B2"/>
    <w:rsid w:val="006E29C0"/>
    <w:rsid w:val="006E2A41"/>
    <w:rsid w:val="006E2B7A"/>
    <w:rsid w:val="006E2BDA"/>
    <w:rsid w:val="006E2D75"/>
    <w:rsid w:val="006E2DFD"/>
    <w:rsid w:val="006E2EFA"/>
    <w:rsid w:val="006E3029"/>
    <w:rsid w:val="006E3169"/>
    <w:rsid w:val="006E31D6"/>
    <w:rsid w:val="006E32B2"/>
    <w:rsid w:val="006E32EF"/>
    <w:rsid w:val="006E34A4"/>
    <w:rsid w:val="006E34DC"/>
    <w:rsid w:val="006E34FC"/>
    <w:rsid w:val="006E350D"/>
    <w:rsid w:val="006E353C"/>
    <w:rsid w:val="006E35DC"/>
    <w:rsid w:val="006E378A"/>
    <w:rsid w:val="006E384C"/>
    <w:rsid w:val="006E385F"/>
    <w:rsid w:val="006E38E8"/>
    <w:rsid w:val="006E394B"/>
    <w:rsid w:val="006E3B36"/>
    <w:rsid w:val="006E3C77"/>
    <w:rsid w:val="006E3C9D"/>
    <w:rsid w:val="006E3E42"/>
    <w:rsid w:val="006E3F6C"/>
    <w:rsid w:val="006E405C"/>
    <w:rsid w:val="006E4168"/>
    <w:rsid w:val="006E423F"/>
    <w:rsid w:val="006E42F0"/>
    <w:rsid w:val="006E435C"/>
    <w:rsid w:val="006E44EE"/>
    <w:rsid w:val="006E4540"/>
    <w:rsid w:val="006E45A7"/>
    <w:rsid w:val="006E460A"/>
    <w:rsid w:val="006E4611"/>
    <w:rsid w:val="006E465E"/>
    <w:rsid w:val="006E468E"/>
    <w:rsid w:val="006E46F6"/>
    <w:rsid w:val="006E4722"/>
    <w:rsid w:val="006E47A2"/>
    <w:rsid w:val="006E47B8"/>
    <w:rsid w:val="006E4871"/>
    <w:rsid w:val="006E4930"/>
    <w:rsid w:val="006E493C"/>
    <w:rsid w:val="006E49DC"/>
    <w:rsid w:val="006E4A12"/>
    <w:rsid w:val="006E4A96"/>
    <w:rsid w:val="006E4AAA"/>
    <w:rsid w:val="006E4C9B"/>
    <w:rsid w:val="006E4D00"/>
    <w:rsid w:val="006E4D68"/>
    <w:rsid w:val="006E4D97"/>
    <w:rsid w:val="006E4DC2"/>
    <w:rsid w:val="006E4E18"/>
    <w:rsid w:val="006E4E81"/>
    <w:rsid w:val="006E4F83"/>
    <w:rsid w:val="006E5064"/>
    <w:rsid w:val="006E50C8"/>
    <w:rsid w:val="006E5171"/>
    <w:rsid w:val="006E51B1"/>
    <w:rsid w:val="006E5353"/>
    <w:rsid w:val="006E53BA"/>
    <w:rsid w:val="006E5405"/>
    <w:rsid w:val="006E55ED"/>
    <w:rsid w:val="006E5631"/>
    <w:rsid w:val="006E5860"/>
    <w:rsid w:val="006E586F"/>
    <w:rsid w:val="006E5894"/>
    <w:rsid w:val="006E58F8"/>
    <w:rsid w:val="006E5911"/>
    <w:rsid w:val="006E598C"/>
    <w:rsid w:val="006E5A72"/>
    <w:rsid w:val="006E5C9D"/>
    <w:rsid w:val="006E5EC0"/>
    <w:rsid w:val="006E5FFE"/>
    <w:rsid w:val="006E6076"/>
    <w:rsid w:val="006E610C"/>
    <w:rsid w:val="006E6187"/>
    <w:rsid w:val="006E61D2"/>
    <w:rsid w:val="006E626B"/>
    <w:rsid w:val="006E630D"/>
    <w:rsid w:val="006E65CB"/>
    <w:rsid w:val="006E663A"/>
    <w:rsid w:val="006E66C3"/>
    <w:rsid w:val="006E674A"/>
    <w:rsid w:val="006E674D"/>
    <w:rsid w:val="006E6758"/>
    <w:rsid w:val="006E6788"/>
    <w:rsid w:val="006E6849"/>
    <w:rsid w:val="006E6909"/>
    <w:rsid w:val="006E690A"/>
    <w:rsid w:val="006E69D0"/>
    <w:rsid w:val="006E6A78"/>
    <w:rsid w:val="006E6B87"/>
    <w:rsid w:val="006E6C06"/>
    <w:rsid w:val="006E6C74"/>
    <w:rsid w:val="006E6D30"/>
    <w:rsid w:val="006E6D32"/>
    <w:rsid w:val="006E6E64"/>
    <w:rsid w:val="006E6ECE"/>
    <w:rsid w:val="006E6FB3"/>
    <w:rsid w:val="006E6FD2"/>
    <w:rsid w:val="006E7083"/>
    <w:rsid w:val="006E709F"/>
    <w:rsid w:val="006E70B7"/>
    <w:rsid w:val="006E70D1"/>
    <w:rsid w:val="006E71FE"/>
    <w:rsid w:val="006E725C"/>
    <w:rsid w:val="006E7267"/>
    <w:rsid w:val="006E72D0"/>
    <w:rsid w:val="006E738E"/>
    <w:rsid w:val="006E7398"/>
    <w:rsid w:val="006E73D1"/>
    <w:rsid w:val="006E7408"/>
    <w:rsid w:val="006E74E6"/>
    <w:rsid w:val="006E758B"/>
    <w:rsid w:val="006E759A"/>
    <w:rsid w:val="006E7713"/>
    <w:rsid w:val="006E788D"/>
    <w:rsid w:val="006E790B"/>
    <w:rsid w:val="006E7981"/>
    <w:rsid w:val="006E79A7"/>
    <w:rsid w:val="006E7A3D"/>
    <w:rsid w:val="006E7B0C"/>
    <w:rsid w:val="006E7B98"/>
    <w:rsid w:val="006E7BB5"/>
    <w:rsid w:val="006E7C93"/>
    <w:rsid w:val="006E7DD0"/>
    <w:rsid w:val="006E7DE6"/>
    <w:rsid w:val="006E7EF5"/>
    <w:rsid w:val="006E7F41"/>
    <w:rsid w:val="006E7F97"/>
    <w:rsid w:val="006F0077"/>
    <w:rsid w:val="006F00AC"/>
    <w:rsid w:val="006F0321"/>
    <w:rsid w:val="006F03DE"/>
    <w:rsid w:val="006F04DC"/>
    <w:rsid w:val="006F053A"/>
    <w:rsid w:val="006F0544"/>
    <w:rsid w:val="006F0556"/>
    <w:rsid w:val="006F05AA"/>
    <w:rsid w:val="006F05F3"/>
    <w:rsid w:val="006F0667"/>
    <w:rsid w:val="006F066C"/>
    <w:rsid w:val="006F06F3"/>
    <w:rsid w:val="006F077E"/>
    <w:rsid w:val="006F07CF"/>
    <w:rsid w:val="006F08BA"/>
    <w:rsid w:val="006F08BB"/>
    <w:rsid w:val="006F08C1"/>
    <w:rsid w:val="006F0967"/>
    <w:rsid w:val="006F098B"/>
    <w:rsid w:val="006F0A26"/>
    <w:rsid w:val="006F0A27"/>
    <w:rsid w:val="006F0ABC"/>
    <w:rsid w:val="006F0AE5"/>
    <w:rsid w:val="006F0B5A"/>
    <w:rsid w:val="006F0B83"/>
    <w:rsid w:val="006F0C7F"/>
    <w:rsid w:val="006F0CF3"/>
    <w:rsid w:val="006F0E0D"/>
    <w:rsid w:val="006F0E10"/>
    <w:rsid w:val="006F0F1D"/>
    <w:rsid w:val="006F10EF"/>
    <w:rsid w:val="006F1115"/>
    <w:rsid w:val="006F11EB"/>
    <w:rsid w:val="006F120C"/>
    <w:rsid w:val="006F1211"/>
    <w:rsid w:val="006F12F5"/>
    <w:rsid w:val="006F13C9"/>
    <w:rsid w:val="006F155D"/>
    <w:rsid w:val="006F15F8"/>
    <w:rsid w:val="006F178B"/>
    <w:rsid w:val="006F18CE"/>
    <w:rsid w:val="006F18D2"/>
    <w:rsid w:val="006F18DE"/>
    <w:rsid w:val="006F190F"/>
    <w:rsid w:val="006F1B67"/>
    <w:rsid w:val="006F1C1F"/>
    <w:rsid w:val="006F1E37"/>
    <w:rsid w:val="006F1E69"/>
    <w:rsid w:val="006F1E86"/>
    <w:rsid w:val="006F1EFE"/>
    <w:rsid w:val="006F21BC"/>
    <w:rsid w:val="006F2262"/>
    <w:rsid w:val="006F2371"/>
    <w:rsid w:val="006F23E6"/>
    <w:rsid w:val="006F2408"/>
    <w:rsid w:val="006F24CD"/>
    <w:rsid w:val="006F24E0"/>
    <w:rsid w:val="006F25A2"/>
    <w:rsid w:val="006F25A9"/>
    <w:rsid w:val="006F2703"/>
    <w:rsid w:val="006F279E"/>
    <w:rsid w:val="006F28F5"/>
    <w:rsid w:val="006F2A36"/>
    <w:rsid w:val="006F2A6B"/>
    <w:rsid w:val="006F2BB1"/>
    <w:rsid w:val="006F2C70"/>
    <w:rsid w:val="006F2CDC"/>
    <w:rsid w:val="006F2D98"/>
    <w:rsid w:val="006F2DC1"/>
    <w:rsid w:val="006F2DE4"/>
    <w:rsid w:val="006F2E37"/>
    <w:rsid w:val="006F2F2B"/>
    <w:rsid w:val="006F304F"/>
    <w:rsid w:val="006F3099"/>
    <w:rsid w:val="006F30D1"/>
    <w:rsid w:val="006F3145"/>
    <w:rsid w:val="006F3291"/>
    <w:rsid w:val="006F32DF"/>
    <w:rsid w:val="006F3325"/>
    <w:rsid w:val="006F3463"/>
    <w:rsid w:val="006F3520"/>
    <w:rsid w:val="006F35E0"/>
    <w:rsid w:val="006F3674"/>
    <w:rsid w:val="006F3716"/>
    <w:rsid w:val="006F3759"/>
    <w:rsid w:val="006F379F"/>
    <w:rsid w:val="006F37C7"/>
    <w:rsid w:val="006F395A"/>
    <w:rsid w:val="006F3991"/>
    <w:rsid w:val="006F39AB"/>
    <w:rsid w:val="006F3BA2"/>
    <w:rsid w:val="006F3BB3"/>
    <w:rsid w:val="006F3D77"/>
    <w:rsid w:val="006F3DB7"/>
    <w:rsid w:val="006F3DFE"/>
    <w:rsid w:val="006F3F11"/>
    <w:rsid w:val="006F3F4D"/>
    <w:rsid w:val="006F404D"/>
    <w:rsid w:val="006F40F5"/>
    <w:rsid w:val="006F4196"/>
    <w:rsid w:val="006F43AF"/>
    <w:rsid w:val="006F4423"/>
    <w:rsid w:val="006F4457"/>
    <w:rsid w:val="006F4504"/>
    <w:rsid w:val="006F4511"/>
    <w:rsid w:val="006F4568"/>
    <w:rsid w:val="006F462F"/>
    <w:rsid w:val="006F463C"/>
    <w:rsid w:val="006F4776"/>
    <w:rsid w:val="006F47EB"/>
    <w:rsid w:val="006F47EE"/>
    <w:rsid w:val="006F4812"/>
    <w:rsid w:val="006F4814"/>
    <w:rsid w:val="006F4831"/>
    <w:rsid w:val="006F4912"/>
    <w:rsid w:val="006F4AB6"/>
    <w:rsid w:val="006F4AEA"/>
    <w:rsid w:val="006F4B7F"/>
    <w:rsid w:val="006F4B9D"/>
    <w:rsid w:val="006F4C16"/>
    <w:rsid w:val="006F4C58"/>
    <w:rsid w:val="006F4C6A"/>
    <w:rsid w:val="006F4CD6"/>
    <w:rsid w:val="006F4D69"/>
    <w:rsid w:val="006F4D71"/>
    <w:rsid w:val="006F4DA7"/>
    <w:rsid w:val="006F4ECF"/>
    <w:rsid w:val="006F500D"/>
    <w:rsid w:val="006F505A"/>
    <w:rsid w:val="006F512A"/>
    <w:rsid w:val="006F5161"/>
    <w:rsid w:val="006F5175"/>
    <w:rsid w:val="006F51E9"/>
    <w:rsid w:val="006F52EA"/>
    <w:rsid w:val="006F5520"/>
    <w:rsid w:val="006F5566"/>
    <w:rsid w:val="006F5582"/>
    <w:rsid w:val="006F56BE"/>
    <w:rsid w:val="006F56D2"/>
    <w:rsid w:val="006F56E3"/>
    <w:rsid w:val="006F5733"/>
    <w:rsid w:val="006F57CE"/>
    <w:rsid w:val="006F586D"/>
    <w:rsid w:val="006F5AF2"/>
    <w:rsid w:val="006F5BAE"/>
    <w:rsid w:val="006F5BF9"/>
    <w:rsid w:val="006F5BFB"/>
    <w:rsid w:val="006F5C07"/>
    <w:rsid w:val="006F5D38"/>
    <w:rsid w:val="006F5DDA"/>
    <w:rsid w:val="006F5E23"/>
    <w:rsid w:val="006F5EBE"/>
    <w:rsid w:val="006F5FE7"/>
    <w:rsid w:val="006F612D"/>
    <w:rsid w:val="006F6158"/>
    <w:rsid w:val="006F6164"/>
    <w:rsid w:val="006F6269"/>
    <w:rsid w:val="006F627E"/>
    <w:rsid w:val="006F6288"/>
    <w:rsid w:val="006F62DD"/>
    <w:rsid w:val="006F62F5"/>
    <w:rsid w:val="006F6338"/>
    <w:rsid w:val="006F657B"/>
    <w:rsid w:val="006F6585"/>
    <w:rsid w:val="006F6655"/>
    <w:rsid w:val="006F66E5"/>
    <w:rsid w:val="006F66EE"/>
    <w:rsid w:val="006F66F0"/>
    <w:rsid w:val="006F6702"/>
    <w:rsid w:val="006F681E"/>
    <w:rsid w:val="006F6843"/>
    <w:rsid w:val="006F68DF"/>
    <w:rsid w:val="006F6B36"/>
    <w:rsid w:val="006F6BBC"/>
    <w:rsid w:val="006F6C4C"/>
    <w:rsid w:val="006F6DAC"/>
    <w:rsid w:val="006F6EC2"/>
    <w:rsid w:val="006F6ECF"/>
    <w:rsid w:val="006F70F4"/>
    <w:rsid w:val="006F7194"/>
    <w:rsid w:val="006F71C2"/>
    <w:rsid w:val="006F721F"/>
    <w:rsid w:val="006F7300"/>
    <w:rsid w:val="006F75BA"/>
    <w:rsid w:val="006F75E4"/>
    <w:rsid w:val="006F7629"/>
    <w:rsid w:val="006F77F6"/>
    <w:rsid w:val="006F7881"/>
    <w:rsid w:val="006F788D"/>
    <w:rsid w:val="006F79A8"/>
    <w:rsid w:val="006F7A0E"/>
    <w:rsid w:val="006F7A35"/>
    <w:rsid w:val="006F7A43"/>
    <w:rsid w:val="006F7B3A"/>
    <w:rsid w:val="006F7CCA"/>
    <w:rsid w:val="006F7CF3"/>
    <w:rsid w:val="006F7D10"/>
    <w:rsid w:val="006F7D3A"/>
    <w:rsid w:val="006F7D41"/>
    <w:rsid w:val="006F7D75"/>
    <w:rsid w:val="006F7EE2"/>
    <w:rsid w:val="00700053"/>
    <w:rsid w:val="00700076"/>
    <w:rsid w:val="0070007E"/>
    <w:rsid w:val="007000AF"/>
    <w:rsid w:val="00700108"/>
    <w:rsid w:val="0070015A"/>
    <w:rsid w:val="00700191"/>
    <w:rsid w:val="007002C5"/>
    <w:rsid w:val="007003B5"/>
    <w:rsid w:val="00700469"/>
    <w:rsid w:val="0070048F"/>
    <w:rsid w:val="007004D7"/>
    <w:rsid w:val="007004DF"/>
    <w:rsid w:val="00700561"/>
    <w:rsid w:val="007005BB"/>
    <w:rsid w:val="0070061B"/>
    <w:rsid w:val="007006A6"/>
    <w:rsid w:val="0070076B"/>
    <w:rsid w:val="0070079F"/>
    <w:rsid w:val="00700BF8"/>
    <w:rsid w:val="00700C79"/>
    <w:rsid w:val="00700EB1"/>
    <w:rsid w:val="00700EF3"/>
    <w:rsid w:val="00700F37"/>
    <w:rsid w:val="00700FCD"/>
    <w:rsid w:val="007010F0"/>
    <w:rsid w:val="007011B0"/>
    <w:rsid w:val="00701278"/>
    <w:rsid w:val="007012A8"/>
    <w:rsid w:val="007012F5"/>
    <w:rsid w:val="00701327"/>
    <w:rsid w:val="0070134B"/>
    <w:rsid w:val="00701350"/>
    <w:rsid w:val="0070136A"/>
    <w:rsid w:val="00701409"/>
    <w:rsid w:val="007014AD"/>
    <w:rsid w:val="00701514"/>
    <w:rsid w:val="00701600"/>
    <w:rsid w:val="00701642"/>
    <w:rsid w:val="00701657"/>
    <w:rsid w:val="00701763"/>
    <w:rsid w:val="00701825"/>
    <w:rsid w:val="0070184E"/>
    <w:rsid w:val="00701938"/>
    <w:rsid w:val="00701951"/>
    <w:rsid w:val="00701ABE"/>
    <w:rsid w:val="00701B16"/>
    <w:rsid w:val="00701B39"/>
    <w:rsid w:val="00701B4F"/>
    <w:rsid w:val="00701CBE"/>
    <w:rsid w:val="00701D07"/>
    <w:rsid w:val="00701D9A"/>
    <w:rsid w:val="00701DE6"/>
    <w:rsid w:val="00701EAD"/>
    <w:rsid w:val="00701EC9"/>
    <w:rsid w:val="00701FDF"/>
    <w:rsid w:val="0070208B"/>
    <w:rsid w:val="007021B7"/>
    <w:rsid w:val="007021BC"/>
    <w:rsid w:val="007021BF"/>
    <w:rsid w:val="00702204"/>
    <w:rsid w:val="0070221E"/>
    <w:rsid w:val="007022F0"/>
    <w:rsid w:val="00702685"/>
    <w:rsid w:val="007026AC"/>
    <w:rsid w:val="0070271B"/>
    <w:rsid w:val="00702739"/>
    <w:rsid w:val="007027AF"/>
    <w:rsid w:val="007029D6"/>
    <w:rsid w:val="00702A2B"/>
    <w:rsid w:val="00702AF4"/>
    <w:rsid w:val="00702AF6"/>
    <w:rsid w:val="00702B51"/>
    <w:rsid w:val="00702BBA"/>
    <w:rsid w:val="00702BF5"/>
    <w:rsid w:val="00702CCC"/>
    <w:rsid w:val="00702D50"/>
    <w:rsid w:val="00702E29"/>
    <w:rsid w:val="00702FCE"/>
    <w:rsid w:val="007030A6"/>
    <w:rsid w:val="007030DC"/>
    <w:rsid w:val="007030F7"/>
    <w:rsid w:val="0070314C"/>
    <w:rsid w:val="00703233"/>
    <w:rsid w:val="00703248"/>
    <w:rsid w:val="0070325B"/>
    <w:rsid w:val="00703319"/>
    <w:rsid w:val="0070332E"/>
    <w:rsid w:val="0070342C"/>
    <w:rsid w:val="00703560"/>
    <w:rsid w:val="0070369A"/>
    <w:rsid w:val="00703744"/>
    <w:rsid w:val="007037D8"/>
    <w:rsid w:val="00703880"/>
    <w:rsid w:val="007038E8"/>
    <w:rsid w:val="007039BF"/>
    <w:rsid w:val="007039F4"/>
    <w:rsid w:val="00703A13"/>
    <w:rsid w:val="00703A67"/>
    <w:rsid w:val="00703AEC"/>
    <w:rsid w:val="00703B4D"/>
    <w:rsid w:val="00703B75"/>
    <w:rsid w:val="00703BEC"/>
    <w:rsid w:val="00703CDA"/>
    <w:rsid w:val="00703D9A"/>
    <w:rsid w:val="00703F43"/>
    <w:rsid w:val="00703F7C"/>
    <w:rsid w:val="0070406B"/>
    <w:rsid w:val="0070410D"/>
    <w:rsid w:val="007041BE"/>
    <w:rsid w:val="00704314"/>
    <w:rsid w:val="00704461"/>
    <w:rsid w:val="007044C2"/>
    <w:rsid w:val="007044C3"/>
    <w:rsid w:val="00704530"/>
    <w:rsid w:val="0070463F"/>
    <w:rsid w:val="0070482A"/>
    <w:rsid w:val="007048B0"/>
    <w:rsid w:val="007048BD"/>
    <w:rsid w:val="00704961"/>
    <w:rsid w:val="00704A1B"/>
    <w:rsid w:val="00704A5F"/>
    <w:rsid w:val="00704B13"/>
    <w:rsid w:val="00704BBC"/>
    <w:rsid w:val="00704D87"/>
    <w:rsid w:val="00704EE6"/>
    <w:rsid w:val="00704EE8"/>
    <w:rsid w:val="00704F71"/>
    <w:rsid w:val="00704F90"/>
    <w:rsid w:val="0070501D"/>
    <w:rsid w:val="0070503A"/>
    <w:rsid w:val="00705122"/>
    <w:rsid w:val="0070512C"/>
    <w:rsid w:val="00705221"/>
    <w:rsid w:val="0070524B"/>
    <w:rsid w:val="00705463"/>
    <w:rsid w:val="00705468"/>
    <w:rsid w:val="007055DE"/>
    <w:rsid w:val="0070568B"/>
    <w:rsid w:val="00705741"/>
    <w:rsid w:val="007057D3"/>
    <w:rsid w:val="00705846"/>
    <w:rsid w:val="007058C6"/>
    <w:rsid w:val="00705963"/>
    <w:rsid w:val="007059C2"/>
    <w:rsid w:val="00705A15"/>
    <w:rsid w:val="00705B13"/>
    <w:rsid w:val="00705B23"/>
    <w:rsid w:val="00705B91"/>
    <w:rsid w:val="00705C16"/>
    <w:rsid w:val="00705C6D"/>
    <w:rsid w:val="00705C9B"/>
    <w:rsid w:val="00705D47"/>
    <w:rsid w:val="00705D78"/>
    <w:rsid w:val="00705D92"/>
    <w:rsid w:val="00705EDC"/>
    <w:rsid w:val="00705F16"/>
    <w:rsid w:val="00705F8D"/>
    <w:rsid w:val="007060E5"/>
    <w:rsid w:val="007061B1"/>
    <w:rsid w:val="00706203"/>
    <w:rsid w:val="00706211"/>
    <w:rsid w:val="00706314"/>
    <w:rsid w:val="007064C4"/>
    <w:rsid w:val="00706688"/>
    <w:rsid w:val="007066AA"/>
    <w:rsid w:val="007066D6"/>
    <w:rsid w:val="007067F2"/>
    <w:rsid w:val="00706997"/>
    <w:rsid w:val="00706A1C"/>
    <w:rsid w:val="00706B0C"/>
    <w:rsid w:val="00706B16"/>
    <w:rsid w:val="00706B6A"/>
    <w:rsid w:val="00706B7D"/>
    <w:rsid w:val="00706BDB"/>
    <w:rsid w:val="00706C53"/>
    <w:rsid w:val="00706CA1"/>
    <w:rsid w:val="00706CEE"/>
    <w:rsid w:val="00706D18"/>
    <w:rsid w:val="00706D5B"/>
    <w:rsid w:val="00706D6C"/>
    <w:rsid w:val="00706D8B"/>
    <w:rsid w:val="00706EE0"/>
    <w:rsid w:val="00706EEE"/>
    <w:rsid w:val="00706F6B"/>
    <w:rsid w:val="00706FBC"/>
    <w:rsid w:val="0070709B"/>
    <w:rsid w:val="007070D0"/>
    <w:rsid w:val="007071AF"/>
    <w:rsid w:val="00707340"/>
    <w:rsid w:val="007073F9"/>
    <w:rsid w:val="007076FD"/>
    <w:rsid w:val="0070772D"/>
    <w:rsid w:val="00707940"/>
    <w:rsid w:val="00707D25"/>
    <w:rsid w:val="00707D48"/>
    <w:rsid w:val="00707D57"/>
    <w:rsid w:val="00707D78"/>
    <w:rsid w:val="00707D7D"/>
    <w:rsid w:val="00707EBC"/>
    <w:rsid w:val="00707EF3"/>
    <w:rsid w:val="00707F02"/>
    <w:rsid w:val="0071002C"/>
    <w:rsid w:val="0071022F"/>
    <w:rsid w:val="00710314"/>
    <w:rsid w:val="0071036E"/>
    <w:rsid w:val="007103BB"/>
    <w:rsid w:val="0071042F"/>
    <w:rsid w:val="00710474"/>
    <w:rsid w:val="007104B2"/>
    <w:rsid w:val="00710505"/>
    <w:rsid w:val="0071062E"/>
    <w:rsid w:val="00710671"/>
    <w:rsid w:val="007106D5"/>
    <w:rsid w:val="007106FA"/>
    <w:rsid w:val="00710748"/>
    <w:rsid w:val="00710884"/>
    <w:rsid w:val="00710927"/>
    <w:rsid w:val="007109ED"/>
    <w:rsid w:val="00710A47"/>
    <w:rsid w:val="00710A5B"/>
    <w:rsid w:val="00710B1E"/>
    <w:rsid w:val="00710B45"/>
    <w:rsid w:val="00710B46"/>
    <w:rsid w:val="00710B8D"/>
    <w:rsid w:val="00710C1D"/>
    <w:rsid w:val="00710C98"/>
    <w:rsid w:val="00710CF5"/>
    <w:rsid w:val="00710D60"/>
    <w:rsid w:val="00710F2F"/>
    <w:rsid w:val="00710F8B"/>
    <w:rsid w:val="00711099"/>
    <w:rsid w:val="007110D9"/>
    <w:rsid w:val="007110DF"/>
    <w:rsid w:val="00711132"/>
    <w:rsid w:val="00711158"/>
    <w:rsid w:val="00711173"/>
    <w:rsid w:val="00711210"/>
    <w:rsid w:val="00711211"/>
    <w:rsid w:val="007112AC"/>
    <w:rsid w:val="007112CB"/>
    <w:rsid w:val="00711370"/>
    <w:rsid w:val="00711456"/>
    <w:rsid w:val="0071155C"/>
    <w:rsid w:val="0071156E"/>
    <w:rsid w:val="007115C0"/>
    <w:rsid w:val="0071161F"/>
    <w:rsid w:val="00711628"/>
    <w:rsid w:val="00711660"/>
    <w:rsid w:val="007116D2"/>
    <w:rsid w:val="007117FE"/>
    <w:rsid w:val="007118B0"/>
    <w:rsid w:val="007118F1"/>
    <w:rsid w:val="00711996"/>
    <w:rsid w:val="007119C6"/>
    <w:rsid w:val="007119EB"/>
    <w:rsid w:val="00711A47"/>
    <w:rsid w:val="00711AE3"/>
    <w:rsid w:val="00711B51"/>
    <w:rsid w:val="00711B94"/>
    <w:rsid w:val="00711C0F"/>
    <w:rsid w:val="00711C35"/>
    <w:rsid w:val="00711C6F"/>
    <w:rsid w:val="00711CEC"/>
    <w:rsid w:val="00711F02"/>
    <w:rsid w:val="00712094"/>
    <w:rsid w:val="007120B9"/>
    <w:rsid w:val="007121E1"/>
    <w:rsid w:val="007122DF"/>
    <w:rsid w:val="00712329"/>
    <w:rsid w:val="007124F2"/>
    <w:rsid w:val="007125E5"/>
    <w:rsid w:val="007125F2"/>
    <w:rsid w:val="00712646"/>
    <w:rsid w:val="007126B8"/>
    <w:rsid w:val="0071279B"/>
    <w:rsid w:val="0071280C"/>
    <w:rsid w:val="00712A18"/>
    <w:rsid w:val="00712B50"/>
    <w:rsid w:val="00712BB8"/>
    <w:rsid w:val="00712C35"/>
    <w:rsid w:val="00712D0F"/>
    <w:rsid w:val="00712D48"/>
    <w:rsid w:val="00712D86"/>
    <w:rsid w:val="00712D9D"/>
    <w:rsid w:val="00712FF0"/>
    <w:rsid w:val="00713005"/>
    <w:rsid w:val="00713034"/>
    <w:rsid w:val="00713037"/>
    <w:rsid w:val="00713085"/>
    <w:rsid w:val="007130A5"/>
    <w:rsid w:val="007131DC"/>
    <w:rsid w:val="007131FD"/>
    <w:rsid w:val="00713226"/>
    <w:rsid w:val="00713628"/>
    <w:rsid w:val="00713685"/>
    <w:rsid w:val="007137E8"/>
    <w:rsid w:val="007137EE"/>
    <w:rsid w:val="007137FC"/>
    <w:rsid w:val="00713842"/>
    <w:rsid w:val="0071384D"/>
    <w:rsid w:val="007139BA"/>
    <w:rsid w:val="00713A8E"/>
    <w:rsid w:val="00713B07"/>
    <w:rsid w:val="00713BC9"/>
    <w:rsid w:val="00713BCA"/>
    <w:rsid w:val="00713C53"/>
    <w:rsid w:val="00713C87"/>
    <w:rsid w:val="00713E66"/>
    <w:rsid w:val="00713FAD"/>
    <w:rsid w:val="007140CF"/>
    <w:rsid w:val="00714128"/>
    <w:rsid w:val="0071414B"/>
    <w:rsid w:val="00714182"/>
    <w:rsid w:val="007142EA"/>
    <w:rsid w:val="00714311"/>
    <w:rsid w:val="0071438D"/>
    <w:rsid w:val="00714499"/>
    <w:rsid w:val="007145B4"/>
    <w:rsid w:val="0071460F"/>
    <w:rsid w:val="00714684"/>
    <w:rsid w:val="007146F1"/>
    <w:rsid w:val="00714710"/>
    <w:rsid w:val="0071480A"/>
    <w:rsid w:val="00714826"/>
    <w:rsid w:val="00714875"/>
    <w:rsid w:val="00714880"/>
    <w:rsid w:val="00714981"/>
    <w:rsid w:val="007149EB"/>
    <w:rsid w:val="00714B2C"/>
    <w:rsid w:val="00714BB0"/>
    <w:rsid w:val="00714BBA"/>
    <w:rsid w:val="00714C12"/>
    <w:rsid w:val="00714CC4"/>
    <w:rsid w:val="00714D00"/>
    <w:rsid w:val="00714D78"/>
    <w:rsid w:val="00714ECB"/>
    <w:rsid w:val="00714F1D"/>
    <w:rsid w:val="00714F35"/>
    <w:rsid w:val="00714FB3"/>
    <w:rsid w:val="00715020"/>
    <w:rsid w:val="0071507C"/>
    <w:rsid w:val="007150A3"/>
    <w:rsid w:val="00715181"/>
    <w:rsid w:val="007151F7"/>
    <w:rsid w:val="007151FE"/>
    <w:rsid w:val="00715343"/>
    <w:rsid w:val="0071536D"/>
    <w:rsid w:val="00715397"/>
    <w:rsid w:val="00715399"/>
    <w:rsid w:val="00715405"/>
    <w:rsid w:val="0071545D"/>
    <w:rsid w:val="00715476"/>
    <w:rsid w:val="0071559D"/>
    <w:rsid w:val="00715650"/>
    <w:rsid w:val="0071575D"/>
    <w:rsid w:val="007157EA"/>
    <w:rsid w:val="007157EF"/>
    <w:rsid w:val="00715945"/>
    <w:rsid w:val="00715995"/>
    <w:rsid w:val="007159A1"/>
    <w:rsid w:val="007159B0"/>
    <w:rsid w:val="00715AB0"/>
    <w:rsid w:val="00715BB9"/>
    <w:rsid w:val="00715C11"/>
    <w:rsid w:val="00715E09"/>
    <w:rsid w:val="00715E42"/>
    <w:rsid w:val="00715FCA"/>
    <w:rsid w:val="0071606F"/>
    <w:rsid w:val="0071612D"/>
    <w:rsid w:val="007161B4"/>
    <w:rsid w:val="00716223"/>
    <w:rsid w:val="0071622E"/>
    <w:rsid w:val="00716243"/>
    <w:rsid w:val="00716294"/>
    <w:rsid w:val="007162A2"/>
    <w:rsid w:val="007163D0"/>
    <w:rsid w:val="0071642B"/>
    <w:rsid w:val="0071646C"/>
    <w:rsid w:val="007164A2"/>
    <w:rsid w:val="007164E3"/>
    <w:rsid w:val="00716534"/>
    <w:rsid w:val="00716691"/>
    <w:rsid w:val="0071669E"/>
    <w:rsid w:val="00716790"/>
    <w:rsid w:val="007167BB"/>
    <w:rsid w:val="007167BE"/>
    <w:rsid w:val="007168D7"/>
    <w:rsid w:val="00716923"/>
    <w:rsid w:val="00716A6B"/>
    <w:rsid w:val="00716B6F"/>
    <w:rsid w:val="00716C1A"/>
    <w:rsid w:val="00716CB5"/>
    <w:rsid w:val="00716D73"/>
    <w:rsid w:val="00716FF6"/>
    <w:rsid w:val="00717056"/>
    <w:rsid w:val="00717242"/>
    <w:rsid w:val="00717286"/>
    <w:rsid w:val="007172CA"/>
    <w:rsid w:val="00717319"/>
    <w:rsid w:val="0071731B"/>
    <w:rsid w:val="007173AE"/>
    <w:rsid w:val="007173D0"/>
    <w:rsid w:val="00717483"/>
    <w:rsid w:val="00717501"/>
    <w:rsid w:val="007175BB"/>
    <w:rsid w:val="007175D0"/>
    <w:rsid w:val="00717611"/>
    <w:rsid w:val="00717690"/>
    <w:rsid w:val="007177E8"/>
    <w:rsid w:val="007178AA"/>
    <w:rsid w:val="007178CF"/>
    <w:rsid w:val="00717905"/>
    <w:rsid w:val="0071791F"/>
    <w:rsid w:val="0071797F"/>
    <w:rsid w:val="007179CF"/>
    <w:rsid w:val="00717AAF"/>
    <w:rsid w:val="00717AE1"/>
    <w:rsid w:val="00717B67"/>
    <w:rsid w:val="00717C56"/>
    <w:rsid w:val="00717C8F"/>
    <w:rsid w:val="00717DCA"/>
    <w:rsid w:val="00717E80"/>
    <w:rsid w:val="00717E92"/>
    <w:rsid w:val="00717FE2"/>
    <w:rsid w:val="00720128"/>
    <w:rsid w:val="00720253"/>
    <w:rsid w:val="00720312"/>
    <w:rsid w:val="007203F7"/>
    <w:rsid w:val="007204E6"/>
    <w:rsid w:val="00720660"/>
    <w:rsid w:val="007206CC"/>
    <w:rsid w:val="00720717"/>
    <w:rsid w:val="0072074E"/>
    <w:rsid w:val="00720992"/>
    <w:rsid w:val="00720ADB"/>
    <w:rsid w:val="00720ADD"/>
    <w:rsid w:val="00720B0E"/>
    <w:rsid w:val="00720B4E"/>
    <w:rsid w:val="00720CC3"/>
    <w:rsid w:val="00720CCF"/>
    <w:rsid w:val="00720D62"/>
    <w:rsid w:val="00720E54"/>
    <w:rsid w:val="00720EC9"/>
    <w:rsid w:val="00721072"/>
    <w:rsid w:val="007210F6"/>
    <w:rsid w:val="0072129B"/>
    <w:rsid w:val="007213BC"/>
    <w:rsid w:val="007213CE"/>
    <w:rsid w:val="007213E5"/>
    <w:rsid w:val="00721499"/>
    <w:rsid w:val="00721607"/>
    <w:rsid w:val="00721645"/>
    <w:rsid w:val="0072165B"/>
    <w:rsid w:val="00721690"/>
    <w:rsid w:val="007216AC"/>
    <w:rsid w:val="0072173A"/>
    <w:rsid w:val="007217C9"/>
    <w:rsid w:val="007218F3"/>
    <w:rsid w:val="00721B49"/>
    <w:rsid w:val="00721C4A"/>
    <w:rsid w:val="00721CA5"/>
    <w:rsid w:val="00721DDF"/>
    <w:rsid w:val="00721EEB"/>
    <w:rsid w:val="00721F28"/>
    <w:rsid w:val="0072210D"/>
    <w:rsid w:val="0072216C"/>
    <w:rsid w:val="007221A3"/>
    <w:rsid w:val="007222E1"/>
    <w:rsid w:val="00722322"/>
    <w:rsid w:val="007223BA"/>
    <w:rsid w:val="00722414"/>
    <w:rsid w:val="0072243A"/>
    <w:rsid w:val="00722471"/>
    <w:rsid w:val="0072247B"/>
    <w:rsid w:val="007224DD"/>
    <w:rsid w:val="00722618"/>
    <w:rsid w:val="00722668"/>
    <w:rsid w:val="007226A3"/>
    <w:rsid w:val="007228BB"/>
    <w:rsid w:val="007228DB"/>
    <w:rsid w:val="00722927"/>
    <w:rsid w:val="0072297F"/>
    <w:rsid w:val="0072298B"/>
    <w:rsid w:val="007229D5"/>
    <w:rsid w:val="00722B92"/>
    <w:rsid w:val="00722BE9"/>
    <w:rsid w:val="00722CD9"/>
    <w:rsid w:val="00722CF4"/>
    <w:rsid w:val="00722D9B"/>
    <w:rsid w:val="00722DEA"/>
    <w:rsid w:val="00722E12"/>
    <w:rsid w:val="00722E4E"/>
    <w:rsid w:val="00722FB0"/>
    <w:rsid w:val="00722FD0"/>
    <w:rsid w:val="00722FDE"/>
    <w:rsid w:val="00723007"/>
    <w:rsid w:val="0072303E"/>
    <w:rsid w:val="00723046"/>
    <w:rsid w:val="007230D9"/>
    <w:rsid w:val="007230FA"/>
    <w:rsid w:val="007230FE"/>
    <w:rsid w:val="00723108"/>
    <w:rsid w:val="00723147"/>
    <w:rsid w:val="0072315A"/>
    <w:rsid w:val="007231E5"/>
    <w:rsid w:val="00723398"/>
    <w:rsid w:val="0072351A"/>
    <w:rsid w:val="00723657"/>
    <w:rsid w:val="00723720"/>
    <w:rsid w:val="00723805"/>
    <w:rsid w:val="00723806"/>
    <w:rsid w:val="0072388D"/>
    <w:rsid w:val="007238D3"/>
    <w:rsid w:val="0072396A"/>
    <w:rsid w:val="0072396D"/>
    <w:rsid w:val="00723977"/>
    <w:rsid w:val="007239B7"/>
    <w:rsid w:val="007239CE"/>
    <w:rsid w:val="007239FA"/>
    <w:rsid w:val="00723A47"/>
    <w:rsid w:val="00723B7E"/>
    <w:rsid w:val="00723CC0"/>
    <w:rsid w:val="00723CD0"/>
    <w:rsid w:val="00723D10"/>
    <w:rsid w:val="00723DAE"/>
    <w:rsid w:val="00723EC3"/>
    <w:rsid w:val="00723F25"/>
    <w:rsid w:val="007240B7"/>
    <w:rsid w:val="0072422B"/>
    <w:rsid w:val="00724231"/>
    <w:rsid w:val="00724293"/>
    <w:rsid w:val="00724330"/>
    <w:rsid w:val="0072449C"/>
    <w:rsid w:val="00724666"/>
    <w:rsid w:val="00724693"/>
    <w:rsid w:val="00724751"/>
    <w:rsid w:val="00724933"/>
    <w:rsid w:val="0072496E"/>
    <w:rsid w:val="007249CD"/>
    <w:rsid w:val="00724A22"/>
    <w:rsid w:val="00724A82"/>
    <w:rsid w:val="00724B20"/>
    <w:rsid w:val="00724BFC"/>
    <w:rsid w:val="00724C3C"/>
    <w:rsid w:val="00724C6A"/>
    <w:rsid w:val="00724DD6"/>
    <w:rsid w:val="00724E89"/>
    <w:rsid w:val="00724FA5"/>
    <w:rsid w:val="00724FC7"/>
    <w:rsid w:val="00725158"/>
    <w:rsid w:val="00725177"/>
    <w:rsid w:val="007251BD"/>
    <w:rsid w:val="0072523B"/>
    <w:rsid w:val="00725331"/>
    <w:rsid w:val="0072533B"/>
    <w:rsid w:val="007253F7"/>
    <w:rsid w:val="00725421"/>
    <w:rsid w:val="00725544"/>
    <w:rsid w:val="007255EC"/>
    <w:rsid w:val="00725610"/>
    <w:rsid w:val="00725623"/>
    <w:rsid w:val="00725638"/>
    <w:rsid w:val="007256C4"/>
    <w:rsid w:val="0072587C"/>
    <w:rsid w:val="00725880"/>
    <w:rsid w:val="0072590F"/>
    <w:rsid w:val="00725B25"/>
    <w:rsid w:val="00725BD0"/>
    <w:rsid w:val="00725BFF"/>
    <w:rsid w:val="00725C2C"/>
    <w:rsid w:val="00725C66"/>
    <w:rsid w:val="00725C74"/>
    <w:rsid w:val="00725CC6"/>
    <w:rsid w:val="00725D1E"/>
    <w:rsid w:val="00725DAF"/>
    <w:rsid w:val="00725E81"/>
    <w:rsid w:val="00725F70"/>
    <w:rsid w:val="007260C3"/>
    <w:rsid w:val="007262E5"/>
    <w:rsid w:val="007262E8"/>
    <w:rsid w:val="007263E8"/>
    <w:rsid w:val="0072647F"/>
    <w:rsid w:val="007264E7"/>
    <w:rsid w:val="00726569"/>
    <w:rsid w:val="007265B1"/>
    <w:rsid w:val="007265D0"/>
    <w:rsid w:val="007265DB"/>
    <w:rsid w:val="00726668"/>
    <w:rsid w:val="0072669C"/>
    <w:rsid w:val="007266C7"/>
    <w:rsid w:val="007266F9"/>
    <w:rsid w:val="007267A7"/>
    <w:rsid w:val="0072684F"/>
    <w:rsid w:val="0072685C"/>
    <w:rsid w:val="0072689E"/>
    <w:rsid w:val="00726956"/>
    <w:rsid w:val="007269B5"/>
    <w:rsid w:val="00726A73"/>
    <w:rsid w:val="00726C46"/>
    <w:rsid w:val="00726CA0"/>
    <w:rsid w:val="00726D34"/>
    <w:rsid w:val="00726DEA"/>
    <w:rsid w:val="00726E5F"/>
    <w:rsid w:val="00726FD6"/>
    <w:rsid w:val="00727025"/>
    <w:rsid w:val="0072702B"/>
    <w:rsid w:val="0072707E"/>
    <w:rsid w:val="007270FF"/>
    <w:rsid w:val="00727188"/>
    <w:rsid w:val="007271FA"/>
    <w:rsid w:val="007273DF"/>
    <w:rsid w:val="00727482"/>
    <w:rsid w:val="00727494"/>
    <w:rsid w:val="00727571"/>
    <w:rsid w:val="007275D2"/>
    <w:rsid w:val="00727640"/>
    <w:rsid w:val="00727653"/>
    <w:rsid w:val="0072770C"/>
    <w:rsid w:val="007277A6"/>
    <w:rsid w:val="007277B5"/>
    <w:rsid w:val="007277B7"/>
    <w:rsid w:val="007277CE"/>
    <w:rsid w:val="007277ED"/>
    <w:rsid w:val="00727829"/>
    <w:rsid w:val="0072786C"/>
    <w:rsid w:val="0072789D"/>
    <w:rsid w:val="00727ADE"/>
    <w:rsid w:val="00727C2A"/>
    <w:rsid w:val="00727CD1"/>
    <w:rsid w:val="00727D47"/>
    <w:rsid w:val="00727E2F"/>
    <w:rsid w:val="007300EF"/>
    <w:rsid w:val="00730144"/>
    <w:rsid w:val="00730150"/>
    <w:rsid w:val="007302DC"/>
    <w:rsid w:val="007302FD"/>
    <w:rsid w:val="00730305"/>
    <w:rsid w:val="00730325"/>
    <w:rsid w:val="0073047F"/>
    <w:rsid w:val="007304EB"/>
    <w:rsid w:val="0073082F"/>
    <w:rsid w:val="007308D8"/>
    <w:rsid w:val="00730905"/>
    <w:rsid w:val="0073091B"/>
    <w:rsid w:val="00730934"/>
    <w:rsid w:val="00730B66"/>
    <w:rsid w:val="00730BA7"/>
    <w:rsid w:val="00730C95"/>
    <w:rsid w:val="00730CEE"/>
    <w:rsid w:val="00730E40"/>
    <w:rsid w:val="00730EA0"/>
    <w:rsid w:val="00730EE9"/>
    <w:rsid w:val="00730EEE"/>
    <w:rsid w:val="00731018"/>
    <w:rsid w:val="0073114E"/>
    <w:rsid w:val="007311A2"/>
    <w:rsid w:val="007311BE"/>
    <w:rsid w:val="007311DD"/>
    <w:rsid w:val="0073120F"/>
    <w:rsid w:val="00731219"/>
    <w:rsid w:val="0073127D"/>
    <w:rsid w:val="00731292"/>
    <w:rsid w:val="007312B2"/>
    <w:rsid w:val="00731416"/>
    <w:rsid w:val="00731512"/>
    <w:rsid w:val="00731541"/>
    <w:rsid w:val="007315DB"/>
    <w:rsid w:val="0073169A"/>
    <w:rsid w:val="00731732"/>
    <w:rsid w:val="0073186B"/>
    <w:rsid w:val="007318D8"/>
    <w:rsid w:val="00731AB3"/>
    <w:rsid w:val="00731AFF"/>
    <w:rsid w:val="00731BF7"/>
    <w:rsid w:val="00731C73"/>
    <w:rsid w:val="00731CB3"/>
    <w:rsid w:val="00731CEC"/>
    <w:rsid w:val="00731EEC"/>
    <w:rsid w:val="00731F31"/>
    <w:rsid w:val="00731F58"/>
    <w:rsid w:val="0073212E"/>
    <w:rsid w:val="00732251"/>
    <w:rsid w:val="007322CC"/>
    <w:rsid w:val="007323B2"/>
    <w:rsid w:val="00732420"/>
    <w:rsid w:val="0073251D"/>
    <w:rsid w:val="00732587"/>
    <w:rsid w:val="007325F6"/>
    <w:rsid w:val="007326CC"/>
    <w:rsid w:val="007326DA"/>
    <w:rsid w:val="00732895"/>
    <w:rsid w:val="0073291F"/>
    <w:rsid w:val="0073292E"/>
    <w:rsid w:val="00732932"/>
    <w:rsid w:val="007329BF"/>
    <w:rsid w:val="00732A01"/>
    <w:rsid w:val="00732A22"/>
    <w:rsid w:val="00732A2A"/>
    <w:rsid w:val="00732AB2"/>
    <w:rsid w:val="00732ABB"/>
    <w:rsid w:val="00732C19"/>
    <w:rsid w:val="00732CBA"/>
    <w:rsid w:val="00732DAC"/>
    <w:rsid w:val="00732E2D"/>
    <w:rsid w:val="00732E3B"/>
    <w:rsid w:val="00732EAB"/>
    <w:rsid w:val="00732F57"/>
    <w:rsid w:val="00732FAB"/>
    <w:rsid w:val="0073303F"/>
    <w:rsid w:val="007331DC"/>
    <w:rsid w:val="007332C3"/>
    <w:rsid w:val="007332D9"/>
    <w:rsid w:val="00733452"/>
    <w:rsid w:val="00733625"/>
    <w:rsid w:val="00733645"/>
    <w:rsid w:val="007336D0"/>
    <w:rsid w:val="00733705"/>
    <w:rsid w:val="007337C5"/>
    <w:rsid w:val="00733872"/>
    <w:rsid w:val="007339A3"/>
    <w:rsid w:val="007339AD"/>
    <w:rsid w:val="007339ED"/>
    <w:rsid w:val="00733A1C"/>
    <w:rsid w:val="00733AFA"/>
    <w:rsid w:val="00733B1D"/>
    <w:rsid w:val="00733CDC"/>
    <w:rsid w:val="00733F45"/>
    <w:rsid w:val="00733FDB"/>
    <w:rsid w:val="0073400B"/>
    <w:rsid w:val="007340FB"/>
    <w:rsid w:val="0073412E"/>
    <w:rsid w:val="0073413A"/>
    <w:rsid w:val="00734180"/>
    <w:rsid w:val="0073421E"/>
    <w:rsid w:val="007342E3"/>
    <w:rsid w:val="00734334"/>
    <w:rsid w:val="0073433D"/>
    <w:rsid w:val="00734460"/>
    <w:rsid w:val="0073455A"/>
    <w:rsid w:val="007345A5"/>
    <w:rsid w:val="007345EB"/>
    <w:rsid w:val="00734613"/>
    <w:rsid w:val="0073471E"/>
    <w:rsid w:val="0073488B"/>
    <w:rsid w:val="00734897"/>
    <w:rsid w:val="007348AC"/>
    <w:rsid w:val="007348DA"/>
    <w:rsid w:val="0073490E"/>
    <w:rsid w:val="00734A31"/>
    <w:rsid w:val="00734B2B"/>
    <w:rsid w:val="00734C22"/>
    <w:rsid w:val="00734C8A"/>
    <w:rsid w:val="00734CA7"/>
    <w:rsid w:val="00734CD8"/>
    <w:rsid w:val="00734CEC"/>
    <w:rsid w:val="00734D5F"/>
    <w:rsid w:val="00734DAD"/>
    <w:rsid w:val="00734DCD"/>
    <w:rsid w:val="00734DF7"/>
    <w:rsid w:val="00734E74"/>
    <w:rsid w:val="00734E82"/>
    <w:rsid w:val="00734E91"/>
    <w:rsid w:val="00734F68"/>
    <w:rsid w:val="00734FE6"/>
    <w:rsid w:val="00734FF3"/>
    <w:rsid w:val="00735010"/>
    <w:rsid w:val="0073501C"/>
    <w:rsid w:val="0073502D"/>
    <w:rsid w:val="00735118"/>
    <w:rsid w:val="00735146"/>
    <w:rsid w:val="007353F6"/>
    <w:rsid w:val="0073543B"/>
    <w:rsid w:val="00735532"/>
    <w:rsid w:val="00735538"/>
    <w:rsid w:val="00735567"/>
    <w:rsid w:val="00735581"/>
    <w:rsid w:val="00735596"/>
    <w:rsid w:val="007356A1"/>
    <w:rsid w:val="007356CA"/>
    <w:rsid w:val="00735752"/>
    <w:rsid w:val="00735791"/>
    <w:rsid w:val="0073586F"/>
    <w:rsid w:val="00735932"/>
    <w:rsid w:val="00735994"/>
    <w:rsid w:val="00735AFA"/>
    <w:rsid w:val="00735B67"/>
    <w:rsid w:val="00735BD1"/>
    <w:rsid w:val="00735BD2"/>
    <w:rsid w:val="00735BD5"/>
    <w:rsid w:val="00735C00"/>
    <w:rsid w:val="00735C7E"/>
    <w:rsid w:val="00735D7F"/>
    <w:rsid w:val="00735DC7"/>
    <w:rsid w:val="00735E3D"/>
    <w:rsid w:val="00735F47"/>
    <w:rsid w:val="00736015"/>
    <w:rsid w:val="007360EF"/>
    <w:rsid w:val="007361C3"/>
    <w:rsid w:val="007361E8"/>
    <w:rsid w:val="00736220"/>
    <w:rsid w:val="007362DC"/>
    <w:rsid w:val="0073635B"/>
    <w:rsid w:val="0073640D"/>
    <w:rsid w:val="0073641F"/>
    <w:rsid w:val="0073673B"/>
    <w:rsid w:val="0073675C"/>
    <w:rsid w:val="007367CE"/>
    <w:rsid w:val="007368B2"/>
    <w:rsid w:val="00736924"/>
    <w:rsid w:val="007369FF"/>
    <w:rsid w:val="00736A0C"/>
    <w:rsid w:val="00736A10"/>
    <w:rsid w:val="00736A24"/>
    <w:rsid w:val="00736A30"/>
    <w:rsid w:val="00736AED"/>
    <w:rsid w:val="00736CCA"/>
    <w:rsid w:val="00736D5D"/>
    <w:rsid w:val="00736DAB"/>
    <w:rsid w:val="00736DD8"/>
    <w:rsid w:val="00736E5E"/>
    <w:rsid w:val="00736EFD"/>
    <w:rsid w:val="00736F4C"/>
    <w:rsid w:val="00736F60"/>
    <w:rsid w:val="00736F7F"/>
    <w:rsid w:val="00736FF4"/>
    <w:rsid w:val="0073710A"/>
    <w:rsid w:val="00737296"/>
    <w:rsid w:val="00737407"/>
    <w:rsid w:val="00737441"/>
    <w:rsid w:val="007374BF"/>
    <w:rsid w:val="0073750A"/>
    <w:rsid w:val="00737584"/>
    <w:rsid w:val="00737744"/>
    <w:rsid w:val="007377DA"/>
    <w:rsid w:val="007378D6"/>
    <w:rsid w:val="00737964"/>
    <w:rsid w:val="00737967"/>
    <w:rsid w:val="00737C5A"/>
    <w:rsid w:val="00737C69"/>
    <w:rsid w:val="00737C83"/>
    <w:rsid w:val="00737D8E"/>
    <w:rsid w:val="00737DA0"/>
    <w:rsid w:val="00737EE8"/>
    <w:rsid w:val="00737F2E"/>
    <w:rsid w:val="00740093"/>
    <w:rsid w:val="007400E8"/>
    <w:rsid w:val="0074011A"/>
    <w:rsid w:val="00740242"/>
    <w:rsid w:val="007403B4"/>
    <w:rsid w:val="00740474"/>
    <w:rsid w:val="007405C3"/>
    <w:rsid w:val="00740602"/>
    <w:rsid w:val="0074065A"/>
    <w:rsid w:val="007406E1"/>
    <w:rsid w:val="007407D0"/>
    <w:rsid w:val="007407D5"/>
    <w:rsid w:val="00740894"/>
    <w:rsid w:val="007408BF"/>
    <w:rsid w:val="007408C5"/>
    <w:rsid w:val="00740922"/>
    <w:rsid w:val="00740947"/>
    <w:rsid w:val="007409D6"/>
    <w:rsid w:val="00740A27"/>
    <w:rsid w:val="00740A91"/>
    <w:rsid w:val="00740AF2"/>
    <w:rsid w:val="00740B30"/>
    <w:rsid w:val="00740C36"/>
    <w:rsid w:val="00740CB0"/>
    <w:rsid w:val="00740E67"/>
    <w:rsid w:val="00740F5B"/>
    <w:rsid w:val="00741175"/>
    <w:rsid w:val="007411FB"/>
    <w:rsid w:val="00741213"/>
    <w:rsid w:val="00741440"/>
    <w:rsid w:val="007414BD"/>
    <w:rsid w:val="007415C2"/>
    <w:rsid w:val="0074160A"/>
    <w:rsid w:val="00741892"/>
    <w:rsid w:val="00741898"/>
    <w:rsid w:val="00741A9D"/>
    <w:rsid w:val="00741B8C"/>
    <w:rsid w:val="00741DB7"/>
    <w:rsid w:val="00741DD7"/>
    <w:rsid w:val="00741DEC"/>
    <w:rsid w:val="00741DF8"/>
    <w:rsid w:val="00742311"/>
    <w:rsid w:val="0074235A"/>
    <w:rsid w:val="0074237F"/>
    <w:rsid w:val="007424BB"/>
    <w:rsid w:val="00742566"/>
    <w:rsid w:val="00742598"/>
    <w:rsid w:val="00742668"/>
    <w:rsid w:val="0074272A"/>
    <w:rsid w:val="0074281F"/>
    <w:rsid w:val="00742878"/>
    <w:rsid w:val="007428A8"/>
    <w:rsid w:val="007428F9"/>
    <w:rsid w:val="00742995"/>
    <w:rsid w:val="00742A3A"/>
    <w:rsid w:val="00742B3A"/>
    <w:rsid w:val="00742B6D"/>
    <w:rsid w:val="00742BCA"/>
    <w:rsid w:val="00742C84"/>
    <w:rsid w:val="00742D42"/>
    <w:rsid w:val="00742D73"/>
    <w:rsid w:val="00742D8D"/>
    <w:rsid w:val="00742D98"/>
    <w:rsid w:val="00742E38"/>
    <w:rsid w:val="00742EA5"/>
    <w:rsid w:val="00742EF8"/>
    <w:rsid w:val="00742F03"/>
    <w:rsid w:val="00742F92"/>
    <w:rsid w:val="00743005"/>
    <w:rsid w:val="00743046"/>
    <w:rsid w:val="0074308E"/>
    <w:rsid w:val="00743102"/>
    <w:rsid w:val="00743181"/>
    <w:rsid w:val="007431EB"/>
    <w:rsid w:val="00743461"/>
    <w:rsid w:val="007434EE"/>
    <w:rsid w:val="00743598"/>
    <w:rsid w:val="0074360E"/>
    <w:rsid w:val="007436A0"/>
    <w:rsid w:val="007436FA"/>
    <w:rsid w:val="00743767"/>
    <w:rsid w:val="007437EF"/>
    <w:rsid w:val="0074382C"/>
    <w:rsid w:val="00743975"/>
    <w:rsid w:val="007439D9"/>
    <w:rsid w:val="00743A14"/>
    <w:rsid w:val="00743A9E"/>
    <w:rsid w:val="00743AC1"/>
    <w:rsid w:val="00743B19"/>
    <w:rsid w:val="00743B32"/>
    <w:rsid w:val="00743C34"/>
    <w:rsid w:val="00743CF3"/>
    <w:rsid w:val="00743CFB"/>
    <w:rsid w:val="00743D37"/>
    <w:rsid w:val="00743D52"/>
    <w:rsid w:val="00743E9A"/>
    <w:rsid w:val="00743EDB"/>
    <w:rsid w:val="007440AA"/>
    <w:rsid w:val="007440E1"/>
    <w:rsid w:val="00744140"/>
    <w:rsid w:val="00744143"/>
    <w:rsid w:val="00744166"/>
    <w:rsid w:val="00744234"/>
    <w:rsid w:val="00744239"/>
    <w:rsid w:val="00744363"/>
    <w:rsid w:val="00744395"/>
    <w:rsid w:val="00744481"/>
    <w:rsid w:val="007444C1"/>
    <w:rsid w:val="007444CA"/>
    <w:rsid w:val="007444D5"/>
    <w:rsid w:val="007444EE"/>
    <w:rsid w:val="00744637"/>
    <w:rsid w:val="00744643"/>
    <w:rsid w:val="0074476E"/>
    <w:rsid w:val="0074478B"/>
    <w:rsid w:val="00744823"/>
    <w:rsid w:val="0074488B"/>
    <w:rsid w:val="007448A7"/>
    <w:rsid w:val="007449BB"/>
    <w:rsid w:val="007449ED"/>
    <w:rsid w:val="00744A13"/>
    <w:rsid w:val="00744A95"/>
    <w:rsid w:val="00744ACA"/>
    <w:rsid w:val="00744D63"/>
    <w:rsid w:val="00744D8B"/>
    <w:rsid w:val="00744E1B"/>
    <w:rsid w:val="00744E5E"/>
    <w:rsid w:val="00744E91"/>
    <w:rsid w:val="00744FA5"/>
    <w:rsid w:val="00744FB5"/>
    <w:rsid w:val="00744FE0"/>
    <w:rsid w:val="0074502E"/>
    <w:rsid w:val="007450CA"/>
    <w:rsid w:val="00745172"/>
    <w:rsid w:val="00745249"/>
    <w:rsid w:val="0074527F"/>
    <w:rsid w:val="007452C7"/>
    <w:rsid w:val="0074532F"/>
    <w:rsid w:val="00745358"/>
    <w:rsid w:val="00745381"/>
    <w:rsid w:val="0074543C"/>
    <w:rsid w:val="00745504"/>
    <w:rsid w:val="00745510"/>
    <w:rsid w:val="007457D5"/>
    <w:rsid w:val="007457FE"/>
    <w:rsid w:val="0074587E"/>
    <w:rsid w:val="0074595B"/>
    <w:rsid w:val="00745ABB"/>
    <w:rsid w:val="00745AFC"/>
    <w:rsid w:val="00745BAA"/>
    <w:rsid w:val="00745BAD"/>
    <w:rsid w:val="00745C50"/>
    <w:rsid w:val="00745D8A"/>
    <w:rsid w:val="00745DF7"/>
    <w:rsid w:val="00745F5A"/>
    <w:rsid w:val="00745FC0"/>
    <w:rsid w:val="0074601A"/>
    <w:rsid w:val="00746073"/>
    <w:rsid w:val="0074612B"/>
    <w:rsid w:val="00746250"/>
    <w:rsid w:val="0074625D"/>
    <w:rsid w:val="0074630A"/>
    <w:rsid w:val="007463AF"/>
    <w:rsid w:val="0074669E"/>
    <w:rsid w:val="007466E1"/>
    <w:rsid w:val="00746788"/>
    <w:rsid w:val="0074688A"/>
    <w:rsid w:val="0074689B"/>
    <w:rsid w:val="007468A9"/>
    <w:rsid w:val="007469CD"/>
    <w:rsid w:val="00746B4F"/>
    <w:rsid w:val="00746BD1"/>
    <w:rsid w:val="00746BF0"/>
    <w:rsid w:val="00746C4E"/>
    <w:rsid w:val="00746D5E"/>
    <w:rsid w:val="00746E09"/>
    <w:rsid w:val="00746ED8"/>
    <w:rsid w:val="00746F98"/>
    <w:rsid w:val="00747034"/>
    <w:rsid w:val="0074703F"/>
    <w:rsid w:val="00747090"/>
    <w:rsid w:val="00747112"/>
    <w:rsid w:val="0074728D"/>
    <w:rsid w:val="007472F5"/>
    <w:rsid w:val="0074735D"/>
    <w:rsid w:val="007473B3"/>
    <w:rsid w:val="007473D6"/>
    <w:rsid w:val="00747412"/>
    <w:rsid w:val="0074741B"/>
    <w:rsid w:val="00747461"/>
    <w:rsid w:val="007474B7"/>
    <w:rsid w:val="007474D8"/>
    <w:rsid w:val="0074760B"/>
    <w:rsid w:val="00747624"/>
    <w:rsid w:val="00747639"/>
    <w:rsid w:val="00747698"/>
    <w:rsid w:val="00747797"/>
    <w:rsid w:val="007477B2"/>
    <w:rsid w:val="007477BE"/>
    <w:rsid w:val="007477D9"/>
    <w:rsid w:val="00747861"/>
    <w:rsid w:val="007478CB"/>
    <w:rsid w:val="0074797C"/>
    <w:rsid w:val="00747ABC"/>
    <w:rsid w:val="00747B2F"/>
    <w:rsid w:val="00747C70"/>
    <w:rsid w:val="00747C71"/>
    <w:rsid w:val="00747D78"/>
    <w:rsid w:val="00747E14"/>
    <w:rsid w:val="00747E39"/>
    <w:rsid w:val="00747E4C"/>
    <w:rsid w:val="00747E7F"/>
    <w:rsid w:val="00747EF2"/>
    <w:rsid w:val="00747F2C"/>
    <w:rsid w:val="00747F8A"/>
    <w:rsid w:val="0075005E"/>
    <w:rsid w:val="007500AA"/>
    <w:rsid w:val="007500B7"/>
    <w:rsid w:val="007500C7"/>
    <w:rsid w:val="00750188"/>
    <w:rsid w:val="007501CE"/>
    <w:rsid w:val="00750233"/>
    <w:rsid w:val="0075025D"/>
    <w:rsid w:val="007502FC"/>
    <w:rsid w:val="00750345"/>
    <w:rsid w:val="007503B1"/>
    <w:rsid w:val="00750422"/>
    <w:rsid w:val="00750594"/>
    <w:rsid w:val="007505BE"/>
    <w:rsid w:val="00750619"/>
    <w:rsid w:val="007506D6"/>
    <w:rsid w:val="0075075E"/>
    <w:rsid w:val="00750A99"/>
    <w:rsid w:val="00750B0A"/>
    <w:rsid w:val="00750C2C"/>
    <w:rsid w:val="00750CA6"/>
    <w:rsid w:val="00750CDF"/>
    <w:rsid w:val="00750CFF"/>
    <w:rsid w:val="00750DAB"/>
    <w:rsid w:val="00750E8C"/>
    <w:rsid w:val="00750FB2"/>
    <w:rsid w:val="007510BF"/>
    <w:rsid w:val="007510DF"/>
    <w:rsid w:val="007510F0"/>
    <w:rsid w:val="0075113E"/>
    <w:rsid w:val="00751350"/>
    <w:rsid w:val="007513B1"/>
    <w:rsid w:val="007513C1"/>
    <w:rsid w:val="00751459"/>
    <w:rsid w:val="007515A1"/>
    <w:rsid w:val="007515B3"/>
    <w:rsid w:val="00751646"/>
    <w:rsid w:val="0075167E"/>
    <w:rsid w:val="007516A2"/>
    <w:rsid w:val="007516B0"/>
    <w:rsid w:val="007516E5"/>
    <w:rsid w:val="00751734"/>
    <w:rsid w:val="007517FD"/>
    <w:rsid w:val="0075184D"/>
    <w:rsid w:val="007518E2"/>
    <w:rsid w:val="00751924"/>
    <w:rsid w:val="00751973"/>
    <w:rsid w:val="00751986"/>
    <w:rsid w:val="007519F4"/>
    <w:rsid w:val="00751A30"/>
    <w:rsid w:val="00751BAF"/>
    <w:rsid w:val="00751CCB"/>
    <w:rsid w:val="00751D0C"/>
    <w:rsid w:val="00751D12"/>
    <w:rsid w:val="00751F96"/>
    <w:rsid w:val="0075209D"/>
    <w:rsid w:val="00752247"/>
    <w:rsid w:val="00752285"/>
    <w:rsid w:val="007523C7"/>
    <w:rsid w:val="007523CD"/>
    <w:rsid w:val="007523D0"/>
    <w:rsid w:val="0075246E"/>
    <w:rsid w:val="007524A7"/>
    <w:rsid w:val="007525A2"/>
    <w:rsid w:val="007525AB"/>
    <w:rsid w:val="0075260A"/>
    <w:rsid w:val="007526C3"/>
    <w:rsid w:val="0075272E"/>
    <w:rsid w:val="0075281C"/>
    <w:rsid w:val="00752836"/>
    <w:rsid w:val="00752888"/>
    <w:rsid w:val="00752936"/>
    <w:rsid w:val="0075297E"/>
    <w:rsid w:val="00752B5F"/>
    <w:rsid w:val="00752C06"/>
    <w:rsid w:val="00752C22"/>
    <w:rsid w:val="00752D04"/>
    <w:rsid w:val="00752D5E"/>
    <w:rsid w:val="00752E1B"/>
    <w:rsid w:val="00752EC8"/>
    <w:rsid w:val="00752EF9"/>
    <w:rsid w:val="00753187"/>
    <w:rsid w:val="007531E3"/>
    <w:rsid w:val="00753236"/>
    <w:rsid w:val="00753253"/>
    <w:rsid w:val="007532E6"/>
    <w:rsid w:val="007532FC"/>
    <w:rsid w:val="007533FE"/>
    <w:rsid w:val="00753499"/>
    <w:rsid w:val="007534E6"/>
    <w:rsid w:val="00753512"/>
    <w:rsid w:val="00753705"/>
    <w:rsid w:val="00753718"/>
    <w:rsid w:val="0075371E"/>
    <w:rsid w:val="007537B7"/>
    <w:rsid w:val="007537E1"/>
    <w:rsid w:val="00753881"/>
    <w:rsid w:val="00753A99"/>
    <w:rsid w:val="00753B21"/>
    <w:rsid w:val="00753B3E"/>
    <w:rsid w:val="00753D33"/>
    <w:rsid w:val="00753D5E"/>
    <w:rsid w:val="00753F7C"/>
    <w:rsid w:val="00753F8B"/>
    <w:rsid w:val="0075402F"/>
    <w:rsid w:val="007540E0"/>
    <w:rsid w:val="00754103"/>
    <w:rsid w:val="007541F4"/>
    <w:rsid w:val="00754253"/>
    <w:rsid w:val="00754275"/>
    <w:rsid w:val="007543D3"/>
    <w:rsid w:val="00754577"/>
    <w:rsid w:val="007545C2"/>
    <w:rsid w:val="007545D4"/>
    <w:rsid w:val="00754672"/>
    <w:rsid w:val="007546F6"/>
    <w:rsid w:val="00754801"/>
    <w:rsid w:val="0075485B"/>
    <w:rsid w:val="0075498A"/>
    <w:rsid w:val="0075498D"/>
    <w:rsid w:val="00754999"/>
    <w:rsid w:val="00754A15"/>
    <w:rsid w:val="00754A52"/>
    <w:rsid w:val="00754AA4"/>
    <w:rsid w:val="00754ACF"/>
    <w:rsid w:val="00754B19"/>
    <w:rsid w:val="00754B9D"/>
    <w:rsid w:val="00754C61"/>
    <w:rsid w:val="00754DF7"/>
    <w:rsid w:val="007550CD"/>
    <w:rsid w:val="00755205"/>
    <w:rsid w:val="0075524B"/>
    <w:rsid w:val="00755270"/>
    <w:rsid w:val="0075527E"/>
    <w:rsid w:val="0075533B"/>
    <w:rsid w:val="007554E2"/>
    <w:rsid w:val="0075555D"/>
    <w:rsid w:val="00755640"/>
    <w:rsid w:val="00755673"/>
    <w:rsid w:val="00755792"/>
    <w:rsid w:val="00755844"/>
    <w:rsid w:val="00755878"/>
    <w:rsid w:val="007558B1"/>
    <w:rsid w:val="00755999"/>
    <w:rsid w:val="00755AC5"/>
    <w:rsid w:val="00755B96"/>
    <w:rsid w:val="00755BC1"/>
    <w:rsid w:val="00755BF5"/>
    <w:rsid w:val="00755BFF"/>
    <w:rsid w:val="00755D03"/>
    <w:rsid w:val="00755E49"/>
    <w:rsid w:val="00755E83"/>
    <w:rsid w:val="00755EE8"/>
    <w:rsid w:val="00755EEB"/>
    <w:rsid w:val="00755F50"/>
    <w:rsid w:val="00756152"/>
    <w:rsid w:val="007561A7"/>
    <w:rsid w:val="007562BD"/>
    <w:rsid w:val="007563C3"/>
    <w:rsid w:val="007564E0"/>
    <w:rsid w:val="007564F8"/>
    <w:rsid w:val="0075666C"/>
    <w:rsid w:val="00756673"/>
    <w:rsid w:val="007566FA"/>
    <w:rsid w:val="0075670F"/>
    <w:rsid w:val="0075675C"/>
    <w:rsid w:val="00756834"/>
    <w:rsid w:val="00756867"/>
    <w:rsid w:val="0075687C"/>
    <w:rsid w:val="00756912"/>
    <w:rsid w:val="00756995"/>
    <w:rsid w:val="00756A47"/>
    <w:rsid w:val="00756AD1"/>
    <w:rsid w:val="00756B95"/>
    <w:rsid w:val="00756BB5"/>
    <w:rsid w:val="00756C03"/>
    <w:rsid w:val="00756DC3"/>
    <w:rsid w:val="00756E7E"/>
    <w:rsid w:val="00756EDE"/>
    <w:rsid w:val="00756F82"/>
    <w:rsid w:val="007570A4"/>
    <w:rsid w:val="007572BA"/>
    <w:rsid w:val="00757314"/>
    <w:rsid w:val="00757375"/>
    <w:rsid w:val="00757381"/>
    <w:rsid w:val="007573B8"/>
    <w:rsid w:val="00757402"/>
    <w:rsid w:val="00757516"/>
    <w:rsid w:val="00757591"/>
    <w:rsid w:val="00757627"/>
    <w:rsid w:val="0075774D"/>
    <w:rsid w:val="007577E8"/>
    <w:rsid w:val="00757834"/>
    <w:rsid w:val="00757859"/>
    <w:rsid w:val="00757933"/>
    <w:rsid w:val="0075793E"/>
    <w:rsid w:val="00757A7C"/>
    <w:rsid w:val="00757D36"/>
    <w:rsid w:val="00757E73"/>
    <w:rsid w:val="00757F2D"/>
    <w:rsid w:val="00757F7E"/>
    <w:rsid w:val="00757F91"/>
    <w:rsid w:val="00757F97"/>
    <w:rsid w:val="007600F6"/>
    <w:rsid w:val="00760174"/>
    <w:rsid w:val="0076018B"/>
    <w:rsid w:val="00760235"/>
    <w:rsid w:val="00760237"/>
    <w:rsid w:val="0076038E"/>
    <w:rsid w:val="00760482"/>
    <w:rsid w:val="00760526"/>
    <w:rsid w:val="00760588"/>
    <w:rsid w:val="007606F6"/>
    <w:rsid w:val="007607BD"/>
    <w:rsid w:val="007609C9"/>
    <w:rsid w:val="007609D4"/>
    <w:rsid w:val="00760A53"/>
    <w:rsid w:val="00760A5A"/>
    <w:rsid w:val="00760A85"/>
    <w:rsid w:val="00760C6D"/>
    <w:rsid w:val="00760D0F"/>
    <w:rsid w:val="00760E01"/>
    <w:rsid w:val="007613E0"/>
    <w:rsid w:val="00761432"/>
    <w:rsid w:val="007614A6"/>
    <w:rsid w:val="0076152C"/>
    <w:rsid w:val="0076153C"/>
    <w:rsid w:val="00761548"/>
    <w:rsid w:val="00761677"/>
    <w:rsid w:val="0076169E"/>
    <w:rsid w:val="00761704"/>
    <w:rsid w:val="0076170A"/>
    <w:rsid w:val="00761714"/>
    <w:rsid w:val="007617A5"/>
    <w:rsid w:val="007617F6"/>
    <w:rsid w:val="0076181A"/>
    <w:rsid w:val="007618B5"/>
    <w:rsid w:val="00761AB8"/>
    <w:rsid w:val="00761B0F"/>
    <w:rsid w:val="00761BC4"/>
    <w:rsid w:val="00761BDC"/>
    <w:rsid w:val="00761C14"/>
    <w:rsid w:val="00761C75"/>
    <w:rsid w:val="00761D6A"/>
    <w:rsid w:val="00761D6B"/>
    <w:rsid w:val="00761DE6"/>
    <w:rsid w:val="00761DFE"/>
    <w:rsid w:val="00761E76"/>
    <w:rsid w:val="00761F37"/>
    <w:rsid w:val="00762085"/>
    <w:rsid w:val="007620BA"/>
    <w:rsid w:val="0076213D"/>
    <w:rsid w:val="007621E6"/>
    <w:rsid w:val="0076223D"/>
    <w:rsid w:val="0076228F"/>
    <w:rsid w:val="0076231D"/>
    <w:rsid w:val="00762488"/>
    <w:rsid w:val="0076252A"/>
    <w:rsid w:val="00762682"/>
    <w:rsid w:val="007626BA"/>
    <w:rsid w:val="007627E2"/>
    <w:rsid w:val="007627F2"/>
    <w:rsid w:val="00762851"/>
    <w:rsid w:val="007628A2"/>
    <w:rsid w:val="007628E0"/>
    <w:rsid w:val="00762950"/>
    <w:rsid w:val="00762951"/>
    <w:rsid w:val="0076297B"/>
    <w:rsid w:val="007629AA"/>
    <w:rsid w:val="007629B1"/>
    <w:rsid w:val="007629C6"/>
    <w:rsid w:val="00762A03"/>
    <w:rsid w:val="00762A30"/>
    <w:rsid w:val="00762B07"/>
    <w:rsid w:val="00762B39"/>
    <w:rsid w:val="00762D70"/>
    <w:rsid w:val="00762DC2"/>
    <w:rsid w:val="00762DDE"/>
    <w:rsid w:val="00762F1E"/>
    <w:rsid w:val="00762F2A"/>
    <w:rsid w:val="007630CD"/>
    <w:rsid w:val="007630FA"/>
    <w:rsid w:val="00763311"/>
    <w:rsid w:val="00763314"/>
    <w:rsid w:val="007633B5"/>
    <w:rsid w:val="00763415"/>
    <w:rsid w:val="00763493"/>
    <w:rsid w:val="0076354E"/>
    <w:rsid w:val="0076355A"/>
    <w:rsid w:val="007635D1"/>
    <w:rsid w:val="00763654"/>
    <w:rsid w:val="00763664"/>
    <w:rsid w:val="00763739"/>
    <w:rsid w:val="00763765"/>
    <w:rsid w:val="007637FD"/>
    <w:rsid w:val="0076384B"/>
    <w:rsid w:val="00763971"/>
    <w:rsid w:val="00763A0F"/>
    <w:rsid w:val="00763A82"/>
    <w:rsid w:val="00763CAA"/>
    <w:rsid w:val="00763D71"/>
    <w:rsid w:val="00763DB1"/>
    <w:rsid w:val="00763E9F"/>
    <w:rsid w:val="00763F97"/>
    <w:rsid w:val="00763FB1"/>
    <w:rsid w:val="0076408B"/>
    <w:rsid w:val="00764130"/>
    <w:rsid w:val="00764257"/>
    <w:rsid w:val="007642D2"/>
    <w:rsid w:val="00764447"/>
    <w:rsid w:val="007645E9"/>
    <w:rsid w:val="007645ED"/>
    <w:rsid w:val="00764690"/>
    <w:rsid w:val="007646B9"/>
    <w:rsid w:val="007646CB"/>
    <w:rsid w:val="007646D2"/>
    <w:rsid w:val="0076474E"/>
    <w:rsid w:val="0076475C"/>
    <w:rsid w:val="00764833"/>
    <w:rsid w:val="00764916"/>
    <w:rsid w:val="007649A8"/>
    <w:rsid w:val="00764A9E"/>
    <w:rsid w:val="00764B2C"/>
    <w:rsid w:val="00764C42"/>
    <w:rsid w:val="00764C56"/>
    <w:rsid w:val="00764DA0"/>
    <w:rsid w:val="00764DB8"/>
    <w:rsid w:val="00764DF8"/>
    <w:rsid w:val="00764E1C"/>
    <w:rsid w:val="00764F76"/>
    <w:rsid w:val="00764F88"/>
    <w:rsid w:val="00764FDB"/>
    <w:rsid w:val="0076503E"/>
    <w:rsid w:val="00765058"/>
    <w:rsid w:val="0076508E"/>
    <w:rsid w:val="00765093"/>
    <w:rsid w:val="00765126"/>
    <w:rsid w:val="00765129"/>
    <w:rsid w:val="0076517F"/>
    <w:rsid w:val="0076536F"/>
    <w:rsid w:val="0076542C"/>
    <w:rsid w:val="00765479"/>
    <w:rsid w:val="0076550B"/>
    <w:rsid w:val="0076568B"/>
    <w:rsid w:val="007656E5"/>
    <w:rsid w:val="007657C5"/>
    <w:rsid w:val="0076585A"/>
    <w:rsid w:val="007659FC"/>
    <w:rsid w:val="00765A81"/>
    <w:rsid w:val="00765C82"/>
    <w:rsid w:val="00765C8D"/>
    <w:rsid w:val="00765E9E"/>
    <w:rsid w:val="00765EFF"/>
    <w:rsid w:val="00765F13"/>
    <w:rsid w:val="00765FEB"/>
    <w:rsid w:val="0076601F"/>
    <w:rsid w:val="0076602A"/>
    <w:rsid w:val="007661E1"/>
    <w:rsid w:val="0076622D"/>
    <w:rsid w:val="00766280"/>
    <w:rsid w:val="007662DF"/>
    <w:rsid w:val="0076672D"/>
    <w:rsid w:val="00766759"/>
    <w:rsid w:val="00766769"/>
    <w:rsid w:val="00766770"/>
    <w:rsid w:val="007667D1"/>
    <w:rsid w:val="007668C1"/>
    <w:rsid w:val="0076695C"/>
    <w:rsid w:val="00766AA1"/>
    <w:rsid w:val="00766AA2"/>
    <w:rsid w:val="00766B1D"/>
    <w:rsid w:val="00766BC3"/>
    <w:rsid w:val="00766BE9"/>
    <w:rsid w:val="00766BF5"/>
    <w:rsid w:val="00766C50"/>
    <w:rsid w:val="00766C7F"/>
    <w:rsid w:val="00766CC6"/>
    <w:rsid w:val="00766D32"/>
    <w:rsid w:val="00766E58"/>
    <w:rsid w:val="00766EC5"/>
    <w:rsid w:val="00766F32"/>
    <w:rsid w:val="0076703D"/>
    <w:rsid w:val="00767046"/>
    <w:rsid w:val="0076706B"/>
    <w:rsid w:val="00767340"/>
    <w:rsid w:val="00767353"/>
    <w:rsid w:val="007673F7"/>
    <w:rsid w:val="00767583"/>
    <w:rsid w:val="0076767E"/>
    <w:rsid w:val="007676FD"/>
    <w:rsid w:val="007679EB"/>
    <w:rsid w:val="00767B0B"/>
    <w:rsid w:val="00767B17"/>
    <w:rsid w:val="00767B1F"/>
    <w:rsid w:val="00767B35"/>
    <w:rsid w:val="00767C64"/>
    <w:rsid w:val="00767CC3"/>
    <w:rsid w:val="00767DED"/>
    <w:rsid w:val="00767E81"/>
    <w:rsid w:val="00770017"/>
    <w:rsid w:val="007700DB"/>
    <w:rsid w:val="00770136"/>
    <w:rsid w:val="00770233"/>
    <w:rsid w:val="00770487"/>
    <w:rsid w:val="0077050C"/>
    <w:rsid w:val="00770535"/>
    <w:rsid w:val="007706A4"/>
    <w:rsid w:val="007707EE"/>
    <w:rsid w:val="007709F0"/>
    <w:rsid w:val="00770A83"/>
    <w:rsid w:val="00770B9F"/>
    <w:rsid w:val="00770BE6"/>
    <w:rsid w:val="00770C43"/>
    <w:rsid w:val="00770D6D"/>
    <w:rsid w:val="00770E23"/>
    <w:rsid w:val="00770EA2"/>
    <w:rsid w:val="00770EE7"/>
    <w:rsid w:val="00770F22"/>
    <w:rsid w:val="00770F38"/>
    <w:rsid w:val="00770FE3"/>
    <w:rsid w:val="00770FEB"/>
    <w:rsid w:val="00771047"/>
    <w:rsid w:val="007710F4"/>
    <w:rsid w:val="00771262"/>
    <w:rsid w:val="00771351"/>
    <w:rsid w:val="0077139C"/>
    <w:rsid w:val="00771402"/>
    <w:rsid w:val="00771450"/>
    <w:rsid w:val="007714A8"/>
    <w:rsid w:val="00771524"/>
    <w:rsid w:val="00771564"/>
    <w:rsid w:val="007715B3"/>
    <w:rsid w:val="0077166F"/>
    <w:rsid w:val="0077170B"/>
    <w:rsid w:val="007717AA"/>
    <w:rsid w:val="007717B8"/>
    <w:rsid w:val="0077183E"/>
    <w:rsid w:val="00771938"/>
    <w:rsid w:val="00771982"/>
    <w:rsid w:val="007719B9"/>
    <w:rsid w:val="007719DE"/>
    <w:rsid w:val="00771A6A"/>
    <w:rsid w:val="00771A80"/>
    <w:rsid w:val="00771B93"/>
    <w:rsid w:val="00771DA6"/>
    <w:rsid w:val="00771DBF"/>
    <w:rsid w:val="00771DFA"/>
    <w:rsid w:val="00771F21"/>
    <w:rsid w:val="00771F5A"/>
    <w:rsid w:val="007720A2"/>
    <w:rsid w:val="0077219E"/>
    <w:rsid w:val="00772285"/>
    <w:rsid w:val="0077268B"/>
    <w:rsid w:val="007726C1"/>
    <w:rsid w:val="007728F3"/>
    <w:rsid w:val="00772940"/>
    <w:rsid w:val="00772988"/>
    <w:rsid w:val="00772A70"/>
    <w:rsid w:val="00772AAC"/>
    <w:rsid w:val="00772B03"/>
    <w:rsid w:val="00772B27"/>
    <w:rsid w:val="00772CE6"/>
    <w:rsid w:val="00772CF2"/>
    <w:rsid w:val="00772DD8"/>
    <w:rsid w:val="00772E77"/>
    <w:rsid w:val="00772F26"/>
    <w:rsid w:val="00773001"/>
    <w:rsid w:val="0077300F"/>
    <w:rsid w:val="00773091"/>
    <w:rsid w:val="007730C8"/>
    <w:rsid w:val="007731C2"/>
    <w:rsid w:val="007732C4"/>
    <w:rsid w:val="00773386"/>
    <w:rsid w:val="007733C9"/>
    <w:rsid w:val="007733EB"/>
    <w:rsid w:val="0077350A"/>
    <w:rsid w:val="0077358B"/>
    <w:rsid w:val="007735DE"/>
    <w:rsid w:val="007735F6"/>
    <w:rsid w:val="0077362A"/>
    <w:rsid w:val="00773900"/>
    <w:rsid w:val="0077398B"/>
    <w:rsid w:val="00773A86"/>
    <w:rsid w:val="00773B59"/>
    <w:rsid w:val="00773BE7"/>
    <w:rsid w:val="00773D4F"/>
    <w:rsid w:val="00773DE3"/>
    <w:rsid w:val="00773E86"/>
    <w:rsid w:val="00773F65"/>
    <w:rsid w:val="0077403B"/>
    <w:rsid w:val="0077409B"/>
    <w:rsid w:val="007740FE"/>
    <w:rsid w:val="00774166"/>
    <w:rsid w:val="007741EA"/>
    <w:rsid w:val="0077423F"/>
    <w:rsid w:val="00774373"/>
    <w:rsid w:val="007743A5"/>
    <w:rsid w:val="007744CD"/>
    <w:rsid w:val="007744DF"/>
    <w:rsid w:val="00774596"/>
    <w:rsid w:val="007745D2"/>
    <w:rsid w:val="0077474B"/>
    <w:rsid w:val="0077478E"/>
    <w:rsid w:val="0077486B"/>
    <w:rsid w:val="00774901"/>
    <w:rsid w:val="0077490E"/>
    <w:rsid w:val="007749A9"/>
    <w:rsid w:val="007749BF"/>
    <w:rsid w:val="007749C8"/>
    <w:rsid w:val="007749E1"/>
    <w:rsid w:val="007749F0"/>
    <w:rsid w:val="00774AC6"/>
    <w:rsid w:val="00774BB7"/>
    <w:rsid w:val="00774BF4"/>
    <w:rsid w:val="00774CEE"/>
    <w:rsid w:val="00774CF7"/>
    <w:rsid w:val="00774DC6"/>
    <w:rsid w:val="00774E11"/>
    <w:rsid w:val="00774E3A"/>
    <w:rsid w:val="00774E6A"/>
    <w:rsid w:val="00775012"/>
    <w:rsid w:val="007750CA"/>
    <w:rsid w:val="0077514E"/>
    <w:rsid w:val="00775164"/>
    <w:rsid w:val="007751B7"/>
    <w:rsid w:val="007751BD"/>
    <w:rsid w:val="007752E5"/>
    <w:rsid w:val="00775351"/>
    <w:rsid w:val="007754BF"/>
    <w:rsid w:val="007754D1"/>
    <w:rsid w:val="007755AB"/>
    <w:rsid w:val="007755B8"/>
    <w:rsid w:val="00775796"/>
    <w:rsid w:val="0077579B"/>
    <w:rsid w:val="00775834"/>
    <w:rsid w:val="00775AC8"/>
    <w:rsid w:val="00775B46"/>
    <w:rsid w:val="00775BF7"/>
    <w:rsid w:val="00775CA3"/>
    <w:rsid w:val="00775CC5"/>
    <w:rsid w:val="00775CF3"/>
    <w:rsid w:val="00775D19"/>
    <w:rsid w:val="00775D7E"/>
    <w:rsid w:val="00775DB1"/>
    <w:rsid w:val="00775DBB"/>
    <w:rsid w:val="00775E07"/>
    <w:rsid w:val="00775E50"/>
    <w:rsid w:val="00775EA3"/>
    <w:rsid w:val="00775EE9"/>
    <w:rsid w:val="00775F87"/>
    <w:rsid w:val="00775FC0"/>
    <w:rsid w:val="00775FD3"/>
    <w:rsid w:val="00775FD9"/>
    <w:rsid w:val="0077613F"/>
    <w:rsid w:val="00776246"/>
    <w:rsid w:val="00776315"/>
    <w:rsid w:val="00776332"/>
    <w:rsid w:val="00776414"/>
    <w:rsid w:val="007765AC"/>
    <w:rsid w:val="00776666"/>
    <w:rsid w:val="007766A0"/>
    <w:rsid w:val="007766BA"/>
    <w:rsid w:val="00776864"/>
    <w:rsid w:val="0077687F"/>
    <w:rsid w:val="007768BC"/>
    <w:rsid w:val="007768CE"/>
    <w:rsid w:val="007769A6"/>
    <w:rsid w:val="007769F0"/>
    <w:rsid w:val="00776AD2"/>
    <w:rsid w:val="00776B1B"/>
    <w:rsid w:val="00776C4B"/>
    <w:rsid w:val="00776CC0"/>
    <w:rsid w:val="00776E21"/>
    <w:rsid w:val="00777003"/>
    <w:rsid w:val="00777258"/>
    <w:rsid w:val="00777274"/>
    <w:rsid w:val="007773AC"/>
    <w:rsid w:val="007773B4"/>
    <w:rsid w:val="00777496"/>
    <w:rsid w:val="00777581"/>
    <w:rsid w:val="007775A1"/>
    <w:rsid w:val="007775C6"/>
    <w:rsid w:val="00777734"/>
    <w:rsid w:val="007777A5"/>
    <w:rsid w:val="007778A5"/>
    <w:rsid w:val="007779C4"/>
    <w:rsid w:val="00777A00"/>
    <w:rsid w:val="00777A24"/>
    <w:rsid w:val="00777C9C"/>
    <w:rsid w:val="00777CB9"/>
    <w:rsid w:val="00777CED"/>
    <w:rsid w:val="00777D01"/>
    <w:rsid w:val="00777D54"/>
    <w:rsid w:val="00777DCD"/>
    <w:rsid w:val="00777E16"/>
    <w:rsid w:val="00777E79"/>
    <w:rsid w:val="00777E98"/>
    <w:rsid w:val="00777F02"/>
    <w:rsid w:val="00777F29"/>
    <w:rsid w:val="00777F67"/>
    <w:rsid w:val="00777F69"/>
    <w:rsid w:val="00777FB8"/>
    <w:rsid w:val="00777FC8"/>
    <w:rsid w:val="00780076"/>
    <w:rsid w:val="00780098"/>
    <w:rsid w:val="007800A3"/>
    <w:rsid w:val="007800F4"/>
    <w:rsid w:val="007800F7"/>
    <w:rsid w:val="00780154"/>
    <w:rsid w:val="00780167"/>
    <w:rsid w:val="0078018D"/>
    <w:rsid w:val="0078021E"/>
    <w:rsid w:val="0078042E"/>
    <w:rsid w:val="007804CF"/>
    <w:rsid w:val="00780555"/>
    <w:rsid w:val="0078063D"/>
    <w:rsid w:val="00780680"/>
    <w:rsid w:val="00780683"/>
    <w:rsid w:val="007806B3"/>
    <w:rsid w:val="007806F5"/>
    <w:rsid w:val="00780769"/>
    <w:rsid w:val="0078077B"/>
    <w:rsid w:val="0078079E"/>
    <w:rsid w:val="007808A7"/>
    <w:rsid w:val="00780975"/>
    <w:rsid w:val="00780CDE"/>
    <w:rsid w:val="00780D20"/>
    <w:rsid w:val="00780D73"/>
    <w:rsid w:val="00780DAF"/>
    <w:rsid w:val="00780E9F"/>
    <w:rsid w:val="00780F48"/>
    <w:rsid w:val="00780FB7"/>
    <w:rsid w:val="00781178"/>
    <w:rsid w:val="0078119B"/>
    <w:rsid w:val="007812F9"/>
    <w:rsid w:val="00781342"/>
    <w:rsid w:val="0078135C"/>
    <w:rsid w:val="0078143A"/>
    <w:rsid w:val="007814F0"/>
    <w:rsid w:val="00781513"/>
    <w:rsid w:val="007815CF"/>
    <w:rsid w:val="00781674"/>
    <w:rsid w:val="007817F8"/>
    <w:rsid w:val="0078183F"/>
    <w:rsid w:val="00781847"/>
    <w:rsid w:val="0078187A"/>
    <w:rsid w:val="007819A1"/>
    <w:rsid w:val="00781AD3"/>
    <w:rsid w:val="00781BF4"/>
    <w:rsid w:val="00781C77"/>
    <w:rsid w:val="00781ECF"/>
    <w:rsid w:val="00781EDD"/>
    <w:rsid w:val="00782043"/>
    <w:rsid w:val="00782050"/>
    <w:rsid w:val="00782150"/>
    <w:rsid w:val="0078218C"/>
    <w:rsid w:val="007821D3"/>
    <w:rsid w:val="0078248F"/>
    <w:rsid w:val="0078256E"/>
    <w:rsid w:val="0078259E"/>
    <w:rsid w:val="0078266D"/>
    <w:rsid w:val="00782696"/>
    <w:rsid w:val="0078277F"/>
    <w:rsid w:val="007828CB"/>
    <w:rsid w:val="0078293B"/>
    <w:rsid w:val="0078297D"/>
    <w:rsid w:val="007829F2"/>
    <w:rsid w:val="00782AC3"/>
    <w:rsid w:val="00782AF2"/>
    <w:rsid w:val="00782B10"/>
    <w:rsid w:val="00782B9A"/>
    <w:rsid w:val="00782C1C"/>
    <w:rsid w:val="00782C97"/>
    <w:rsid w:val="00782E08"/>
    <w:rsid w:val="00782EC8"/>
    <w:rsid w:val="00782ED6"/>
    <w:rsid w:val="00782F06"/>
    <w:rsid w:val="00782F2F"/>
    <w:rsid w:val="0078301C"/>
    <w:rsid w:val="007830B0"/>
    <w:rsid w:val="007830EB"/>
    <w:rsid w:val="007831DD"/>
    <w:rsid w:val="007831FD"/>
    <w:rsid w:val="0078333F"/>
    <w:rsid w:val="00783412"/>
    <w:rsid w:val="00783527"/>
    <w:rsid w:val="007836FB"/>
    <w:rsid w:val="0078374D"/>
    <w:rsid w:val="0078374E"/>
    <w:rsid w:val="00783888"/>
    <w:rsid w:val="00783987"/>
    <w:rsid w:val="00783AD3"/>
    <w:rsid w:val="00783B24"/>
    <w:rsid w:val="00783B29"/>
    <w:rsid w:val="00783B76"/>
    <w:rsid w:val="00783C35"/>
    <w:rsid w:val="00783D6A"/>
    <w:rsid w:val="00783D7F"/>
    <w:rsid w:val="00783DFE"/>
    <w:rsid w:val="00783E54"/>
    <w:rsid w:val="00783F34"/>
    <w:rsid w:val="00783FFC"/>
    <w:rsid w:val="00784231"/>
    <w:rsid w:val="0078425A"/>
    <w:rsid w:val="007842EE"/>
    <w:rsid w:val="0078430A"/>
    <w:rsid w:val="00784668"/>
    <w:rsid w:val="007846A3"/>
    <w:rsid w:val="007846BC"/>
    <w:rsid w:val="007846E0"/>
    <w:rsid w:val="0078473F"/>
    <w:rsid w:val="0078478F"/>
    <w:rsid w:val="007847E7"/>
    <w:rsid w:val="00784887"/>
    <w:rsid w:val="00784B15"/>
    <w:rsid w:val="00784B93"/>
    <w:rsid w:val="00784BD8"/>
    <w:rsid w:val="00784C88"/>
    <w:rsid w:val="00784CFF"/>
    <w:rsid w:val="00784D60"/>
    <w:rsid w:val="00784E3C"/>
    <w:rsid w:val="00784FC9"/>
    <w:rsid w:val="00785078"/>
    <w:rsid w:val="00785153"/>
    <w:rsid w:val="00785195"/>
    <w:rsid w:val="007851FF"/>
    <w:rsid w:val="007852D0"/>
    <w:rsid w:val="0078546B"/>
    <w:rsid w:val="00785547"/>
    <w:rsid w:val="007855E9"/>
    <w:rsid w:val="0078574B"/>
    <w:rsid w:val="007858F0"/>
    <w:rsid w:val="007859A0"/>
    <w:rsid w:val="00785A06"/>
    <w:rsid w:val="00785ABA"/>
    <w:rsid w:val="00785B0D"/>
    <w:rsid w:val="00785BAE"/>
    <w:rsid w:val="00785CFD"/>
    <w:rsid w:val="00785D33"/>
    <w:rsid w:val="00785E3D"/>
    <w:rsid w:val="00785F14"/>
    <w:rsid w:val="00786003"/>
    <w:rsid w:val="0078621C"/>
    <w:rsid w:val="007863F3"/>
    <w:rsid w:val="007864C0"/>
    <w:rsid w:val="00786648"/>
    <w:rsid w:val="00786676"/>
    <w:rsid w:val="00786794"/>
    <w:rsid w:val="007867E9"/>
    <w:rsid w:val="00786803"/>
    <w:rsid w:val="00786894"/>
    <w:rsid w:val="00786B63"/>
    <w:rsid w:val="00786B96"/>
    <w:rsid w:val="00786BA9"/>
    <w:rsid w:val="00786BE9"/>
    <w:rsid w:val="00786C9A"/>
    <w:rsid w:val="00786CC5"/>
    <w:rsid w:val="00786D15"/>
    <w:rsid w:val="00786D31"/>
    <w:rsid w:val="00786DEC"/>
    <w:rsid w:val="00786E2A"/>
    <w:rsid w:val="00786E99"/>
    <w:rsid w:val="00786EA5"/>
    <w:rsid w:val="00786F17"/>
    <w:rsid w:val="00786F41"/>
    <w:rsid w:val="00786F4B"/>
    <w:rsid w:val="00786FB6"/>
    <w:rsid w:val="00787011"/>
    <w:rsid w:val="00787082"/>
    <w:rsid w:val="0078709A"/>
    <w:rsid w:val="007870B9"/>
    <w:rsid w:val="0078732B"/>
    <w:rsid w:val="0078738A"/>
    <w:rsid w:val="00787425"/>
    <w:rsid w:val="0078742B"/>
    <w:rsid w:val="0078746F"/>
    <w:rsid w:val="00787487"/>
    <w:rsid w:val="0078754D"/>
    <w:rsid w:val="007875AF"/>
    <w:rsid w:val="007875E0"/>
    <w:rsid w:val="007875FB"/>
    <w:rsid w:val="007876BF"/>
    <w:rsid w:val="007876CA"/>
    <w:rsid w:val="00787754"/>
    <w:rsid w:val="007878BC"/>
    <w:rsid w:val="00787930"/>
    <w:rsid w:val="007879F9"/>
    <w:rsid w:val="00787BE9"/>
    <w:rsid w:val="00787EB7"/>
    <w:rsid w:val="00787ED1"/>
    <w:rsid w:val="00787F97"/>
    <w:rsid w:val="00790099"/>
    <w:rsid w:val="007901EE"/>
    <w:rsid w:val="0079026B"/>
    <w:rsid w:val="00790385"/>
    <w:rsid w:val="0079038B"/>
    <w:rsid w:val="0079041C"/>
    <w:rsid w:val="0079062C"/>
    <w:rsid w:val="0079074F"/>
    <w:rsid w:val="00790803"/>
    <w:rsid w:val="007908F8"/>
    <w:rsid w:val="00790943"/>
    <w:rsid w:val="0079097F"/>
    <w:rsid w:val="00790A4E"/>
    <w:rsid w:val="00790A56"/>
    <w:rsid w:val="00790AB7"/>
    <w:rsid w:val="00790BE8"/>
    <w:rsid w:val="00790C3C"/>
    <w:rsid w:val="00790C45"/>
    <w:rsid w:val="00790DA8"/>
    <w:rsid w:val="00790DD4"/>
    <w:rsid w:val="00790EB4"/>
    <w:rsid w:val="00790FF1"/>
    <w:rsid w:val="0079102B"/>
    <w:rsid w:val="007910AB"/>
    <w:rsid w:val="00791184"/>
    <w:rsid w:val="00791286"/>
    <w:rsid w:val="007912B7"/>
    <w:rsid w:val="00791328"/>
    <w:rsid w:val="00791374"/>
    <w:rsid w:val="00791392"/>
    <w:rsid w:val="0079154B"/>
    <w:rsid w:val="0079165B"/>
    <w:rsid w:val="007916A5"/>
    <w:rsid w:val="007916B1"/>
    <w:rsid w:val="007916B6"/>
    <w:rsid w:val="0079170F"/>
    <w:rsid w:val="0079176C"/>
    <w:rsid w:val="00791793"/>
    <w:rsid w:val="00791892"/>
    <w:rsid w:val="00791902"/>
    <w:rsid w:val="007919A9"/>
    <w:rsid w:val="007919ED"/>
    <w:rsid w:val="00791DA8"/>
    <w:rsid w:val="00791DD0"/>
    <w:rsid w:val="00791DEE"/>
    <w:rsid w:val="00791E4C"/>
    <w:rsid w:val="00791E75"/>
    <w:rsid w:val="00791EF1"/>
    <w:rsid w:val="00791F5E"/>
    <w:rsid w:val="007920DC"/>
    <w:rsid w:val="00792152"/>
    <w:rsid w:val="0079216E"/>
    <w:rsid w:val="0079221B"/>
    <w:rsid w:val="00792359"/>
    <w:rsid w:val="0079238D"/>
    <w:rsid w:val="00792437"/>
    <w:rsid w:val="00792614"/>
    <w:rsid w:val="0079269C"/>
    <w:rsid w:val="007926FC"/>
    <w:rsid w:val="00792704"/>
    <w:rsid w:val="00792875"/>
    <w:rsid w:val="0079298C"/>
    <w:rsid w:val="00792AC3"/>
    <w:rsid w:val="00792BA1"/>
    <w:rsid w:val="00792BCD"/>
    <w:rsid w:val="00792CA6"/>
    <w:rsid w:val="00792CE6"/>
    <w:rsid w:val="00792F52"/>
    <w:rsid w:val="0079305B"/>
    <w:rsid w:val="00793146"/>
    <w:rsid w:val="0079314F"/>
    <w:rsid w:val="00793217"/>
    <w:rsid w:val="00793282"/>
    <w:rsid w:val="00793362"/>
    <w:rsid w:val="007933CD"/>
    <w:rsid w:val="007933D6"/>
    <w:rsid w:val="00793514"/>
    <w:rsid w:val="00793552"/>
    <w:rsid w:val="007935C8"/>
    <w:rsid w:val="007937C0"/>
    <w:rsid w:val="007937C5"/>
    <w:rsid w:val="007937D0"/>
    <w:rsid w:val="00793806"/>
    <w:rsid w:val="0079386D"/>
    <w:rsid w:val="00793A07"/>
    <w:rsid w:val="00793B48"/>
    <w:rsid w:val="00793B93"/>
    <w:rsid w:val="00793C7E"/>
    <w:rsid w:val="00793DCD"/>
    <w:rsid w:val="00793F26"/>
    <w:rsid w:val="00794017"/>
    <w:rsid w:val="0079418A"/>
    <w:rsid w:val="00794245"/>
    <w:rsid w:val="007943CF"/>
    <w:rsid w:val="00794417"/>
    <w:rsid w:val="007945A1"/>
    <w:rsid w:val="007946FC"/>
    <w:rsid w:val="0079484B"/>
    <w:rsid w:val="007948A0"/>
    <w:rsid w:val="00794900"/>
    <w:rsid w:val="00794B4C"/>
    <w:rsid w:val="00794C05"/>
    <w:rsid w:val="00794C38"/>
    <w:rsid w:val="00794DF7"/>
    <w:rsid w:val="00794E12"/>
    <w:rsid w:val="00794E99"/>
    <w:rsid w:val="00794EF8"/>
    <w:rsid w:val="00794F2D"/>
    <w:rsid w:val="00794FEB"/>
    <w:rsid w:val="0079516D"/>
    <w:rsid w:val="007951BB"/>
    <w:rsid w:val="007951F3"/>
    <w:rsid w:val="007951F6"/>
    <w:rsid w:val="00795207"/>
    <w:rsid w:val="0079520B"/>
    <w:rsid w:val="0079530A"/>
    <w:rsid w:val="00795471"/>
    <w:rsid w:val="007955D0"/>
    <w:rsid w:val="00795645"/>
    <w:rsid w:val="0079566F"/>
    <w:rsid w:val="00795778"/>
    <w:rsid w:val="007957A6"/>
    <w:rsid w:val="007957BB"/>
    <w:rsid w:val="00795816"/>
    <w:rsid w:val="0079583E"/>
    <w:rsid w:val="00795A90"/>
    <w:rsid w:val="00795AA9"/>
    <w:rsid w:val="00795B0B"/>
    <w:rsid w:val="00795B7B"/>
    <w:rsid w:val="00795CC6"/>
    <w:rsid w:val="00795E42"/>
    <w:rsid w:val="00795F09"/>
    <w:rsid w:val="00796087"/>
    <w:rsid w:val="00796094"/>
    <w:rsid w:val="0079610D"/>
    <w:rsid w:val="00796168"/>
    <w:rsid w:val="007962C3"/>
    <w:rsid w:val="007962FC"/>
    <w:rsid w:val="00796359"/>
    <w:rsid w:val="007966AB"/>
    <w:rsid w:val="00796749"/>
    <w:rsid w:val="0079678F"/>
    <w:rsid w:val="007967EB"/>
    <w:rsid w:val="007968AC"/>
    <w:rsid w:val="007968D4"/>
    <w:rsid w:val="0079697D"/>
    <w:rsid w:val="00796A74"/>
    <w:rsid w:val="00796C8A"/>
    <w:rsid w:val="00796C94"/>
    <w:rsid w:val="00796D00"/>
    <w:rsid w:val="00796D15"/>
    <w:rsid w:val="00796DC8"/>
    <w:rsid w:val="0079700C"/>
    <w:rsid w:val="00797073"/>
    <w:rsid w:val="00797232"/>
    <w:rsid w:val="00797277"/>
    <w:rsid w:val="00797371"/>
    <w:rsid w:val="00797575"/>
    <w:rsid w:val="0079757E"/>
    <w:rsid w:val="0079759E"/>
    <w:rsid w:val="0079769C"/>
    <w:rsid w:val="007976A1"/>
    <w:rsid w:val="007976C8"/>
    <w:rsid w:val="007977AB"/>
    <w:rsid w:val="007977CA"/>
    <w:rsid w:val="00797844"/>
    <w:rsid w:val="007978A4"/>
    <w:rsid w:val="0079793E"/>
    <w:rsid w:val="00797976"/>
    <w:rsid w:val="00797A03"/>
    <w:rsid w:val="00797ACA"/>
    <w:rsid w:val="00797AE0"/>
    <w:rsid w:val="00797DF4"/>
    <w:rsid w:val="00797EA7"/>
    <w:rsid w:val="00797EB7"/>
    <w:rsid w:val="00797F92"/>
    <w:rsid w:val="007A019E"/>
    <w:rsid w:val="007A01F2"/>
    <w:rsid w:val="007A04A3"/>
    <w:rsid w:val="007A04A8"/>
    <w:rsid w:val="007A06F2"/>
    <w:rsid w:val="007A07B2"/>
    <w:rsid w:val="007A07FD"/>
    <w:rsid w:val="007A0838"/>
    <w:rsid w:val="007A0891"/>
    <w:rsid w:val="007A092B"/>
    <w:rsid w:val="007A092C"/>
    <w:rsid w:val="007A098F"/>
    <w:rsid w:val="007A09B3"/>
    <w:rsid w:val="007A0BFE"/>
    <w:rsid w:val="007A0E48"/>
    <w:rsid w:val="007A0E4B"/>
    <w:rsid w:val="007A0EBA"/>
    <w:rsid w:val="007A0FD5"/>
    <w:rsid w:val="007A1217"/>
    <w:rsid w:val="007A1294"/>
    <w:rsid w:val="007A136F"/>
    <w:rsid w:val="007A1371"/>
    <w:rsid w:val="007A1401"/>
    <w:rsid w:val="007A1431"/>
    <w:rsid w:val="007A14E8"/>
    <w:rsid w:val="007A15DD"/>
    <w:rsid w:val="007A16FD"/>
    <w:rsid w:val="007A1808"/>
    <w:rsid w:val="007A197C"/>
    <w:rsid w:val="007A1A00"/>
    <w:rsid w:val="007A1ACE"/>
    <w:rsid w:val="007A1BDE"/>
    <w:rsid w:val="007A1C65"/>
    <w:rsid w:val="007A1C92"/>
    <w:rsid w:val="007A1CC9"/>
    <w:rsid w:val="007A1E43"/>
    <w:rsid w:val="007A1E72"/>
    <w:rsid w:val="007A1F12"/>
    <w:rsid w:val="007A1F31"/>
    <w:rsid w:val="007A1F80"/>
    <w:rsid w:val="007A204F"/>
    <w:rsid w:val="007A20D6"/>
    <w:rsid w:val="007A240E"/>
    <w:rsid w:val="007A24EA"/>
    <w:rsid w:val="007A266E"/>
    <w:rsid w:val="007A2755"/>
    <w:rsid w:val="007A28D5"/>
    <w:rsid w:val="007A294E"/>
    <w:rsid w:val="007A2A01"/>
    <w:rsid w:val="007A2A73"/>
    <w:rsid w:val="007A2A89"/>
    <w:rsid w:val="007A2B30"/>
    <w:rsid w:val="007A2C63"/>
    <w:rsid w:val="007A2C70"/>
    <w:rsid w:val="007A2C9B"/>
    <w:rsid w:val="007A2D3D"/>
    <w:rsid w:val="007A2E08"/>
    <w:rsid w:val="007A2E6E"/>
    <w:rsid w:val="007A2EAD"/>
    <w:rsid w:val="007A2FE8"/>
    <w:rsid w:val="007A3035"/>
    <w:rsid w:val="007A30AD"/>
    <w:rsid w:val="007A310B"/>
    <w:rsid w:val="007A3169"/>
    <w:rsid w:val="007A31D2"/>
    <w:rsid w:val="007A31F6"/>
    <w:rsid w:val="007A31FA"/>
    <w:rsid w:val="007A324D"/>
    <w:rsid w:val="007A328B"/>
    <w:rsid w:val="007A338D"/>
    <w:rsid w:val="007A33DE"/>
    <w:rsid w:val="007A33EB"/>
    <w:rsid w:val="007A3453"/>
    <w:rsid w:val="007A34CA"/>
    <w:rsid w:val="007A34F2"/>
    <w:rsid w:val="007A36EB"/>
    <w:rsid w:val="007A37FF"/>
    <w:rsid w:val="007A38D4"/>
    <w:rsid w:val="007A392F"/>
    <w:rsid w:val="007A3A5B"/>
    <w:rsid w:val="007A3A65"/>
    <w:rsid w:val="007A3ACF"/>
    <w:rsid w:val="007A3AEF"/>
    <w:rsid w:val="007A3BEC"/>
    <w:rsid w:val="007A3CD6"/>
    <w:rsid w:val="007A3CF7"/>
    <w:rsid w:val="007A3D6E"/>
    <w:rsid w:val="007A404D"/>
    <w:rsid w:val="007A4078"/>
    <w:rsid w:val="007A4094"/>
    <w:rsid w:val="007A40E3"/>
    <w:rsid w:val="007A411F"/>
    <w:rsid w:val="007A413B"/>
    <w:rsid w:val="007A4152"/>
    <w:rsid w:val="007A4204"/>
    <w:rsid w:val="007A42B3"/>
    <w:rsid w:val="007A42EB"/>
    <w:rsid w:val="007A43A6"/>
    <w:rsid w:val="007A4413"/>
    <w:rsid w:val="007A4456"/>
    <w:rsid w:val="007A4587"/>
    <w:rsid w:val="007A4644"/>
    <w:rsid w:val="007A467B"/>
    <w:rsid w:val="007A46D6"/>
    <w:rsid w:val="007A4774"/>
    <w:rsid w:val="007A47B4"/>
    <w:rsid w:val="007A47C6"/>
    <w:rsid w:val="007A4A28"/>
    <w:rsid w:val="007A4A97"/>
    <w:rsid w:val="007A4B14"/>
    <w:rsid w:val="007A4B7C"/>
    <w:rsid w:val="007A4D46"/>
    <w:rsid w:val="007A4DC1"/>
    <w:rsid w:val="007A4DF6"/>
    <w:rsid w:val="007A4E6D"/>
    <w:rsid w:val="007A4EF4"/>
    <w:rsid w:val="007A500A"/>
    <w:rsid w:val="007A5022"/>
    <w:rsid w:val="007A5044"/>
    <w:rsid w:val="007A5106"/>
    <w:rsid w:val="007A514C"/>
    <w:rsid w:val="007A5182"/>
    <w:rsid w:val="007A518B"/>
    <w:rsid w:val="007A521A"/>
    <w:rsid w:val="007A5246"/>
    <w:rsid w:val="007A5336"/>
    <w:rsid w:val="007A5375"/>
    <w:rsid w:val="007A5395"/>
    <w:rsid w:val="007A53A8"/>
    <w:rsid w:val="007A545E"/>
    <w:rsid w:val="007A54CD"/>
    <w:rsid w:val="007A5513"/>
    <w:rsid w:val="007A56F1"/>
    <w:rsid w:val="007A582A"/>
    <w:rsid w:val="007A5840"/>
    <w:rsid w:val="007A5855"/>
    <w:rsid w:val="007A589D"/>
    <w:rsid w:val="007A58A3"/>
    <w:rsid w:val="007A58CC"/>
    <w:rsid w:val="007A58D4"/>
    <w:rsid w:val="007A5913"/>
    <w:rsid w:val="007A597F"/>
    <w:rsid w:val="007A59D7"/>
    <w:rsid w:val="007A5A59"/>
    <w:rsid w:val="007A5B5D"/>
    <w:rsid w:val="007A5B9A"/>
    <w:rsid w:val="007A5BF5"/>
    <w:rsid w:val="007A5C0C"/>
    <w:rsid w:val="007A5C97"/>
    <w:rsid w:val="007A5CE3"/>
    <w:rsid w:val="007A5D18"/>
    <w:rsid w:val="007A5F40"/>
    <w:rsid w:val="007A5F80"/>
    <w:rsid w:val="007A5FA7"/>
    <w:rsid w:val="007A5FE6"/>
    <w:rsid w:val="007A60E1"/>
    <w:rsid w:val="007A61C9"/>
    <w:rsid w:val="007A629F"/>
    <w:rsid w:val="007A62CE"/>
    <w:rsid w:val="007A6305"/>
    <w:rsid w:val="007A63AC"/>
    <w:rsid w:val="007A63ED"/>
    <w:rsid w:val="007A63EE"/>
    <w:rsid w:val="007A6465"/>
    <w:rsid w:val="007A64B3"/>
    <w:rsid w:val="007A64BB"/>
    <w:rsid w:val="007A655B"/>
    <w:rsid w:val="007A65D1"/>
    <w:rsid w:val="007A6637"/>
    <w:rsid w:val="007A67CD"/>
    <w:rsid w:val="007A6856"/>
    <w:rsid w:val="007A68C5"/>
    <w:rsid w:val="007A698A"/>
    <w:rsid w:val="007A6A8F"/>
    <w:rsid w:val="007A6BCA"/>
    <w:rsid w:val="007A6D33"/>
    <w:rsid w:val="007A6DD4"/>
    <w:rsid w:val="007A6EC5"/>
    <w:rsid w:val="007A6F42"/>
    <w:rsid w:val="007A70CE"/>
    <w:rsid w:val="007A70F8"/>
    <w:rsid w:val="007A7207"/>
    <w:rsid w:val="007A7257"/>
    <w:rsid w:val="007A7295"/>
    <w:rsid w:val="007A7396"/>
    <w:rsid w:val="007A7451"/>
    <w:rsid w:val="007A74E0"/>
    <w:rsid w:val="007A754D"/>
    <w:rsid w:val="007A75AC"/>
    <w:rsid w:val="007A764D"/>
    <w:rsid w:val="007A782C"/>
    <w:rsid w:val="007A7840"/>
    <w:rsid w:val="007A7895"/>
    <w:rsid w:val="007A789F"/>
    <w:rsid w:val="007A7A45"/>
    <w:rsid w:val="007A7A6E"/>
    <w:rsid w:val="007A7B43"/>
    <w:rsid w:val="007A7BCB"/>
    <w:rsid w:val="007A7CA0"/>
    <w:rsid w:val="007A7D78"/>
    <w:rsid w:val="007B0000"/>
    <w:rsid w:val="007B000A"/>
    <w:rsid w:val="007B004D"/>
    <w:rsid w:val="007B00CF"/>
    <w:rsid w:val="007B0154"/>
    <w:rsid w:val="007B01C1"/>
    <w:rsid w:val="007B02C3"/>
    <w:rsid w:val="007B03A1"/>
    <w:rsid w:val="007B03F4"/>
    <w:rsid w:val="007B0508"/>
    <w:rsid w:val="007B08C0"/>
    <w:rsid w:val="007B09BE"/>
    <w:rsid w:val="007B09E6"/>
    <w:rsid w:val="007B0A47"/>
    <w:rsid w:val="007B0B6F"/>
    <w:rsid w:val="007B0B81"/>
    <w:rsid w:val="007B0B8D"/>
    <w:rsid w:val="007B0BD7"/>
    <w:rsid w:val="007B0CD5"/>
    <w:rsid w:val="007B0D2C"/>
    <w:rsid w:val="007B0F13"/>
    <w:rsid w:val="007B0F37"/>
    <w:rsid w:val="007B0F5E"/>
    <w:rsid w:val="007B0F9A"/>
    <w:rsid w:val="007B102C"/>
    <w:rsid w:val="007B103A"/>
    <w:rsid w:val="007B105F"/>
    <w:rsid w:val="007B10DE"/>
    <w:rsid w:val="007B1117"/>
    <w:rsid w:val="007B116C"/>
    <w:rsid w:val="007B1476"/>
    <w:rsid w:val="007B1494"/>
    <w:rsid w:val="007B1623"/>
    <w:rsid w:val="007B1674"/>
    <w:rsid w:val="007B16F8"/>
    <w:rsid w:val="007B175E"/>
    <w:rsid w:val="007B1774"/>
    <w:rsid w:val="007B17E0"/>
    <w:rsid w:val="007B1827"/>
    <w:rsid w:val="007B1841"/>
    <w:rsid w:val="007B18E0"/>
    <w:rsid w:val="007B18EB"/>
    <w:rsid w:val="007B1963"/>
    <w:rsid w:val="007B19A7"/>
    <w:rsid w:val="007B19AF"/>
    <w:rsid w:val="007B1A76"/>
    <w:rsid w:val="007B1B3B"/>
    <w:rsid w:val="007B1C66"/>
    <w:rsid w:val="007B1CA2"/>
    <w:rsid w:val="007B1D5F"/>
    <w:rsid w:val="007B1D9A"/>
    <w:rsid w:val="007B1DC1"/>
    <w:rsid w:val="007B1DCF"/>
    <w:rsid w:val="007B1DDA"/>
    <w:rsid w:val="007B1E05"/>
    <w:rsid w:val="007B1E7D"/>
    <w:rsid w:val="007B1EF5"/>
    <w:rsid w:val="007B1FB6"/>
    <w:rsid w:val="007B20A1"/>
    <w:rsid w:val="007B2259"/>
    <w:rsid w:val="007B22EF"/>
    <w:rsid w:val="007B24D3"/>
    <w:rsid w:val="007B24F7"/>
    <w:rsid w:val="007B250D"/>
    <w:rsid w:val="007B251B"/>
    <w:rsid w:val="007B255D"/>
    <w:rsid w:val="007B2563"/>
    <w:rsid w:val="007B2643"/>
    <w:rsid w:val="007B26B6"/>
    <w:rsid w:val="007B26D9"/>
    <w:rsid w:val="007B2747"/>
    <w:rsid w:val="007B2777"/>
    <w:rsid w:val="007B2778"/>
    <w:rsid w:val="007B2786"/>
    <w:rsid w:val="007B278B"/>
    <w:rsid w:val="007B29A1"/>
    <w:rsid w:val="007B2BC8"/>
    <w:rsid w:val="007B2D22"/>
    <w:rsid w:val="007B2E69"/>
    <w:rsid w:val="007B2EBC"/>
    <w:rsid w:val="007B2EFB"/>
    <w:rsid w:val="007B331A"/>
    <w:rsid w:val="007B334F"/>
    <w:rsid w:val="007B33AE"/>
    <w:rsid w:val="007B342C"/>
    <w:rsid w:val="007B35D4"/>
    <w:rsid w:val="007B37A1"/>
    <w:rsid w:val="007B37A8"/>
    <w:rsid w:val="007B384C"/>
    <w:rsid w:val="007B3915"/>
    <w:rsid w:val="007B3AFF"/>
    <w:rsid w:val="007B3B2C"/>
    <w:rsid w:val="007B3BBA"/>
    <w:rsid w:val="007B3BE5"/>
    <w:rsid w:val="007B3CFD"/>
    <w:rsid w:val="007B3E31"/>
    <w:rsid w:val="007B3EA8"/>
    <w:rsid w:val="007B3F05"/>
    <w:rsid w:val="007B3F64"/>
    <w:rsid w:val="007B4082"/>
    <w:rsid w:val="007B40AF"/>
    <w:rsid w:val="007B40B2"/>
    <w:rsid w:val="007B4149"/>
    <w:rsid w:val="007B415A"/>
    <w:rsid w:val="007B41A1"/>
    <w:rsid w:val="007B42D6"/>
    <w:rsid w:val="007B431E"/>
    <w:rsid w:val="007B4420"/>
    <w:rsid w:val="007B45AA"/>
    <w:rsid w:val="007B46A7"/>
    <w:rsid w:val="007B46CE"/>
    <w:rsid w:val="007B4713"/>
    <w:rsid w:val="007B4991"/>
    <w:rsid w:val="007B4999"/>
    <w:rsid w:val="007B49EE"/>
    <w:rsid w:val="007B4BB9"/>
    <w:rsid w:val="007B4CD0"/>
    <w:rsid w:val="007B4DB9"/>
    <w:rsid w:val="007B4EB4"/>
    <w:rsid w:val="007B4F31"/>
    <w:rsid w:val="007B4F46"/>
    <w:rsid w:val="007B4F9A"/>
    <w:rsid w:val="007B4FFA"/>
    <w:rsid w:val="007B5040"/>
    <w:rsid w:val="007B5047"/>
    <w:rsid w:val="007B509C"/>
    <w:rsid w:val="007B50EE"/>
    <w:rsid w:val="007B50FB"/>
    <w:rsid w:val="007B5228"/>
    <w:rsid w:val="007B553C"/>
    <w:rsid w:val="007B5677"/>
    <w:rsid w:val="007B567A"/>
    <w:rsid w:val="007B57B1"/>
    <w:rsid w:val="007B57DA"/>
    <w:rsid w:val="007B5896"/>
    <w:rsid w:val="007B5957"/>
    <w:rsid w:val="007B5980"/>
    <w:rsid w:val="007B59E2"/>
    <w:rsid w:val="007B59F6"/>
    <w:rsid w:val="007B5A47"/>
    <w:rsid w:val="007B5A80"/>
    <w:rsid w:val="007B5B12"/>
    <w:rsid w:val="007B5B42"/>
    <w:rsid w:val="007B5C10"/>
    <w:rsid w:val="007B5C7F"/>
    <w:rsid w:val="007B5CB9"/>
    <w:rsid w:val="007B5CD4"/>
    <w:rsid w:val="007B5D96"/>
    <w:rsid w:val="007B5DC0"/>
    <w:rsid w:val="007B5E37"/>
    <w:rsid w:val="007B5E74"/>
    <w:rsid w:val="007B5F8D"/>
    <w:rsid w:val="007B5FDE"/>
    <w:rsid w:val="007B6025"/>
    <w:rsid w:val="007B60DE"/>
    <w:rsid w:val="007B6145"/>
    <w:rsid w:val="007B622C"/>
    <w:rsid w:val="007B62D0"/>
    <w:rsid w:val="007B63A9"/>
    <w:rsid w:val="007B642D"/>
    <w:rsid w:val="007B6557"/>
    <w:rsid w:val="007B655F"/>
    <w:rsid w:val="007B6605"/>
    <w:rsid w:val="007B6652"/>
    <w:rsid w:val="007B668A"/>
    <w:rsid w:val="007B66B3"/>
    <w:rsid w:val="007B6884"/>
    <w:rsid w:val="007B68A7"/>
    <w:rsid w:val="007B68CC"/>
    <w:rsid w:val="007B68F9"/>
    <w:rsid w:val="007B6A7C"/>
    <w:rsid w:val="007B6B1F"/>
    <w:rsid w:val="007B6B32"/>
    <w:rsid w:val="007B6B33"/>
    <w:rsid w:val="007B6B6D"/>
    <w:rsid w:val="007B6C32"/>
    <w:rsid w:val="007B6C39"/>
    <w:rsid w:val="007B6CFF"/>
    <w:rsid w:val="007B6E2A"/>
    <w:rsid w:val="007B6E58"/>
    <w:rsid w:val="007B6E8D"/>
    <w:rsid w:val="007B6F3C"/>
    <w:rsid w:val="007B6F58"/>
    <w:rsid w:val="007B6F70"/>
    <w:rsid w:val="007B70EC"/>
    <w:rsid w:val="007B710C"/>
    <w:rsid w:val="007B7301"/>
    <w:rsid w:val="007B733C"/>
    <w:rsid w:val="007B73A3"/>
    <w:rsid w:val="007B73CC"/>
    <w:rsid w:val="007B74FF"/>
    <w:rsid w:val="007B754A"/>
    <w:rsid w:val="007B75D7"/>
    <w:rsid w:val="007B7621"/>
    <w:rsid w:val="007B764A"/>
    <w:rsid w:val="007B766E"/>
    <w:rsid w:val="007B7783"/>
    <w:rsid w:val="007B77E7"/>
    <w:rsid w:val="007B77ED"/>
    <w:rsid w:val="007B7850"/>
    <w:rsid w:val="007B78DA"/>
    <w:rsid w:val="007B7954"/>
    <w:rsid w:val="007B7996"/>
    <w:rsid w:val="007B79C8"/>
    <w:rsid w:val="007B79E6"/>
    <w:rsid w:val="007B7A82"/>
    <w:rsid w:val="007B7AFE"/>
    <w:rsid w:val="007B7B08"/>
    <w:rsid w:val="007B7B6A"/>
    <w:rsid w:val="007B7C4B"/>
    <w:rsid w:val="007B7CD9"/>
    <w:rsid w:val="007B7CF3"/>
    <w:rsid w:val="007B7D40"/>
    <w:rsid w:val="007B7F72"/>
    <w:rsid w:val="007B7FEA"/>
    <w:rsid w:val="007C001F"/>
    <w:rsid w:val="007C013B"/>
    <w:rsid w:val="007C015E"/>
    <w:rsid w:val="007C0280"/>
    <w:rsid w:val="007C02D1"/>
    <w:rsid w:val="007C02D8"/>
    <w:rsid w:val="007C0317"/>
    <w:rsid w:val="007C032F"/>
    <w:rsid w:val="007C03FD"/>
    <w:rsid w:val="007C0450"/>
    <w:rsid w:val="007C0513"/>
    <w:rsid w:val="007C059B"/>
    <w:rsid w:val="007C05C7"/>
    <w:rsid w:val="007C06D6"/>
    <w:rsid w:val="007C0725"/>
    <w:rsid w:val="007C09B5"/>
    <w:rsid w:val="007C0A65"/>
    <w:rsid w:val="007C0A9F"/>
    <w:rsid w:val="007C0B65"/>
    <w:rsid w:val="007C0BBF"/>
    <w:rsid w:val="007C0D2C"/>
    <w:rsid w:val="007C0D2E"/>
    <w:rsid w:val="007C0D8A"/>
    <w:rsid w:val="007C0DEB"/>
    <w:rsid w:val="007C0F81"/>
    <w:rsid w:val="007C0FAD"/>
    <w:rsid w:val="007C1099"/>
    <w:rsid w:val="007C10CD"/>
    <w:rsid w:val="007C10EB"/>
    <w:rsid w:val="007C110C"/>
    <w:rsid w:val="007C114A"/>
    <w:rsid w:val="007C1360"/>
    <w:rsid w:val="007C158C"/>
    <w:rsid w:val="007C15AC"/>
    <w:rsid w:val="007C1744"/>
    <w:rsid w:val="007C18B1"/>
    <w:rsid w:val="007C18BE"/>
    <w:rsid w:val="007C18C1"/>
    <w:rsid w:val="007C18F4"/>
    <w:rsid w:val="007C199A"/>
    <w:rsid w:val="007C19AB"/>
    <w:rsid w:val="007C1ABA"/>
    <w:rsid w:val="007C1AC3"/>
    <w:rsid w:val="007C1B21"/>
    <w:rsid w:val="007C1D1A"/>
    <w:rsid w:val="007C1DA4"/>
    <w:rsid w:val="007C1E59"/>
    <w:rsid w:val="007C1EA0"/>
    <w:rsid w:val="007C1ECB"/>
    <w:rsid w:val="007C1FF6"/>
    <w:rsid w:val="007C2057"/>
    <w:rsid w:val="007C2167"/>
    <w:rsid w:val="007C2169"/>
    <w:rsid w:val="007C21A8"/>
    <w:rsid w:val="007C226D"/>
    <w:rsid w:val="007C2587"/>
    <w:rsid w:val="007C2621"/>
    <w:rsid w:val="007C2731"/>
    <w:rsid w:val="007C27B5"/>
    <w:rsid w:val="007C2831"/>
    <w:rsid w:val="007C2885"/>
    <w:rsid w:val="007C28A9"/>
    <w:rsid w:val="007C296C"/>
    <w:rsid w:val="007C2A40"/>
    <w:rsid w:val="007C2AE5"/>
    <w:rsid w:val="007C2B39"/>
    <w:rsid w:val="007C2B9D"/>
    <w:rsid w:val="007C2C4C"/>
    <w:rsid w:val="007C2D87"/>
    <w:rsid w:val="007C2DAF"/>
    <w:rsid w:val="007C3075"/>
    <w:rsid w:val="007C3121"/>
    <w:rsid w:val="007C3176"/>
    <w:rsid w:val="007C3197"/>
    <w:rsid w:val="007C32FE"/>
    <w:rsid w:val="007C3553"/>
    <w:rsid w:val="007C361D"/>
    <w:rsid w:val="007C368B"/>
    <w:rsid w:val="007C36C7"/>
    <w:rsid w:val="007C36E7"/>
    <w:rsid w:val="007C374C"/>
    <w:rsid w:val="007C3833"/>
    <w:rsid w:val="007C3937"/>
    <w:rsid w:val="007C3A26"/>
    <w:rsid w:val="007C3BDC"/>
    <w:rsid w:val="007C3D30"/>
    <w:rsid w:val="007C3D3F"/>
    <w:rsid w:val="007C3DC7"/>
    <w:rsid w:val="007C3E2C"/>
    <w:rsid w:val="007C3F27"/>
    <w:rsid w:val="007C3F29"/>
    <w:rsid w:val="007C406A"/>
    <w:rsid w:val="007C40B5"/>
    <w:rsid w:val="007C40C7"/>
    <w:rsid w:val="007C4233"/>
    <w:rsid w:val="007C4240"/>
    <w:rsid w:val="007C42E1"/>
    <w:rsid w:val="007C4426"/>
    <w:rsid w:val="007C44E7"/>
    <w:rsid w:val="007C4599"/>
    <w:rsid w:val="007C45F8"/>
    <w:rsid w:val="007C461D"/>
    <w:rsid w:val="007C466F"/>
    <w:rsid w:val="007C4691"/>
    <w:rsid w:val="007C4701"/>
    <w:rsid w:val="007C478E"/>
    <w:rsid w:val="007C483E"/>
    <w:rsid w:val="007C48A1"/>
    <w:rsid w:val="007C4A40"/>
    <w:rsid w:val="007C4A76"/>
    <w:rsid w:val="007C4B20"/>
    <w:rsid w:val="007C4B39"/>
    <w:rsid w:val="007C4B86"/>
    <w:rsid w:val="007C4C2F"/>
    <w:rsid w:val="007C4CEB"/>
    <w:rsid w:val="007C4CFB"/>
    <w:rsid w:val="007C4D12"/>
    <w:rsid w:val="007C4D77"/>
    <w:rsid w:val="007C4E9C"/>
    <w:rsid w:val="007C4F0B"/>
    <w:rsid w:val="007C4F73"/>
    <w:rsid w:val="007C4F85"/>
    <w:rsid w:val="007C4FB5"/>
    <w:rsid w:val="007C4FC9"/>
    <w:rsid w:val="007C50D8"/>
    <w:rsid w:val="007C50FC"/>
    <w:rsid w:val="007C5234"/>
    <w:rsid w:val="007C5239"/>
    <w:rsid w:val="007C542B"/>
    <w:rsid w:val="007C54CC"/>
    <w:rsid w:val="007C5624"/>
    <w:rsid w:val="007C5714"/>
    <w:rsid w:val="007C590A"/>
    <w:rsid w:val="007C59BE"/>
    <w:rsid w:val="007C5A00"/>
    <w:rsid w:val="007C5B0B"/>
    <w:rsid w:val="007C5BE1"/>
    <w:rsid w:val="007C5DA8"/>
    <w:rsid w:val="007C5ED2"/>
    <w:rsid w:val="007C5ED6"/>
    <w:rsid w:val="007C5FCA"/>
    <w:rsid w:val="007C6024"/>
    <w:rsid w:val="007C605F"/>
    <w:rsid w:val="007C60AD"/>
    <w:rsid w:val="007C61BD"/>
    <w:rsid w:val="007C6210"/>
    <w:rsid w:val="007C6236"/>
    <w:rsid w:val="007C6287"/>
    <w:rsid w:val="007C6486"/>
    <w:rsid w:val="007C6493"/>
    <w:rsid w:val="007C6495"/>
    <w:rsid w:val="007C6496"/>
    <w:rsid w:val="007C6558"/>
    <w:rsid w:val="007C663D"/>
    <w:rsid w:val="007C6682"/>
    <w:rsid w:val="007C6687"/>
    <w:rsid w:val="007C66A2"/>
    <w:rsid w:val="007C66B2"/>
    <w:rsid w:val="007C66D8"/>
    <w:rsid w:val="007C67B4"/>
    <w:rsid w:val="007C67F7"/>
    <w:rsid w:val="007C6827"/>
    <w:rsid w:val="007C690B"/>
    <w:rsid w:val="007C6A43"/>
    <w:rsid w:val="007C6C54"/>
    <w:rsid w:val="007C6C77"/>
    <w:rsid w:val="007C6CB4"/>
    <w:rsid w:val="007C6CE3"/>
    <w:rsid w:val="007C6D15"/>
    <w:rsid w:val="007C6D38"/>
    <w:rsid w:val="007C6E6C"/>
    <w:rsid w:val="007C6EA0"/>
    <w:rsid w:val="007C6F62"/>
    <w:rsid w:val="007C7023"/>
    <w:rsid w:val="007C7163"/>
    <w:rsid w:val="007C71E3"/>
    <w:rsid w:val="007C7211"/>
    <w:rsid w:val="007C7249"/>
    <w:rsid w:val="007C7362"/>
    <w:rsid w:val="007C73EF"/>
    <w:rsid w:val="007C752E"/>
    <w:rsid w:val="007C7561"/>
    <w:rsid w:val="007C759B"/>
    <w:rsid w:val="007C7605"/>
    <w:rsid w:val="007C7613"/>
    <w:rsid w:val="007C7641"/>
    <w:rsid w:val="007C7779"/>
    <w:rsid w:val="007C77A1"/>
    <w:rsid w:val="007C780B"/>
    <w:rsid w:val="007C79EE"/>
    <w:rsid w:val="007C7A14"/>
    <w:rsid w:val="007C7A1C"/>
    <w:rsid w:val="007C7A8D"/>
    <w:rsid w:val="007C7A9D"/>
    <w:rsid w:val="007C7AA3"/>
    <w:rsid w:val="007C7B43"/>
    <w:rsid w:val="007C7CCF"/>
    <w:rsid w:val="007C7DB5"/>
    <w:rsid w:val="007C7DD2"/>
    <w:rsid w:val="007C7E32"/>
    <w:rsid w:val="007D0124"/>
    <w:rsid w:val="007D01E6"/>
    <w:rsid w:val="007D028E"/>
    <w:rsid w:val="007D02F3"/>
    <w:rsid w:val="007D0314"/>
    <w:rsid w:val="007D0340"/>
    <w:rsid w:val="007D0409"/>
    <w:rsid w:val="007D0425"/>
    <w:rsid w:val="007D0506"/>
    <w:rsid w:val="007D0568"/>
    <w:rsid w:val="007D05FE"/>
    <w:rsid w:val="007D0651"/>
    <w:rsid w:val="007D0666"/>
    <w:rsid w:val="007D071D"/>
    <w:rsid w:val="007D0727"/>
    <w:rsid w:val="007D0892"/>
    <w:rsid w:val="007D08B3"/>
    <w:rsid w:val="007D08E6"/>
    <w:rsid w:val="007D0902"/>
    <w:rsid w:val="007D0906"/>
    <w:rsid w:val="007D0A11"/>
    <w:rsid w:val="007D0A1B"/>
    <w:rsid w:val="007D0A2B"/>
    <w:rsid w:val="007D0A74"/>
    <w:rsid w:val="007D0AB1"/>
    <w:rsid w:val="007D0AF1"/>
    <w:rsid w:val="007D0B48"/>
    <w:rsid w:val="007D0BBB"/>
    <w:rsid w:val="007D0C41"/>
    <w:rsid w:val="007D0C48"/>
    <w:rsid w:val="007D0C57"/>
    <w:rsid w:val="007D0D8F"/>
    <w:rsid w:val="007D0ED6"/>
    <w:rsid w:val="007D0FD5"/>
    <w:rsid w:val="007D0FF2"/>
    <w:rsid w:val="007D1075"/>
    <w:rsid w:val="007D107F"/>
    <w:rsid w:val="007D114C"/>
    <w:rsid w:val="007D1186"/>
    <w:rsid w:val="007D11B7"/>
    <w:rsid w:val="007D11C9"/>
    <w:rsid w:val="007D1291"/>
    <w:rsid w:val="007D1336"/>
    <w:rsid w:val="007D140A"/>
    <w:rsid w:val="007D1411"/>
    <w:rsid w:val="007D141A"/>
    <w:rsid w:val="007D156A"/>
    <w:rsid w:val="007D1661"/>
    <w:rsid w:val="007D1693"/>
    <w:rsid w:val="007D176C"/>
    <w:rsid w:val="007D17B0"/>
    <w:rsid w:val="007D17CA"/>
    <w:rsid w:val="007D19F9"/>
    <w:rsid w:val="007D19FA"/>
    <w:rsid w:val="007D1A5E"/>
    <w:rsid w:val="007D1AB6"/>
    <w:rsid w:val="007D1B02"/>
    <w:rsid w:val="007D1BD6"/>
    <w:rsid w:val="007D1BF7"/>
    <w:rsid w:val="007D1C3E"/>
    <w:rsid w:val="007D1E4C"/>
    <w:rsid w:val="007D1E8A"/>
    <w:rsid w:val="007D1FD2"/>
    <w:rsid w:val="007D2042"/>
    <w:rsid w:val="007D21CC"/>
    <w:rsid w:val="007D2436"/>
    <w:rsid w:val="007D247F"/>
    <w:rsid w:val="007D24A3"/>
    <w:rsid w:val="007D24C2"/>
    <w:rsid w:val="007D24D6"/>
    <w:rsid w:val="007D26B2"/>
    <w:rsid w:val="007D2727"/>
    <w:rsid w:val="007D2797"/>
    <w:rsid w:val="007D27B2"/>
    <w:rsid w:val="007D27CD"/>
    <w:rsid w:val="007D2842"/>
    <w:rsid w:val="007D28C2"/>
    <w:rsid w:val="007D28EE"/>
    <w:rsid w:val="007D29CB"/>
    <w:rsid w:val="007D2B42"/>
    <w:rsid w:val="007D2C41"/>
    <w:rsid w:val="007D2C45"/>
    <w:rsid w:val="007D2D61"/>
    <w:rsid w:val="007D2D67"/>
    <w:rsid w:val="007D2EEE"/>
    <w:rsid w:val="007D2F03"/>
    <w:rsid w:val="007D2F6B"/>
    <w:rsid w:val="007D2FD1"/>
    <w:rsid w:val="007D2FDA"/>
    <w:rsid w:val="007D3003"/>
    <w:rsid w:val="007D3035"/>
    <w:rsid w:val="007D30B7"/>
    <w:rsid w:val="007D30E9"/>
    <w:rsid w:val="007D3112"/>
    <w:rsid w:val="007D32B8"/>
    <w:rsid w:val="007D3414"/>
    <w:rsid w:val="007D3549"/>
    <w:rsid w:val="007D35F1"/>
    <w:rsid w:val="007D3673"/>
    <w:rsid w:val="007D3707"/>
    <w:rsid w:val="007D3740"/>
    <w:rsid w:val="007D3765"/>
    <w:rsid w:val="007D37A5"/>
    <w:rsid w:val="007D38D3"/>
    <w:rsid w:val="007D3B18"/>
    <w:rsid w:val="007D3B3B"/>
    <w:rsid w:val="007D3C63"/>
    <w:rsid w:val="007D3C8D"/>
    <w:rsid w:val="007D3D3F"/>
    <w:rsid w:val="007D3DE3"/>
    <w:rsid w:val="007D3E1A"/>
    <w:rsid w:val="007D3E94"/>
    <w:rsid w:val="007D3F95"/>
    <w:rsid w:val="007D40CC"/>
    <w:rsid w:val="007D41A4"/>
    <w:rsid w:val="007D41D5"/>
    <w:rsid w:val="007D41D6"/>
    <w:rsid w:val="007D425E"/>
    <w:rsid w:val="007D4289"/>
    <w:rsid w:val="007D4306"/>
    <w:rsid w:val="007D433A"/>
    <w:rsid w:val="007D4351"/>
    <w:rsid w:val="007D43B0"/>
    <w:rsid w:val="007D4446"/>
    <w:rsid w:val="007D44DE"/>
    <w:rsid w:val="007D45A9"/>
    <w:rsid w:val="007D47EF"/>
    <w:rsid w:val="007D4941"/>
    <w:rsid w:val="007D497D"/>
    <w:rsid w:val="007D4984"/>
    <w:rsid w:val="007D4A85"/>
    <w:rsid w:val="007D4AD2"/>
    <w:rsid w:val="007D4B88"/>
    <w:rsid w:val="007D4C5F"/>
    <w:rsid w:val="007D4D0E"/>
    <w:rsid w:val="007D4E2A"/>
    <w:rsid w:val="007D4F44"/>
    <w:rsid w:val="007D4FE3"/>
    <w:rsid w:val="007D5017"/>
    <w:rsid w:val="007D509F"/>
    <w:rsid w:val="007D50A6"/>
    <w:rsid w:val="007D50F9"/>
    <w:rsid w:val="007D5330"/>
    <w:rsid w:val="007D53B6"/>
    <w:rsid w:val="007D53DC"/>
    <w:rsid w:val="007D54C3"/>
    <w:rsid w:val="007D564B"/>
    <w:rsid w:val="007D568D"/>
    <w:rsid w:val="007D56DD"/>
    <w:rsid w:val="007D591D"/>
    <w:rsid w:val="007D59B5"/>
    <w:rsid w:val="007D59CC"/>
    <w:rsid w:val="007D5A15"/>
    <w:rsid w:val="007D5AF3"/>
    <w:rsid w:val="007D5BD0"/>
    <w:rsid w:val="007D5D1E"/>
    <w:rsid w:val="007D5E5F"/>
    <w:rsid w:val="007D5E96"/>
    <w:rsid w:val="007D6052"/>
    <w:rsid w:val="007D634C"/>
    <w:rsid w:val="007D6416"/>
    <w:rsid w:val="007D649F"/>
    <w:rsid w:val="007D66F1"/>
    <w:rsid w:val="007D6812"/>
    <w:rsid w:val="007D6849"/>
    <w:rsid w:val="007D6900"/>
    <w:rsid w:val="007D6937"/>
    <w:rsid w:val="007D6978"/>
    <w:rsid w:val="007D69BD"/>
    <w:rsid w:val="007D6A0C"/>
    <w:rsid w:val="007D6A0E"/>
    <w:rsid w:val="007D6A4B"/>
    <w:rsid w:val="007D6AD4"/>
    <w:rsid w:val="007D6B01"/>
    <w:rsid w:val="007D6C08"/>
    <w:rsid w:val="007D6D48"/>
    <w:rsid w:val="007D6DB9"/>
    <w:rsid w:val="007D6DFA"/>
    <w:rsid w:val="007D6EFC"/>
    <w:rsid w:val="007D6F13"/>
    <w:rsid w:val="007D6F63"/>
    <w:rsid w:val="007D6F8E"/>
    <w:rsid w:val="007D6FD4"/>
    <w:rsid w:val="007D70C6"/>
    <w:rsid w:val="007D70F1"/>
    <w:rsid w:val="007D7123"/>
    <w:rsid w:val="007D715D"/>
    <w:rsid w:val="007D7224"/>
    <w:rsid w:val="007D7260"/>
    <w:rsid w:val="007D72FE"/>
    <w:rsid w:val="007D7349"/>
    <w:rsid w:val="007D73A3"/>
    <w:rsid w:val="007D73CE"/>
    <w:rsid w:val="007D73FE"/>
    <w:rsid w:val="007D7596"/>
    <w:rsid w:val="007D7697"/>
    <w:rsid w:val="007D76A3"/>
    <w:rsid w:val="007D76F4"/>
    <w:rsid w:val="007D778D"/>
    <w:rsid w:val="007D77E0"/>
    <w:rsid w:val="007D782C"/>
    <w:rsid w:val="007D7877"/>
    <w:rsid w:val="007D7891"/>
    <w:rsid w:val="007D791B"/>
    <w:rsid w:val="007D7A0C"/>
    <w:rsid w:val="007D7B1C"/>
    <w:rsid w:val="007D7B99"/>
    <w:rsid w:val="007D7BD2"/>
    <w:rsid w:val="007D7BE3"/>
    <w:rsid w:val="007D7C37"/>
    <w:rsid w:val="007D7CFC"/>
    <w:rsid w:val="007D7D04"/>
    <w:rsid w:val="007D7D91"/>
    <w:rsid w:val="007D7DA2"/>
    <w:rsid w:val="007D7DA7"/>
    <w:rsid w:val="007D7EAC"/>
    <w:rsid w:val="007D7EF1"/>
    <w:rsid w:val="007D7FDC"/>
    <w:rsid w:val="007E0112"/>
    <w:rsid w:val="007E0284"/>
    <w:rsid w:val="007E0289"/>
    <w:rsid w:val="007E02B9"/>
    <w:rsid w:val="007E02EC"/>
    <w:rsid w:val="007E0481"/>
    <w:rsid w:val="007E0494"/>
    <w:rsid w:val="007E04A1"/>
    <w:rsid w:val="007E04A2"/>
    <w:rsid w:val="007E0588"/>
    <w:rsid w:val="007E0601"/>
    <w:rsid w:val="007E07AD"/>
    <w:rsid w:val="007E081D"/>
    <w:rsid w:val="007E0846"/>
    <w:rsid w:val="007E0863"/>
    <w:rsid w:val="007E08EC"/>
    <w:rsid w:val="007E0919"/>
    <w:rsid w:val="007E092B"/>
    <w:rsid w:val="007E0AFD"/>
    <w:rsid w:val="007E0B63"/>
    <w:rsid w:val="007E0B77"/>
    <w:rsid w:val="007E0BCE"/>
    <w:rsid w:val="007E0BEA"/>
    <w:rsid w:val="007E0D80"/>
    <w:rsid w:val="007E0D99"/>
    <w:rsid w:val="007E0E8D"/>
    <w:rsid w:val="007E0FB4"/>
    <w:rsid w:val="007E1038"/>
    <w:rsid w:val="007E1248"/>
    <w:rsid w:val="007E1345"/>
    <w:rsid w:val="007E1395"/>
    <w:rsid w:val="007E147C"/>
    <w:rsid w:val="007E1515"/>
    <w:rsid w:val="007E165C"/>
    <w:rsid w:val="007E172C"/>
    <w:rsid w:val="007E1740"/>
    <w:rsid w:val="007E17AD"/>
    <w:rsid w:val="007E17CB"/>
    <w:rsid w:val="007E1899"/>
    <w:rsid w:val="007E18E0"/>
    <w:rsid w:val="007E191E"/>
    <w:rsid w:val="007E193B"/>
    <w:rsid w:val="007E1945"/>
    <w:rsid w:val="007E195C"/>
    <w:rsid w:val="007E19B1"/>
    <w:rsid w:val="007E1B6F"/>
    <w:rsid w:val="007E1B9A"/>
    <w:rsid w:val="007E1C72"/>
    <w:rsid w:val="007E1D0D"/>
    <w:rsid w:val="007E1D48"/>
    <w:rsid w:val="007E1E88"/>
    <w:rsid w:val="007E1EA8"/>
    <w:rsid w:val="007E1F5F"/>
    <w:rsid w:val="007E1FB3"/>
    <w:rsid w:val="007E2028"/>
    <w:rsid w:val="007E20AF"/>
    <w:rsid w:val="007E2232"/>
    <w:rsid w:val="007E2289"/>
    <w:rsid w:val="007E228B"/>
    <w:rsid w:val="007E229A"/>
    <w:rsid w:val="007E239B"/>
    <w:rsid w:val="007E23AA"/>
    <w:rsid w:val="007E240B"/>
    <w:rsid w:val="007E25CB"/>
    <w:rsid w:val="007E2637"/>
    <w:rsid w:val="007E2650"/>
    <w:rsid w:val="007E26B7"/>
    <w:rsid w:val="007E271B"/>
    <w:rsid w:val="007E27EF"/>
    <w:rsid w:val="007E284D"/>
    <w:rsid w:val="007E2957"/>
    <w:rsid w:val="007E2A7A"/>
    <w:rsid w:val="007E2B2F"/>
    <w:rsid w:val="007E2B75"/>
    <w:rsid w:val="007E2BCC"/>
    <w:rsid w:val="007E2C0B"/>
    <w:rsid w:val="007E2C29"/>
    <w:rsid w:val="007E2CE4"/>
    <w:rsid w:val="007E2D29"/>
    <w:rsid w:val="007E2FF6"/>
    <w:rsid w:val="007E303B"/>
    <w:rsid w:val="007E3093"/>
    <w:rsid w:val="007E31E8"/>
    <w:rsid w:val="007E32DB"/>
    <w:rsid w:val="007E3355"/>
    <w:rsid w:val="007E335B"/>
    <w:rsid w:val="007E3369"/>
    <w:rsid w:val="007E3387"/>
    <w:rsid w:val="007E339F"/>
    <w:rsid w:val="007E3402"/>
    <w:rsid w:val="007E3462"/>
    <w:rsid w:val="007E34B9"/>
    <w:rsid w:val="007E3717"/>
    <w:rsid w:val="007E37C4"/>
    <w:rsid w:val="007E37F3"/>
    <w:rsid w:val="007E388D"/>
    <w:rsid w:val="007E3900"/>
    <w:rsid w:val="007E39F3"/>
    <w:rsid w:val="007E3A00"/>
    <w:rsid w:val="007E3AD3"/>
    <w:rsid w:val="007E3BB4"/>
    <w:rsid w:val="007E3BB5"/>
    <w:rsid w:val="007E3CB6"/>
    <w:rsid w:val="007E3D1D"/>
    <w:rsid w:val="007E3D6D"/>
    <w:rsid w:val="007E3D7A"/>
    <w:rsid w:val="007E3DB5"/>
    <w:rsid w:val="007E3DCF"/>
    <w:rsid w:val="007E3E81"/>
    <w:rsid w:val="007E3FEE"/>
    <w:rsid w:val="007E4088"/>
    <w:rsid w:val="007E418E"/>
    <w:rsid w:val="007E4249"/>
    <w:rsid w:val="007E4294"/>
    <w:rsid w:val="007E42A0"/>
    <w:rsid w:val="007E4347"/>
    <w:rsid w:val="007E4381"/>
    <w:rsid w:val="007E4433"/>
    <w:rsid w:val="007E4491"/>
    <w:rsid w:val="007E44DB"/>
    <w:rsid w:val="007E4526"/>
    <w:rsid w:val="007E461C"/>
    <w:rsid w:val="007E4628"/>
    <w:rsid w:val="007E4676"/>
    <w:rsid w:val="007E471D"/>
    <w:rsid w:val="007E487B"/>
    <w:rsid w:val="007E4A71"/>
    <w:rsid w:val="007E4ADB"/>
    <w:rsid w:val="007E4B09"/>
    <w:rsid w:val="007E4B17"/>
    <w:rsid w:val="007E4B91"/>
    <w:rsid w:val="007E4BCD"/>
    <w:rsid w:val="007E4C88"/>
    <w:rsid w:val="007E4D26"/>
    <w:rsid w:val="007E4D56"/>
    <w:rsid w:val="007E4D6D"/>
    <w:rsid w:val="007E4E50"/>
    <w:rsid w:val="007E4E5C"/>
    <w:rsid w:val="007E4E87"/>
    <w:rsid w:val="007E4F73"/>
    <w:rsid w:val="007E5028"/>
    <w:rsid w:val="007E5058"/>
    <w:rsid w:val="007E5071"/>
    <w:rsid w:val="007E50F8"/>
    <w:rsid w:val="007E5116"/>
    <w:rsid w:val="007E5124"/>
    <w:rsid w:val="007E515E"/>
    <w:rsid w:val="007E5197"/>
    <w:rsid w:val="007E51B2"/>
    <w:rsid w:val="007E51C6"/>
    <w:rsid w:val="007E51FE"/>
    <w:rsid w:val="007E5230"/>
    <w:rsid w:val="007E52E9"/>
    <w:rsid w:val="007E5320"/>
    <w:rsid w:val="007E5475"/>
    <w:rsid w:val="007E54CF"/>
    <w:rsid w:val="007E54EB"/>
    <w:rsid w:val="007E5779"/>
    <w:rsid w:val="007E57AB"/>
    <w:rsid w:val="007E57E5"/>
    <w:rsid w:val="007E5903"/>
    <w:rsid w:val="007E5905"/>
    <w:rsid w:val="007E5954"/>
    <w:rsid w:val="007E5963"/>
    <w:rsid w:val="007E5AD0"/>
    <w:rsid w:val="007E5B7B"/>
    <w:rsid w:val="007E5CB4"/>
    <w:rsid w:val="007E5CEB"/>
    <w:rsid w:val="007E5DB2"/>
    <w:rsid w:val="007E5F28"/>
    <w:rsid w:val="007E5FB6"/>
    <w:rsid w:val="007E6041"/>
    <w:rsid w:val="007E6067"/>
    <w:rsid w:val="007E6081"/>
    <w:rsid w:val="007E608A"/>
    <w:rsid w:val="007E6093"/>
    <w:rsid w:val="007E61CA"/>
    <w:rsid w:val="007E61D2"/>
    <w:rsid w:val="007E626A"/>
    <w:rsid w:val="007E6277"/>
    <w:rsid w:val="007E62A5"/>
    <w:rsid w:val="007E62A7"/>
    <w:rsid w:val="007E6344"/>
    <w:rsid w:val="007E6358"/>
    <w:rsid w:val="007E63AA"/>
    <w:rsid w:val="007E6413"/>
    <w:rsid w:val="007E6427"/>
    <w:rsid w:val="007E64CF"/>
    <w:rsid w:val="007E6533"/>
    <w:rsid w:val="007E6619"/>
    <w:rsid w:val="007E6831"/>
    <w:rsid w:val="007E6843"/>
    <w:rsid w:val="007E6889"/>
    <w:rsid w:val="007E69B8"/>
    <w:rsid w:val="007E6B47"/>
    <w:rsid w:val="007E6B89"/>
    <w:rsid w:val="007E6D08"/>
    <w:rsid w:val="007E6D18"/>
    <w:rsid w:val="007E6DD2"/>
    <w:rsid w:val="007E6DDB"/>
    <w:rsid w:val="007E6F15"/>
    <w:rsid w:val="007E6F51"/>
    <w:rsid w:val="007E6FCA"/>
    <w:rsid w:val="007E71ED"/>
    <w:rsid w:val="007E73EB"/>
    <w:rsid w:val="007E75F0"/>
    <w:rsid w:val="007E7644"/>
    <w:rsid w:val="007E7712"/>
    <w:rsid w:val="007E772D"/>
    <w:rsid w:val="007E795E"/>
    <w:rsid w:val="007E7A69"/>
    <w:rsid w:val="007E7A9C"/>
    <w:rsid w:val="007E7ACC"/>
    <w:rsid w:val="007E7CB8"/>
    <w:rsid w:val="007E7D1E"/>
    <w:rsid w:val="007E7D7F"/>
    <w:rsid w:val="007E7D94"/>
    <w:rsid w:val="007E7FF8"/>
    <w:rsid w:val="007F0010"/>
    <w:rsid w:val="007F0041"/>
    <w:rsid w:val="007F01E3"/>
    <w:rsid w:val="007F0294"/>
    <w:rsid w:val="007F02B6"/>
    <w:rsid w:val="007F02C9"/>
    <w:rsid w:val="007F0317"/>
    <w:rsid w:val="007F033A"/>
    <w:rsid w:val="007F05A5"/>
    <w:rsid w:val="007F06A5"/>
    <w:rsid w:val="007F0845"/>
    <w:rsid w:val="007F099A"/>
    <w:rsid w:val="007F09DE"/>
    <w:rsid w:val="007F09E5"/>
    <w:rsid w:val="007F0A7E"/>
    <w:rsid w:val="007F0AFF"/>
    <w:rsid w:val="007F0B31"/>
    <w:rsid w:val="007F0BE0"/>
    <w:rsid w:val="007F0CE0"/>
    <w:rsid w:val="007F0D0F"/>
    <w:rsid w:val="007F0D4B"/>
    <w:rsid w:val="007F0E42"/>
    <w:rsid w:val="007F0E4F"/>
    <w:rsid w:val="007F0E52"/>
    <w:rsid w:val="007F0FFA"/>
    <w:rsid w:val="007F100F"/>
    <w:rsid w:val="007F102B"/>
    <w:rsid w:val="007F10AE"/>
    <w:rsid w:val="007F117E"/>
    <w:rsid w:val="007F12D2"/>
    <w:rsid w:val="007F142C"/>
    <w:rsid w:val="007F1457"/>
    <w:rsid w:val="007F163D"/>
    <w:rsid w:val="007F1694"/>
    <w:rsid w:val="007F170B"/>
    <w:rsid w:val="007F17B4"/>
    <w:rsid w:val="007F1878"/>
    <w:rsid w:val="007F19C5"/>
    <w:rsid w:val="007F19E7"/>
    <w:rsid w:val="007F1AC8"/>
    <w:rsid w:val="007F1AE7"/>
    <w:rsid w:val="007F1B85"/>
    <w:rsid w:val="007F1BF6"/>
    <w:rsid w:val="007F1C1F"/>
    <w:rsid w:val="007F1C9A"/>
    <w:rsid w:val="007F1CBD"/>
    <w:rsid w:val="007F1D3D"/>
    <w:rsid w:val="007F1DAC"/>
    <w:rsid w:val="007F1F50"/>
    <w:rsid w:val="007F1FD0"/>
    <w:rsid w:val="007F1FFB"/>
    <w:rsid w:val="007F2067"/>
    <w:rsid w:val="007F2317"/>
    <w:rsid w:val="007F233E"/>
    <w:rsid w:val="007F235C"/>
    <w:rsid w:val="007F23C0"/>
    <w:rsid w:val="007F23D3"/>
    <w:rsid w:val="007F2517"/>
    <w:rsid w:val="007F2551"/>
    <w:rsid w:val="007F25CC"/>
    <w:rsid w:val="007F26BA"/>
    <w:rsid w:val="007F27AA"/>
    <w:rsid w:val="007F2801"/>
    <w:rsid w:val="007F2829"/>
    <w:rsid w:val="007F2849"/>
    <w:rsid w:val="007F2884"/>
    <w:rsid w:val="007F288F"/>
    <w:rsid w:val="007F289F"/>
    <w:rsid w:val="007F29D8"/>
    <w:rsid w:val="007F2B06"/>
    <w:rsid w:val="007F2B54"/>
    <w:rsid w:val="007F2CA0"/>
    <w:rsid w:val="007F2D43"/>
    <w:rsid w:val="007F2D74"/>
    <w:rsid w:val="007F2E4F"/>
    <w:rsid w:val="007F2E9A"/>
    <w:rsid w:val="007F2EB6"/>
    <w:rsid w:val="007F2FED"/>
    <w:rsid w:val="007F30E6"/>
    <w:rsid w:val="007F30E9"/>
    <w:rsid w:val="007F31A8"/>
    <w:rsid w:val="007F3215"/>
    <w:rsid w:val="007F328B"/>
    <w:rsid w:val="007F353D"/>
    <w:rsid w:val="007F3564"/>
    <w:rsid w:val="007F356A"/>
    <w:rsid w:val="007F35A5"/>
    <w:rsid w:val="007F3690"/>
    <w:rsid w:val="007F37EA"/>
    <w:rsid w:val="007F383E"/>
    <w:rsid w:val="007F3945"/>
    <w:rsid w:val="007F3974"/>
    <w:rsid w:val="007F39A3"/>
    <w:rsid w:val="007F3A29"/>
    <w:rsid w:val="007F3A4A"/>
    <w:rsid w:val="007F3CBE"/>
    <w:rsid w:val="007F3F02"/>
    <w:rsid w:val="007F3FE3"/>
    <w:rsid w:val="007F401D"/>
    <w:rsid w:val="007F4157"/>
    <w:rsid w:val="007F41AC"/>
    <w:rsid w:val="007F4230"/>
    <w:rsid w:val="007F4242"/>
    <w:rsid w:val="007F4279"/>
    <w:rsid w:val="007F42EB"/>
    <w:rsid w:val="007F430A"/>
    <w:rsid w:val="007F43B2"/>
    <w:rsid w:val="007F43CB"/>
    <w:rsid w:val="007F4467"/>
    <w:rsid w:val="007F4521"/>
    <w:rsid w:val="007F46E4"/>
    <w:rsid w:val="007F4726"/>
    <w:rsid w:val="007F4782"/>
    <w:rsid w:val="007F4798"/>
    <w:rsid w:val="007F47A7"/>
    <w:rsid w:val="007F47E3"/>
    <w:rsid w:val="007F484E"/>
    <w:rsid w:val="007F485F"/>
    <w:rsid w:val="007F486D"/>
    <w:rsid w:val="007F48C9"/>
    <w:rsid w:val="007F48D1"/>
    <w:rsid w:val="007F48D8"/>
    <w:rsid w:val="007F4935"/>
    <w:rsid w:val="007F494F"/>
    <w:rsid w:val="007F4996"/>
    <w:rsid w:val="007F49B3"/>
    <w:rsid w:val="007F49C7"/>
    <w:rsid w:val="007F49ED"/>
    <w:rsid w:val="007F4B34"/>
    <w:rsid w:val="007F4B9E"/>
    <w:rsid w:val="007F4C2C"/>
    <w:rsid w:val="007F4C86"/>
    <w:rsid w:val="007F4C94"/>
    <w:rsid w:val="007F4D69"/>
    <w:rsid w:val="007F4DCA"/>
    <w:rsid w:val="007F51A7"/>
    <w:rsid w:val="007F5226"/>
    <w:rsid w:val="007F5243"/>
    <w:rsid w:val="007F530B"/>
    <w:rsid w:val="007F531A"/>
    <w:rsid w:val="007F532A"/>
    <w:rsid w:val="007F534B"/>
    <w:rsid w:val="007F53A6"/>
    <w:rsid w:val="007F53E7"/>
    <w:rsid w:val="007F5410"/>
    <w:rsid w:val="007F54FE"/>
    <w:rsid w:val="007F5565"/>
    <w:rsid w:val="007F5588"/>
    <w:rsid w:val="007F5656"/>
    <w:rsid w:val="007F5823"/>
    <w:rsid w:val="007F5867"/>
    <w:rsid w:val="007F5ACA"/>
    <w:rsid w:val="007F5B30"/>
    <w:rsid w:val="007F5BAB"/>
    <w:rsid w:val="007F5BB3"/>
    <w:rsid w:val="007F5BCB"/>
    <w:rsid w:val="007F5BE9"/>
    <w:rsid w:val="007F5C65"/>
    <w:rsid w:val="007F5DA1"/>
    <w:rsid w:val="007F5E7F"/>
    <w:rsid w:val="007F5F6F"/>
    <w:rsid w:val="007F6104"/>
    <w:rsid w:val="007F619C"/>
    <w:rsid w:val="007F622F"/>
    <w:rsid w:val="007F645A"/>
    <w:rsid w:val="007F646E"/>
    <w:rsid w:val="007F6591"/>
    <w:rsid w:val="007F664C"/>
    <w:rsid w:val="007F67D7"/>
    <w:rsid w:val="007F689A"/>
    <w:rsid w:val="007F68AB"/>
    <w:rsid w:val="007F68B3"/>
    <w:rsid w:val="007F6969"/>
    <w:rsid w:val="007F6A4A"/>
    <w:rsid w:val="007F6AEC"/>
    <w:rsid w:val="007F6B2D"/>
    <w:rsid w:val="007F6BF4"/>
    <w:rsid w:val="007F6C38"/>
    <w:rsid w:val="007F6CC5"/>
    <w:rsid w:val="007F6CF0"/>
    <w:rsid w:val="007F6D33"/>
    <w:rsid w:val="007F700E"/>
    <w:rsid w:val="007F7225"/>
    <w:rsid w:val="007F7286"/>
    <w:rsid w:val="007F7398"/>
    <w:rsid w:val="007F73F1"/>
    <w:rsid w:val="007F7403"/>
    <w:rsid w:val="007F7533"/>
    <w:rsid w:val="007F755D"/>
    <w:rsid w:val="007F7569"/>
    <w:rsid w:val="007F75E5"/>
    <w:rsid w:val="007F761C"/>
    <w:rsid w:val="007F769C"/>
    <w:rsid w:val="007F7778"/>
    <w:rsid w:val="007F77B3"/>
    <w:rsid w:val="007F7882"/>
    <w:rsid w:val="007F79A9"/>
    <w:rsid w:val="007F7A2C"/>
    <w:rsid w:val="007F7AB0"/>
    <w:rsid w:val="007F7BA6"/>
    <w:rsid w:val="007F7C59"/>
    <w:rsid w:val="007F7C84"/>
    <w:rsid w:val="007F7CDE"/>
    <w:rsid w:val="007F7CF0"/>
    <w:rsid w:val="007F7E8D"/>
    <w:rsid w:val="007F7F39"/>
    <w:rsid w:val="007F7F3E"/>
    <w:rsid w:val="007F7F8B"/>
    <w:rsid w:val="0080001F"/>
    <w:rsid w:val="00800046"/>
    <w:rsid w:val="00800138"/>
    <w:rsid w:val="00800147"/>
    <w:rsid w:val="00800292"/>
    <w:rsid w:val="008002D8"/>
    <w:rsid w:val="0080030D"/>
    <w:rsid w:val="0080051B"/>
    <w:rsid w:val="00800531"/>
    <w:rsid w:val="00800644"/>
    <w:rsid w:val="00800684"/>
    <w:rsid w:val="0080073F"/>
    <w:rsid w:val="00800976"/>
    <w:rsid w:val="008009BF"/>
    <w:rsid w:val="00800B66"/>
    <w:rsid w:val="00800C7A"/>
    <w:rsid w:val="00800D2D"/>
    <w:rsid w:val="00800DE3"/>
    <w:rsid w:val="00800E71"/>
    <w:rsid w:val="00800E95"/>
    <w:rsid w:val="00800FFB"/>
    <w:rsid w:val="0080107C"/>
    <w:rsid w:val="0080113A"/>
    <w:rsid w:val="00801151"/>
    <w:rsid w:val="008011E5"/>
    <w:rsid w:val="008012F9"/>
    <w:rsid w:val="00801306"/>
    <w:rsid w:val="008013CC"/>
    <w:rsid w:val="008013D8"/>
    <w:rsid w:val="00801523"/>
    <w:rsid w:val="008015B5"/>
    <w:rsid w:val="00801854"/>
    <w:rsid w:val="0080199D"/>
    <w:rsid w:val="00801A24"/>
    <w:rsid w:val="00801B82"/>
    <w:rsid w:val="00801C03"/>
    <w:rsid w:val="00801C62"/>
    <w:rsid w:val="00801C73"/>
    <w:rsid w:val="00801CDB"/>
    <w:rsid w:val="00801F92"/>
    <w:rsid w:val="00802021"/>
    <w:rsid w:val="00802042"/>
    <w:rsid w:val="008020D9"/>
    <w:rsid w:val="008022A6"/>
    <w:rsid w:val="00802325"/>
    <w:rsid w:val="00802333"/>
    <w:rsid w:val="0080239D"/>
    <w:rsid w:val="008023DB"/>
    <w:rsid w:val="0080240E"/>
    <w:rsid w:val="0080244E"/>
    <w:rsid w:val="00802471"/>
    <w:rsid w:val="008024C7"/>
    <w:rsid w:val="00802574"/>
    <w:rsid w:val="008025D2"/>
    <w:rsid w:val="0080263A"/>
    <w:rsid w:val="0080273F"/>
    <w:rsid w:val="00802873"/>
    <w:rsid w:val="00802A7C"/>
    <w:rsid w:val="00802BE4"/>
    <w:rsid w:val="00802C74"/>
    <w:rsid w:val="00802CE6"/>
    <w:rsid w:val="00802CFA"/>
    <w:rsid w:val="00802D00"/>
    <w:rsid w:val="00802D83"/>
    <w:rsid w:val="00802DD8"/>
    <w:rsid w:val="00802EC7"/>
    <w:rsid w:val="00802ED2"/>
    <w:rsid w:val="00802F11"/>
    <w:rsid w:val="00802F3E"/>
    <w:rsid w:val="00802FA0"/>
    <w:rsid w:val="0080305C"/>
    <w:rsid w:val="0080309A"/>
    <w:rsid w:val="0080313C"/>
    <w:rsid w:val="0080317C"/>
    <w:rsid w:val="00803259"/>
    <w:rsid w:val="008032F7"/>
    <w:rsid w:val="00803300"/>
    <w:rsid w:val="00803386"/>
    <w:rsid w:val="008033C2"/>
    <w:rsid w:val="008033D7"/>
    <w:rsid w:val="008034FE"/>
    <w:rsid w:val="00803519"/>
    <w:rsid w:val="0080356E"/>
    <w:rsid w:val="008035E0"/>
    <w:rsid w:val="0080365B"/>
    <w:rsid w:val="0080366D"/>
    <w:rsid w:val="00803735"/>
    <w:rsid w:val="0080387B"/>
    <w:rsid w:val="008038CF"/>
    <w:rsid w:val="008038FC"/>
    <w:rsid w:val="00803983"/>
    <w:rsid w:val="00803AE9"/>
    <w:rsid w:val="00803AF2"/>
    <w:rsid w:val="00803BAB"/>
    <w:rsid w:val="00803C53"/>
    <w:rsid w:val="00803D8A"/>
    <w:rsid w:val="00803DF6"/>
    <w:rsid w:val="00803F42"/>
    <w:rsid w:val="00803F6E"/>
    <w:rsid w:val="00803FB4"/>
    <w:rsid w:val="00803FE2"/>
    <w:rsid w:val="00804083"/>
    <w:rsid w:val="008040FF"/>
    <w:rsid w:val="0080415E"/>
    <w:rsid w:val="008041C1"/>
    <w:rsid w:val="008043E6"/>
    <w:rsid w:val="00804498"/>
    <w:rsid w:val="008044A9"/>
    <w:rsid w:val="008044F2"/>
    <w:rsid w:val="00804537"/>
    <w:rsid w:val="00804550"/>
    <w:rsid w:val="008045B3"/>
    <w:rsid w:val="008046CB"/>
    <w:rsid w:val="008049C2"/>
    <w:rsid w:val="00804A4F"/>
    <w:rsid w:val="00804C0B"/>
    <w:rsid w:val="00804C56"/>
    <w:rsid w:val="00804C71"/>
    <w:rsid w:val="00804C94"/>
    <w:rsid w:val="00804CA4"/>
    <w:rsid w:val="00804CB2"/>
    <w:rsid w:val="00804DC7"/>
    <w:rsid w:val="00804E0B"/>
    <w:rsid w:val="00804E22"/>
    <w:rsid w:val="00804F2A"/>
    <w:rsid w:val="00805005"/>
    <w:rsid w:val="0080510D"/>
    <w:rsid w:val="0080515F"/>
    <w:rsid w:val="0080526B"/>
    <w:rsid w:val="0080526D"/>
    <w:rsid w:val="008054E7"/>
    <w:rsid w:val="008055DA"/>
    <w:rsid w:val="00805754"/>
    <w:rsid w:val="008057AC"/>
    <w:rsid w:val="0080581A"/>
    <w:rsid w:val="00805839"/>
    <w:rsid w:val="0080589F"/>
    <w:rsid w:val="00805959"/>
    <w:rsid w:val="00805A02"/>
    <w:rsid w:val="00805AC0"/>
    <w:rsid w:val="00805ADD"/>
    <w:rsid w:val="00805B37"/>
    <w:rsid w:val="00805B38"/>
    <w:rsid w:val="00805B42"/>
    <w:rsid w:val="00805C78"/>
    <w:rsid w:val="00805F3C"/>
    <w:rsid w:val="00805FCB"/>
    <w:rsid w:val="008061C3"/>
    <w:rsid w:val="008062CA"/>
    <w:rsid w:val="00806328"/>
    <w:rsid w:val="00806369"/>
    <w:rsid w:val="008063FC"/>
    <w:rsid w:val="00806406"/>
    <w:rsid w:val="00806420"/>
    <w:rsid w:val="00806466"/>
    <w:rsid w:val="00806543"/>
    <w:rsid w:val="00806580"/>
    <w:rsid w:val="008065A3"/>
    <w:rsid w:val="0080666E"/>
    <w:rsid w:val="008066E5"/>
    <w:rsid w:val="00806848"/>
    <w:rsid w:val="008069DA"/>
    <w:rsid w:val="00806A39"/>
    <w:rsid w:val="00806A52"/>
    <w:rsid w:val="00806A8E"/>
    <w:rsid w:val="00806B16"/>
    <w:rsid w:val="00806BEF"/>
    <w:rsid w:val="00806C9A"/>
    <w:rsid w:val="00806D45"/>
    <w:rsid w:val="00806FF5"/>
    <w:rsid w:val="00807003"/>
    <w:rsid w:val="00807063"/>
    <w:rsid w:val="00807102"/>
    <w:rsid w:val="00807116"/>
    <w:rsid w:val="0080712F"/>
    <w:rsid w:val="0080717C"/>
    <w:rsid w:val="008071B5"/>
    <w:rsid w:val="008072D8"/>
    <w:rsid w:val="00807328"/>
    <w:rsid w:val="008073D3"/>
    <w:rsid w:val="008073EB"/>
    <w:rsid w:val="00807446"/>
    <w:rsid w:val="0080755A"/>
    <w:rsid w:val="00807650"/>
    <w:rsid w:val="008076A6"/>
    <w:rsid w:val="008077A6"/>
    <w:rsid w:val="008077E3"/>
    <w:rsid w:val="008078BD"/>
    <w:rsid w:val="0080798B"/>
    <w:rsid w:val="00807A4D"/>
    <w:rsid w:val="00807A5E"/>
    <w:rsid w:val="00807B26"/>
    <w:rsid w:val="00807B61"/>
    <w:rsid w:val="00807CB2"/>
    <w:rsid w:val="00807DAA"/>
    <w:rsid w:val="00807DC4"/>
    <w:rsid w:val="00807DF9"/>
    <w:rsid w:val="00807E0A"/>
    <w:rsid w:val="00807E72"/>
    <w:rsid w:val="00807EB2"/>
    <w:rsid w:val="00807F38"/>
    <w:rsid w:val="0081000E"/>
    <w:rsid w:val="0081001F"/>
    <w:rsid w:val="00810054"/>
    <w:rsid w:val="00810195"/>
    <w:rsid w:val="00810218"/>
    <w:rsid w:val="00810245"/>
    <w:rsid w:val="0081026D"/>
    <w:rsid w:val="00810346"/>
    <w:rsid w:val="0081035A"/>
    <w:rsid w:val="008104B8"/>
    <w:rsid w:val="00810531"/>
    <w:rsid w:val="00810591"/>
    <w:rsid w:val="0081065C"/>
    <w:rsid w:val="00810713"/>
    <w:rsid w:val="0081074A"/>
    <w:rsid w:val="008107B3"/>
    <w:rsid w:val="00810883"/>
    <w:rsid w:val="0081088B"/>
    <w:rsid w:val="008108E7"/>
    <w:rsid w:val="00810A23"/>
    <w:rsid w:val="00810A3E"/>
    <w:rsid w:val="00810A90"/>
    <w:rsid w:val="00810AD4"/>
    <w:rsid w:val="00810B5E"/>
    <w:rsid w:val="00810D4B"/>
    <w:rsid w:val="00810E45"/>
    <w:rsid w:val="00810E49"/>
    <w:rsid w:val="00810ED1"/>
    <w:rsid w:val="00810F03"/>
    <w:rsid w:val="00810F24"/>
    <w:rsid w:val="00810F4E"/>
    <w:rsid w:val="00810F56"/>
    <w:rsid w:val="00810F70"/>
    <w:rsid w:val="00810F79"/>
    <w:rsid w:val="00810F90"/>
    <w:rsid w:val="0081109B"/>
    <w:rsid w:val="00811112"/>
    <w:rsid w:val="00811161"/>
    <w:rsid w:val="008111F1"/>
    <w:rsid w:val="00811363"/>
    <w:rsid w:val="0081145D"/>
    <w:rsid w:val="008115B3"/>
    <w:rsid w:val="008116ED"/>
    <w:rsid w:val="00811795"/>
    <w:rsid w:val="0081180B"/>
    <w:rsid w:val="0081182C"/>
    <w:rsid w:val="00811A05"/>
    <w:rsid w:val="00811A57"/>
    <w:rsid w:val="00811B9E"/>
    <w:rsid w:val="00811C14"/>
    <w:rsid w:val="00811CA3"/>
    <w:rsid w:val="00811CB8"/>
    <w:rsid w:val="00811D40"/>
    <w:rsid w:val="00811EEC"/>
    <w:rsid w:val="00811F26"/>
    <w:rsid w:val="00811F56"/>
    <w:rsid w:val="00811F82"/>
    <w:rsid w:val="00811FF1"/>
    <w:rsid w:val="008120E8"/>
    <w:rsid w:val="00812199"/>
    <w:rsid w:val="008121CC"/>
    <w:rsid w:val="00812260"/>
    <w:rsid w:val="00812268"/>
    <w:rsid w:val="008122A3"/>
    <w:rsid w:val="008123B8"/>
    <w:rsid w:val="00812426"/>
    <w:rsid w:val="008124D4"/>
    <w:rsid w:val="0081265E"/>
    <w:rsid w:val="008126DC"/>
    <w:rsid w:val="00812701"/>
    <w:rsid w:val="0081288C"/>
    <w:rsid w:val="00812895"/>
    <w:rsid w:val="008128A1"/>
    <w:rsid w:val="0081296E"/>
    <w:rsid w:val="00812A10"/>
    <w:rsid w:val="00812A81"/>
    <w:rsid w:val="00812ADD"/>
    <w:rsid w:val="00812B45"/>
    <w:rsid w:val="00812C07"/>
    <w:rsid w:val="00812CA1"/>
    <w:rsid w:val="00812CB9"/>
    <w:rsid w:val="00812CD2"/>
    <w:rsid w:val="00812D28"/>
    <w:rsid w:val="00812DCE"/>
    <w:rsid w:val="00812EED"/>
    <w:rsid w:val="00812F8B"/>
    <w:rsid w:val="00812FF1"/>
    <w:rsid w:val="0081300A"/>
    <w:rsid w:val="0081311D"/>
    <w:rsid w:val="0081311F"/>
    <w:rsid w:val="00813181"/>
    <w:rsid w:val="008131B5"/>
    <w:rsid w:val="008132C2"/>
    <w:rsid w:val="00813331"/>
    <w:rsid w:val="00813377"/>
    <w:rsid w:val="008133E6"/>
    <w:rsid w:val="00813458"/>
    <w:rsid w:val="008134F6"/>
    <w:rsid w:val="00813592"/>
    <w:rsid w:val="00813620"/>
    <w:rsid w:val="00813627"/>
    <w:rsid w:val="00813652"/>
    <w:rsid w:val="00813738"/>
    <w:rsid w:val="0081375C"/>
    <w:rsid w:val="00813780"/>
    <w:rsid w:val="0081383E"/>
    <w:rsid w:val="0081390B"/>
    <w:rsid w:val="00813975"/>
    <w:rsid w:val="00813BA3"/>
    <w:rsid w:val="00813CC7"/>
    <w:rsid w:val="00813D13"/>
    <w:rsid w:val="00813D4B"/>
    <w:rsid w:val="00813D6D"/>
    <w:rsid w:val="00813F2C"/>
    <w:rsid w:val="00813F71"/>
    <w:rsid w:val="00813FD9"/>
    <w:rsid w:val="00813FF3"/>
    <w:rsid w:val="008140F8"/>
    <w:rsid w:val="008141D5"/>
    <w:rsid w:val="00814423"/>
    <w:rsid w:val="0081453F"/>
    <w:rsid w:val="00814562"/>
    <w:rsid w:val="00814568"/>
    <w:rsid w:val="00814847"/>
    <w:rsid w:val="0081485B"/>
    <w:rsid w:val="00814919"/>
    <w:rsid w:val="00814AAF"/>
    <w:rsid w:val="00814AC3"/>
    <w:rsid w:val="00814ADB"/>
    <w:rsid w:val="00814B16"/>
    <w:rsid w:val="00814B3F"/>
    <w:rsid w:val="00814CCE"/>
    <w:rsid w:val="00814D85"/>
    <w:rsid w:val="00814DFC"/>
    <w:rsid w:val="00814E99"/>
    <w:rsid w:val="00814EF4"/>
    <w:rsid w:val="00814FDE"/>
    <w:rsid w:val="008151FC"/>
    <w:rsid w:val="00815206"/>
    <w:rsid w:val="00815218"/>
    <w:rsid w:val="0081526D"/>
    <w:rsid w:val="008152A0"/>
    <w:rsid w:val="00815410"/>
    <w:rsid w:val="008154A5"/>
    <w:rsid w:val="00815653"/>
    <w:rsid w:val="0081572F"/>
    <w:rsid w:val="0081578C"/>
    <w:rsid w:val="008157CC"/>
    <w:rsid w:val="00815850"/>
    <w:rsid w:val="00815994"/>
    <w:rsid w:val="008159E9"/>
    <w:rsid w:val="008159FC"/>
    <w:rsid w:val="00815A9A"/>
    <w:rsid w:val="00815AAE"/>
    <w:rsid w:val="00815AC8"/>
    <w:rsid w:val="00815AD3"/>
    <w:rsid w:val="00815C59"/>
    <w:rsid w:val="00815CBE"/>
    <w:rsid w:val="00815E73"/>
    <w:rsid w:val="00815F02"/>
    <w:rsid w:val="0081606F"/>
    <w:rsid w:val="008160AB"/>
    <w:rsid w:val="008160F8"/>
    <w:rsid w:val="0081618E"/>
    <w:rsid w:val="00816390"/>
    <w:rsid w:val="0081644B"/>
    <w:rsid w:val="0081644C"/>
    <w:rsid w:val="008164D6"/>
    <w:rsid w:val="00816661"/>
    <w:rsid w:val="008166B6"/>
    <w:rsid w:val="008167BD"/>
    <w:rsid w:val="008169E5"/>
    <w:rsid w:val="00816A15"/>
    <w:rsid w:val="00816A1E"/>
    <w:rsid w:val="00816AE6"/>
    <w:rsid w:val="00816B58"/>
    <w:rsid w:val="00816B74"/>
    <w:rsid w:val="00816C10"/>
    <w:rsid w:val="00816C90"/>
    <w:rsid w:val="00816CC4"/>
    <w:rsid w:val="00816D0A"/>
    <w:rsid w:val="00816D5A"/>
    <w:rsid w:val="00816DC9"/>
    <w:rsid w:val="00816F6D"/>
    <w:rsid w:val="00816FBD"/>
    <w:rsid w:val="00816FF4"/>
    <w:rsid w:val="00817015"/>
    <w:rsid w:val="00817068"/>
    <w:rsid w:val="00817158"/>
    <w:rsid w:val="008171E6"/>
    <w:rsid w:val="00817293"/>
    <w:rsid w:val="008174CF"/>
    <w:rsid w:val="008175C7"/>
    <w:rsid w:val="008175DD"/>
    <w:rsid w:val="00817608"/>
    <w:rsid w:val="0081765F"/>
    <w:rsid w:val="00817668"/>
    <w:rsid w:val="00817697"/>
    <w:rsid w:val="008176B9"/>
    <w:rsid w:val="0081770F"/>
    <w:rsid w:val="0081778B"/>
    <w:rsid w:val="0081779D"/>
    <w:rsid w:val="008177DC"/>
    <w:rsid w:val="00817985"/>
    <w:rsid w:val="008179C9"/>
    <w:rsid w:val="00817A5C"/>
    <w:rsid w:val="00817AAF"/>
    <w:rsid w:val="00817B0A"/>
    <w:rsid w:val="00817BA5"/>
    <w:rsid w:val="00817C6B"/>
    <w:rsid w:val="00817CF4"/>
    <w:rsid w:val="00817DB7"/>
    <w:rsid w:val="00817DC6"/>
    <w:rsid w:val="00817DCE"/>
    <w:rsid w:val="00817F78"/>
    <w:rsid w:val="00817FF6"/>
    <w:rsid w:val="00820041"/>
    <w:rsid w:val="008200D5"/>
    <w:rsid w:val="008200EC"/>
    <w:rsid w:val="0082014D"/>
    <w:rsid w:val="0082046A"/>
    <w:rsid w:val="0082047E"/>
    <w:rsid w:val="00820658"/>
    <w:rsid w:val="008206B6"/>
    <w:rsid w:val="0082071A"/>
    <w:rsid w:val="008207EB"/>
    <w:rsid w:val="00820813"/>
    <w:rsid w:val="00820827"/>
    <w:rsid w:val="0082085C"/>
    <w:rsid w:val="0082086A"/>
    <w:rsid w:val="008208FF"/>
    <w:rsid w:val="00820901"/>
    <w:rsid w:val="0082092F"/>
    <w:rsid w:val="008209EB"/>
    <w:rsid w:val="00820A15"/>
    <w:rsid w:val="00820B9C"/>
    <w:rsid w:val="00820BA4"/>
    <w:rsid w:val="00820C13"/>
    <w:rsid w:val="00820C2B"/>
    <w:rsid w:val="00820C73"/>
    <w:rsid w:val="00820CEC"/>
    <w:rsid w:val="00820DFF"/>
    <w:rsid w:val="00820E11"/>
    <w:rsid w:val="00820E98"/>
    <w:rsid w:val="00820EDB"/>
    <w:rsid w:val="00820F7D"/>
    <w:rsid w:val="00820F99"/>
    <w:rsid w:val="008210FD"/>
    <w:rsid w:val="00821166"/>
    <w:rsid w:val="008211F9"/>
    <w:rsid w:val="00821206"/>
    <w:rsid w:val="00821275"/>
    <w:rsid w:val="008212C7"/>
    <w:rsid w:val="0082140F"/>
    <w:rsid w:val="00821456"/>
    <w:rsid w:val="008214FC"/>
    <w:rsid w:val="0082151F"/>
    <w:rsid w:val="00821624"/>
    <w:rsid w:val="00821686"/>
    <w:rsid w:val="008216F9"/>
    <w:rsid w:val="0082171D"/>
    <w:rsid w:val="008218A5"/>
    <w:rsid w:val="00821913"/>
    <w:rsid w:val="0082197D"/>
    <w:rsid w:val="00821994"/>
    <w:rsid w:val="00821A5B"/>
    <w:rsid w:val="00821B98"/>
    <w:rsid w:val="00821D03"/>
    <w:rsid w:val="00821D10"/>
    <w:rsid w:val="00821D41"/>
    <w:rsid w:val="00821E77"/>
    <w:rsid w:val="00821F60"/>
    <w:rsid w:val="0082209C"/>
    <w:rsid w:val="008220F4"/>
    <w:rsid w:val="008221C8"/>
    <w:rsid w:val="008221F0"/>
    <w:rsid w:val="00822220"/>
    <w:rsid w:val="00822230"/>
    <w:rsid w:val="00822278"/>
    <w:rsid w:val="008222C8"/>
    <w:rsid w:val="008223A2"/>
    <w:rsid w:val="008223DF"/>
    <w:rsid w:val="0082248E"/>
    <w:rsid w:val="008224C8"/>
    <w:rsid w:val="008225B4"/>
    <w:rsid w:val="0082263B"/>
    <w:rsid w:val="00822701"/>
    <w:rsid w:val="00822744"/>
    <w:rsid w:val="0082277D"/>
    <w:rsid w:val="008227E2"/>
    <w:rsid w:val="00822875"/>
    <w:rsid w:val="008228AB"/>
    <w:rsid w:val="00822919"/>
    <w:rsid w:val="00822935"/>
    <w:rsid w:val="008229C8"/>
    <w:rsid w:val="00822A82"/>
    <w:rsid w:val="00822AC5"/>
    <w:rsid w:val="00822B43"/>
    <w:rsid w:val="00822C2A"/>
    <w:rsid w:val="00822C34"/>
    <w:rsid w:val="00822C3B"/>
    <w:rsid w:val="00822C77"/>
    <w:rsid w:val="00822D45"/>
    <w:rsid w:val="00822DC2"/>
    <w:rsid w:val="00822E70"/>
    <w:rsid w:val="00822E7D"/>
    <w:rsid w:val="00822EA2"/>
    <w:rsid w:val="00822EF6"/>
    <w:rsid w:val="00822F0B"/>
    <w:rsid w:val="00822F43"/>
    <w:rsid w:val="0082308C"/>
    <w:rsid w:val="008230B3"/>
    <w:rsid w:val="00823152"/>
    <w:rsid w:val="00823178"/>
    <w:rsid w:val="00823270"/>
    <w:rsid w:val="008232A5"/>
    <w:rsid w:val="008232D1"/>
    <w:rsid w:val="00823335"/>
    <w:rsid w:val="008233ED"/>
    <w:rsid w:val="00823470"/>
    <w:rsid w:val="00823535"/>
    <w:rsid w:val="008235A7"/>
    <w:rsid w:val="008236A6"/>
    <w:rsid w:val="0082375C"/>
    <w:rsid w:val="00823816"/>
    <w:rsid w:val="008238F1"/>
    <w:rsid w:val="00823918"/>
    <w:rsid w:val="00823AB8"/>
    <w:rsid w:val="00823B72"/>
    <w:rsid w:val="00823BD5"/>
    <w:rsid w:val="00823C60"/>
    <w:rsid w:val="00823D58"/>
    <w:rsid w:val="00823DA2"/>
    <w:rsid w:val="00823DB1"/>
    <w:rsid w:val="00823E93"/>
    <w:rsid w:val="00823EA9"/>
    <w:rsid w:val="00823EEE"/>
    <w:rsid w:val="00823FD6"/>
    <w:rsid w:val="0082410B"/>
    <w:rsid w:val="00824160"/>
    <w:rsid w:val="00824195"/>
    <w:rsid w:val="00824216"/>
    <w:rsid w:val="00824262"/>
    <w:rsid w:val="00824350"/>
    <w:rsid w:val="008243E0"/>
    <w:rsid w:val="00824488"/>
    <w:rsid w:val="008244E5"/>
    <w:rsid w:val="008244F0"/>
    <w:rsid w:val="00824575"/>
    <w:rsid w:val="008245B4"/>
    <w:rsid w:val="008245B7"/>
    <w:rsid w:val="00824669"/>
    <w:rsid w:val="008246DA"/>
    <w:rsid w:val="008246F9"/>
    <w:rsid w:val="00824853"/>
    <w:rsid w:val="0082489E"/>
    <w:rsid w:val="00824902"/>
    <w:rsid w:val="00824B48"/>
    <w:rsid w:val="00824C18"/>
    <w:rsid w:val="00824D33"/>
    <w:rsid w:val="00824FF1"/>
    <w:rsid w:val="00825217"/>
    <w:rsid w:val="00825225"/>
    <w:rsid w:val="008252F3"/>
    <w:rsid w:val="00825353"/>
    <w:rsid w:val="00825380"/>
    <w:rsid w:val="008253B5"/>
    <w:rsid w:val="008253CF"/>
    <w:rsid w:val="00825547"/>
    <w:rsid w:val="00825625"/>
    <w:rsid w:val="008256FC"/>
    <w:rsid w:val="008258FA"/>
    <w:rsid w:val="008259B0"/>
    <w:rsid w:val="00825A51"/>
    <w:rsid w:val="00825A84"/>
    <w:rsid w:val="00825BA6"/>
    <w:rsid w:val="00825BF7"/>
    <w:rsid w:val="00825C67"/>
    <w:rsid w:val="00825C78"/>
    <w:rsid w:val="00825FAF"/>
    <w:rsid w:val="0082600B"/>
    <w:rsid w:val="00826011"/>
    <w:rsid w:val="0082603F"/>
    <w:rsid w:val="00826205"/>
    <w:rsid w:val="0082621A"/>
    <w:rsid w:val="00826377"/>
    <w:rsid w:val="0082638C"/>
    <w:rsid w:val="008263E5"/>
    <w:rsid w:val="00826425"/>
    <w:rsid w:val="00826453"/>
    <w:rsid w:val="008264E5"/>
    <w:rsid w:val="0082675A"/>
    <w:rsid w:val="0082686C"/>
    <w:rsid w:val="00826877"/>
    <w:rsid w:val="0082689F"/>
    <w:rsid w:val="00826A27"/>
    <w:rsid w:val="00826A85"/>
    <w:rsid w:val="00826B74"/>
    <w:rsid w:val="00826C56"/>
    <w:rsid w:val="00826C70"/>
    <w:rsid w:val="00826D51"/>
    <w:rsid w:val="00827049"/>
    <w:rsid w:val="00827050"/>
    <w:rsid w:val="00827113"/>
    <w:rsid w:val="00827227"/>
    <w:rsid w:val="00827249"/>
    <w:rsid w:val="008272F9"/>
    <w:rsid w:val="00827357"/>
    <w:rsid w:val="008273A6"/>
    <w:rsid w:val="008273B3"/>
    <w:rsid w:val="0082765B"/>
    <w:rsid w:val="0082767B"/>
    <w:rsid w:val="0082778A"/>
    <w:rsid w:val="00827888"/>
    <w:rsid w:val="008278FD"/>
    <w:rsid w:val="00827910"/>
    <w:rsid w:val="00827924"/>
    <w:rsid w:val="0082794E"/>
    <w:rsid w:val="0082795E"/>
    <w:rsid w:val="00827982"/>
    <w:rsid w:val="00827A23"/>
    <w:rsid w:val="00827A2C"/>
    <w:rsid w:val="00827A3F"/>
    <w:rsid w:val="00827AB7"/>
    <w:rsid w:val="00827B6E"/>
    <w:rsid w:val="00827C19"/>
    <w:rsid w:val="00827C93"/>
    <w:rsid w:val="00827CDB"/>
    <w:rsid w:val="00827DCE"/>
    <w:rsid w:val="00827DF4"/>
    <w:rsid w:val="00827E23"/>
    <w:rsid w:val="0083005B"/>
    <w:rsid w:val="0083005C"/>
    <w:rsid w:val="00830184"/>
    <w:rsid w:val="00830265"/>
    <w:rsid w:val="0083029B"/>
    <w:rsid w:val="00830465"/>
    <w:rsid w:val="008305A8"/>
    <w:rsid w:val="00830777"/>
    <w:rsid w:val="008307FB"/>
    <w:rsid w:val="0083080C"/>
    <w:rsid w:val="00830847"/>
    <w:rsid w:val="0083090E"/>
    <w:rsid w:val="00830983"/>
    <w:rsid w:val="008309FD"/>
    <w:rsid w:val="00830A84"/>
    <w:rsid w:val="00830AA4"/>
    <w:rsid w:val="00830AB3"/>
    <w:rsid w:val="00830AF7"/>
    <w:rsid w:val="00830B1A"/>
    <w:rsid w:val="00830B1F"/>
    <w:rsid w:val="00830C68"/>
    <w:rsid w:val="00830CC2"/>
    <w:rsid w:val="00830CDE"/>
    <w:rsid w:val="00830CED"/>
    <w:rsid w:val="00830D01"/>
    <w:rsid w:val="00830D3C"/>
    <w:rsid w:val="00830DA8"/>
    <w:rsid w:val="00830E58"/>
    <w:rsid w:val="00830EBD"/>
    <w:rsid w:val="00830F1C"/>
    <w:rsid w:val="00830FD1"/>
    <w:rsid w:val="00831093"/>
    <w:rsid w:val="008310ED"/>
    <w:rsid w:val="0083113F"/>
    <w:rsid w:val="0083114C"/>
    <w:rsid w:val="0083125C"/>
    <w:rsid w:val="008312BB"/>
    <w:rsid w:val="008313BF"/>
    <w:rsid w:val="008314A8"/>
    <w:rsid w:val="0083153D"/>
    <w:rsid w:val="008315AE"/>
    <w:rsid w:val="008315F7"/>
    <w:rsid w:val="0083163C"/>
    <w:rsid w:val="0083182A"/>
    <w:rsid w:val="0083183C"/>
    <w:rsid w:val="00831881"/>
    <w:rsid w:val="008318D9"/>
    <w:rsid w:val="00831996"/>
    <w:rsid w:val="008319C2"/>
    <w:rsid w:val="008319C9"/>
    <w:rsid w:val="008319FF"/>
    <w:rsid w:val="00831A28"/>
    <w:rsid w:val="00831A2C"/>
    <w:rsid w:val="00831A37"/>
    <w:rsid w:val="00831A68"/>
    <w:rsid w:val="00831A7B"/>
    <w:rsid w:val="00831B10"/>
    <w:rsid w:val="00831D22"/>
    <w:rsid w:val="00831E82"/>
    <w:rsid w:val="00831EBA"/>
    <w:rsid w:val="0083200B"/>
    <w:rsid w:val="00832040"/>
    <w:rsid w:val="00832097"/>
    <w:rsid w:val="00832114"/>
    <w:rsid w:val="008322CB"/>
    <w:rsid w:val="00832327"/>
    <w:rsid w:val="00832395"/>
    <w:rsid w:val="008323A0"/>
    <w:rsid w:val="0083253A"/>
    <w:rsid w:val="0083255F"/>
    <w:rsid w:val="00832562"/>
    <w:rsid w:val="008325C1"/>
    <w:rsid w:val="00832600"/>
    <w:rsid w:val="008326A6"/>
    <w:rsid w:val="008327FC"/>
    <w:rsid w:val="00832869"/>
    <w:rsid w:val="00832874"/>
    <w:rsid w:val="00832881"/>
    <w:rsid w:val="0083288C"/>
    <w:rsid w:val="008328BA"/>
    <w:rsid w:val="008328E2"/>
    <w:rsid w:val="008328ED"/>
    <w:rsid w:val="00832973"/>
    <w:rsid w:val="0083299B"/>
    <w:rsid w:val="00832A4A"/>
    <w:rsid w:val="00832B49"/>
    <w:rsid w:val="00832C7A"/>
    <w:rsid w:val="00832EDC"/>
    <w:rsid w:val="00832F7A"/>
    <w:rsid w:val="00832FB3"/>
    <w:rsid w:val="00832FD5"/>
    <w:rsid w:val="0083304D"/>
    <w:rsid w:val="0083306E"/>
    <w:rsid w:val="0083307F"/>
    <w:rsid w:val="00833221"/>
    <w:rsid w:val="0083326E"/>
    <w:rsid w:val="008332D9"/>
    <w:rsid w:val="00833370"/>
    <w:rsid w:val="00833443"/>
    <w:rsid w:val="00833474"/>
    <w:rsid w:val="0083351C"/>
    <w:rsid w:val="008336B5"/>
    <w:rsid w:val="00833797"/>
    <w:rsid w:val="00833836"/>
    <w:rsid w:val="0083394B"/>
    <w:rsid w:val="0083395F"/>
    <w:rsid w:val="0083398A"/>
    <w:rsid w:val="008339F7"/>
    <w:rsid w:val="00833AD1"/>
    <w:rsid w:val="00833AE1"/>
    <w:rsid w:val="00833B92"/>
    <w:rsid w:val="00833BF5"/>
    <w:rsid w:val="00833CB2"/>
    <w:rsid w:val="00833DBA"/>
    <w:rsid w:val="00833F8B"/>
    <w:rsid w:val="008340EA"/>
    <w:rsid w:val="00834274"/>
    <w:rsid w:val="008342AB"/>
    <w:rsid w:val="00834397"/>
    <w:rsid w:val="00834482"/>
    <w:rsid w:val="008344D3"/>
    <w:rsid w:val="00834620"/>
    <w:rsid w:val="00834651"/>
    <w:rsid w:val="00834708"/>
    <w:rsid w:val="008347AC"/>
    <w:rsid w:val="0083487A"/>
    <w:rsid w:val="00834968"/>
    <w:rsid w:val="00834995"/>
    <w:rsid w:val="00834AC8"/>
    <w:rsid w:val="00834AE9"/>
    <w:rsid w:val="00834B8D"/>
    <w:rsid w:val="00834CC8"/>
    <w:rsid w:val="00834E10"/>
    <w:rsid w:val="00834EC6"/>
    <w:rsid w:val="0083505E"/>
    <w:rsid w:val="008350D4"/>
    <w:rsid w:val="0083515E"/>
    <w:rsid w:val="00835211"/>
    <w:rsid w:val="00835256"/>
    <w:rsid w:val="00835282"/>
    <w:rsid w:val="00835293"/>
    <w:rsid w:val="0083531E"/>
    <w:rsid w:val="00835414"/>
    <w:rsid w:val="00835427"/>
    <w:rsid w:val="00835433"/>
    <w:rsid w:val="00835552"/>
    <w:rsid w:val="00835587"/>
    <w:rsid w:val="008355CE"/>
    <w:rsid w:val="0083576D"/>
    <w:rsid w:val="008357A1"/>
    <w:rsid w:val="008358DD"/>
    <w:rsid w:val="00835944"/>
    <w:rsid w:val="00835A13"/>
    <w:rsid w:val="00835AB0"/>
    <w:rsid w:val="00835B12"/>
    <w:rsid w:val="00835BCE"/>
    <w:rsid w:val="00835BE8"/>
    <w:rsid w:val="00835C64"/>
    <w:rsid w:val="00835C71"/>
    <w:rsid w:val="00835CF3"/>
    <w:rsid w:val="00835F15"/>
    <w:rsid w:val="00835F3A"/>
    <w:rsid w:val="00835F6E"/>
    <w:rsid w:val="00836003"/>
    <w:rsid w:val="0083600E"/>
    <w:rsid w:val="0083607A"/>
    <w:rsid w:val="00836203"/>
    <w:rsid w:val="008362AC"/>
    <w:rsid w:val="00836335"/>
    <w:rsid w:val="00836386"/>
    <w:rsid w:val="00836488"/>
    <w:rsid w:val="008365A2"/>
    <w:rsid w:val="0083661F"/>
    <w:rsid w:val="0083669B"/>
    <w:rsid w:val="00836980"/>
    <w:rsid w:val="00836A49"/>
    <w:rsid w:val="00836A8D"/>
    <w:rsid w:val="00836B87"/>
    <w:rsid w:val="00836D8B"/>
    <w:rsid w:val="00836E00"/>
    <w:rsid w:val="00836F98"/>
    <w:rsid w:val="008370A1"/>
    <w:rsid w:val="00837261"/>
    <w:rsid w:val="00837592"/>
    <w:rsid w:val="008375EA"/>
    <w:rsid w:val="00837710"/>
    <w:rsid w:val="0083771D"/>
    <w:rsid w:val="00837744"/>
    <w:rsid w:val="008377C9"/>
    <w:rsid w:val="008377CE"/>
    <w:rsid w:val="008378A0"/>
    <w:rsid w:val="008378BC"/>
    <w:rsid w:val="00837B88"/>
    <w:rsid w:val="00837BE3"/>
    <w:rsid w:val="00837C06"/>
    <w:rsid w:val="00837C5B"/>
    <w:rsid w:val="00837D39"/>
    <w:rsid w:val="00837DA9"/>
    <w:rsid w:val="00837E43"/>
    <w:rsid w:val="00837F0E"/>
    <w:rsid w:val="00837F7B"/>
    <w:rsid w:val="00837FBB"/>
    <w:rsid w:val="00837FCB"/>
    <w:rsid w:val="0084007E"/>
    <w:rsid w:val="008400AD"/>
    <w:rsid w:val="00840165"/>
    <w:rsid w:val="0084020E"/>
    <w:rsid w:val="0084029A"/>
    <w:rsid w:val="008403AE"/>
    <w:rsid w:val="00840419"/>
    <w:rsid w:val="00840480"/>
    <w:rsid w:val="008406A7"/>
    <w:rsid w:val="0084072A"/>
    <w:rsid w:val="0084083B"/>
    <w:rsid w:val="00840923"/>
    <w:rsid w:val="00840A07"/>
    <w:rsid w:val="00840B0A"/>
    <w:rsid w:val="00840B12"/>
    <w:rsid w:val="00840B1C"/>
    <w:rsid w:val="00840BFB"/>
    <w:rsid w:val="00840C04"/>
    <w:rsid w:val="00840C42"/>
    <w:rsid w:val="00840DA0"/>
    <w:rsid w:val="00840EEC"/>
    <w:rsid w:val="0084103F"/>
    <w:rsid w:val="008410FA"/>
    <w:rsid w:val="00841137"/>
    <w:rsid w:val="00841228"/>
    <w:rsid w:val="00841277"/>
    <w:rsid w:val="008412D5"/>
    <w:rsid w:val="008412E5"/>
    <w:rsid w:val="008414D1"/>
    <w:rsid w:val="0084153E"/>
    <w:rsid w:val="00841554"/>
    <w:rsid w:val="008417FE"/>
    <w:rsid w:val="00841891"/>
    <w:rsid w:val="00841897"/>
    <w:rsid w:val="008418C5"/>
    <w:rsid w:val="008418F9"/>
    <w:rsid w:val="00841B45"/>
    <w:rsid w:val="00841B81"/>
    <w:rsid w:val="00841C1C"/>
    <w:rsid w:val="00841C61"/>
    <w:rsid w:val="00841CA5"/>
    <w:rsid w:val="00841DA5"/>
    <w:rsid w:val="00841EE9"/>
    <w:rsid w:val="00841F1E"/>
    <w:rsid w:val="0084201F"/>
    <w:rsid w:val="00842042"/>
    <w:rsid w:val="00842063"/>
    <w:rsid w:val="00842090"/>
    <w:rsid w:val="008420E3"/>
    <w:rsid w:val="008421FA"/>
    <w:rsid w:val="0084222E"/>
    <w:rsid w:val="00842294"/>
    <w:rsid w:val="008423A3"/>
    <w:rsid w:val="008423DE"/>
    <w:rsid w:val="00842463"/>
    <w:rsid w:val="00842487"/>
    <w:rsid w:val="00842493"/>
    <w:rsid w:val="0084249F"/>
    <w:rsid w:val="00842637"/>
    <w:rsid w:val="00842676"/>
    <w:rsid w:val="008426CC"/>
    <w:rsid w:val="00842700"/>
    <w:rsid w:val="0084270B"/>
    <w:rsid w:val="008427C6"/>
    <w:rsid w:val="00842863"/>
    <w:rsid w:val="008428E0"/>
    <w:rsid w:val="008428E2"/>
    <w:rsid w:val="00842A40"/>
    <w:rsid w:val="00842AB3"/>
    <w:rsid w:val="00842B1A"/>
    <w:rsid w:val="00842C25"/>
    <w:rsid w:val="00842C49"/>
    <w:rsid w:val="00842C6E"/>
    <w:rsid w:val="00842FE7"/>
    <w:rsid w:val="00842FEF"/>
    <w:rsid w:val="00843017"/>
    <w:rsid w:val="0084319A"/>
    <w:rsid w:val="0084329D"/>
    <w:rsid w:val="00843364"/>
    <w:rsid w:val="00843383"/>
    <w:rsid w:val="008433BB"/>
    <w:rsid w:val="008433BE"/>
    <w:rsid w:val="0084341E"/>
    <w:rsid w:val="0084345E"/>
    <w:rsid w:val="008434DC"/>
    <w:rsid w:val="00843544"/>
    <w:rsid w:val="008435D4"/>
    <w:rsid w:val="0084362C"/>
    <w:rsid w:val="0084369D"/>
    <w:rsid w:val="008436E1"/>
    <w:rsid w:val="0084372F"/>
    <w:rsid w:val="0084373D"/>
    <w:rsid w:val="00843839"/>
    <w:rsid w:val="00843848"/>
    <w:rsid w:val="00843881"/>
    <w:rsid w:val="00843886"/>
    <w:rsid w:val="008439C2"/>
    <w:rsid w:val="008439C5"/>
    <w:rsid w:val="008439F4"/>
    <w:rsid w:val="00843A60"/>
    <w:rsid w:val="00843A8D"/>
    <w:rsid w:val="00843AA4"/>
    <w:rsid w:val="00843BDE"/>
    <w:rsid w:val="00843BE2"/>
    <w:rsid w:val="00843C53"/>
    <w:rsid w:val="00843DF8"/>
    <w:rsid w:val="00843EA1"/>
    <w:rsid w:val="00843EA6"/>
    <w:rsid w:val="0084408F"/>
    <w:rsid w:val="0084410B"/>
    <w:rsid w:val="00844131"/>
    <w:rsid w:val="00844135"/>
    <w:rsid w:val="0084418B"/>
    <w:rsid w:val="0084420F"/>
    <w:rsid w:val="0084422A"/>
    <w:rsid w:val="008442A9"/>
    <w:rsid w:val="008443A1"/>
    <w:rsid w:val="0084458B"/>
    <w:rsid w:val="0084467B"/>
    <w:rsid w:val="008446FF"/>
    <w:rsid w:val="0084495F"/>
    <w:rsid w:val="008449A4"/>
    <w:rsid w:val="00844B38"/>
    <w:rsid w:val="00844B54"/>
    <w:rsid w:val="00844C9D"/>
    <w:rsid w:val="00844EC9"/>
    <w:rsid w:val="00844F56"/>
    <w:rsid w:val="00844F89"/>
    <w:rsid w:val="00844F91"/>
    <w:rsid w:val="00844FDD"/>
    <w:rsid w:val="00844FEF"/>
    <w:rsid w:val="00845036"/>
    <w:rsid w:val="0084505A"/>
    <w:rsid w:val="0084508D"/>
    <w:rsid w:val="008450D0"/>
    <w:rsid w:val="0084514E"/>
    <w:rsid w:val="008452F9"/>
    <w:rsid w:val="00845339"/>
    <w:rsid w:val="008453DA"/>
    <w:rsid w:val="0084564D"/>
    <w:rsid w:val="0084566A"/>
    <w:rsid w:val="00845699"/>
    <w:rsid w:val="0084573D"/>
    <w:rsid w:val="00845840"/>
    <w:rsid w:val="00845869"/>
    <w:rsid w:val="0084588B"/>
    <w:rsid w:val="00845956"/>
    <w:rsid w:val="00845A7E"/>
    <w:rsid w:val="00845AA0"/>
    <w:rsid w:val="00845ABD"/>
    <w:rsid w:val="00845B2E"/>
    <w:rsid w:val="00845BDD"/>
    <w:rsid w:val="00845C0F"/>
    <w:rsid w:val="00845C69"/>
    <w:rsid w:val="00845CE1"/>
    <w:rsid w:val="00845E28"/>
    <w:rsid w:val="00845E53"/>
    <w:rsid w:val="00845E7D"/>
    <w:rsid w:val="00845ED3"/>
    <w:rsid w:val="00846029"/>
    <w:rsid w:val="0084604D"/>
    <w:rsid w:val="00846070"/>
    <w:rsid w:val="00846078"/>
    <w:rsid w:val="0084607D"/>
    <w:rsid w:val="00846082"/>
    <w:rsid w:val="00846293"/>
    <w:rsid w:val="00846425"/>
    <w:rsid w:val="008465A1"/>
    <w:rsid w:val="008466A7"/>
    <w:rsid w:val="008466DB"/>
    <w:rsid w:val="00846AA3"/>
    <w:rsid w:val="00846B22"/>
    <w:rsid w:val="00846B5F"/>
    <w:rsid w:val="00846B84"/>
    <w:rsid w:val="00846BB6"/>
    <w:rsid w:val="00846BEF"/>
    <w:rsid w:val="00846C8C"/>
    <w:rsid w:val="00846E49"/>
    <w:rsid w:val="00846F3C"/>
    <w:rsid w:val="0084702C"/>
    <w:rsid w:val="008470AF"/>
    <w:rsid w:val="008471A5"/>
    <w:rsid w:val="008471E3"/>
    <w:rsid w:val="0084731E"/>
    <w:rsid w:val="00847377"/>
    <w:rsid w:val="00847499"/>
    <w:rsid w:val="008474AE"/>
    <w:rsid w:val="00847521"/>
    <w:rsid w:val="008475EA"/>
    <w:rsid w:val="00847651"/>
    <w:rsid w:val="00847656"/>
    <w:rsid w:val="0084772C"/>
    <w:rsid w:val="008477C2"/>
    <w:rsid w:val="00847838"/>
    <w:rsid w:val="00847AB2"/>
    <w:rsid w:val="00847B56"/>
    <w:rsid w:val="00847C19"/>
    <w:rsid w:val="00847C41"/>
    <w:rsid w:val="00847C63"/>
    <w:rsid w:val="00847CC1"/>
    <w:rsid w:val="00847F0F"/>
    <w:rsid w:val="00850021"/>
    <w:rsid w:val="00850056"/>
    <w:rsid w:val="008500E4"/>
    <w:rsid w:val="0085010D"/>
    <w:rsid w:val="0085022B"/>
    <w:rsid w:val="00850405"/>
    <w:rsid w:val="008504B5"/>
    <w:rsid w:val="00850635"/>
    <w:rsid w:val="008506FE"/>
    <w:rsid w:val="00850735"/>
    <w:rsid w:val="00850765"/>
    <w:rsid w:val="008507A9"/>
    <w:rsid w:val="008507F6"/>
    <w:rsid w:val="0085084C"/>
    <w:rsid w:val="0085089D"/>
    <w:rsid w:val="008509A9"/>
    <w:rsid w:val="008509FC"/>
    <w:rsid w:val="00850A10"/>
    <w:rsid w:val="00850A21"/>
    <w:rsid w:val="00850A6B"/>
    <w:rsid w:val="00850A74"/>
    <w:rsid w:val="00850AF8"/>
    <w:rsid w:val="00850B20"/>
    <w:rsid w:val="00850CBE"/>
    <w:rsid w:val="00850D8B"/>
    <w:rsid w:val="00850DAC"/>
    <w:rsid w:val="00850DBE"/>
    <w:rsid w:val="00850F58"/>
    <w:rsid w:val="008510D2"/>
    <w:rsid w:val="008511AB"/>
    <w:rsid w:val="00851249"/>
    <w:rsid w:val="0085127F"/>
    <w:rsid w:val="00851323"/>
    <w:rsid w:val="008514EC"/>
    <w:rsid w:val="00851547"/>
    <w:rsid w:val="0085176C"/>
    <w:rsid w:val="0085179A"/>
    <w:rsid w:val="008517AA"/>
    <w:rsid w:val="00851801"/>
    <w:rsid w:val="0085182D"/>
    <w:rsid w:val="00851833"/>
    <w:rsid w:val="00851868"/>
    <w:rsid w:val="00851869"/>
    <w:rsid w:val="0085195B"/>
    <w:rsid w:val="008519E0"/>
    <w:rsid w:val="00851A71"/>
    <w:rsid w:val="00851B2D"/>
    <w:rsid w:val="00851BC3"/>
    <w:rsid w:val="00851D0E"/>
    <w:rsid w:val="00851D19"/>
    <w:rsid w:val="00851D3C"/>
    <w:rsid w:val="00851D77"/>
    <w:rsid w:val="00851FC4"/>
    <w:rsid w:val="00851FFC"/>
    <w:rsid w:val="0085212B"/>
    <w:rsid w:val="008521C5"/>
    <w:rsid w:val="0085226B"/>
    <w:rsid w:val="008523E7"/>
    <w:rsid w:val="0085245F"/>
    <w:rsid w:val="008524AE"/>
    <w:rsid w:val="00852568"/>
    <w:rsid w:val="00852578"/>
    <w:rsid w:val="00852581"/>
    <w:rsid w:val="00852657"/>
    <w:rsid w:val="00852687"/>
    <w:rsid w:val="0085277C"/>
    <w:rsid w:val="00852979"/>
    <w:rsid w:val="008529FD"/>
    <w:rsid w:val="00852A1E"/>
    <w:rsid w:val="00852A9C"/>
    <w:rsid w:val="00852B59"/>
    <w:rsid w:val="00852C2E"/>
    <w:rsid w:val="00852C35"/>
    <w:rsid w:val="00852CF1"/>
    <w:rsid w:val="00852D81"/>
    <w:rsid w:val="00852EB9"/>
    <w:rsid w:val="00852F70"/>
    <w:rsid w:val="00852FED"/>
    <w:rsid w:val="0085313B"/>
    <w:rsid w:val="00853178"/>
    <w:rsid w:val="008531FF"/>
    <w:rsid w:val="0085323B"/>
    <w:rsid w:val="00853293"/>
    <w:rsid w:val="0085331C"/>
    <w:rsid w:val="00853342"/>
    <w:rsid w:val="008534E0"/>
    <w:rsid w:val="008534F8"/>
    <w:rsid w:val="00853508"/>
    <w:rsid w:val="00853609"/>
    <w:rsid w:val="0085363A"/>
    <w:rsid w:val="0085370E"/>
    <w:rsid w:val="00853721"/>
    <w:rsid w:val="008537DE"/>
    <w:rsid w:val="0085388B"/>
    <w:rsid w:val="0085396B"/>
    <w:rsid w:val="00853A27"/>
    <w:rsid w:val="00853B3B"/>
    <w:rsid w:val="00853C95"/>
    <w:rsid w:val="00853CAF"/>
    <w:rsid w:val="00853F60"/>
    <w:rsid w:val="00853F7C"/>
    <w:rsid w:val="00853FBB"/>
    <w:rsid w:val="00853FF3"/>
    <w:rsid w:val="00853FFF"/>
    <w:rsid w:val="00854044"/>
    <w:rsid w:val="00854156"/>
    <w:rsid w:val="008541E0"/>
    <w:rsid w:val="008541F0"/>
    <w:rsid w:val="0085425E"/>
    <w:rsid w:val="00854287"/>
    <w:rsid w:val="0085429F"/>
    <w:rsid w:val="008542E3"/>
    <w:rsid w:val="00854344"/>
    <w:rsid w:val="008543E5"/>
    <w:rsid w:val="0085445E"/>
    <w:rsid w:val="00854567"/>
    <w:rsid w:val="008546A3"/>
    <w:rsid w:val="00854AD0"/>
    <w:rsid w:val="00854B8C"/>
    <w:rsid w:val="00854BD2"/>
    <w:rsid w:val="00854BE3"/>
    <w:rsid w:val="00854C58"/>
    <w:rsid w:val="00854C6C"/>
    <w:rsid w:val="00854D2C"/>
    <w:rsid w:val="00854D41"/>
    <w:rsid w:val="00854D5B"/>
    <w:rsid w:val="00854E52"/>
    <w:rsid w:val="00854E9F"/>
    <w:rsid w:val="00854FA8"/>
    <w:rsid w:val="00854FF5"/>
    <w:rsid w:val="0085502E"/>
    <w:rsid w:val="0085506C"/>
    <w:rsid w:val="008550FD"/>
    <w:rsid w:val="008551EB"/>
    <w:rsid w:val="00855215"/>
    <w:rsid w:val="00855216"/>
    <w:rsid w:val="008552BC"/>
    <w:rsid w:val="00855381"/>
    <w:rsid w:val="00855390"/>
    <w:rsid w:val="00855523"/>
    <w:rsid w:val="008555C1"/>
    <w:rsid w:val="008556A9"/>
    <w:rsid w:val="008557B2"/>
    <w:rsid w:val="00855819"/>
    <w:rsid w:val="00855970"/>
    <w:rsid w:val="0085598C"/>
    <w:rsid w:val="008559A3"/>
    <w:rsid w:val="008559E6"/>
    <w:rsid w:val="00855A06"/>
    <w:rsid w:val="00855A38"/>
    <w:rsid w:val="00855AC7"/>
    <w:rsid w:val="00855B3B"/>
    <w:rsid w:val="00855BE4"/>
    <w:rsid w:val="00855DD0"/>
    <w:rsid w:val="00855E74"/>
    <w:rsid w:val="00855EC1"/>
    <w:rsid w:val="00855EE8"/>
    <w:rsid w:val="00855FA5"/>
    <w:rsid w:val="00855FD9"/>
    <w:rsid w:val="0085633E"/>
    <w:rsid w:val="008563A4"/>
    <w:rsid w:val="008563D6"/>
    <w:rsid w:val="00856497"/>
    <w:rsid w:val="008564FB"/>
    <w:rsid w:val="00856604"/>
    <w:rsid w:val="008566E5"/>
    <w:rsid w:val="008566E6"/>
    <w:rsid w:val="0085673E"/>
    <w:rsid w:val="00856790"/>
    <w:rsid w:val="008567F8"/>
    <w:rsid w:val="00856907"/>
    <w:rsid w:val="0085694A"/>
    <w:rsid w:val="00856986"/>
    <w:rsid w:val="00856A80"/>
    <w:rsid w:val="00856AB7"/>
    <w:rsid w:val="00856B03"/>
    <w:rsid w:val="00856B3A"/>
    <w:rsid w:val="00856C9D"/>
    <w:rsid w:val="00856EA8"/>
    <w:rsid w:val="00856F8C"/>
    <w:rsid w:val="00856FA1"/>
    <w:rsid w:val="00856FBF"/>
    <w:rsid w:val="00856FDA"/>
    <w:rsid w:val="008570AB"/>
    <w:rsid w:val="008571C8"/>
    <w:rsid w:val="00857354"/>
    <w:rsid w:val="00857384"/>
    <w:rsid w:val="0085740F"/>
    <w:rsid w:val="0085749F"/>
    <w:rsid w:val="008575A2"/>
    <w:rsid w:val="0085767B"/>
    <w:rsid w:val="008576A2"/>
    <w:rsid w:val="008576AB"/>
    <w:rsid w:val="00857731"/>
    <w:rsid w:val="0085781D"/>
    <w:rsid w:val="00857862"/>
    <w:rsid w:val="008578FD"/>
    <w:rsid w:val="00857A23"/>
    <w:rsid w:val="00857B69"/>
    <w:rsid w:val="00857D20"/>
    <w:rsid w:val="00857D6A"/>
    <w:rsid w:val="00857F4A"/>
    <w:rsid w:val="008602B2"/>
    <w:rsid w:val="008602B3"/>
    <w:rsid w:val="008602E1"/>
    <w:rsid w:val="008603DA"/>
    <w:rsid w:val="008605B0"/>
    <w:rsid w:val="008605B8"/>
    <w:rsid w:val="008605D4"/>
    <w:rsid w:val="00860625"/>
    <w:rsid w:val="008607EE"/>
    <w:rsid w:val="008609E6"/>
    <w:rsid w:val="00860A48"/>
    <w:rsid w:val="00860A4A"/>
    <w:rsid w:val="00860AB3"/>
    <w:rsid w:val="00860BB0"/>
    <w:rsid w:val="00860BF9"/>
    <w:rsid w:val="00860C7A"/>
    <w:rsid w:val="00860D27"/>
    <w:rsid w:val="00860D78"/>
    <w:rsid w:val="00860EA7"/>
    <w:rsid w:val="00860F2E"/>
    <w:rsid w:val="00860F37"/>
    <w:rsid w:val="00860F57"/>
    <w:rsid w:val="00860F6C"/>
    <w:rsid w:val="008611FE"/>
    <w:rsid w:val="00861249"/>
    <w:rsid w:val="0086129E"/>
    <w:rsid w:val="008613AC"/>
    <w:rsid w:val="00861404"/>
    <w:rsid w:val="0086141E"/>
    <w:rsid w:val="0086142B"/>
    <w:rsid w:val="0086155F"/>
    <w:rsid w:val="0086176C"/>
    <w:rsid w:val="00861857"/>
    <w:rsid w:val="008618A5"/>
    <w:rsid w:val="00861A38"/>
    <w:rsid w:val="00861A59"/>
    <w:rsid w:val="00861AA9"/>
    <w:rsid w:val="00861AC2"/>
    <w:rsid w:val="00861B25"/>
    <w:rsid w:val="00861C6E"/>
    <w:rsid w:val="00861CB7"/>
    <w:rsid w:val="00861CD4"/>
    <w:rsid w:val="00861D5E"/>
    <w:rsid w:val="00861D6A"/>
    <w:rsid w:val="00861DA9"/>
    <w:rsid w:val="00861E9F"/>
    <w:rsid w:val="00861ED2"/>
    <w:rsid w:val="00861F0E"/>
    <w:rsid w:val="00861F55"/>
    <w:rsid w:val="00861F7A"/>
    <w:rsid w:val="00862029"/>
    <w:rsid w:val="0086216D"/>
    <w:rsid w:val="00862185"/>
    <w:rsid w:val="008621C4"/>
    <w:rsid w:val="00862270"/>
    <w:rsid w:val="00862281"/>
    <w:rsid w:val="00862345"/>
    <w:rsid w:val="00862355"/>
    <w:rsid w:val="00862498"/>
    <w:rsid w:val="008624BF"/>
    <w:rsid w:val="008624F4"/>
    <w:rsid w:val="008624F9"/>
    <w:rsid w:val="008625DB"/>
    <w:rsid w:val="008626AF"/>
    <w:rsid w:val="0086270D"/>
    <w:rsid w:val="00862781"/>
    <w:rsid w:val="00862794"/>
    <w:rsid w:val="00862802"/>
    <w:rsid w:val="00862849"/>
    <w:rsid w:val="00862961"/>
    <w:rsid w:val="00862B38"/>
    <w:rsid w:val="00862BD4"/>
    <w:rsid w:val="00862C59"/>
    <w:rsid w:val="00862C65"/>
    <w:rsid w:val="00862FC7"/>
    <w:rsid w:val="00863016"/>
    <w:rsid w:val="00863031"/>
    <w:rsid w:val="00863101"/>
    <w:rsid w:val="00863127"/>
    <w:rsid w:val="00863182"/>
    <w:rsid w:val="008631CA"/>
    <w:rsid w:val="0086328A"/>
    <w:rsid w:val="00863313"/>
    <w:rsid w:val="00863383"/>
    <w:rsid w:val="00863486"/>
    <w:rsid w:val="0086354C"/>
    <w:rsid w:val="00863577"/>
    <w:rsid w:val="008635C9"/>
    <w:rsid w:val="008635CD"/>
    <w:rsid w:val="0086366E"/>
    <w:rsid w:val="00863692"/>
    <w:rsid w:val="008639C1"/>
    <w:rsid w:val="00863A68"/>
    <w:rsid w:val="00863AE6"/>
    <w:rsid w:val="00863AF8"/>
    <w:rsid w:val="00863B0F"/>
    <w:rsid w:val="00863BE7"/>
    <w:rsid w:val="00863CCB"/>
    <w:rsid w:val="00863DE8"/>
    <w:rsid w:val="00863EAB"/>
    <w:rsid w:val="00863EF7"/>
    <w:rsid w:val="00863FC4"/>
    <w:rsid w:val="00864017"/>
    <w:rsid w:val="00864090"/>
    <w:rsid w:val="008640C0"/>
    <w:rsid w:val="008640D6"/>
    <w:rsid w:val="0086416F"/>
    <w:rsid w:val="008641D9"/>
    <w:rsid w:val="008641F3"/>
    <w:rsid w:val="00864271"/>
    <w:rsid w:val="008642A7"/>
    <w:rsid w:val="008642CC"/>
    <w:rsid w:val="00864347"/>
    <w:rsid w:val="0086441C"/>
    <w:rsid w:val="00864447"/>
    <w:rsid w:val="00864586"/>
    <w:rsid w:val="0086465A"/>
    <w:rsid w:val="008647B8"/>
    <w:rsid w:val="0086485B"/>
    <w:rsid w:val="00864976"/>
    <w:rsid w:val="00864981"/>
    <w:rsid w:val="00864CAB"/>
    <w:rsid w:val="00864D19"/>
    <w:rsid w:val="00864D6D"/>
    <w:rsid w:val="00864DD4"/>
    <w:rsid w:val="00864E0C"/>
    <w:rsid w:val="00864EDB"/>
    <w:rsid w:val="0086502E"/>
    <w:rsid w:val="0086510D"/>
    <w:rsid w:val="00865160"/>
    <w:rsid w:val="00865254"/>
    <w:rsid w:val="00865340"/>
    <w:rsid w:val="00865399"/>
    <w:rsid w:val="008653A3"/>
    <w:rsid w:val="008653B5"/>
    <w:rsid w:val="008653FB"/>
    <w:rsid w:val="00865402"/>
    <w:rsid w:val="008654B6"/>
    <w:rsid w:val="008657E6"/>
    <w:rsid w:val="00865851"/>
    <w:rsid w:val="00865956"/>
    <w:rsid w:val="00865AEE"/>
    <w:rsid w:val="00865BA7"/>
    <w:rsid w:val="00865C37"/>
    <w:rsid w:val="00865DC1"/>
    <w:rsid w:val="00865DFD"/>
    <w:rsid w:val="00865E93"/>
    <w:rsid w:val="00865EAA"/>
    <w:rsid w:val="00865EC9"/>
    <w:rsid w:val="00865FF6"/>
    <w:rsid w:val="0086602E"/>
    <w:rsid w:val="008661A5"/>
    <w:rsid w:val="008661B2"/>
    <w:rsid w:val="00866204"/>
    <w:rsid w:val="00866245"/>
    <w:rsid w:val="008662CC"/>
    <w:rsid w:val="00866329"/>
    <w:rsid w:val="0086632F"/>
    <w:rsid w:val="00866330"/>
    <w:rsid w:val="0086639F"/>
    <w:rsid w:val="0086643A"/>
    <w:rsid w:val="008664D2"/>
    <w:rsid w:val="0086653C"/>
    <w:rsid w:val="00866574"/>
    <w:rsid w:val="008665AA"/>
    <w:rsid w:val="008666D6"/>
    <w:rsid w:val="00866766"/>
    <w:rsid w:val="0086683E"/>
    <w:rsid w:val="00866894"/>
    <w:rsid w:val="00866963"/>
    <w:rsid w:val="00866998"/>
    <w:rsid w:val="00866BC4"/>
    <w:rsid w:val="00866BDF"/>
    <w:rsid w:val="00866C0A"/>
    <w:rsid w:val="00866C17"/>
    <w:rsid w:val="00866CB6"/>
    <w:rsid w:val="00866DE1"/>
    <w:rsid w:val="00866E0A"/>
    <w:rsid w:val="00866E6B"/>
    <w:rsid w:val="00866F2B"/>
    <w:rsid w:val="00866F56"/>
    <w:rsid w:val="00866FA9"/>
    <w:rsid w:val="00867054"/>
    <w:rsid w:val="0086707D"/>
    <w:rsid w:val="008670FB"/>
    <w:rsid w:val="00867199"/>
    <w:rsid w:val="0086720C"/>
    <w:rsid w:val="0086726E"/>
    <w:rsid w:val="0086729A"/>
    <w:rsid w:val="008672B4"/>
    <w:rsid w:val="008672F5"/>
    <w:rsid w:val="00867483"/>
    <w:rsid w:val="008674A3"/>
    <w:rsid w:val="00867545"/>
    <w:rsid w:val="0086754E"/>
    <w:rsid w:val="0086757D"/>
    <w:rsid w:val="0086758F"/>
    <w:rsid w:val="00867623"/>
    <w:rsid w:val="0086775B"/>
    <w:rsid w:val="008678DE"/>
    <w:rsid w:val="008678ED"/>
    <w:rsid w:val="00867926"/>
    <w:rsid w:val="00867973"/>
    <w:rsid w:val="008679F7"/>
    <w:rsid w:val="00867A5E"/>
    <w:rsid w:val="00867B01"/>
    <w:rsid w:val="00867C40"/>
    <w:rsid w:val="00867C5C"/>
    <w:rsid w:val="00867C91"/>
    <w:rsid w:val="00867CE7"/>
    <w:rsid w:val="00867CFA"/>
    <w:rsid w:val="00867D5B"/>
    <w:rsid w:val="00867DCE"/>
    <w:rsid w:val="00867DE8"/>
    <w:rsid w:val="00867E19"/>
    <w:rsid w:val="00867F1B"/>
    <w:rsid w:val="00867F35"/>
    <w:rsid w:val="00867FFA"/>
    <w:rsid w:val="0087002D"/>
    <w:rsid w:val="008700BF"/>
    <w:rsid w:val="008700DD"/>
    <w:rsid w:val="0087015C"/>
    <w:rsid w:val="00870237"/>
    <w:rsid w:val="00870356"/>
    <w:rsid w:val="008704AC"/>
    <w:rsid w:val="008704B3"/>
    <w:rsid w:val="00870582"/>
    <w:rsid w:val="008705B8"/>
    <w:rsid w:val="00870618"/>
    <w:rsid w:val="008706C9"/>
    <w:rsid w:val="008707F8"/>
    <w:rsid w:val="0087091A"/>
    <w:rsid w:val="00870940"/>
    <w:rsid w:val="00870941"/>
    <w:rsid w:val="0087096D"/>
    <w:rsid w:val="008709D9"/>
    <w:rsid w:val="00870A30"/>
    <w:rsid w:val="00870A34"/>
    <w:rsid w:val="00870A75"/>
    <w:rsid w:val="00870C42"/>
    <w:rsid w:val="00870C4E"/>
    <w:rsid w:val="00870F0B"/>
    <w:rsid w:val="00870F18"/>
    <w:rsid w:val="00870F2E"/>
    <w:rsid w:val="00870FFE"/>
    <w:rsid w:val="00871172"/>
    <w:rsid w:val="0087117D"/>
    <w:rsid w:val="008711C5"/>
    <w:rsid w:val="0087121D"/>
    <w:rsid w:val="0087126F"/>
    <w:rsid w:val="00871358"/>
    <w:rsid w:val="00871362"/>
    <w:rsid w:val="00871491"/>
    <w:rsid w:val="008714BF"/>
    <w:rsid w:val="00871592"/>
    <w:rsid w:val="008715D7"/>
    <w:rsid w:val="00871724"/>
    <w:rsid w:val="0087177B"/>
    <w:rsid w:val="00871957"/>
    <w:rsid w:val="008719AE"/>
    <w:rsid w:val="008719B5"/>
    <w:rsid w:val="008719D3"/>
    <w:rsid w:val="008719FC"/>
    <w:rsid w:val="00871A5C"/>
    <w:rsid w:val="00871B71"/>
    <w:rsid w:val="00871BC1"/>
    <w:rsid w:val="00871BD1"/>
    <w:rsid w:val="00871BED"/>
    <w:rsid w:val="00871D65"/>
    <w:rsid w:val="00871E5D"/>
    <w:rsid w:val="00871EC3"/>
    <w:rsid w:val="00871EED"/>
    <w:rsid w:val="00871F20"/>
    <w:rsid w:val="00871FB8"/>
    <w:rsid w:val="00872026"/>
    <w:rsid w:val="008720AF"/>
    <w:rsid w:val="008720C8"/>
    <w:rsid w:val="00872403"/>
    <w:rsid w:val="00872456"/>
    <w:rsid w:val="00872528"/>
    <w:rsid w:val="00872554"/>
    <w:rsid w:val="00872578"/>
    <w:rsid w:val="0087261B"/>
    <w:rsid w:val="0087264E"/>
    <w:rsid w:val="00872653"/>
    <w:rsid w:val="00872734"/>
    <w:rsid w:val="0087280F"/>
    <w:rsid w:val="00872840"/>
    <w:rsid w:val="008728D6"/>
    <w:rsid w:val="00872CCB"/>
    <w:rsid w:val="00872CD1"/>
    <w:rsid w:val="00872CD7"/>
    <w:rsid w:val="00872D16"/>
    <w:rsid w:val="00872D76"/>
    <w:rsid w:val="00872D9E"/>
    <w:rsid w:val="00872E97"/>
    <w:rsid w:val="00872EE9"/>
    <w:rsid w:val="00873063"/>
    <w:rsid w:val="008732BE"/>
    <w:rsid w:val="008732D1"/>
    <w:rsid w:val="008732D6"/>
    <w:rsid w:val="0087353D"/>
    <w:rsid w:val="008736DF"/>
    <w:rsid w:val="00873759"/>
    <w:rsid w:val="008737D4"/>
    <w:rsid w:val="008739DE"/>
    <w:rsid w:val="00873AC8"/>
    <w:rsid w:val="00873AD5"/>
    <w:rsid w:val="00873B26"/>
    <w:rsid w:val="00873C75"/>
    <w:rsid w:val="00873D2D"/>
    <w:rsid w:val="00873D3D"/>
    <w:rsid w:val="00873D3F"/>
    <w:rsid w:val="00873D6B"/>
    <w:rsid w:val="00873EB2"/>
    <w:rsid w:val="00873F4A"/>
    <w:rsid w:val="00873F61"/>
    <w:rsid w:val="00873F8C"/>
    <w:rsid w:val="00873FA0"/>
    <w:rsid w:val="0087401B"/>
    <w:rsid w:val="0087409D"/>
    <w:rsid w:val="00874145"/>
    <w:rsid w:val="0087422F"/>
    <w:rsid w:val="0087426D"/>
    <w:rsid w:val="00874277"/>
    <w:rsid w:val="00874344"/>
    <w:rsid w:val="00874353"/>
    <w:rsid w:val="00874354"/>
    <w:rsid w:val="0087448D"/>
    <w:rsid w:val="0087467B"/>
    <w:rsid w:val="00874688"/>
    <w:rsid w:val="0087469A"/>
    <w:rsid w:val="00874715"/>
    <w:rsid w:val="00874741"/>
    <w:rsid w:val="008747AD"/>
    <w:rsid w:val="008748C1"/>
    <w:rsid w:val="008748D2"/>
    <w:rsid w:val="008748E3"/>
    <w:rsid w:val="00874A1B"/>
    <w:rsid w:val="00874B09"/>
    <w:rsid w:val="00874B1F"/>
    <w:rsid w:val="00874B3F"/>
    <w:rsid w:val="00874CB3"/>
    <w:rsid w:val="00874CFE"/>
    <w:rsid w:val="00874DE5"/>
    <w:rsid w:val="00874E92"/>
    <w:rsid w:val="0087502C"/>
    <w:rsid w:val="008750E0"/>
    <w:rsid w:val="008752BF"/>
    <w:rsid w:val="00875363"/>
    <w:rsid w:val="00875452"/>
    <w:rsid w:val="0087552B"/>
    <w:rsid w:val="008756B4"/>
    <w:rsid w:val="0087573B"/>
    <w:rsid w:val="00875847"/>
    <w:rsid w:val="00875887"/>
    <w:rsid w:val="008758BA"/>
    <w:rsid w:val="008758E8"/>
    <w:rsid w:val="00875963"/>
    <w:rsid w:val="008759F7"/>
    <w:rsid w:val="00875AE6"/>
    <w:rsid w:val="00875AF4"/>
    <w:rsid w:val="00875C19"/>
    <w:rsid w:val="00875C4E"/>
    <w:rsid w:val="00875C9E"/>
    <w:rsid w:val="00875CD2"/>
    <w:rsid w:val="00875CD5"/>
    <w:rsid w:val="00875CE3"/>
    <w:rsid w:val="00875D58"/>
    <w:rsid w:val="00875D7B"/>
    <w:rsid w:val="00875E1A"/>
    <w:rsid w:val="00875F57"/>
    <w:rsid w:val="00875F73"/>
    <w:rsid w:val="0087607E"/>
    <w:rsid w:val="00876101"/>
    <w:rsid w:val="00876240"/>
    <w:rsid w:val="00876255"/>
    <w:rsid w:val="00876483"/>
    <w:rsid w:val="008764F7"/>
    <w:rsid w:val="008765B2"/>
    <w:rsid w:val="008765E2"/>
    <w:rsid w:val="00876633"/>
    <w:rsid w:val="0087689D"/>
    <w:rsid w:val="008769FB"/>
    <w:rsid w:val="00876A8D"/>
    <w:rsid w:val="00876A90"/>
    <w:rsid w:val="00876A95"/>
    <w:rsid w:val="00876ADD"/>
    <w:rsid w:val="00876BDF"/>
    <w:rsid w:val="00876C27"/>
    <w:rsid w:val="00876D7B"/>
    <w:rsid w:val="00876ECF"/>
    <w:rsid w:val="00876FDC"/>
    <w:rsid w:val="00877006"/>
    <w:rsid w:val="00877009"/>
    <w:rsid w:val="00877059"/>
    <w:rsid w:val="00877071"/>
    <w:rsid w:val="0087708E"/>
    <w:rsid w:val="0087713D"/>
    <w:rsid w:val="0087717D"/>
    <w:rsid w:val="00877287"/>
    <w:rsid w:val="00877321"/>
    <w:rsid w:val="00877364"/>
    <w:rsid w:val="008773B5"/>
    <w:rsid w:val="008773FC"/>
    <w:rsid w:val="008774D3"/>
    <w:rsid w:val="00877517"/>
    <w:rsid w:val="008775AD"/>
    <w:rsid w:val="008775E2"/>
    <w:rsid w:val="008775EB"/>
    <w:rsid w:val="00877688"/>
    <w:rsid w:val="008776D7"/>
    <w:rsid w:val="0087770B"/>
    <w:rsid w:val="0087774E"/>
    <w:rsid w:val="008777B4"/>
    <w:rsid w:val="008778B1"/>
    <w:rsid w:val="00877938"/>
    <w:rsid w:val="00877962"/>
    <w:rsid w:val="008779FB"/>
    <w:rsid w:val="00877A21"/>
    <w:rsid w:val="00877A23"/>
    <w:rsid w:val="00877A5B"/>
    <w:rsid w:val="00877A63"/>
    <w:rsid w:val="00877AC5"/>
    <w:rsid w:val="00877ADC"/>
    <w:rsid w:val="00877B6D"/>
    <w:rsid w:val="00877BF5"/>
    <w:rsid w:val="00877D4C"/>
    <w:rsid w:val="00877D93"/>
    <w:rsid w:val="00877F7C"/>
    <w:rsid w:val="00877FBC"/>
    <w:rsid w:val="00877FD1"/>
    <w:rsid w:val="0088005E"/>
    <w:rsid w:val="00880165"/>
    <w:rsid w:val="008801A2"/>
    <w:rsid w:val="008802DD"/>
    <w:rsid w:val="0088038E"/>
    <w:rsid w:val="0088050F"/>
    <w:rsid w:val="0088051D"/>
    <w:rsid w:val="0088052A"/>
    <w:rsid w:val="008805BD"/>
    <w:rsid w:val="008805BE"/>
    <w:rsid w:val="008805E7"/>
    <w:rsid w:val="00880608"/>
    <w:rsid w:val="00880864"/>
    <w:rsid w:val="00880910"/>
    <w:rsid w:val="00880A8E"/>
    <w:rsid w:val="00880C47"/>
    <w:rsid w:val="00880C7C"/>
    <w:rsid w:val="00880EA7"/>
    <w:rsid w:val="00880EB0"/>
    <w:rsid w:val="00880ED1"/>
    <w:rsid w:val="00880FCF"/>
    <w:rsid w:val="008810B5"/>
    <w:rsid w:val="008811ED"/>
    <w:rsid w:val="008812F9"/>
    <w:rsid w:val="0088139D"/>
    <w:rsid w:val="008813B2"/>
    <w:rsid w:val="008813C6"/>
    <w:rsid w:val="0088140B"/>
    <w:rsid w:val="00881413"/>
    <w:rsid w:val="008814B2"/>
    <w:rsid w:val="008814EE"/>
    <w:rsid w:val="008815A2"/>
    <w:rsid w:val="008816D2"/>
    <w:rsid w:val="008816F9"/>
    <w:rsid w:val="008818A6"/>
    <w:rsid w:val="00881936"/>
    <w:rsid w:val="00881A7A"/>
    <w:rsid w:val="00881A7C"/>
    <w:rsid w:val="00881A8A"/>
    <w:rsid w:val="00881AC5"/>
    <w:rsid w:val="00881BE6"/>
    <w:rsid w:val="00881C6B"/>
    <w:rsid w:val="00881C8F"/>
    <w:rsid w:val="00881D56"/>
    <w:rsid w:val="0088203F"/>
    <w:rsid w:val="00882154"/>
    <w:rsid w:val="0088220C"/>
    <w:rsid w:val="00882331"/>
    <w:rsid w:val="0088246D"/>
    <w:rsid w:val="00882485"/>
    <w:rsid w:val="008824D8"/>
    <w:rsid w:val="0088252B"/>
    <w:rsid w:val="00882541"/>
    <w:rsid w:val="008825DE"/>
    <w:rsid w:val="008827BB"/>
    <w:rsid w:val="00882843"/>
    <w:rsid w:val="00882884"/>
    <w:rsid w:val="008829D3"/>
    <w:rsid w:val="00882AC4"/>
    <w:rsid w:val="00882B41"/>
    <w:rsid w:val="00882B81"/>
    <w:rsid w:val="00882C90"/>
    <w:rsid w:val="00882E8E"/>
    <w:rsid w:val="00882ED2"/>
    <w:rsid w:val="00882EFE"/>
    <w:rsid w:val="00882F35"/>
    <w:rsid w:val="00882FD0"/>
    <w:rsid w:val="00883012"/>
    <w:rsid w:val="008830B2"/>
    <w:rsid w:val="008831CD"/>
    <w:rsid w:val="00883224"/>
    <w:rsid w:val="00883251"/>
    <w:rsid w:val="00883288"/>
    <w:rsid w:val="008833D9"/>
    <w:rsid w:val="00883411"/>
    <w:rsid w:val="00883416"/>
    <w:rsid w:val="008834D6"/>
    <w:rsid w:val="008835C4"/>
    <w:rsid w:val="00883802"/>
    <w:rsid w:val="00883922"/>
    <w:rsid w:val="00883959"/>
    <w:rsid w:val="008839B3"/>
    <w:rsid w:val="00883A3B"/>
    <w:rsid w:val="00883A8B"/>
    <w:rsid w:val="00883AC5"/>
    <w:rsid w:val="00883BA3"/>
    <w:rsid w:val="00883C1B"/>
    <w:rsid w:val="00883C70"/>
    <w:rsid w:val="00883D41"/>
    <w:rsid w:val="00883E7B"/>
    <w:rsid w:val="00883FD0"/>
    <w:rsid w:val="0088413F"/>
    <w:rsid w:val="0088421C"/>
    <w:rsid w:val="00884233"/>
    <w:rsid w:val="00884234"/>
    <w:rsid w:val="0088425F"/>
    <w:rsid w:val="00884351"/>
    <w:rsid w:val="0088438C"/>
    <w:rsid w:val="0088439F"/>
    <w:rsid w:val="00884544"/>
    <w:rsid w:val="0088456C"/>
    <w:rsid w:val="00884637"/>
    <w:rsid w:val="00884655"/>
    <w:rsid w:val="0088466E"/>
    <w:rsid w:val="0088470D"/>
    <w:rsid w:val="0088471D"/>
    <w:rsid w:val="008847E2"/>
    <w:rsid w:val="00884814"/>
    <w:rsid w:val="008848DB"/>
    <w:rsid w:val="008848E8"/>
    <w:rsid w:val="008848ED"/>
    <w:rsid w:val="008848F6"/>
    <w:rsid w:val="00884938"/>
    <w:rsid w:val="00884952"/>
    <w:rsid w:val="0088495D"/>
    <w:rsid w:val="00884A87"/>
    <w:rsid w:val="00884A95"/>
    <w:rsid w:val="00884ACC"/>
    <w:rsid w:val="00884AE6"/>
    <w:rsid w:val="00884B2F"/>
    <w:rsid w:val="00884B57"/>
    <w:rsid w:val="00884BDD"/>
    <w:rsid w:val="00884C25"/>
    <w:rsid w:val="00884C98"/>
    <w:rsid w:val="00884D05"/>
    <w:rsid w:val="00884D35"/>
    <w:rsid w:val="00884E08"/>
    <w:rsid w:val="00884E10"/>
    <w:rsid w:val="00885027"/>
    <w:rsid w:val="00885029"/>
    <w:rsid w:val="00885101"/>
    <w:rsid w:val="00885251"/>
    <w:rsid w:val="00885311"/>
    <w:rsid w:val="00885317"/>
    <w:rsid w:val="008854DB"/>
    <w:rsid w:val="0088560A"/>
    <w:rsid w:val="00885684"/>
    <w:rsid w:val="008856CF"/>
    <w:rsid w:val="008856EA"/>
    <w:rsid w:val="00885707"/>
    <w:rsid w:val="00885748"/>
    <w:rsid w:val="0088576B"/>
    <w:rsid w:val="0088576F"/>
    <w:rsid w:val="00885801"/>
    <w:rsid w:val="00885839"/>
    <w:rsid w:val="00885926"/>
    <w:rsid w:val="00885B24"/>
    <w:rsid w:val="00885BA1"/>
    <w:rsid w:val="00885C5C"/>
    <w:rsid w:val="00885D6C"/>
    <w:rsid w:val="00885D96"/>
    <w:rsid w:val="00885DC9"/>
    <w:rsid w:val="00885DFC"/>
    <w:rsid w:val="00885F19"/>
    <w:rsid w:val="00885FC2"/>
    <w:rsid w:val="00886031"/>
    <w:rsid w:val="0088605A"/>
    <w:rsid w:val="008860C0"/>
    <w:rsid w:val="0088611D"/>
    <w:rsid w:val="00886188"/>
    <w:rsid w:val="00886196"/>
    <w:rsid w:val="0088639E"/>
    <w:rsid w:val="00886440"/>
    <w:rsid w:val="00886518"/>
    <w:rsid w:val="00886544"/>
    <w:rsid w:val="00886693"/>
    <w:rsid w:val="0088696B"/>
    <w:rsid w:val="008869BF"/>
    <w:rsid w:val="00886B5E"/>
    <w:rsid w:val="00886BBC"/>
    <w:rsid w:val="00886BF3"/>
    <w:rsid w:val="00886C90"/>
    <w:rsid w:val="00886CD9"/>
    <w:rsid w:val="00886D74"/>
    <w:rsid w:val="00886E2E"/>
    <w:rsid w:val="00886E39"/>
    <w:rsid w:val="00886E41"/>
    <w:rsid w:val="00886F34"/>
    <w:rsid w:val="00886FA6"/>
    <w:rsid w:val="00886FDB"/>
    <w:rsid w:val="00887058"/>
    <w:rsid w:val="008870A5"/>
    <w:rsid w:val="008870B4"/>
    <w:rsid w:val="0088715C"/>
    <w:rsid w:val="0088716F"/>
    <w:rsid w:val="0088723D"/>
    <w:rsid w:val="0088731E"/>
    <w:rsid w:val="0088738A"/>
    <w:rsid w:val="00887427"/>
    <w:rsid w:val="0088742D"/>
    <w:rsid w:val="0088756F"/>
    <w:rsid w:val="00887579"/>
    <w:rsid w:val="008875A8"/>
    <w:rsid w:val="00887628"/>
    <w:rsid w:val="008876B1"/>
    <w:rsid w:val="008876DA"/>
    <w:rsid w:val="008876E5"/>
    <w:rsid w:val="008876F4"/>
    <w:rsid w:val="00887767"/>
    <w:rsid w:val="00887870"/>
    <w:rsid w:val="0088795F"/>
    <w:rsid w:val="008879FA"/>
    <w:rsid w:val="00887A40"/>
    <w:rsid w:val="00887A65"/>
    <w:rsid w:val="00887AE2"/>
    <w:rsid w:val="00887AE5"/>
    <w:rsid w:val="00887BE0"/>
    <w:rsid w:val="00887C56"/>
    <w:rsid w:val="00887C6A"/>
    <w:rsid w:val="00887C81"/>
    <w:rsid w:val="00887CFA"/>
    <w:rsid w:val="00887D27"/>
    <w:rsid w:val="00887D2E"/>
    <w:rsid w:val="00887FA6"/>
    <w:rsid w:val="00887FC0"/>
    <w:rsid w:val="0089005E"/>
    <w:rsid w:val="008900D0"/>
    <w:rsid w:val="008900F2"/>
    <w:rsid w:val="008901E1"/>
    <w:rsid w:val="0089026A"/>
    <w:rsid w:val="008902A5"/>
    <w:rsid w:val="00890309"/>
    <w:rsid w:val="00890488"/>
    <w:rsid w:val="0089050D"/>
    <w:rsid w:val="008905A7"/>
    <w:rsid w:val="00890656"/>
    <w:rsid w:val="00890670"/>
    <w:rsid w:val="00890675"/>
    <w:rsid w:val="008907F1"/>
    <w:rsid w:val="00890921"/>
    <w:rsid w:val="00890965"/>
    <w:rsid w:val="008909A7"/>
    <w:rsid w:val="00890A0A"/>
    <w:rsid w:val="00890B1B"/>
    <w:rsid w:val="00890B3F"/>
    <w:rsid w:val="00890C51"/>
    <w:rsid w:val="00890C73"/>
    <w:rsid w:val="00890C98"/>
    <w:rsid w:val="00890CA4"/>
    <w:rsid w:val="00890DB4"/>
    <w:rsid w:val="00890F2C"/>
    <w:rsid w:val="00890F85"/>
    <w:rsid w:val="00890FD2"/>
    <w:rsid w:val="0089102D"/>
    <w:rsid w:val="00891041"/>
    <w:rsid w:val="008910C2"/>
    <w:rsid w:val="0089115D"/>
    <w:rsid w:val="0089116F"/>
    <w:rsid w:val="00891287"/>
    <w:rsid w:val="008912C0"/>
    <w:rsid w:val="00891345"/>
    <w:rsid w:val="00891389"/>
    <w:rsid w:val="008913DD"/>
    <w:rsid w:val="00891471"/>
    <w:rsid w:val="00891514"/>
    <w:rsid w:val="00891615"/>
    <w:rsid w:val="0089165B"/>
    <w:rsid w:val="008916C8"/>
    <w:rsid w:val="0089170C"/>
    <w:rsid w:val="0089173E"/>
    <w:rsid w:val="008917BD"/>
    <w:rsid w:val="00891897"/>
    <w:rsid w:val="008918E4"/>
    <w:rsid w:val="008918FD"/>
    <w:rsid w:val="00891951"/>
    <w:rsid w:val="008919B1"/>
    <w:rsid w:val="00891B27"/>
    <w:rsid w:val="00891B71"/>
    <w:rsid w:val="00891B80"/>
    <w:rsid w:val="00891CF9"/>
    <w:rsid w:val="00891D3E"/>
    <w:rsid w:val="00891F92"/>
    <w:rsid w:val="00891FE7"/>
    <w:rsid w:val="00892042"/>
    <w:rsid w:val="008920BC"/>
    <w:rsid w:val="00892120"/>
    <w:rsid w:val="00892183"/>
    <w:rsid w:val="008921FB"/>
    <w:rsid w:val="00892216"/>
    <w:rsid w:val="008922B0"/>
    <w:rsid w:val="008922CA"/>
    <w:rsid w:val="008923D7"/>
    <w:rsid w:val="00892439"/>
    <w:rsid w:val="00892535"/>
    <w:rsid w:val="008926B1"/>
    <w:rsid w:val="00892799"/>
    <w:rsid w:val="0089281A"/>
    <w:rsid w:val="00892903"/>
    <w:rsid w:val="00892916"/>
    <w:rsid w:val="0089298F"/>
    <w:rsid w:val="00892991"/>
    <w:rsid w:val="008929CA"/>
    <w:rsid w:val="00892A1A"/>
    <w:rsid w:val="00892BED"/>
    <w:rsid w:val="00892C4C"/>
    <w:rsid w:val="00892CAD"/>
    <w:rsid w:val="00892CC1"/>
    <w:rsid w:val="00892D34"/>
    <w:rsid w:val="00892E69"/>
    <w:rsid w:val="00892E78"/>
    <w:rsid w:val="00892EFC"/>
    <w:rsid w:val="00892F41"/>
    <w:rsid w:val="00892F59"/>
    <w:rsid w:val="00892FEC"/>
    <w:rsid w:val="0089309A"/>
    <w:rsid w:val="00893114"/>
    <w:rsid w:val="0089311A"/>
    <w:rsid w:val="008931EC"/>
    <w:rsid w:val="008931EE"/>
    <w:rsid w:val="00893248"/>
    <w:rsid w:val="00893255"/>
    <w:rsid w:val="00893292"/>
    <w:rsid w:val="008933D3"/>
    <w:rsid w:val="0089354C"/>
    <w:rsid w:val="0089359C"/>
    <w:rsid w:val="00893601"/>
    <w:rsid w:val="00893642"/>
    <w:rsid w:val="008936AA"/>
    <w:rsid w:val="008936BF"/>
    <w:rsid w:val="008936C9"/>
    <w:rsid w:val="00893775"/>
    <w:rsid w:val="0089377E"/>
    <w:rsid w:val="008937DA"/>
    <w:rsid w:val="00893894"/>
    <w:rsid w:val="00893A25"/>
    <w:rsid w:val="00893A7B"/>
    <w:rsid w:val="00893B47"/>
    <w:rsid w:val="00893BD0"/>
    <w:rsid w:val="00893BFE"/>
    <w:rsid w:val="00893C14"/>
    <w:rsid w:val="00893C4D"/>
    <w:rsid w:val="00893C84"/>
    <w:rsid w:val="00893CAF"/>
    <w:rsid w:val="00893CCD"/>
    <w:rsid w:val="00893CDF"/>
    <w:rsid w:val="00893DC5"/>
    <w:rsid w:val="00893FB7"/>
    <w:rsid w:val="00893FF4"/>
    <w:rsid w:val="00894015"/>
    <w:rsid w:val="0089408C"/>
    <w:rsid w:val="00894099"/>
    <w:rsid w:val="00894147"/>
    <w:rsid w:val="0089415B"/>
    <w:rsid w:val="008942C9"/>
    <w:rsid w:val="008942E8"/>
    <w:rsid w:val="0089432D"/>
    <w:rsid w:val="0089438A"/>
    <w:rsid w:val="00894399"/>
    <w:rsid w:val="008943F5"/>
    <w:rsid w:val="0089449A"/>
    <w:rsid w:val="0089469C"/>
    <w:rsid w:val="00894838"/>
    <w:rsid w:val="00894848"/>
    <w:rsid w:val="0089486A"/>
    <w:rsid w:val="008948E1"/>
    <w:rsid w:val="0089493E"/>
    <w:rsid w:val="0089499F"/>
    <w:rsid w:val="008949B0"/>
    <w:rsid w:val="00894A24"/>
    <w:rsid w:val="00894A80"/>
    <w:rsid w:val="00894B44"/>
    <w:rsid w:val="00894B51"/>
    <w:rsid w:val="00894BC0"/>
    <w:rsid w:val="00894C53"/>
    <w:rsid w:val="00894CA2"/>
    <w:rsid w:val="00894D1E"/>
    <w:rsid w:val="00894D61"/>
    <w:rsid w:val="00894D9A"/>
    <w:rsid w:val="00894ED6"/>
    <w:rsid w:val="008950F2"/>
    <w:rsid w:val="008952F1"/>
    <w:rsid w:val="0089531E"/>
    <w:rsid w:val="00895337"/>
    <w:rsid w:val="00895384"/>
    <w:rsid w:val="008955CC"/>
    <w:rsid w:val="008955E6"/>
    <w:rsid w:val="00895631"/>
    <w:rsid w:val="00895713"/>
    <w:rsid w:val="0089577C"/>
    <w:rsid w:val="0089592B"/>
    <w:rsid w:val="0089593C"/>
    <w:rsid w:val="00895A5C"/>
    <w:rsid w:val="00895C40"/>
    <w:rsid w:val="00895D48"/>
    <w:rsid w:val="00895D51"/>
    <w:rsid w:val="00895D93"/>
    <w:rsid w:val="00895D95"/>
    <w:rsid w:val="00895DF1"/>
    <w:rsid w:val="00895E18"/>
    <w:rsid w:val="00895E65"/>
    <w:rsid w:val="00895F8E"/>
    <w:rsid w:val="00896127"/>
    <w:rsid w:val="008961D5"/>
    <w:rsid w:val="00896289"/>
    <w:rsid w:val="008963EA"/>
    <w:rsid w:val="00896531"/>
    <w:rsid w:val="00896549"/>
    <w:rsid w:val="0089658F"/>
    <w:rsid w:val="008965B1"/>
    <w:rsid w:val="008965C1"/>
    <w:rsid w:val="008966AD"/>
    <w:rsid w:val="00896733"/>
    <w:rsid w:val="0089685A"/>
    <w:rsid w:val="00896872"/>
    <w:rsid w:val="008968E7"/>
    <w:rsid w:val="008968F4"/>
    <w:rsid w:val="00896923"/>
    <w:rsid w:val="00896969"/>
    <w:rsid w:val="00896992"/>
    <w:rsid w:val="008969B2"/>
    <w:rsid w:val="008969E6"/>
    <w:rsid w:val="00896A7B"/>
    <w:rsid w:val="00896BBA"/>
    <w:rsid w:val="00896C11"/>
    <w:rsid w:val="00896C53"/>
    <w:rsid w:val="00896CF4"/>
    <w:rsid w:val="00896DB6"/>
    <w:rsid w:val="00896DD5"/>
    <w:rsid w:val="00896E27"/>
    <w:rsid w:val="00896F0B"/>
    <w:rsid w:val="00896F0C"/>
    <w:rsid w:val="00897004"/>
    <w:rsid w:val="00897133"/>
    <w:rsid w:val="008971A5"/>
    <w:rsid w:val="00897256"/>
    <w:rsid w:val="00897348"/>
    <w:rsid w:val="008973E6"/>
    <w:rsid w:val="0089741E"/>
    <w:rsid w:val="0089743B"/>
    <w:rsid w:val="00897636"/>
    <w:rsid w:val="0089764C"/>
    <w:rsid w:val="008976F9"/>
    <w:rsid w:val="00897705"/>
    <w:rsid w:val="0089771B"/>
    <w:rsid w:val="0089786A"/>
    <w:rsid w:val="008978D7"/>
    <w:rsid w:val="0089797A"/>
    <w:rsid w:val="00897AA8"/>
    <w:rsid w:val="00897B6C"/>
    <w:rsid w:val="00897C39"/>
    <w:rsid w:val="00897D69"/>
    <w:rsid w:val="00897DF0"/>
    <w:rsid w:val="00897E9F"/>
    <w:rsid w:val="008A0022"/>
    <w:rsid w:val="008A012E"/>
    <w:rsid w:val="008A017A"/>
    <w:rsid w:val="008A03A3"/>
    <w:rsid w:val="008A0403"/>
    <w:rsid w:val="008A0461"/>
    <w:rsid w:val="008A0510"/>
    <w:rsid w:val="008A064B"/>
    <w:rsid w:val="008A067C"/>
    <w:rsid w:val="008A074B"/>
    <w:rsid w:val="008A0777"/>
    <w:rsid w:val="008A0938"/>
    <w:rsid w:val="008A0966"/>
    <w:rsid w:val="008A0990"/>
    <w:rsid w:val="008A09BB"/>
    <w:rsid w:val="008A09F7"/>
    <w:rsid w:val="008A0A2E"/>
    <w:rsid w:val="008A0A3A"/>
    <w:rsid w:val="008A0CE0"/>
    <w:rsid w:val="008A0DEC"/>
    <w:rsid w:val="008A0F02"/>
    <w:rsid w:val="008A0F7A"/>
    <w:rsid w:val="008A0F83"/>
    <w:rsid w:val="008A10AD"/>
    <w:rsid w:val="008A113F"/>
    <w:rsid w:val="008A12CE"/>
    <w:rsid w:val="008A133A"/>
    <w:rsid w:val="008A133D"/>
    <w:rsid w:val="008A138C"/>
    <w:rsid w:val="008A13E5"/>
    <w:rsid w:val="008A14AF"/>
    <w:rsid w:val="008A159D"/>
    <w:rsid w:val="008A159F"/>
    <w:rsid w:val="008A1953"/>
    <w:rsid w:val="008A19C4"/>
    <w:rsid w:val="008A1A9A"/>
    <w:rsid w:val="008A1B12"/>
    <w:rsid w:val="008A1B8B"/>
    <w:rsid w:val="008A1B96"/>
    <w:rsid w:val="008A1BFF"/>
    <w:rsid w:val="008A1C62"/>
    <w:rsid w:val="008A1C9A"/>
    <w:rsid w:val="008A1E8C"/>
    <w:rsid w:val="008A1F7D"/>
    <w:rsid w:val="008A1FE5"/>
    <w:rsid w:val="008A20CA"/>
    <w:rsid w:val="008A20E5"/>
    <w:rsid w:val="008A20FC"/>
    <w:rsid w:val="008A2105"/>
    <w:rsid w:val="008A221A"/>
    <w:rsid w:val="008A22A2"/>
    <w:rsid w:val="008A2348"/>
    <w:rsid w:val="008A247A"/>
    <w:rsid w:val="008A24E8"/>
    <w:rsid w:val="008A2631"/>
    <w:rsid w:val="008A26BD"/>
    <w:rsid w:val="008A2704"/>
    <w:rsid w:val="008A2817"/>
    <w:rsid w:val="008A2834"/>
    <w:rsid w:val="008A28D6"/>
    <w:rsid w:val="008A299E"/>
    <w:rsid w:val="008A2ADC"/>
    <w:rsid w:val="008A2BAF"/>
    <w:rsid w:val="008A2BDF"/>
    <w:rsid w:val="008A2C0D"/>
    <w:rsid w:val="008A2C14"/>
    <w:rsid w:val="008A2C90"/>
    <w:rsid w:val="008A2CF3"/>
    <w:rsid w:val="008A2D3D"/>
    <w:rsid w:val="008A2DA6"/>
    <w:rsid w:val="008A2EFB"/>
    <w:rsid w:val="008A2F62"/>
    <w:rsid w:val="008A2FE2"/>
    <w:rsid w:val="008A3011"/>
    <w:rsid w:val="008A30CC"/>
    <w:rsid w:val="008A312E"/>
    <w:rsid w:val="008A315A"/>
    <w:rsid w:val="008A3362"/>
    <w:rsid w:val="008A33AB"/>
    <w:rsid w:val="008A33BE"/>
    <w:rsid w:val="008A346E"/>
    <w:rsid w:val="008A34BD"/>
    <w:rsid w:val="008A34E9"/>
    <w:rsid w:val="008A3514"/>
    <w:rsid w:val="008A351C"/>
    <w:rsid w:val="008A3647"/>
    <w:rsid w:val="008A36BA"/>
    <w:rsid w:val="008A3781"/>
    <w:rsid w:val="008A393F"/>
    <w:rsid w:val="008A39B3"/>
    <w:rsid w:val="008A3AC4"/>
    <w:rsid w:val="008A3AE4"/>
    <w:rsid w:val="008A3AEE"/>
    <w:rsid w:val="008A3AFD"/>
    <w:rsid w:val="008A3B55"/>
    <w:rsid w:val="008A3BA0"/>
    <w:rsid w:val="008A3C74"/>
    <w:rsid w:val="008A3DCE"/>
    <w:rsid w:val="008A3FAA"/>
    <w:rsid w:val="008A3FFC"/>
    <w:rsid w:val="008A40C9"/>
    <w:rsid w:val="008A41B8"/>
    <w:rsid w:val="008A41C5"/>
    <w:rsid w:val="008A41E6"/>
    <w:rsid w:val="008A4297"/>
    <w:rsid w:val="008A433D"/>
    <w:rsid w:val="008A43C0"/>
    <w:rsid w:val="008A44BC"/>
    <w:rsid w:val="008A4514"/>
    <w:rsid w:val="008A452E"/>
    <w:rsid w:val="008A45F1"/>
    <w:rsid w:val="008A4600"/>
    <w:rsid w:val="008A4608"/>
    <w:rsid w:val="008A4612"/>
    <w:rsid w:val="008A4780"/>
    <w:rsid w:val="008A48B1"/>
    <w:rsid w:val="008A49A1"/>
    <w:rsid w:val="008A49D8"/>
    <w:rsid w:val="008A4A9D"/>
    <w:rsid w:val="008A4B8F"/>
    <w:rsid w:val="008A4B9D"/>
    <w:rsid w:val="008A4C8F"/>
    <w:rsid w:val="008A4D36"/>
    <w:rsid w:val="008A4D60"/>
    <w:rsid w:val="008A4E30"/>
    <w:rsid w:val="008A4E60"/>
    <w:rsid w:val="008A4E7D"/>
    <w:rsid w:val="008A4F1F"/>
    <w:rsid w:val="008A4F33"/>
    <w:rsid w:val="008A4FDC"/>
    <w:rsid w:val="008A5185"/>
    <w:rsid w:val="008A5211"/>
    <w:rsid w:val="008A5248"/>
    <w:rsid w:val="008A541A"/>
    <w:rsid w:val="008A5652"/>
    <w:rsid w:val="008A56B8"/>
    <w:rsid w:val="008A56FA"/>
    <w:rsid w:val="008A574E"/>
    <w:rsid w:val="008A5784"/>
    <w:rsid w:val="008A57B9"/>
    <w:rsid w:val="008A5867"/>
    <w:rsid w:val="008A5967"/>
    <w:rsid w:val="008A59AB"/>
    <w:rsid w:val="008A59B7"/>
    <w:rsid w:val="008A5A13"/>
    <w:rsid w:val="008A5A15"/>
    <w:rsid w:val="008A5BF6"/>
    <w:rsid w:val="008A5D59"/>
    <w:rsid w:val="008A5DFA"/>
    <w:rsid w:val="008A5F79"/>
    <w:rsid w:val="008A5F88"/>
    <w:rsid w:val="008A5FE6"/>
    <w:rsid w:val="008A62AE"/>
    <w:rsid w:val="008A634A"/>
    <w:rsid w:val="008A635F"/>
    <w:rsid w:val="008A6371"/>
    <w:rsid w:val="008A6376"/>
    <w:rsid w:val="008A6389"/>
    <w:rsid w:val="008A63B0"/>
    <w:rsid w:val="008A640C"/>
    <w:rsid w:val="008A6418"/>
    <w:rsid w:val="008A6521"/>
    <w:rsid w:val="008A65B2"/>
    <w:rsid w:val="008A6603"/>
    <w:rsid w:val="008A66B0"/>
    <w:rsid w:val="008A66D6"/>
    <w:rsid w:val="008A66FC"/>
    <w:rsid w:val="008A66FE"/>
    <w:rsid w:val="008A6822"/>
    <w:rsid w:val="008A6831"/>
    <w:rsid w:val="008A68AA"/>
    <w:rsid w:val="008A6999"/>
    <w:rsid w:val="008A69D3"/>
    <w:rsid w:val="008A6A1F"/>
    <w:rsid w:val="008A6BDA"/>
    <w:rsid w:val="008A6BF2"/>
    <w:rsid w:val="008A6CB7"/>
    <w:rsid w:val="008A6CE2"/>
    <w:rsid w:val="008A6E21"/>
    <w:rsid w:val="008A7078"/>
    <w:rsid w:val="008A70D4"/>
    <w:rsid w:val="008A70E7"/>
    <w:rsid w:val="008A715D"/>
    <w:rsid w:val="008A7202"/>
    <w:rsid w:val="008A72B7"/>
    <w:rsid w:val="008A72E0"/>
    <w:rsid w:val="008A73E8"/>
    <w:rsid w:val="008A7591"/>
    <w:rsid w:val="008A763E"/>
    <w:rsid w:val="008A7715"/>
    <w:rsid w:val="008A78B8"/>
    <w:rsid w:val="008A78CF"/>
    <w:rsid w:val="008A7923"/>
    <w:rsid w:val="008A795E"/>
    <w:rsid w:val="008A7A20"/>
    <w:rsid w:val="008A7B44"/>
    <w:rsid w:val="008A7B76"/>
    <w:rsid w:val="008A7CD7"/>
    <w:rsid w:val="008A7D72"/>
    <w:rsid w:val="008A7DB4"/>
    <w:rsid w:val="008A7E4D"/>
    <w:rsid w:val="008A7E7E"/>
    <w:rsid w:val="008A7ED1"/>
    <w:rsid w:val="008A7EDD"/>
    <w:rsid w:val="008A7F05"/>
    <w:rsid w:val="008A7FA3"/>
    <w:rsid w:val="008A7FFE"/>
    <w:rsid w:val="008B00C9"/>
    <w:rsid w:val="008B013E"/>
    <w:rsid w:val="008B0156"/>
    <w:rsid w:val="008B02B5"/>
    <w:rsid w:val="008B0428"/>
    <w:rsid w:val="008B0482"/>
    <w:rsid w:val="008B04E5"/>
    <w:rsid w:val="008B065C"/>
    <w:rsid w:val="008B0711"/>
    <w:rsid w:val="008B077C"/>
    <w:rsid w:val="008B07ED"/>
    <w:rsid w:val="008B09C3"/>
    <w:rsid w:val="008B0A6C"/>
    <w:rsid w:val="008B0A70"/>
    <w:rsid w:val="008B0B3E"/>
    <w:rsid w:val="008B0B74"/>
    <w:rsid w:val="008B0BC2"/>
    <w:rsid w:val="008B0BDB"/>
    <w:rsid w:val="008B0BE4"/>
    <w:rsid w:val="008B0C8B"/>
    <w:rsid w:val="008B0D14"/>
    <w:rsid w:val="008B0D5D"/>
    <w:rsid w:val="008B0DC6"/>
    <w:rsid w:val="008B0E83"/>
    <w:rsid w:val="008B1108"/>
    <w:rsid w:val="008B1162"/>
    <w:rsid w:val="008B11C2"/>
    <w:rsid w:val="008B12A7"/>
    <w:rsid w:val="008B12E0"/>
    <w:rsid w:val="008B134B"/>
    <w:rsid w:val="008B1431"/>
    <w:rsid w:val="008B147A"/>
    <w:rsid w:val="008B1501"/>
    <w:rsid w:val="008B1575"/>
    <w:rsid w:val="008B1617"/>
    <w:rsid w:val="008B1664"/>
    <w:rsid w:val="008B16AA"/>
    <w:rsid w:val="008B16F5"/>
    <w:rsid w:val="008B1753"/>
    <w:rsid w:val="008B1939"/>
    <w:rsid w:val="008B194E"/>
    <w:rsid w:val="008B19DE"/>
    <w:rsid w:val="008B1A1E"/>
    <w:rsid w:val="008B1A6A"/>
    <w:rsid w:val="008B1AE3"/>
    <w:rsid w:val="008B1B66"/>
    <w:rsid w:val="008B1C32"/>
    <w:rsid w:val="008B1C35"/>
    <w:rsid w:val="008B1CA7"/>
    <w:rsid w:val="008B1CD6"/>
    <w:rsid w:val="008B1E88"/>
    <w:rsid w:val="008B1E99"/>
    <w:rsid w:val="008B1EA0"/>
    <w:rsid w:val="008B1F00"/>
    <w:rsid w:val="008B1F27"/>
    <w:rsid w:val="008B1F2A"/>
    <w:rsid w:val="008B1F2F"/>
    <w:rsid w:val="008B1F84"/>
    <w:rsid w:val="008B1FC6"/>
    <w:rsid w:val="008B20CB"/>
    <w:rsid w:val="008B20E3"/>
    <w:rsid w:val="008B20ED"/>
    <w:rsid w:val="008B21E1"/>
    <w:rsid w:val="008B243D"/>
    <w:rsid w:val="008B246D"/>
    <w:rsid w:val="008B2621"/>
    <w:rsid w:val="008B2734"/>
    <w:rsid w:val="008B2948"/>
    <w:rsid w:val="008B29B6"/>
    <w:rsid w:val="008B2A62"/>
    <w:rsid w:val="008B2B3D"/>
    <w:rsid w:val="008B2B60"/>
    <w:rsid w:val="008B2C15"/>
    <w:rsid w:val="008B2C36"/>
    <w:rsid w:val="008B2C78"/>
    <w:rsid w:val="008B2C86"/>
    <w:rsid w:val="008B2D05"/>
    <w:rsid w:val="008B2DD1"/>
    <w:rsid w:val="008B2DE5"/>
    <w:rsid w:val="008B2FE7"/>
    <w:rsid w:val="008B300D"/>
    <w:rsid w:val="008B3030"/>
    <w:rsid w:val="008B3054"/>
    <w:rsid w:val="008B30E6"/>
    <w:rsid w:val="008B3147"/>
    <w:rsid w:val="008B3191"/>
    <w:rsid w:val="008B3239"/>
    <w:rsid w:val="008B327E"/>
    <w:rsid w:val="008B333C"/>
    <w:rsid w:val="008B33AE"/>
    <w:rsid w:val="008B33E3"/>
    <w:rsid w:val="008B34D3"/>
    <w:rsid w:val="008B350B"/>
    <w:rsid w:val="008B3555"/>
    <w:rsid w:val="008B35ED"/>
    <w:rsid w:val="008B36E5"/>
    <w:rsid w:val="008B3746"/>
    <w:rsid w:val="008B374A"/>
    <w:rsid w:val="008B3751"/>
    <w:rsid w:val="008B3B35"/>
    <w:rsid w:val="008B3B46"/>
    <w:rsid w:val="008B3B82"/>
    <w:rsid w:val="008B3BCB"/>
    <w:rsid w:val="008B3CF0"/>
    <w:rsid w:val="008B3D51"/>
    <w:rsid w:val="008B3E87"/>
    <w:rsid w:val="008B3EE2"/>
    <w:rsid w:val="008B3F22"/>
    <w:rsid w:val="008B3F63"/>
    <w:rsid w:val="008B40C1"/>
    <w:rsid w:val="008B40D6"/>
    <w:rsid w:val="008B40E8"/>
    <w:rsid w:val="008B4173"/>
    <w:rsid w:val="008B41F4"/>
    <w:rsid w:val="008B4310"/>
    <w:rsid w:val="008B434B"/>
    <w:rsid w:val="008B43C7"/>
    <w:rsid w:val="008B4439"/>
    <w:rsid w:val="008B4453"/>
    <w:rsid w:val="008B4479"/>
    <w:rsid w:val="008B44A0"/>
    <w:rsid w:val="008B44E8"/>
    <w:rsid w:val="008B45A6"/>
    <w:rsid w:val="008B45FC"/>
    <w:rsid w:val="008B4621"/>
    <w:rsid w:val="008B471C"/>
    <w:rsid w:val="008B472B"/>
    <w:rsid w:val="008B47B5"/>
    <w:rsid w:val="008B47F0"/>
    <w:rsid w:val="008B4804"/>
    <w:rsid w:val="008B486C"/>
    <w:rsid w:val="008B4875"/>
    <w:rsid w:val="008B48DE"/>
    <w:rsid w:val="008B493A"/>
    <w:rsid w:val="008B4945"/>
    <w:rsid w:val="008B4973"/>
    <w:rsid w:val="008B497B"/>
    <w:rsid w:val="008B49C6"/>
    <w:rsid w:val="008B4BA7"/>
    <w:rsid w:val="008B4BF5"/>
    <w:rsid w:val="008B4BFA"/>
    <w:rsid w:val="008B4DEE"/>
    <w:rsid w:val="008B4E11"/>
    <w:rsid w:val="008B4E73"/>
    <w:rsid w:val="008B4ECD"/>
    <w:rsid w:val="008B4F23"/>
    <w:rsid w:val="008B5010"/>
    <w:rsid w:val="008B5039"/>
    <w:rsid w:val="008B5095"/>
    <w:rsid w:val="008B5115"/>
    <w:rsid w:val="008B535C"/>
    <w:rsid w:val="008B5655"/>
    <w:rsid w:val="008B57BF"/>
    <w:rsid w:val="008B5876"/>
    <w:rsid w:val="008B58EB"/>
    <w:rsid w:val="008B5906"/>
    <w:rsid w:val="008B5945"/>
    <w:rsid w:val="008B59E4"/>
    <w:rsid w:val="008B5AF6"/>
    <w:rsid w:val="008B5BE9"/>
    <w:rsid w:val="008B5C14"/>
    <w:rsid w:val="008B5C49"/>
    <w:rsid w:val="008B5D0C"/>
    <w:rsid w:val="008B5D6B"/>
    <w:rsid w:val="008B5DDB"/>
    <w:rsid w:val="008B5EF4"/>
    <w:rsid w:val="008B604C"/>
    <w:rsid w:val="008B6153"/>
    <w:rsid w:val="008B619A"/>
    <w:rsid w:val="008B6200"/>
    <w:rsid w:val="008B6207"/>
    <w:rsid w:val="008B6258"/>
    <w:rsid w:val="008B6278"/>
    <w:rsid w:val="008B62BA"/>
    <w:rsid w:val="008B62CA"/>
    <w:rsid w:val="008B62E6"/>
    <w:rsid w:val="008B64FC"/>
    <w:rsid w:val="008B654D"/>
    <w:rsid w:val="008B662E"/>
    <w:rsid w:val="008B67CF"/>
    <w:rsid w:val="008B68D9"/>
    <w:rsid w:val="008B68E6"/>
    <w:rsid w:val="008B68E7"/>
    <w:rsid w:val="008B6993"/>
    <w:rsid w:val="008B6A49"/>
    <w:rsid w:val="008B6B0E"/>
    <w:rsid w:val="008B6B5D"/>
    <w:rsid w:val="008B6BC5"/>
    <w:rsid w:val="008B6BCE"/>
    <w:rsid w:val="008B6C18"/>
    <w:rsid w:val="008B6D10"/>
    <w:rsid w:val="008B6D6E"/>
    <w:rsid w:val="008B6DC1"/>
    <w:rsid w:val="008B6E77"/>
    <w:rsid w:val="008B6F0E"/>
    <w:rsid w:val="008B700D"/>
    <w:rsid w:val="008B70C2"/>
    <w:rsid w:val="008B70EB"/>
    <w:rsid w:val="008B7163"/>
    <w:rsid w:val="008B7164"/>
    <w:rsid w:val="008B716D"/>
    <w:rsid w:val="008B7216"/>
    <w:rsid w:val="008B722A"/>
    <w:rsid w:val="008B72AD"/>
    <w:rsid w:val="008B739F"/>
    <w:rsid w:val="008B73BC"/>
    <w:rsid w:val="008B7489"/>
    <w:rsid w:val="008B750F"/>
    <w:rsid w:val="008B754D"/>
    <w:rsid w:val="008B75D5"/>
    <w:rsid w:val="008B7644"/>
    <w:rsid w:val="008B76A7"/>
    <w:rsid w:val="008B76E3"/>
    <w:rsid w:val="008B7842"/>
    <w:rsid w:val="008B78A3"/>
    <w:rsid w:val="008B79A8"/>
    <w:rsid w:val="008B7BF6"/>
    <w:rsid w:val="008B7BFE"/>
    <w:rsid w:val="008B7CB7"/>
    <w:rsid w:val="008B7D07"/>
    <w:rsid w:val="008B7D61"/>
    <w:rsid w:val="008B7DF5"/>
    <w:rsid w:val="008B7E20"/>
    <w:rsid w:val="008B7E58"/>
    <w:rsid w:val="008B7EBB"/>
    <w:rsid w:val="008B7FE1"/>
    <w:rsid w:val="008C0023"/>
    <w:rsid w:val="008C0059"/>
    <w:rsid w:val="008C014C"/>
    <w:rsid w:val="008C02F1"/>
    <w:rsid w:val="008C0331"/>
    <w:rsid w:val="008C035D"/>
    <w:rsid w:val="008C03A1"/>
    <w:rsid w:val="008C04D1"/>
    <w:rsid w:val="008C05D7"/>
    <w:rsid w:val="008C065C"/>
    <w:rsid w:val="008C06C3"/>
    <w:rsid w:val="008C0737"/>
    <w:rsid w:val="008C0861"/>
    <w:rsid w:val="008C0A09"/>
    <w:rsid w:val="008C0B27"/>
    <w:rsid w:val="008C0C42"/>
    <w:rsid w:val="008C0C54"/>
    <w:rsid w:val="008C0C71"/>
    <w:rsid w:val="008C0CF0"/>
    <w:rsid w:val="008C0DE1"/>
    <w:rsid w:val="008C0F34"/>
    <w:rsid w:val="008C1044"/>
    <w:rsid w:val="008C1068"/>
    <w:rsid w:val="008C1078"/>
    <w:rsid w:val="008C1146"/>
    <w:rsid w:val="008C12A9"/>
    <w:rsid w:val="008C1348"/>
    <w:rsid w:val="008C13D9"/>
    <w:rsid w:val="008C143C"/>
    <w:rsid w:val="008C157C"/>
    <w:rsid w:val="008C15BE"/>
    <w:rsid w:val="008C15CB"/>
    <w:rsid w:val="008C1662"/>
    <w:rsid w:val="008C16CE"/>
    <w:rsid w:val="008C16DA"/>
    <w:rsid w:val="008C1725"/>
    <w:rsid w:val="008C1727"/>
    <w:rsid w:val="008C17AB"/>
    <w:rsid w:val="008C18CE"/>
    <w:rsid w:val="008C1943"/>
    <w:rsid w:val="008C1A16"/>
    <w:rsid w:val="008C1A9B"/>
    <w:rsid w:val="008C1B1A"/>
    <w:rsid w:val="008C1B54"/>
    <w:rsid w:val="008C1BA3"/>
    <w:rsid w:val="008C1BDF"/>
    <w:rsid w:val="008C1C4A"/>
    <w:rsid w:val="008C1D12"/>
    <w:rsid w:val="008C1D6A"/>
    <w:rsid w:val="008C1D74"/>
    <w:rsid w:val="008C1D80"/>
    <w:rsid w:val="008C1DA5"/>
    <w:rsid w:val="008C1DA6"/>
    <w:rsid w:val="008C1E12"/>
    <w:rsid w:val="008C1E5B"/>
    <w:rsid w:val="008C1F67"/>
    <w:rsid w:val="008C1F9A"/>
    <w:rsid w:val="008C1FA7"/>
    <w:rsid w:val="008C205A"/>
    <w:rsid w:val="008C215D"/>
    <w:rsid w:val="008C21D2"/>
    <w:rsid w:val="008C2211"/>
    <w:rsid w:val="008C2316"/>
    <w:rsid w:val="008C2349"/>
    <w:rsid w:val="008C24F0"/>
    <w:rsid w:val="008C2549"/>
    <w:rsid w:val="008C255C"/>
    <w:rsid w:val="008C265C"/>
    <w:rsid w:val="008C266B"/>
    <w:rsid w:val="008C270E"/>
    <w:rsid w:val="008C277D"/>
    <w:rsid w:val="008C27A3"/>
    <w:rsid w:val="008C27AF"/>
    <w:rsid w:val="008C2813"/>
    <w:rsid w:val="008C29B1"/>
    <w:rsid w:val="008C2AA3"/>
    <w:rsid w:val="008C2B0C"/>
    <w:rsid w:val="008C2B34"/>
    <w:rsid w:val="008C2CCD"/>
    <w:rsid w:val="008C2E35"/>
    <w:rsid w:val="008C2EC8"/>
    <w:rsid w:val="008C2F1F"/>
    <w:rsid w:val="008C2FFA"/>
    <w:rsid w:val="008C3018"/>
    <w:rsid w:val="008C3048"/>
    <w:rsid w:val="008C3063"/>
    <w:rsid w:val="008C30EB"/>
    <w:rsid w:val="008C310A"/>
    <w:rsid w:val="008C31FF"/>
    <w:rsid w:val="008C323E"/>
    <w:rsid w:val="008C32A4"/>
    <w:rsid w:val="008C32B0"/>
    <w:rsid w:val="008C32D3"/>
    <w:rsid w:val="008C32D5"/>
    <w:rsid w:val="008C3722"/>
    <w:rsid w:val="008C3787"/>
    <w:rsid w:val="008C3AE1"/>
    <w:rsid w:val="008C3AF1"/>
    <w:rsid w:val="008C3B06"/>
    <w:rsid w:val="008C3B36"/>
    <w:rsid w:val="008C3B3B"/>
    <w:rsid w:val="008C3B49"/>
    <w:rsid w:val="008C3CBE"/>
    <w:rsid w:val="008C3E12"/>
    <w:rsid w:val="008C3E26"/>
    <w:rsid w:val="008C3EB6"/>
    <w:rsid w:val="008C3F7E"/>
    <w:rsid w:val="008C3F94"/>
    <w:rsid w:val="008C41B9"/>
    <w:rsid w:val="008C41BD"/>
    <w:rsid w:val="008C434D"/>
    <w:rsid w:val="008C43F6"/>
    <w:rsid w:val="008C46E3"/>
    <w:rsid w:val="008C4738"/>
    <w:rsid w:val="008C47ED"/>
    <w:rsid w:val="008C4889"/>
    <w:rsid w:val="008C48A5"/>
    <w:rsid w:val="008C4963"/>
    <w:rsid w:val="008C4A25"/>
    <w:rsid w:val="008C4A4F"/>
    <w:rsid w:val="008C4E0A"/>
    <w:rsid w:val="008C4E7F"/>
    <w:rsid w:val="008C4F2A"/>
    <w:rsid w:val="008C4F84"/>
    <w:rsid w:val="008C4F8F"/>
    <w:rsid w:val="008C4FC2"/>
    <w:rsid w:val="008C50CB"/>
    <w:rsid w:val="008C5107"/>
    <w:rsid w:val="008C5179"/>
    <w:rsid w:val="008C5275"/>
    <w:rsid w:val="008C52BF"/>
    <w:rsid w:val="008C53AF"/>
    <w:rsid w:val="008C53D6"/>
    <w:rsid w:val="008C54A4"/>
    <w:rsid w:val="008C5520"/>
    <w:rsid w:val="008C55C6"/>
    <w:rsid w:val="008C562F"/>
    <w:rsid w:val="008C567E"/>
    <w:rsid w:val="008C56E1"/>
    <w:rsid w:val="008C58C8"/>
    <w:rsid w:val="008C58E1"/>
    <w:rsid w:val="008C5AF7"/>
    <w:rsid w:val="008C5BEA"/>
    <w:rsid w:val="008C5CE7"/>
    <w:rsid w:val="008C5D0A"/>
    <w:rsid w:val="008C5D12"/>
    <w:rsid w:val="008C5E03"/>
    <w:rsid w:val="008C5E59"/>
    <w:rsid w:val="008C5E61"/>
    <w:rsid w:val="008C5EF2"/>
    <w:rsid w:val="008C5FC3"/>
    <w:rsid w:val="008C6067"/>
    <w:rsid w:val="008C60A1"/>
    <w:rsid w:val="008C618C"/>
    <w:rsid w:val="008C61BE"/>
    <w:rsid w:val="008C62FB"/>
    <w:rsid w:val="008C6312"/>
    <w:rsid w:val="008C63BE"/>
    <w:rsid w:val="008C6570"/>
    <w:rsid w:val="008C659F"/>
    <w:rsid w:val="008C6670"/>
    <w:rsid w:val="008C66A3"/>
    <w:rsid w:val="008C66F9"/>
    <w:rsid w:val="008C670F"/>
    <w:rsid w:val="008C68A8"/>
    <w:rsid w:val="008C68B5"/>
    <w:rsid w:val="008C68D8"/>
    <w:rsid w:val="008C69D3"/>
    <w:rsid w:val="008C69E8"/>
    <w:rsid w:val="008C6A36"/>
    <w:rsid w:val="008C6A79"/>
    <w:rsid w:val="008C6AB7"/>
    <w:rsid w:val="008C6AC9"/>
    <w:rsid w:val="008C6BA8"/>
    <w:rsid w:val="008C6BB0"/>
    <w:rsid w:val="008C6C31"/>
    <w:rsid w:val="008C6C58"/>
    <w:rsid w:val="008C6CA3"/>
    <w:rsid w:val="008C6D06"/>
    <w:rsid w:val="008C6D85"/>
    <w:rsid w:val="008C6E81"/>
    <w:rsid w:val="008C6EA0"/>
    <w:rsid w:val="008C7012"/>
    <w:rsid w:val="008C7069"/>
    <w:rsid w:val="008C7190"/>
    <w:rsid w:val="008C71CC"/>
    <w:rsid w:val="008C71D6"/>
    <w:rsid w:val="008C71F7"/>
    <w:rsid w:val="008C72B3"/>
    <w:rsid w:val="008C73E5"/>
    <w:rsid w:val="008C7456"/>
    <w:rsid w:val="008C74C2"/>
    <w:rsid w:val="008C74EF"/>
    <w:rsid w:val="008C7664"/>
    <w:rsid w:val="008C768A"/>
    <w:rsid w:val="008C784E"/>
    <w:rsid w:val="008C78ED"/>
    <w:rsid w:val="008C7A4A"/>
    <w:rsid w:val="008C7B64"/>
    <w:rsid w:val="008C7C76"/>
    <w:rsid w:val="008C7C7A"/>
    <w:rsid w:val="008C7CB0"/>
    <w:rsid w:val="008C7DDB"/>
    <w:rsid w:val="008C7ED5"/>
    <w:rsid w:val="008C7EE2"/>
    <w:rsid w:val="008C7F2C"/>
    <w:rsid w:val="008C7F67"/>
    <w:rsid w:val="008D0076"/>
    <w:rsid w:val="008D01EC"/>
    <w:rsid w:val="008D0248"/>
    <w:rsid w:val="008D02E4"/>
    <w:rsid w:val="008D038D"/>
    <w:rsid w:val="008D03E0"/>
    <w:rsid w:val="008D03F9"/>
    <w:rsid w:val="008D0422"/>
    <w:rsid w:val="008D04E4"/>
    <w:rsid w:val="008D05FA"/>
    <w:rsid w:val="008D0732"/>
    <w:rsid w:val="008D0822"/>
    <w:rsid w:val="008D08A3"/>
    <w:rsid w:val="008D08FE"/>
    <w:rsid w:val="008D0A72"/>
    <w:rsid w:val="008D0C97"/>
    <w:rsid w:val="008D0D3C"/>
    <w:rsid w:val="008D0D4E"/>
    <w:rsid w:val="008D0DAA"/>
    <w:rsid w:val="008D0E17"/>
    <w:rsid w:val="008D0E64"/>
    <w:rsid w:val="008D0E86"/>
    <w:rsid w:val="008D0ECE"/>
    <w:rsid w:val="008D1114"/>
    <w:rsid w:val="008D1138"/>
    <w:rsid w:val="008D117B"/>
    <w:rsid w:val="008D12B0"/>
    <w:rsid w:val="008D12CF"/>
    <w:rsid w:val="008D1427"/>
    <w:rsid w:val="008D152E"/>
    <w:rsid w:val="008D15B7"/>
    <w:rsid w:val="008D1647"/>
    <w:rsid w:val="008D17F6"/>
    <w:rsid w:val="008D1802"/>
    <w:rsid w:val="008D1824"/>
    <w:rsid w:val="008D1867"/>
    <w:rsid w:val="008D186D"/>
    <w:rsid w:val="008D1955"/>
    <w:rsid w:val="008D1A45"/>
    <w:rsid w:val="008D1AD5"/>
    <w:rsid w:val="008D1BBD"/>
    <w:rsid w:val="008D1C46"/>
    <w:rsid w:val="008D1CEF"/>
    <w:rsid w:val="008D1D88"/>
    <w:rsid w:val="008D1E68"/>
    <w:rsid w:val="008D1F29"/>
    <w:rsid w:val="008D1FB9"/>
    <w:rsid w:val="008D2051"/>
    <w:rsid w:val="008D20FE"/>
    <w:rsid w:val="008D2158"/>
    <w:rsid w:val="008D2259"/>
    <w:rsid w:val="008D22B1"/>
    <w:rsid w:val="008D236E"/>
    <w:rsid w:val="008D2496"/>
    <w:rsid w:val="008D24E1"/>
    <w:rsid w:val="008D2586"/>
    <w:rsid w:val="008D25C2"/>
    <w:rsid w:val="008D25EA"/>
    <w:rsid w:val="008D2754"/>
    <w:rsid w:val="008D2868"/>
    <w:rsid w:val="008D292F"/>
    <w:rsid w:val="008D2944"/>
    <w:rsid w:val="008D2986"/>
    <w:rsid w:val="008D2AAD"/>
    <w:rsid w:val="008D2B2A"/>
    <w:rsid w:val="008D2B7A"/>
    <w:rsid w:val="008D2BAD"/>
    <w:rsid w:val="008D2C61"/>
    <w:rsid w:val="008D2C78"/>
    <w:rsid w:val="008D2C96"/>
    <w:rsid w:val="008D2D31"/>
    <w:rsid w:val="008D2DFF"/>
    <w:rsid w:val="008D2E80"/>
    <w:rsid w:val="008D2FD2"/>
    <w:rsid w:val="008D305A"/>
    <w:rsid w:val="008D31EC"/>
    <w:rsid w:val="008D3234"/>
    <w:rsid w:val="008D3264"/>
    <w:rsid w:val="008D331B"/>
    <w:rsid w:val="008D3383"/>
    <w:rsid w:val="008D33D5"/>
    <w:rsid w:val="008D346B"/>
    <w:rsid w:val="008D3490"/>
    <w:rsid w:val="008D354F"/>
    <w:rsid w:val="008D355F"/>
    <w:rsid w:val="008D356C"/>
    <w:rsid w:val="008D35F8"/>
    <w:rsid w:val="008D3654"/>
    <w:rsid w:val="008D3691"/>
    <w:rsid w:val="008D36B2"/>
    <w:rsid w:val="008D36CF"/>
    <w:rsid w:val="008D37CE"/>
    <w:rsid w:val="008D37F4"/>
    <w:rsid w:val="008D3805"/>
    <w:rsid w:val="008D393A"/>
    <w:rsid w:val="008D3998"/>
    <w:rsid w:val="008D3A61"/>
    <w:rsid w:val="008D3AC3"/>
    <w:rsid w:val="008D3B6F"/>
    <w:rsid w:val="008D3C04"/>
    <w:rsid w:val="008D3F48"/>
    <w:rsid w:val="008D403E"/>
    <w:rsid w:val="008D4079"/>
    <w:rsid w:val="008D40E8"/>
    <w:rsid w:val="008D4105"/>
    <w:rsid w:val="008D416C"/>
    <w:rsid w:val="008D41D3"/>
    <w:rsid w:val="008D4213"/>
    <w:rsid w:val="008D423E"/>
    <w:rsid w:val="008D429C"/>
    <w:rsid w:val="008D4407"/>
    <w:rsid w:val="008D4445"/>
    <w:rsid w:val="008D451A"/>
    <w:rsid w:val="008D4562"/>
    <w:rsid w:val="008D45D7"/>
    <w:rsid w:val="008D47A8"/>
    <w:rsid w:val="008D4836"/>
    <w:rsid w:val="008D4858"/>
    <w:rsid w:val="008D48B1"/>
    <w:rsid w:val="008D48BE"/>
    <w:rsid w:val="008D4910"/>
    <w:rsid w:val="008D4A1D"/>
    <w:rsid w:val="008D4A56"/>
    <w:rsid w:val="008D4A61"/>
    <w:rsid w:val="008D4A87"/>
    <w:rsid w:val="008D4B03"/>
    <w:rsid w:val="008D4B7E"/>
    <w:rsid w:val="008D4BB0"/>
    <w:rsid w:val="008D4BC5"/>
    <w:rsid w:val="008D4BDD"/>
    <w:rsid w:val="008D4CD7"/>
    <w:rsid w:val="008D4D4C"/>
    <w:rsid w:val="008D4F7F"/>
    <w:rsid w:val="008D4FAC"/>
    <w:rsid w:val="008D50D0"/>
    <w:rsid w:val="008D50DC"/>
    <w:rsid w:val="008D5138"/>
    <w:rsid w:val="008D51A3"/>
    <w:rsid w:val="008D53A0"/>
    <w:rsid w:val="008D53E8"/>
    <w:rsid w:val="008D5454"/>
    <w:rsid w:val="008D5478"/>
    <w:rsid w:val="008D5625"/>
    <w:rsid w:val="008D56D0"/>
    <w:rsid w:val="008D579C"/>
    <w:rsid w:val="008D580C"/>
    <w:rsid w:val="008D5876"/>
    <w:rsid w:val="008D5888"/>
    <w:rsid w:val="008D594B"/>
    <w:rsid w:val="008D5A19"/>
    <w:rsid w:val="008D5AAA"/>
    <w:rsid w:val="008D5AF8"/>
    <w:rsid w:val="008D5B12"/>
    <w:rsid w:val="008D5B90"/>
    <w:rsid w:val="008D5C88"/>
    <w:rsid w:val="008D5CEF"/>
    <w:rsid w:val="008D5E43"/>
    <w:rsid w:val="008D5E45"/>
    <w:rsid w:val="008D5E92"/>
    <w:rsid w:val="008D5EC5"/>
    <w:rsid w:val="008D5EF5"/>
    <w:rsid w:val="008D5F2E"/>
    <w:rsid w:val="008D5F3D"/>
    <w:rsid w:val="008D6025"/>
    <w:rsid w:val="008D6107"/>
    <w:rsid w:val="008D615A"/>
    <w:rsid w:val="008D61EF"/>
    <w:rsid w:val="008D6308"/>
    <w:rsid w:val="008D6630"/>
    <w:rsid w:val="008D663C"/>
    <w:rsid w:val="008D6696"/>
    <w:rsid w:val="008D66E1"/>
    <w:rsid w:val="008D678F"/>
    <w:rsid w:val="008D67A3"/>
    <w:rsid w:val="008D6804"/>
    <w:rsid w:val="008D6886"/>
    <w:rsid w:val="008D699A"/>
    <w:rsid w:val="008D69E5"/>
    <w:rsid w:val="008D6A79"/>
    <w:rsid w:val="008D6B51"/>
    <w:rsid w:val="008D6B95"/>
    <w:rsid w:val="008D6C01"/>
    <w:rsid w:val="008D6D4A"/>
    <w:rsid w:val="008D6F53"/>
    <w:rsid w:val="008D7035"/>
    <w:rsid w:val="008D712F"/>
    <w:rsid w:val="008D71C6"/>
    <w:rsid w:val="008D7205"/>
    <w:rsid w:val="008D7211"/>
    <w:rsid w:val="008D7233"/>
    <w:rsid w:val="008D739E"/>
    <w:rsid w:val="008D73D3"/>
    <w:rsid w:val="008D7406"/>
    <w:rsid w:val="008D743B"/>
    <w:rsid w:val="008D74AA"/>
    <w:rsid w:val="008D74F1"/>
    <w:rsid w:val="008D758C"/>
    <w:rsid w:val="008D7624"/>
    <w:rsid w:val="008D766B"/>
    <w:rsid w:val="008D76E8"/>
    <w:rsid w:val="008D77B2"/>
    <w:rsid w:val="008D782D"/>
    <w:rsid w:val="008D7832"/>
    <w:rsid w:val="008D790A"/>
    <w:rsid w:val="008D7A79"/>
    <w:rsid w:val="008D7AEE"/>
    <w:rsid w:val="008D7B1A"/>
    <w:rsid w:val="008D7B1B"/>
    <w:rsid w:val="008D7D05"/>
    <w:rsid w:val="008D7D08"/>
    <w:rsid w:val="008D7D6E"/>
    <w:rsid w:val="008D7E21"/>
    <w:rsid w:val="008D7EAA"/>
    <w:rsid w:val="008D7EC6"/>
    <w:rsid w:val="008D7F57"/>
    <w:rsid w:val="008E0163"/>
    <w:rsid w:val="008E02E7"/>
    <w:rsid w:val="008E03B3"/>
    <w:rsid w:val="008E0773"/>
    <w:rsid w:val="008E07A0"/>
    <w:rsid w:val="008E0876"/>
    <w:rsid w:val="008E08F5"/>
    <w:rsid w:val="008E0960"/>
    <w:rsid w:val="008E09C6"/>
    <w:rsid w:val="008E09D0"/>
    <w:rsid w:val="008E0AAC"/>
    <w:rsid w:val="008E0ACE"/>
    <w:rsid w:val="008E0B4F"/>
    <w:rsid w:val="008E0CAA"/>
    <w:rsid w:val="008E0CCF"/>
    <w:rsid w:val="008E0DC0"/>
    <w:rsid w:val="008E0F1D"/>
    <w:rsid w:val="008E10B8"/>
    <w:rsid w:val="008E1191"/>
    <w:rsid w:val="008E120D"/>
    <w:rsid w:val="008E12BC"/>
    <w:rsid w:val="008E12BF"/>
    <w:rsid w:val="008E14FF"/>
    <w:rsid w:val="008E15AD"/>
    <w:rsid w:val="008E1637"/>
    <w:rsid w:val="008E16E4"/>
    <w:rsid w:val="008E17FC"/>
    <w:rsid w:val="008E186B"/>
    <w:rsid w:val="008E190C"/>
    <w:rsid w:val="008E19C6"/>
    <w:rsid w:val="008E1A5A"/>
    <w:rsid w:val="008E1A91"/>
    <w:rsid w:val="008E1AEC"/>
    <w:rsid w:val="008E1CAF"/>
    <w:rsid w:val="008E1D26"/>
    <w:rsid w:val="008E1D29"/>
    <w:rsid w:val="008E1D36"/>
    <w:rsid w:val="008E1D3A"/>
    <w:rsid w:val="008E1DC8"/>
    <w:rsid w:val="008E1E5E"/>
    <w:rsid w:val="008E1F2E"/>
    <w:rsid w:val="008E1FC6"/>
    <w:rsid w:val="008E202F"/>
    <w:rsid w:val="008E2036"/>
    <w:rsid w:val="008E2113"/>
    <w:rsid w:val="008E213E"/>
    <w:rsid w:val="008E2171"/>
    <w:rsid w:val="008E21F7"/>
    <w:rsid w:val="008E22B8"/>
    <w:rsid w:val="008E232D"/>
    <w:rsid w:val="008E234E"/>
    <w:rsid w:val="008E2838"/>
    <w:rsid w:val="008E28B2"/>
    <w:rsid w:val="008E2991"/>
    <w:rsid w:val="008E29E2"/>
    <w:rsid w:val="008E2A07"/>
    <w:rsid w:val="008E2ADE"/>
    <w:rsid w:val="008E2AE1"/>
    <w:rsid w:val="008E2B01"/>
    <w:rsid w:val="008E2C9D"/>
    <w:rsid w:val="008E2CD7"/>
    <w:rsid w:val="008E2D57"/>
    <w:rsid w:val="008E2DDA"/>
    <w:rsid w:val="008E2E15"/>
    <w:rsid w:val="008E2E8D"/>
    <w:rsid w:val="008E2FF5"/>
    <w:rsid w:val="008E3045"/>
    <w:rsid w:val="008E317B"/>
    <w:rsid w:val="008E31A1"/>
    <w:rsid w:val="008E3242"/>
    <w:rsid w:val="008E3265"/>
    <w:rsid w:val="008E3598"/>
    <w:rsid w:val="008E35A2"/>
    <w:rsid w:val="008E35C5"/>
    <w:rsid w:val="008E3634"/>
    <w:rsid w:val="008E3681"/>
    <w:rsid w:val="008E36C1"/>
    <w:rsid w:val="008E37F4"/>
    <w:rsid w:val="008E38A9"/>
    <w:rsid w:val="008E3916"/>
    <w:rsid w:val="008E39AE"/>
    <w:rsid w:val="008E3B42"/>
    <w:rsid w:val="008E3BB0"/>
    <w:rsid w:val="008E3BBB"/>
    <w:rsid w:val="008E3BDF"/>
    <w:rsid w:val="008E3CF0"/>
    <w:rsid w:val="008E3D06"/>
    <w:rsid w:val="008E3D6C"/>
    <w:rsid w:val="008E3E0C"/>
    <w:rsid w:val="008E41BA"/>
    <w:rsid w:val="008E4281"/>
    <w:rsid w:val="008E43B9"/>
    <w:rsid w:val="008E44FD"/>
    <w:rsid w:val="008E453C"/>
    <w:rsid w:val="008E4625"/>
    <w:rsid w:val="008E4674"/>
    <w:rsid w:val="008E4729"/>
    <w:rsid w:val="008E478C"/>
    <w:rsid w:val="008E47DB"/>
    <w:rsid w:val="008E4968"/>
    <w:rsid w:val="008E4A4F"/>
    <w:rsid w:val="008E4A87"/>
    <w:rsid w:val="008E4A96"/>
    <w:rsid w:val="008E4AC2"/>
    <w:rsid w:val="008E4B01"/>
    <w:rsid w:val="008E4B3F"/>
    <w:rsid w:val="008E4D4A"/>
    <w:rsid w:val="008E4D75"/>
    <w:rsid w:val="008E4E10"/>
    <w:rsid w:val="008E5036"/>
    <w:rsid w:val="008E51CA"/>
    <w:rsid w:val="008E5303"/>
    <w:rsid w:val="008E5374"/>
    <w:rsid w:val="008E53A4"/>
    <w:rsid w:val="008E53C2"/>
    <w:rsid w:val="008E55A4"/>
    <w:rsid w:val="008E55AC"/>
    <w:rsid w:val="008E55B8"/>
    <w:rsid w:val="008E55D1"/>
    <w:rsid w:val="008E55E8"/>
    <w:rsid w:val="008E580A"/>
    <w:rsid w:val="008E592D"/>
    <w:rsid w:val="008E5A93"/>
    <w:rsid w:val="008E5CAD"/>
    <w:rsid w:val="008E5CF7"/>
    <w:rsid w:val="008E5D77"/>
    <w:rsid w:val="008E5DB3"/>
    <w:rsid w:val="008E5E27"/>
    <w:rsid w:val="008E5E92"/>
    <w:rsid w:val="008E5F88"/>
    <w:rsid w:val="008E5FA7"/>
    <w:rsid w:val="008E60C0"/>
    <w:rsid w:val="008E60D4"/>
    <w:rsid w:val="008E6295"/>
    <w:rsid w:val="008E6434"/>
    <w:rsid w:val="008E6519"/>
    <w:rsid w:val="008E65E0"/>
    <w:rsid w:val="008E6610"/>
    <w:rsid w:val="008E6669"/>
    <w:rsid w:val="008E6A34"/>
    <w:rsid w:val="008E6B46"/>
    <w:rsid w:val="008E6BAD"/>
    <w:rsid w:val="008E6C34"/>
    <w:rsid w:val="008E6D5A"/>
    <w:rsid w:val="008E6E4A"/>
    <w:rsid w:val="008E6F06"/>
    <w:rsid w:val="008E6F34"/>
    <w:rsid w:val="008E6F47"/>
    <w:rsid w:val="008E6F8E"/>
    <w:rsid w:val="008E6FD7"/>
    <w:rsid w:val="008E70B6"/>
    <w:rsid w:val="008E72E7"/>
    <w:rsid w:val="008E73AF"/>
    <w:rsid w:val="008E7596"/>
    <w:rsid w:val="008E762F"/>
    <w:rsid w:val="008E7817"/>
    <w:rsid w:val="008E7916"/>
    <w:rsid w:val="008E7959"/>
    <w:rsid w:val="008E7976"/>
    <w:rsid w:val="008E79D7"/>
    <w:rsid w:val="008E7ACF"/>
    <w:rsid w:val="008E7BA7"/>
    <w:rsid w:val="008E7C05"/>
    <w:rsid w:val="008E7D84"/>
    <w:rsid w:val="008E7DF3"/>
    <w:rsid w:val="008E7E96"/>
    <w:rsid w:val="008E7F20"/>
    <w:rsid w:val="008E7F7C"/>
    <w:rsid w:val="008E7FB7"/>
    <w:rsid w:val="008F0062"/>
    <w:rsid w:val="008F01CE"/>
    <w:rsid w:val="008F0212"/>
    <w:rsid w:val="008F026A"/>
    <w:rsid w:val="008F02BD"/>
    <w:rsid w:val="008F0468"/>
    <w:rsid w:val="008F04C2"/>
    <w:rsid w:val="008F04EA"/>
    <w:rsid w:val="008F058E"/>
    <w:rsid w:val="008F05B9"/>
    <w:rsid w:val="008F05F0"/>
    <w:rsid w:val="008F08FA"/>
    <w:rsid w:val="008F0909"/>
    <w:rsid w:val="008F090C"/>
    <w:rsid w:val="008F0C88"/>
    <w:rsid w:val="008F0C9A"/>
    <w:rsid w:val="008F0EE6"/>
    <w:rsid w:val="008F0F41"/>
    <w:rsid w:val="008F0FAE"/>
    <w:rsid w:val="008F1004"/>
    <w:rsid w:val="008F1082"/>
    <w:rsid w:val="008F1099"/>
    <w:rsid w:val="008F113C"/>
    <w:rsid w:val="008F11AF"/>
    <w:rsid w:val="008F11DF"/>
    <w:rsid w:val="008F120A"/>
    <w:rsid w:val="008F1345"/>
    <w:rsid w:val="008F1350"/>
    <w:rsid w:val="008F1391"/>
    <w:rsid w:val="008F13E5"/>
    <w:rsid w:val="008F13F6"/>
    <w:rsid w:val="008F1475"/>
    <w:rsid w:val="008F14CC"/>
    <w:rsid w:val="008F14E2"/>
    <w:rsid w:val="008F152E"/>
    <w:rsid w:val="008F15E1"/>
    <w:rsid w:val="008F163B"/>
    <w:rsid w:val="008F1646"/>
    <w:rsid w:val="008F165C"/>
    <w:rsid w:val="008F16C3"/>
    <w:rsid w:val="008F178A"/>
    <w:rsid w:val="008F17F8"/>
    <w:rsid w:val="008F1882"/>
    <w:rsid w:val="008F18BA"/>
    <w:rsid w:val="008F18BB"/>
    <w:rsid w:val="008F1915"/>
    <w:rsid w:val="008F192D"/>
    <w:rsid w:val="008F19F6"/>
    <w:rsid w:val="008F1A79"/>
    <w:rsid w:val="008F1AAE"/>
    <w:rsid w:val="008F1AEF"/>
    <w:rsid w:val="008F1B2A"/>
    <w:rsid w:val="008F1B2E"/>
    <w:rsid w:val="008F1BFC"/>
    <w:rsid w:val="008F1C3D"/>
    <w:rsid w:val="008F1CB1"/>
    <w:rsid w:val="008F1CED"/>
    <w:rsid w:val="008F1D23"/>
    <w:rsid w:val="008F1D25"/>
    <w:rsid w:val="008F1D71"/>
    <w:rsid w:val="008F1DE9"/>
    <w:rsid w:val="008F1E56"/>
    <w:rsid w:val="008F1EF0"/>
    <w:rsid w:val="008F1F8F"/>
    <w:rsid w:val="008F21D1"/>
    <w:rsid w:val="008F2219"/>
    <w:rsid w:val="008F22AE"/>
    <w:rsid w:val="008F2421"/>
    <w:rsid w:val="008F24C4"/>
    <w:rsid w:val="008F2570"/>
    <w:rsid w:val="008F264A"/>
    <w:rsid w:val="008F264C"/>
    <w:rsid w:val="008F268F"/>
    <w:rsid w:val="008F27CF"/>
    <w:rsid w:val="008F2918"/>
    <w:rsid w:val="008F29BB"/>
    <w:rsid w:val="008F29DB"/>
    <w:rsid w:val="008F29DF"/>
    <w:rsid w:val="008F2A51"/>
    <w:rsid w:val="008F2A81"/>
    <w:rsid w:val="008F2B53"/>
    <w:rsid w:val="008F2C22"/>
    <w:rsid w:val="008F2C4B"/>
    <w:rsid w:val="008F2D4D"/>
    <w:rsid w:val="008F2D71"/>
    <w:rsid w:val="008F2D94"/>
    <w:rsid w:val="008F2DD0"/>
    <w:rsid w:val="008F2DFD"/>
    <w:rsid w:val="008F2E1D"/>
    <w:rsid w:val="008F2F34"/>
    <w:rsid w:val="008F2F72"/>
    <w:rsid w:val="008F30E5"/>
    <w:rsid w:val="008F31FF"/>
    <w:rsid w:val="008F335A"/>
    <w:rsid w:val="008F3383"/>
    <w:rsid w:val="008F3453"/>
    <w:rsid w:val="008F3596"/>
    <w:rsid w:val="008F37A7"/>
    <w:rsid w:val="008F38D7"/>
    <w:rsid w:val="008F38E6"/>
    <w:rsid w:val="008F39CA"/>
    <w:rsid w:val="008F39ED"/>
    <w:rsid w:val="008F3A11"/>
    <w:rsid w:val="008F3A53"/>
    <w:rsid w:val="008F3C90"/>
    <w:rsid w:val="008F3D94"/>
    <w:rsid w:val="008F3E0A"/>
    <w:rsid w:val="008F3E6D"/>
    <w:rsid w:val="008F3EAB"/>
    <w:rsid w:val="008F3F54"/>
    <w:rsid w:val="008F3FD5"/>
    <w:rsid w:val="008F4093"/>
    <w:rsid w:val="008F40A1"/>
    <w:rsid w:val="008F4145"/>
    <w:rsid w:val="008F4149"/>
    <w:rsid w:val="008F449E"/>
    <w:rsid w:val="008F45C5"/>
    <w:rsid w:val="008F4637"/>
    <w:rsid w:val="008F4643"/>
    <w:rsid w:val="008F4650"/>
    <w:rsid w:val="008F4747"/>
    <w:rsid w:val="008F4791"/>
    <w:rsid w:val="008F486B"/>
    <w:rsid w:val="008F48C3"/>
    <w:rsid w:val="008F4AF0"/>
    <w:rsid w:val="008F4BA1"/>
    <w:rsid w:val="008F4D19"/>
    <w:rsid w:val="008F4E03"/>
    <w:rsid w:val="008F4E07"/>
    <w:rsid w:val="008F4E0D"/>
    <w:rsid w:val="008F4E1D"/>
    <w:rsid w:val="008F4FB1"/>
    <w:rsid w:val="008F4FE6"/>
    <w:rsid w:val="008F5104"/>
    <w:rsid w:val="008F5188"/>
    <w:rsid w:val="008F5230"/>
    <w:rsid w:val="008F52F1"/>
    <w:rsid w:val="008F530D"/>
    <w:rsid w:val="008F541C"/>
    <w:rsid w:val="008F5495"/>
    <w:rsid w:val="008F54B1"/>
    <w:rsid w:val="008F54C7"/>
    <w:rsid w:val="008F56B4"/>
    <w:rsid w:val="008F56CB"/>
    <w:rsid w:val="008F5742"/>
    <w:rsid w:val="008F5760"/>
    <w:rsid w:val="008F5776"/>
    <w:rsid w:val="008F5856"/>
    <w:rsid w:val="008F5861"/>
    <w:rsid w:val="008F5993"/>
    <w:rsid w:val="008F5A6D"/>
    <w:rsid w:val="008F5ABE"/>
    <w:rsid w:val="008F5AC1"/>
    <w:rsid w:val="008F5AD3"/>
    <w:rsid w:val="008F5BE2"/>
    <w:rsid w:val="008F5C18"/>
    <w:rsid w:val="008F5CE9"/>
    <w:rsid w:val="008F5D66"/>
    <w:rsid w:val="008F5DF5"/>
    <w:rsid w:val="008F5E44"/>
    <w:rsid w:val="008F5EA3"/>
    <w:rsid w:val="008F5F51"/>
    <w:rsid w:val="008F605D"/>
    <w:rsid w:val="008F6145"/>
    <w:rsid w:val="008F620E"/>
    <w:rsid w:val="008F6305"/>
    <w:rsid w:val="008F6398"/>
    <w:rsid w:val="008F6455"/>
    <w:rsid w:val="008F6519"/>
    <w:rsid w:val="008F658C"/>
    <w:rsid w:val="008F66DE"/>
    <w:rsid w:val="008F6705"/>
    <w:rsid w:val="008F6906"/>
    <w:rsid w:val="008F698D"/>
    <w:rsid w:val="008F6AA4"/>
    <w:rsid w:val="008F6B20"/>
    <w:rsid w:val="008F6B37"/>
    <w:rsid w:val="008F6B4E"/>
    <w:rsid w:val="008F6BB9"/>
    <w:rsid w:val="008F6C23"/>
    <w:rsid w:val="008F6D78"/>
    <w:rsid w:val="008F6D86"/>
    <w:rsid w:val="008F6F48"/>
    <w:rsid w:val="008F6F5A"/>
    <w:rsid w:val="008F6F71"/>
    <w:rsid w:val="008F711C"/>
    <w:rsid w:val="008F712E"/>
    <w:rsid w:val="008F740C"/>
    <w:rsid w:val="008F7468"/>
    <w:rsid w:val="008F7493"/>
    <w:rsid w:val="008F749C"/>
    <w:rsid w:val="008F7576"/>
    <w:rsid w:val="008F75D6"/>
    <w:rsid w:val="008F765E"/>
    <w:rsid w:val="008F77A1"/>
    <w:rsid w:val="008F78DD"/>
    <w:rsid w:val="008F7A09"/>
    <w:rsid w:val="008F7A2F"/>
    <w:rsid w:val="008F7ACE"/>
    <w:rsid w:val="008F7B13"/>
    <w:rsid w:val="008F7BD1"/>
    <w:rsid w:val="008F7D7C"/>
    <w:rsid w:val="008F7D98"/>
    <w:rsid w:val="008F7DFA"/>
    <w:rsid w:val="008F7EA0"/>
    <w:rsid w:val="008F7F66"/>
    <w:rsid w:val="008F7F86"/>
    <w:rsid w:val="00900010"/>
    <w:rsid w:val="00900041"/>
    <w:rsid w:val="009000AD"/>
    <w:rsid w:val="00900270"/>
    <w:rsid w:val="00900273"/>
    <w:rsid w:val="009002EC"/>
    <w:rsid w:val="009002EF"/>
    <w:rsid w:val="00900422"/>
    <w:rsid w:val="009004AA"/>
    <w:rsid w:val="009004BA"/>
    <w:rsid w:val="0090057A"/>
    <w:rsid w:val="00900602"/>
    <w:rsid w:val="00900632"/>
    <w:rsid w:val="0090073B"/>
    <w:rsid w:val="009007DB"/>
    <w:rsid w:val="009007FC"/>
    <w:rsid w:val="00900882"/>
    <w:rsid w:val="009008E1"/>
    <w:rsid w:val="0090099C"/>
    <w:rsid w:val="009009A1"/>
    <w:rsid w:val="00900A32"/>
    <w:rsid w:val="00900A4C"/>
    <w:rsid w:val="00900A90"/>
    <w:rsid w:val="00900BB2"/>
    <w:rsid w:val="00900BF4"/>
    <w:rsid w:val="00900BFD"/>
    <w:rsid w:val="00900CD8"/>
    <w:rsid w:val="00900DD2"/>
    <w:rsid w:val="00900DD5"/>
    <w:rsid w:val="00900DE9"/>
    <w:rsid w:val="00900E45"/>
    <w:rsid w:val="00900F79"/>
    <w:rsid w:val="00900FF2"/>
    <w:rsid w:val="009010B1"/>
    <w:rsid w:val="00901133"/>
    <w:rsid w:val="00901221"/>
    <w:rsid w:val="00901239"/>
    <w:rsid w:val="009012A7"/>
    <w:rsid w:val="0090138C"/>
    <w:rsid w:val="0090141E"/>
    <w:rsid w:val="009014CD"/>
    <w:rsid w:val="009014EE"/>
    <w:rsid w:val="009014FD"/>
    <w:rsid w:val="009015E1"/>
    <w:rsid w:val="009016BB"/>
    <w:rsid w:val="009016EE"/>
    <w:rsid w:val="0090172B"/>
    <w:rsid w:val="00901755"/>
    <w:rsid w:val="0090175F"/>
    <w:rsid w:val="00901831"/>
    <w:rsid w:val="0090195B"/>
    <w:rsid w:val="00901965"/>
    <w:rsid w:val="00901972"/>
    <w:rsid w:val="00901B5A"/>
    <w:rsid w:val="00901C69"/>
    <w:rsid w:val="00901CA1"/>
    <w:rsid w:val="00901D8E"/>
    <w:rsid w:val="00901DB4"/>
    <w:rsid w:val="00901E79"/>
    <w:rsid w:val="00901F78"/>
    <w:rsid w:val="00901F80"/>
    <w:rsid w:val="00901FAB"/>
    <w:rsid w:val="0090201C"/>
    <w:rsid w:val="009021BC"/>
    <w:rsid w:val="0090225F"/>
    <w:rsid w:val="00902317"/>
    <w:rsid w:val="009023E1"/>
    <w:rsid w:val="00902405"/>
    <w:rsid w:val="0090241B"/>
    <w:rsid w:val="00902567"/>
    <w:rsid w:val="009025BF"/>
    <w:rsid w:val="009026D2"/>
    <w:rsid w:val="009026D8"/>
    <w:rsid w:val="00902811"/>
    <w:rsid w:val="009028D5"/>
    <w:rsid w:val="00902912"/>
    <w:rsid w:val="00902975"/>
    <w:rsid w:val="00902A62"/>
    <w:rsid w:val="00902B3A"/>
    <w:rsid w:val="00902BE0"/>
    <w:rsid w:val="00902BF0"/>
    <w:rsid w:val="00902CE3"/>
    <w:rsid w:val="00902E4D"/>
    <w:rsid w:val="00902EDA"/>
    <w:rsid w:val="00902F96"/>
    <w:rsid w:val="00902F9F"/>
    <w:rsid w:val="00903044"/>
    <w:rsid w:val="00903260"/>
    <w:rsid w:val="009032C1"/>
    <w:rsid w:val="00903423"/>
    <w:rsid w:val="009034B3"/>
    <w:rsid w:val="009035C8"/>
    <w:rsid w:val="009035D3"/>
    <w:rsid w:val="0090366B"/>
    <w:rsid w:val="009036B3"/>
    <w:rsid w:val="009036C1"/>
    <w:rsid w:val="0090372B"/>
    <w:rsid w:val="00903771"/>
    <w:rsid w:val="0090377B"/>
    <w:rsid w:val="009037A8"/>
    <w:rsid w:val="009038B5"/>
    <w:rsid w:val="00903984"/>
    <w:rsid w:val="00903AD3"/>
    <w:rsid w:val="00903AE3"/>
    <w:rsid w:val="00903B78"/>
    <w:rsid w:val="00903B92"/>
    <w:rsid w:val="00903C36"/>
    <w:rsid w:val="00903C37"/>
    <w:rsid w:val="009040C5"/>
    <w:rsid w:val="009041A9"/>
    <w:rsid w:val="00904423"/>
    <w:rsid w:val="009047D3"/>
    <w:rsid w:val="00904937"/>
    <w:rsid w:val="0090494C"/>
    <w:rsid w:val="00904A15"/>
    <w:rsid w:val="00904A52"/>
    <w:rsid w:val="00904A79"/>
    <w:rsid w:val="00904B76"/>
    <w:rsid w:val="00904BA7"/>
    <w:rsid w:val="00904BD8"/>
    <w:rsid w:val="00904DC9"/>
    <w:rsid w:val="00904E0F"/>
    <w:rsid w:val="00904E56"/>
    <w:rsid w:val="00904E97"/>
    <w:rsid w:val="00904F22"/>
    <w:rsid w:val="00904F25"/>
    <w:rsid w:val="00904F2F"/>
    <w:rsid w:val="00904F70"/>
    <w:rsid w:val="00904FAE"/>
    <w:rsid w:val="00904FFB"/>
    <w:rsid w:val="009051EA"/>
    <w:rsid w:val="009051EE"/>
    <w:rsid w:val="009052AC"/>
    <w:rsid w:val="009052C9"/>
    <w:rsid w:val="00905344"/>
    <w:rsid w:val="0090536A"/>
    <w:rsid w:val="009054AB"/>
    <w:rsid w:val="009054B2"/>
    <w:rsid w:val="00905563"/>
    <w:rsid w:val="009055FC"/>
    <w:rsid w:val="009057A1"/>
    <w:rsid w:val="009059BC"/>
    <w:rsid w:val="009059FD"/>
    <w:rsid w:val="00905A9F"/>
    <w:rsid w:val="00905ACA"/>
    <w:rsid w:val="00905BA7"/>
    <w:rsid w:val="00905D19"/>
    <w:rsid w:val="00906006"/>
    <w:rsid w:val="0090605C"/>
    <w:rsid w:val="0090615C"/>
    <w:rsid w:val="00906173"/>
    <w:rsid w:val="00906195"/>
    <w:rsid w:val="00906319"/>
    <w:rsid w:val="0090634A"/>
    <w:rsid w:val="00906375"/>
    <w:rsid w:val="009063F2"/>
    <w:rsid w:val="0090640A"/>
    <w:rsid w:val="009064DF"/>
    <w:rsid w:val="00906593"/>
    <w:rsid w:val="009065E1"/>
    <w:rsid w:val="009065F8"/>
    <w:rsid w:val="00906949"/>
    <w:rsid w:val="0090695D"/>
    <w:rsid w:val="00906993"/>
    <w:rsid w:val="00906A3F"/>
    <w:rsid w:val="00906A42"/>
    <w:rsid w:val="00906C04"/>
    <w:rsid w:val="00906C16"/>
    <w:rsid w:val="00906E6A"/>
    <w:rsid w:val="00906EC4"/>
    <w:rsid w:val="00907041"/>
    <w:rsid w:val="0090708C"/>
    <w:rsid w:val="00907102"/>
    <w:rsid w:val="0090712D"/>
    <w:rsid w:val="0090722A"/>
    <w:rsid w:val="009074EB"/>
    <w:rsid w:val="00907505"/>
    <w:rsid w:val="00907534"/>
    <w:rsid w:val="009076F9"/>
    <w:rsid w:val="0090777D"/>
    <w:rsid w:val="009077FC"/>
    <w:rsid w:val="00907887"/>
    <w:rsid w:val="00907889"/>
    <w:rsid w:val="00907A81"/>
    <w:rsid w:val="00907AD4"/>
    <w:rsid w:val="00907BDD"/>
    <w:rsid w:val="00907BF8"/>
    <w:rsid w:val="00907C58"/>
    <w:rsid w:val="00907CBA"/>
    <w:rsid w:val="00910062"/>
    <w:rsid w:val="00910138"/>
    <w:rsid w:val="00910185"/>
    <w:rsid w:val="009101CE"/>
    <w:rsid w:val="00910202"/>
    <w:rsid w:val="00910216"/>
    <w:rsid w:val="00910227"/>
    <w:rsid w:val="0091023E"/>
    <w:rsid w:val="0091034C"/>
    <w:rsid w:val="009104D1"/>
    <w:rsid w:val="009104D3"/>
    <w:rsid w:val="0091053C"/>
    <w:rsid w:val="0091055F"/>
    <w:rsid w:val="009106F7"/>
    <w:rsid w:val="0091073E"/>
    <w:rsid w:val="009107CE"/>
    <w:rsid w:val="0091084E"/>
    <w:rsid w:val="009109CD"/>
    <w:rsid w:val="00910ADC"/>
    <w:rsid w:val="00910B3D"/>
    <w:rsid w:val="00910BE5"/>
    <w:rsid w:val="00911004"/>
    <w:rsid w:val="00911044"/>
    <w:rsid w:val="00911111"/>
    <w:rsid w:val="009111D8"/>
    <w:rsid w:val="00911244"/>
    <w:rsid w:val="00911368"/>
    <w:rsid w:val="00911373"/>
    <w:rsid w:val="0091146C"/>
    <w:rsid w:val="00911497"/>
    <w:rsid w:val="00911536"/>
    <w:rsid w:val="009116EC"/>
    <w:rsid w:val="00911774"/>
    <w:rsid w:val="009117EC"/>
    <w:rsid w:val="00911911"/>
    <w:rsid w:val="00911B78"/>
    <w:rsid w:val="00911BA8"/>
    <w:rsid w:val="00911C56"/>
    <w:rsid w:val="00911CC7"/>
    <w:rsid w:val="00911FB0"/>
    <w:rsid w:val="0091207F"/>
    <w:rsid w:val="00912091"/>
    <w:rsid w:val="009121B2"/>
    <w:rsid w:val="009121B3"/>
    <w:rsid w:val="0091230E"/>
    <w:rsid w:val="00912345"/>
    <w:rsid w:val="0091237A"/>
    <w:rsid w:val="00912568"/>
    <w:rsid w:val="009125B0"/>
    <w:rsid w:val="009126DE"/>
    <w:rsid w:val="00912714"/>
    <w:rsid w:val="009128D4"/>
    <w:rsid w:val="0091294F"/>
    <w:rsid w:val="0091295D"/>
    <w:rsid w:val="00912980"/>
    <w:rsid w:val="009129C0"/>
    <w:rsid w:val="00912A22"/>
    <w:rsid w:val="00912AD3"/>
    <w:rsid w:val="00912B4E"/>
    <w:rsid w:val="00912B5C"/>
    <w:rsid w:val="00912B6B"/>
    <w:rsid w:val="00912BD5"/>
    <w:rsid w:val="00912C5F"/>
    <w:rsid w:val="00912CD5"/>
    <w:rsid w:val="00912D20"/>
    <w:rsid w:val="00912D8A"/>
    <w:rsid w:val="00912E1E"/>
    <w:rsid w:val="00912E6A"/>
    <w:rsid w:val="00912F3B"/>
    <w:rsid w:val="00913009"/>
    <w:rsid w:val="0091305F"/>
    <w:rsid w:val="009131A4"/>
    <w:rsid w:val="00913295"/>
    <w:rsid w:val="00913298"/>
    <w:rsid w:val="009133CE"/>
    <w:rsid w:val="00913449"/>
    <w:rsid w:val="00913529"/>
    <w:rsid w:val="00913538"/>
    <w:rsid w:val="0091362D"/>
    <w:rsid w:val="00913674"/>
    <w:rsid w:val="00913743"/>
    <w:rsid w:val="009137E5"/>
    <w:rsid w:val="00913848"/>
    <w:rsid w:val="009138AF"/>
    <w:rsid w:val="009138F0"/>
    <w:rsid w:val="009138F8"/>
    <w:rsid w:val="0091391A"/>
    <w:rsid w:val="009139A3"/>
    <w:rsid w:val="009139DF"/>
    <w:rsid w:val="00913A6D"/>
    <w:rsid w:val="00913AC7"/>
    <w:rsid w:val="00913B5B"/>
    <w:rsid w:val="00913C23"/>
    <w:rsid w:val="00913C58"/>
    <w:rsid w:val="00913C91"/>
    <w:rsid w:val="00913EC1"/>
    <w:rsid w:val="00913F0F"/>
    <w:rsid w:val="00913F38"/>
    <w:rsid w:val="00913F95"/>
    <w:rsid w:val="00913FFA"/>
    <w:rsid w:val="0091409B"/>
    <w:rsid w:val="009140ED"/>
    <w:rsid w:val="009141A3"/>
    <w:rsid w:val="009141A7"/>
    <w:rsid w:val="009141C2"/>
    <w:rsid w:val="00914323"/>
    <w:rsid w:val="00914465"/>
    <w:rsid w:val="009144D2"/>
    <w:rsid w:val="009145E4"/>
    <w:rsid w:val="009145F8"/>
    <w:rsid w:val="00914639"/>
    <w:rsid w:val="0091463B"/>
    <w:rsid w:val="00914663"/>
    <w:rsid w:val="009146F4"/>
    <w:rsid w:val="009148A7"/>
    <w:rsid w:val="009148D7"/>
    <w:rsid w:val="009148E8"/>
    <w:rsid w:val="00914944"/>
    <w:rsid w:val="009149E0"/>
    <w:rsid w:val="00914B69"/>
    <w:rsid w:val="00914BF2"/>
    <w:rsid w:val="00914CFA"/>
    <w:rsid w:val="00914D9E"/>
    <w:rsid w:val="00914E00"/>
    <w:rsid w:val="00914E70"/>
    <w:rsid w:val="00914E84"/>
    <w:rsid w:val="00914ED7"/>
    <w:rsid w:val="00914FEE"/>
    <w:rsid w:val="00914FF7"/>
    <w:rsid w:val="00915034"/>
    <w:rsid w:val="009150FC"/>
    <w:rsid w:val="0091516E"/>
    <w:rsid w:val="009151B4"/>
    <w:rsid w:val="009151DF"/>
    <w:rsid w:val="0091531E"/>
    <w:rsid w:val="00915461"/>
    <w:rsid w:val="009155E0"/>
    <w:rsid w:val="009156E8"/>
    <w:rsid w:val="0091586F"/>
    <w:rsid w:val="0091587E"/>
    <w:rsid w:val="00915AE6"/>
    <w:rsid w:val="00915B60"/>
    <w:rsid w:val="00915C4F"/>
    <w:rsid w:val="00915CE2"/>
    <w:rsid w:val="00915D95"/>
    <w:rsid w:val="00915E45"/>
    <w:rsid w:val="00915EBD"/>
    <w:rsid w:val="00915EC1"/>
    <w:rsid w:val="00915F52"/>
    <w:rsid w:val="0091609F"/>
    <w:rsid w:val="009160B6"/>
    <w:rsid w:val="0091616A"/>
    <w:rsid w:val="0091619C"/>
    <w:rsid w:val="009161B7"/>
    <w:rsid w:val="009162C1"/>
    <w:rsid w:val="009162D8"/>
    <w:rsid w:val="009163D4"/>
    <w:rsid w:val="009163DB"/>
    <w:rsid w:val="009163E3"/>
    <w:rsid w:val="0091642C"/>
    <w:rsid w:val="009165FE"/>
    <w:rsid w:val="0091671C"/>
    <w:rsid w:val="009167E4"/>
    <w:rsid w:val="00916848"/>
    <w:rsid w:val="0091688E"/>
    <w:rsid w:val="009168A8"/>
    <w:rsid w:val="009168B5"/>
    <w:rsid w:val="0091699E"/>
    <w:rsid w:val="009169C8"/>
    <w:rsid w:val="00916A0D"/>
    <w:rsid w:val="00916A17"/>
    <w:rsid w:val="00916AFE"/>
    <w:rsid w:val="00916B6E"/>
    <w:rsid w:val="00916BA2"/>
    <w:rsid w:val="00916BB7"/>
    <w:rsid w:val="00916C4B"/>
    <w:rsid w:val="00916D3E"/>
    <w:rsid w:val="00916EF4"/>
    <w:rsid w:val="00916FA3"/>
    <w:rsid w:val="00916FAD"/>
    <w:rsid w:val="009170B3"/>
    <w:rsid w:val="009170C6"/>
    <w:rsid w:val="009170F8"/>
    <w:rsid w:val="009172BE"/>
    <w:rsid w:val="009172C3"/>
    <w:rsid w:val="009172D2"/>
    <w:rsid w:val="00917316"/>
    <w:rsid w:val="0091733A"/>
    <w:rsid w:val="009173ED"/>
    <w:rsid w:val="00917422"/>
    <w:rsid w:val="0091744C"/>
    <w:rsid w:val="0091751A"/>
    <w:rsid w:val="0091752A"/>
    <w:rsid w:val="009175E9"/>
    <w:rsid w:val="00917671"/>
    <w:rsid w:val="00917700"/>
    <w:rsid w:val="0091773D"/>
    <w:rsid w:val="00917855"/>
    <w:rsid w:val="00917857"/>
    <w:rsid w:val="00917870"/>
    <w:rsid w:val="009178B6"/>
    <w:rsid w:val="009178E7"/>
    <w:rsid w:val="00917938"/>
    <w:rsid w:val="00917BD3"/>
    <w:rsid w:val="00917C15"/>
    <w:rsid w:val="00917C91"/>
    <w:rsid w:val="00917C9B"/>
    <w:rsid w:val="00917E85"/>
    <w:rsid w:val="00917F0F"/>
    <w:rsid w:val="00917FC5"/>
    <w:rsid w:val="00917FFD"/>
    <w:rsid w:val="00920151"/>
    <w:rsid w:val="00920235"/>
    <w:rsid w:val="00920264"/>
    <w:rsid w:val="00920278"/>
    <w:rsid w:val="009202B8"/>
    <w:rsid w:val="009202DA"/>
    <w:rsid w:val="00920538"/>
    <w:rsid w:val="0092053E"/>
    <w:rsid w:val="0092056D"/>
    <w:rsid w:val="009205BB"/>
    <w:rsid w:val="0092069B"/>
    <w:rsid w:val="00920737"/>
    <w:rsid w:val="00920780"/>
    <w:rsid w:val="00920834"/>
    <w:rsid w:val="00920838"/>
    <w:rsid w:val="00920894"/>
    <w:rsid w:val="009208AB"/>
    <w:rsid w:val="009208E5"/>
    <w:rsid w:val="00920961"/>
    <w:rsid w:val="00920AC9"/>
    <w:rsid w:val="00920BC3"/>
    <w:rsid w:val="00920C7E"/>
    <w:rsid w:val="00920C8A"/>
    <w:rsid w:val="00920D58"/>
    <w:rsid w:val="00920D63"/>
    <w:rsid w:val="00920D83"/>
    <w:rsid w:val="00920E05"/>
    <w:rsid w:val="00920E43"/>
    <w:rsid w:val="00920E53"/>
    <w:rsid w:val="00920FDF"/>
    <w:rsid w:val="00921150"/>
    <w:rsid w:val="00921184"/>
    <w:rsid w:val="00921186"/>
    <w:rsid w:val="00921304"/>
    <w:rsid w:val="00921335"/>
    <w:rsid w:val="00921339"/>
    <w:rsid w:val="00921376"/>
    <w:rsid w:val="009213A7"/>
    <w:rsid w:val="009213BE"/>
    <w:rsid w:val="009213C9"/>
    <w:rsid w:val="009213EF"/>
    <w:rsid w:val="009213F7"/>
    <w:rsid w:val="00921442"/>
    <w:rsid w:val="00921562"/>
    <w:rsid w:val="00921595"/>
    <w:rsid w:val="00921596"/>
    <w:rsid w:val="0092164E"/>
    <w:rsid w:val="009216AE"/>
    <w:rsid w:val="009216C5"/>
    <w:rsid w:val="009216D0"/>
    <w:rsid w:val="009216D7"/>
    <w:rsid w:val="00921810"/>
    <w:rsid w:val="009219E9"/>
    <w:rsid w:val="00921A60"/>
    <w:rsid w:val="00921AFC"/>
    <w:rsid w:val="00921B48"/>
    <w:rsid w:val="00921B69"/>
    <w:rsid w:val="00921B92"/>
    <w:rsid w:val="00921BC8"/>
    <w:rsid w:val="00921C4A"/>
    <w:rsid w:val="00921CC5"/>
    <w:rsid w:val="00921ED9"/>
    <w:rsid w:val="0092204B"/>
    <w:rsid w:val="0092221F"/>
    <w:rsid w:val="0092225A"/>
    <w:rsid w:val="0092232A"/>
    <w:rsid w:val="0092236C"/>
    <w:rsid w:val="00922408"/>
    <w:rsid w:val="009224D4"/>
    <w:rsid w:val="00922568"/>
    <w:rsid w:val="009225F5"/>
    <w:rsid w:val="00922695"/>
    <w:rsid w:val="009226A1"/>
    <w:rsid w:val="009226BF"/>
    <w:rsid w:val="0092273F"/>
    <w:rsid w:val="009227AD"/>
    <w:rsid w:val="009227DC"/>
    <w:rsid w:val="009227F9"/>
    <w:rsid w:val="009228B8"/>
    <w:rsid w:val="009228D3"/>
    <w:rsid w:val="0092296E"/>
    <w:rsid w:val="00922A71"/>
    <w:rsid w:val="00922ACE"/>
    <w:rsid w:val="00922BE8"/>
    <w:rsid w:val="00922CE7"/>
    <w:rsid w:val="00922D92"/>
    <w:rsid w:val="00922E8F"/>
    <w:rsid w:val="00922EF7"/>
    <w:rsid w:val="00923041"/>
    <w:rsid w:val="00923089"/>
    <w:rsid w:val="009231E1"/>
    <w:rsid w:val="00923308"/>
    <w:rsid w:val="0092344F"/>
    <w:rsid w:val="0092349A"/>
    <w:rsid w:val="009234FC"/>
    <w:rsid w:val="009236B3"/>
    <w:rsid w:val="00923772"/>
    <w:rsid w:val="009237D5"/>
    <w:rsid w:val="009238A6"/>
    <w:rsid w:val="009238F0"/>
    <w:rsid w:val="00923A7A"/>
    <w:rsid w:val="00923CEC"/>
    <w:rsid w:val="00923D1B"/>
    <w:rsid w:val="00923D5F"/>
    <w:rsid w:val="00923D95"/>
    <w:rsid w:val="00923EE4"/>
    <w:rsid w:val="00923F0B"/>
    <w:rsid w:val="00923F14"/>
    <w:rsid w:val="0092400E"/>
    <w:rsid w:val="0092405E"/>
    <w:rsid w:val="00924119"/>
    <w:rsid w:val="0092417D"/>
    <w:rsid w:val="009242E0"/>
    <w:rsid w:val="0092432B"/>
    <w:rsid w:val="009243C0"/>
    <w:rsid w:val="009243EB"/>
    <w:rsid w:val="00924476"/>
    <w:rsid w:val="00924571"/>
    <w:rsid w:val="009245B3"/>
    <w:rsid w:val="009245BE"/>
    <w:rsid w:val="00924608"/>
    <w:rsid w:val="00924610"/>
    <w:rsid w:val="00924745"/>
    <w:rsid w:val="009247AA"/>
    <w:rsid w:val="009249FE"/>
    <w:rsid w:val="00924AA9"/>
    <w:rsid w:val="00924C5F"/>
    <w:rsid w:val="00924E8A"/>
    <w:rsid w:val="00924F11"/>
    <w:rsid w:val="009250E3"/>
    <w:rsid w:val="00925136"/>
    <w:rsid w:val="00925154"/>
    <w:rsid w:val="0092520D"/>
    <w:rsid w:val="00925334"/>
    <w:rsid w:val="009253D9"/>
    <w:rsid w:val="00925436"/>
    <w:rsid w:val="00925438"/>
    <w:rsid w:val="00925567"/>
    <w:rsid w:val="009255D7"/>
    <w:rsid w:val="009256F8"/>
    <w:rsid w:val="00925758"/>
    <w:rsid w:val="00925869"/>
    <w:rsid w:val="00925955"/>
    <w:rsid w:val="00925969"/>
    <w:rsid w:val="00925A0D"/>
    <w:rsid w:val="00925A44"/>
    <w:rsid w:val="00925A79"/>
    <w:rsid w:val="00925A8A"/>
    <w:rsid w:val="00925AC8"/>
    <w:rsid w:val="00925ADF"/>
    <w:rsid w:val="00925B54"/>
    <w:rsid w:val="00925B7D"/>
    <w:rsid w:val="00925C5F"/>
    <w:rsid w:val="00925C7A"/>
    <w:rsid w:val="00925CA8"/>
    <w:rsid w:val="00925D50"/>
    <w:rsid w:val="00925DC6"/>
    <w:rsid w:val="00925FA6"/>
    <w:rsid w:val="00925FD0"/>
    <w:rsid w:val="00926026"/>
    <w:rsid w:val="00926068"/>
    <w:rsid w:val="0092608F"/>
    <w:rsid w:val="009260B5"/>
    <w:rsid w:val="0092611E"/>
    <w:rsid w:val="00926154"/>
    <w:rsid w:val="009261DF"/>
    <w:rsid w:val="009261E7"/>
    <w:rsid w:val="009261EA"/>
    <w:rsid w:val="00926223"/>
    <w:rsid w:val="00926253"/>
    <w:rsid w:val="009262ED"/>
    <w:rsid w:val="009262F4"/>
    <w:rsid w:val="00926334"/>
    <w:rsid w:val="00926404"/>
    <w:rsid w:val="009264AB"/>
    <w:rsid w:val="009264F2"/>
    <w:rsid w:val="0092659C"/>
    <w:rsid w:val="0092665A"/>
    <w:rsid w:val="00926698"/>
    <w:rsid w:val="009266B0"/>
    <w:rsid w:val="00926762"/>
    <w:rsid w:val="00926784"/>
    <w:rsid w:val="0092681F"/>
    <w:rsid w:val="00926854"/>
    <w:rsid w:val="00926995"/>
    <w:rsid w:val="009269DD"/>
    <w:rsid w:val="00926B4A"/>
    <w:rsid w:val="00926BBC"/>
    <w:rsid w:val="00926C88"/>
    <w:rsid w:val="00926DA7"/>
    <w:rsid w:val="00926E09"/>
    <w:rsid w:val="00926E4A"/>
    <w:rsid w:val="00926F98"/>
    <w:rsid w:val="00926FB2"/>
    <w:rsid w:val="00926FF8"/>
    <w:rsid w:val="00926FFB"/>
    <w:rsid w:val="00927051"/>
    <w:rsid w:val="00927189"/>
    <w:rsid w:val="00927382"/>
    <w:rsid w:val="0092739B"/>
    <w:rsid w:val="00927446"/>
    <w:rsid w:val="00927479"/>
    <w:rsid w:val="0092749C"/>
    <w:rsid w:val="009275D1"/>
    <w:rsid w:val="009275F2"/>
    <w:rsid w:val="0092773A"/>
    <w:rsid w:val="0092774C"/>
    <w:rsid w:val="0092798A"/>
    <w:rsid w:val="00927AF4"/>
    <w:rsid w:val="00927B5D"/>
    <w:rsid w:val="00927C13"/>
    <w:rsid w:val="00927CD1"/>
    <w:rsid w:val="00927D02"/>
    <w:rsid w:val="00927D05"/>
    <w:rsid w:val="00927D23"/>
    <w:rsid w:val="00927D83"/>
    <w:rsid w:val="00927DE7"/>
    <w:rsid w:val="00927FF3"/>
    <w:rsid w:val="00930010"/>
    <w:rsid w:val="009300B4"/>
    <w:rsid w:val="00930152"/>
    <w:rsid w:val="0093015E"/>
    <w:rsid w:val="00930179"/>
    <w:rsid w:val="00930273"/>
    <w:rsid w:val="00930292"/>
    <w:rsid w:val="009302AB"/>
    <w:rsid w:val="009302C7"/>
    <w:rsid w:val="00930395"/>
    <w:rsid w:val="00930456"/>
    <w:rsid w:val="00930473"/>
    <w:rsid w:val="009304C9"/>
    <w:rsid w:val="0093060A"/>
    <w:rsid w:val="00930638"/>
    <w:rsid w:val="009307D5"/>
    <w:rsid w:val="009307E9"/>
    <w:rsid w:val="00930823"/>
    <w:rsid w:val="009308C6"/>
    <w:rsid w:val="0093094D"/>
    <w:rsid w:val="00930B00"/>
    <w:rsid w:val="00930B59"/>
    <w:rsid w:val="00930B5C"/>
    <w:rsid w:val="00930BEB"/>
    <w:rsid w:val="00930BF1"/>
    <w:rsid w:val="00930C53"/>
    <w:rsid w:val="00930D5D"/>
    <w:rsid w:val="00930DCE"/>
    <w:rsid w:val="00930DF1"/>
    <w:rsid w:val="00930E22"/>
    <w:rsid w:val="00930E4C"/>
    <w:rsid w:val="00930E91"/>
    <w:rsid w:val="00930F89"/>
    <w:rsid w:val="00931048"/>
    <w:rsid w:val="00931226"/>
    <w:rsid w:val="00931253"/>
    <w:rsid w:val="00931338"/>
    <w:rsid w:val="009313FD"/>
    <w:rsid w:val="00931415"/>
    <w:rsid w:val="00931540"/>
    <w:rsid w:val="00931641"/>
    <w:rsid w:val="00931815"/>
    <w:rsid w:val="00931B6C"/>
    <w:rsid w:val="00931BBE"/>
    <w:rsid w:val="00931CE6"/>
    <w:rsid w:val="00931E78"/>
    <w:rsid w:val="00931E7F"/>
    <w:rsid w:val="00931F44"/>
    <w:rsid w:val="0093201F"/>
    <w:rsid w:val="009320BF"/>
    <w:rsid w:val="0093211D"/>
    <w:rsid w:val="009323D6"/>
    <w:rsid w:val="009323F7"/>
    <w:rsid w:val="0093241B"/>
    <w:rsid w:val="00932432"/>
    <w:rsid w:val="00932436"/>
    <w:rsid w:val="0093243A"/>
    <w:rsid w:val="0093245B"/>
    <w:rsid w:val="009324BE"/>
    <w:rsid w:val="00932573"/>
    <w:rsid w:val="009325EC"/>
    <w:rsid w:val="00932644"/>
    <w:rsid w:val="0093264A"/>
    <w:rsid w:val="00932655"/>
    <w:rsid w:val="00932697"/>
    <w:rsid w:val="009326C7"/>
    <w:rsid w:val="00932826"/>
    <w:rsid w:val="0093283D"/>
    <w:rsid w:val="0093287A"/>
    <w:rsid w:val="009328A0"/>
    <w:rsid w:val="00932938"/>
    <w:rsid w:val="0093297E"/>
    <w:rsid w:val="00932995"/>
    <w:rsid w:val="00932B2A"/>
    <w:rsid w:val="00932BCB"/>
    <w:rsid w:val="00932C36"/>
    <w:rsid w:val="00932D78"/>
    <w:rsid w:val="00932E42"/>
    <w:rsid w:val="00932E6B"/>
    <w:rsid w:val="00932E7E"/>
    <w:rsid w:val="00932E8B"/>
    <w:rsid w:val="00932FCA"/>
    <w:rsid w:val="009331B2"/>
    <w:rsid w:val="009331DC"/>
    <w:rsid w:val="00933211"/>
    <w:rsid w:val="009332E7"/>
    <w:rsid w:val="0093350A"/>
    <w:rsid w:val="00933540"/>
    <w:rsid w:val="0093358E"/>
    <w:rsid w:val="00933662"/>
    <w:rsid w:val="00933698"/>
    <w:rsid w:val="009336F3"/>
    <w:rsid w:val="00933788"/>
    <w:rsid w:val="009337F7"/>
    <w:rsid w:val="00933817"/>
    <w:rsid w:val="0093386F"/>
    <w:rsid w:val="009338B9"/>
    <w:rsid w:val="009339D6"/>
    <w:rsid w:val="00933A18"/>
    <w:rsid w:val="00933AC6"/>
    <w:rsid w:val="00933BD2"/>
    <w:rsid w:val="00933C54"/>
    <w:rsid w:val="00933C6F"/>
    <w:rsid w:val="00933E3E"/>
    <w:rsid w:val="00933ED5"/>
    <w:rsid w:val="00934105"/>
    <w:rsid w:val="009341A1"/>
    <w:rsid w:val="0093426D"/>
    <w:rsid w:val="00934610"/>
    <w:rsid w:val="00934670"/>
    <w:rsid w:val="0093475F"/>
    <w:rsid w:val="00934788"/>
    <w:rsid w:val="0093479B"/>
    <w:rsid w:val="009347E9"/>
    <w:rsid w:val="0093488D"/>
    <w:rsid w:val="009349E1"/>
    <w:rsid w:val="00934A27"/>
    <w:rsid w:val="00934B4C"/>
    <w:rsid w:val="00934CB3"/>
    <w:rsid w:val="00934CE2"/>
    <w:rsid w:val="00934D4D"/>
    <w:rsid w:val="00934E07"/>
    <w:rsid w:val="00934F46"/>
    <w:rsid w:val="00934FA4"/>
    <w:rsid w:val="00935026"/>
    <w:rsid w:val="009351A3"/>
    <w:rsid w:val="00935298"/>
    <w:rsid w:val="0093540F"/>
    <w:rsid w:val="009354C5"/>
    <w:rsid w:val="0093557B"/>
    <w:rsid w:val="00935696"/>
    <w:rsid w:val="0093569D"/>
    <w:rsid w:val="00935704"/>
    <w:rsid w:val="009357E3"/>
    <w:rsid w:val="009357E8"/>
    <w:rsid w:val="009358BE"/>
    <w:rsid w:val="009358D7"/>
    <w:rsid w:val="0093596E"/>
    <w:rsid w:val="00935995"/>
    <w:rsid w:val="00935AB0"/>
    <w:rsid w:val="00935B1B"/>
    <w:rsid w:val="00935B3F"/>
    <w:rsid w:val="00935BBA"/>
    <w:rsid w:val="00935C8B"/>
    <w:rsid w:val="00935E05"/>
    <w:rsid w:val="00935E09"/>
    <w:rsid w:val="00935E72"/>
    <w:rsid w:val="00935F8D"/>
    <w:rsid w:val="00936032"/>
    <w:rsid w:val="009360BE"/>
    <w:rsid w:val="009360D8"/>
    <w:rsid w:val="009360DC"/>
    <w:rsid w:val="00936150"/>
    <w:rsid w:val="0093636B"/>
    <w:rsid w:val="009363E7"/>
    <w:rsid w:val="0093651C"/>
    <w:rsid w:val="009365A6"/>
    <w:rsid w:val="00936613"/>
    <w:rsid w:val="00936621"/>
    <w:rsid w:val="009366D7"/>
    <w:rsid w:val="00936711"/>
    <w:rsid w:val="00936734"/>
    <w:rsid w:val="0093676B"/>
    <w:rsid w:val="00936772"/>
    <w:rsid w:val="009367BF"/>
    <w:rsid w:val="00936843"/>
    <w:rsid w:val="0093699C"/>
    <w:rsid w:val="00936A99"/>
    <w:rsid w:val="00936B20"/>
    <w:rsid w:val="00936B90"/>
    <w:rsid w:val="00936BE0"/>
    <w:rsid w:val="00936DAB"/>
    <w:rsid w:val="00936E08"/>
    <w:rsid w:val="00936E0E"/>
    <w:rsid w:val="00936E91"/>
    <w:rsid w:val="00936E93"/>
    <w:rsid w:val="00936FD4"/>
    <w:rsid w:val="00936FDF"/>
    <w:rsid w:val="00937025"/>
    <w:rsid w:val="00937046"/>
    <w:rsid w:val="00937053"/>
    <w:rsid w:val="009370A1"/>
    <w:rsid w:val="009370CA"/>
    <w:rsid w:val="00937180"/>
    <w:rsid w:val="009371EC"/>
    <w:rsid w:val="0093721C"/>
    <w:rsid w:val="009373EC"/>
    <w:rsid w:val="00937459"/>
    <w:rsid w:val="009374BB"/>
    <w:rsid w:val="00937591"/>
    <w:rsid w:val="009375D9"/>
    <w:rsid w:val="009376A2"/>
    <w:rsid w:val="0093773C"/>
    <w:rsid w:val="00937760"/>
    <w:rsid w:val="00937824"/>
    <w:rsid w:val="0093784B"/>
    <w:rsid w:val="009378BA"/>
    <w:rsid w:val="00937950"/>
    <w:rsid w:val="009379A6"/>
    <w:rsid w:val="00937A03"/>
    <w:rsid w:val="00937A49"/>
    <w:rsid w:val="00937A56"/>
    <w:rsid w:val="00937AC5"/>
    <w:rsid w:val="00937CCE"/>
    <w:rsid w:val="00937CD9"/>
    <w:rsid w:val="00937D32"/>
    <w:rsid w:val="00937DDB"/>
    <w:rsid w:val="00937E4A"/>
    <w:rsid w:val="00940108"/>
    <w:rsid w:val="00940227"/>
    <w:rsid w:val="009403EF"/>
    <w:rsid w:val="0094049C"/>
    <w:rsid w:val="0094057C"/>
    <w:rsid w:val="009405C7"/>
    <w:rsid w:val="0094062B"/>
    <w:rsid w:val="00940655"/>
    <w:rsid w:val="00940674"/>
    <w:rsid w:val="0094078C"/>
    <w:rsid w:val="0094083B"/>
    <w:rsid w:val="00940921"/>
    <w:rsid w:val="0094092F"/>
    <w:rsid w:val="009409A6"/>
    <w:rsid w:val="009409AD"/>
    <w:rsid w:val="00940A2B"/>
    <w:rsid w:val="00940A50"/>
    <w:rsid w:val="00940A59"/>
    <w:rsid w:val="00940A63"/>
    <w:rsid w:val="00940A67"/>
    <w:rsid w:val="00940D1C"/>
    <w:rsid w:val="00940DE2"/>
    <w:rsid w:val="00940E8D"/>
    <w:rsid w:val="00940EAD"/>
    <w:rsid w:val="00941169"/>
    <w:rsid w:val="00941189"/>
    <w:rsid w:val="009411C4"/>
    <w:rsid w:val="00941265"/>
    <w:rsid w:val="00941352"/>
    <w:rsid w:val="0094141B"/>
    <w:rsid w:val="0094151F"/>
    <w:rsid w:val="00941557"/>
    <w:rsid w:val="0094159C"/>
    <w:rsid w:val="00941988"/>
    <w:rsid w:val="009419D3"/>
    <w:rsid w:val="009419DA"/>
    <w:rsid w:val="00941A5E"/>
    <w:rsid w:val="00941B11"/>
    <w:rsid w:val="00941F48"/>
    <w:rsid w:val="00941F5C"/>
    <w:rsid w:val="009420A0"/>
    <w:rsid w:val="00942169"/>
    <w:rsid w:val="0094220B"/>
    <w:rsid w:val="00942358"/>
    <w:rsid w:val="00942365"/>
    <w:rsid w:val="00942385"/>
    <w:rsid w:val="009423A6"/>
    <w:rsid w:val="009423C8"/>
    <w:rsid w:val="00942407"/>
    <w:rsid w:val="00942471"/>
    <w:rsid w:val="009424E7"/>
    <w:rsid w:val="009424F6"/>
    <w:rsid w:val="00942527"/>
    <w:rsid w:val="00942553"/>
    <w:rsid w:val="009425D0"/>
    <w:rsid w:val="009425EA"/>
    <w:rsid w:val="009425F3"/>
    <w:rsid w:val="009425FF"/>
    <w:rsid w:val="00942627"/>
    <w:rsid w:val="009426E4"/>
    <w:rsid w:val="009427A3"/>
    <w:rsid w:val="009427DB"/>
    <w:rsid w:val="009428CE"/>
    <w:rsid w:val="00942906"/>
    <w:rsid w:val="00942964"/>
    <w:rsid w:val="009429D3"/>
    <w:rsid w:val="009429F9"/>
    <w:rsid w:val="00942AAF"/>
    <w:rsid w:val="00942B25"/>
    <w:rsid w:val="00942B91"/>
    <w:rsid w:val="00942CC8"/>
    <w:rsid w:val="00942D11"/>
    <w:rsid w:val="00942D59"/>
    <w:rsid w:val="00942E34"/>
    <w:rsid w:val="00942F44"/>
    <w:rsid w:val="00942F7F"/>
    <w:rsid w:val="00942FE7"/>
    <w:rsid w:val="009430BA"/>
    <w:rsid w:val="009430BB"/>
    <w:rsid w:val="009430E0"/>
    <w:rsid w:val="00943141"/>
    <w:rsid w:val="00943152"/>
    <w:rsid w:val="00943199"/>
    <w:rsid w:val="009431E5"/>
    <w:rsid w:val="0094322B"/>
    <w:rsid w:val="00943407"/>
    <w:rsid w:val="0094346F"/>
    <w:rsid w:val="009435B7"/>
    <w:rsid w:val="009435CA"/>
    <w:rsid w:val="009435F5"/>
    <w:rsid w:val="0094371B"/>
    <w:rsid w:val="0094372E"/>
    <w:rsid w:val="00943837"/>
    <w:rsid w:val="00943921"/>
    <w:rsid w:val="0094395A"/>
    <w:rsid w:val="00943991"/>
    <w:rsid w:val="009439C3"/>
    <w:rsid w:val="009439CE"/>
    <w:rsid w:val="009439DD"/>
    <w:rsid w:val="009439F5"/>
    <w:rsid w:val="00943A0B"/>
    <w:rsid w:val="00943A24"/>
    <w:rsid w:val="00943A2B"/>
    <w:rsid w:val="00943DD2"/>
    <w:rsid w:val="00943EBD"/>
    <w:rsid w:val="00943F6C"/>
    <w:rsid w:val="00943F82"/>
    <w:rsid w:val="00943F84"/>
    <w:rsid w:val="00943FF1"/>
    <w:rsid w:val="00943FFD"/>
    <w:rsid w:val="009440C9"/>
    <w:rsid w:val="009440D5"/>
    <w:rsid w:val="0094424F"/>
    <w:rsid w:val="009442E2"/>
    <w:rsid w:val="00944307"/>
    <w:rsid w:val="0094437E"/>
    <w:rsid w:val="0094440A"/>
    <w:rsid w:val="00944510"/>
    <w:rsid w:val="009447A0"/>
    <w:rsid w:val="009447CC"/>
    <w:rsid w:val="009447DC"/>
    <w:rsid w:val="0094499E"/>
    <w:rsid w:val="009449E5"/>
    <w:rsid w:val="00944A07"/>
    <w:rsid w:val="00944A6E"/>
    <w:rsid w:val="00944AC4"/>
    <w:rsid w:val="00944B6B"/>
    <w:rsid w:val="00944C2E"/>
    <w:rsid w:val="00944D3F"/>
    <w:rsid w:val="00944E1E"/>
    <w:rsid w:val="00944E57"/>
    <w:rsid w:val="00944EA9"/>
    <w:rsid w:val="00944FA9"/>
    <w:rsid w:val="00944FF5"/>
    <w:rsid w:val="00945230"/>
    <w:rsid w:val="00945235"/>
    <w:rsid w:val="0094526A"/>
    <w:rsid w:val="009452F3"/>
    <w:rsid w:val="00945398"/>
    <w:rsid w:val="0094545F"/>
    <w:rsid w:val="009454D3"/>
    <w:rsid w:val="009454DE"/>
    <w:rsid w:val="00945578"/>
    <w:rsid w:val="009455BB"/>
    <w:rsid w:val="009456A2"/>
    <w:rsid w:val="009456D8"/>
    <w:rsid w:val="0094588C"/>
    <w:rsid w:val="00945A24"/>
    <w:rsid w:val="00945B87"/>
    <w:rsid w:val="00945BB3"/>
    <w:rsid w:val="00945C0E"/>
    <w:rsid w:val="00945C5C"/>
    <w:rsid w:val="00945CD3"/>
    <w:rsid w:val="00945E10"/>
    <w:rsid w:val="00945E16"/>
    <w:rsid w:val="00945E8E"/>
    <w:rsid w:val="00945FAF"/>
    <w:rsid w:val="0094602A"/>
    <w:rsid w:val="00946099"/>
    <w:rsid w:val="009460B7"/>
    <w:rsid w:val="009461CD"/>
    <w:rsid w:val="009462B6"/>
    <w:rsid w:val="00946329"/>
    <w:rsid w:val="009463DF"/>
    <w:rsid w:val="0094647F"/>
    <w:rsid w:val="009464DE"/>
    <w:rsid w:val="009464E7"/>
    <w:rsid w:val="00946525"/>
    <w:rsid w:val="0094656C"/>
    <w:rsid w:val="0094657F"/>
    <w:rsid w:val="009466A2"/>
    <w:rsid w:val="00946739"/>
    <w:rsid w:val="0094678F"/>
    <w:rsid w:val="00946795"/>
    <w:rsid w:val="009467C6"/>
    <w:rsid w:val="009467D5"/>
    <w:rsid w:val="009467D9"/>
    <w:rsid w:val="00946826"/>
    <w:rsid w:val="0094688E"/>
    <w:rsid w:val="009468FB"/>
    <w:rsid w:val="00946A68"/>
    <w:rsid w:val="00946D46"/>
    <w:rsid w:val="00946D8E"/>
    <w:rsid w:val="00946DF2"/>
    <w:rsid w:val="00946E3D"/>
    <w:rsid w:val="00946E94"/>
    <w:rsid w:val="00947033"/>
    <w:rsid w:val="009470E6"/>
    <w:rsid w:val="00947146"/>
    <w:rsid w:val="00947194"/>
    <w:rsid w:val="00947216"/>
    <w:rsid w:val="00947325"/>
    <w:rsid w:val="00947339"/>
    <w:rsid w:val="00947398"/>
    <w:rsid w:val="009473CC"/>
    <w:rsid w:val="0094745F"/>
    <w:rsid w:val="009474E7"/>
    <w:rsid w:val="0094754A"/>
    <w:rsid w:val="009475CA"/>
    <w:rsid w:val="00947618"/>
    <w:rsid w:val="0094761A"/>
    <w:rsid w:val="0094765A"/>
    <w:rsid w:val="00947799"/>
    <w:rsid w:val="009477CA"/>
    <w:rsid w:val="009477D4"/>
    <w:rsid w:val="009477E4"/>
    <w:rsid w:val="00947A31"/>
    <w:rsid w:val="00947ABF"/>
    <w:rsid w:val="00947B50"/>
    <w:rsid w:val="00947B7F"/>
    <w:rsid w:val="00947C3B"/>
    <w:rsid w:val="00947C5D"/>
    <w:rsid w:val="00947DA9"/>
    <w:rsid w:val="00947E0F"/>
    <w:rsid w:val="00947E43"/>
    <w:rsid w:val="00947E5A"/>
    <w:rsid w:val="00947E8A"/>
    <w:rsid w:val="00947FAD"/>
    <w:rsid w:val="00947FD1"/>
    <w:rsid w:val="00950048"/>
    <w:rsid w:val="00950072"/>
    <w:rsid w:val="0095009E"/>
    <w:rsid w:val="009501D1"/>
    <w:rsid w:val="009503B6"/>
    <w:rsid w:val="009504EA"/>
    <w:rsid w:val="00950554"/>
    <w:rsid w:val="009507CC"/>
    <w:rsid w:val="009507F3"/>
    <w:rsid w:val="0095084B"/>
    <w:rsid w:val="009508CC"/>
    <w:rsid w:val="009508FA"/>
    <w:rsid w:val="0095093E"/>
    <w:rsid w:val="0095098A"/>
    <w:rsid w:val="00950990"/>
    <w:rsid w:val="00950993"/>
    <w:rsid w:val="00950AFE"/>
    <w:rsid w:val="00950B15"/>
    <w:rsid w:val="00950B2E"/>
    <w:rsid w:val="00950B44"/>
    <w:rsid w:val="00950B50"/>
    <w:rsid w:val="00950BAE"/>
    <w:rsid w:val="00950D18"/>
    <w:rsid w:val="00950D5F"/>
    <w:rsid w:val="00950E1B"/>
    <w:rsid w:val="00950ECE"/>
    <w:rsid w:val="00950EFA"/>
    <w:rsid w:val="00950F3D"/>
    <w:rsid w:val="0095103F"/>
    <w:rsid w:val="0095115F"/>
    <w:rsid w:val="0095116F"/>
    <w:rsid w:val="00951433"/>
    <w:rsid w:val="009514A1"/>
    <w:rsid w:val="009514D7"/>
    <w:rsid w:val="00951599"/>
    <w:rsid w:val="009515FC"/>
    <w:rsid w:val="00951698"/>
    <w:rsid w:val="009516BE"/>
    <w:rsid w:val="0095175A"/>
    <w:rsid w:val="009517EA"/>
    <w:rsid w:val="00951826"/>
    <w:rsid w:val="009518F6"/>
    <w:rsid w:val="00951B4C"/>
    <w:rsid w:val="00951C09"/>
    <w:rsid w:val="00951C37"/>
    <w:rsid w:val="00951CF5"/>
    <w:rsid w:val="00951D1A"/>
    <w:rsid w:val="00951E39"/>
    <w:rsid w:val="00951E48"/>
    <w:rsid w:val="00951F3D"/>
    <w:rsid w:val="00951FC7"/>
    <w:rsid w:val="0095210E"/>
    <w:rsid w:val="00952177"/>
    <w:rsid w:val="009522C3"/>
    <w:rsid w:val="009523EF"/>
    <w:rsid w:val="00952453"/>
    <w:rsid w:val="0095260F"/>
    <w:rsid w:val="009526C1"/>
    <w:rsid w:val="00952701"/>
    <w:rsid w:val="00952713"/>
    <w:rsid w:val="00952799"/>
    <w:rsid w:val="00952804"/>
    <w:rsid w:val="00952828"/>
    <w:rsid w:val="009528A1"/>
    <w:rsid w:val="009528C4"/>
    <w:rsid w:val="009528E0"/>
    <w:rsid w:val="00952904"/>
    <w:rsid w:val="009529D2"/>
    <w:rsid w:val="00952C79"/>
    <w:rsid w:val="00952C8F"/>
    <w:rsid w:val="00952D6F"/>
    <w:rsid w:val="00952DAB"/>
    <w:rsid w:val="00952E48"/>
    <w:rsid w:val="00952EC2"/>
    <w:rsid w:val="00952FA2"/>
    <w:rsid w:val="0095309B"/>
    <w:rsid w:val="009530D2"/>
    <w:rsid w:val="00953106"/>
    <w:rsid w:val="00953121"/>
    <w:rsid w:val="0095317F"/>
    <w:rsid w:val="009531AE"/>
    <w:rsid w:val="009531FC"/>
    <w:rsid w:val="00953281"/>
    <w:rsid w:val="009532A4"/>
    <w:rsid w:val="00953302"/>
    <w:rsid w:val="00953368"/>
    <w:rsid w:val="009534C2"/>
    <w:rsid w:val="009535A7"/>
    <w:rsid w:val="00953648"/>
    <w:rsid w:val="00953654"/>
    <w:rsid w:val="00953720"/>
    <w:rsid w:val="00953728"/>
    <w:rsid w:val="00953780"/>
    <w:rsid w:val="009537BC"/>
    <w:rsid w:val="00953823"/>
    <w:rsid w:val="00953870"/>
    <w:rsid w:val="009538D6"/>
    <w:rsid w:val="00953916"/>
    <w:rsid w:val="00953988"/>
    <w:rsid w:val="009539DE"/>
    <w:rsid w:val="00953B34"/>
    <w:rsid w:val="00953B38"/>
    <w:rsid w:val="00953BA8"/>
    <w:rsid w:val="00953D01"/>
    <w:rsid w:val="00953D1E"/>
    <w:rsid w:val="00953E0B"/>
    <w:rsid w:val="00953EB7"/>
    <w:rsid w:val="00953F19"/>
    <w:rsid w:val="00953F20"/>
    <w:rsid w:val="00953F4F"/>
    <w:rsid w:val="00954030"/>
    <w:rsid w:val="00954084"/>
    <w:rsid w:val="009540B4"/>
    <w:rsid w:val="009540FC"/>
    <w:rsid w:val="0095415C"/>
    <w:rsid w:val="00954201"/>
    <w:rsid w:val="00954295"/>
    <w:rsid w:val="009542BD"/>
    <w:rsid w:val="00954571"/>
    <w:rsid w:val="00954676"/>
    <w:rsid w:val="009546BE"/>
    <w:rsid w:val="00954785"/>
    <w:rsid w:val="0095478E"/>
    <w:rsid w:val="009549AC"/>
    <w:rsid w:val="00954A83"/>
    <w:rsid w:val="00954AD3"/>
    <w:rsid w:val="00954AE3"/>
    <w:rsid w:val="00954BBB"/>
    <w:rsid w:val="00954BC0"/>
    <w:rsid w:val="00954BFA"/>
    <w:rsid w:val="00954C44"/>
    <w:rsid w:val="00954F9E"/>
    <w:rsid w:val="00954FB4"/>
    <w:rsid w:val="00955055"/>
    <w:rsid w:val="009550E5"/>
    <w:rsid w:val="0095513E"/>
    <w:rsid w:val="0095535D"/>
    <w:rsid w:val="0095544E"/>
    <w:rsid w:val="0095547D"/>
    <w:rsid w:val="009554EA"/>
    <w:rsid w:val="009555AC"/>
    <w:rsid w:val="0095570B"/>
    <w:rsid w:val="0095571C"/>
    <w:rsid w:val="00955855"/>
    <w:rsid w:val="009558B7"/>
    <w:rsid w:val="009558F1"/>
    <w:rsid w:val="00955963"/>
    <w:rsid w:val="00955A58"/>
    <w:rsid w:val="00955AF3"/>
    <w:rsid w:val="00955B4E"/>
    <w:rsid w:val="00955C0B"/>
    <w:rsid w:val="00955C2F"/>
    <w:rsid w:val="00955C6B"/>
    <w:rsid w:val="00955CCA"/>
    <w:rsid w:val="00955D28"/>
    <w:rsid w:val="00955F05"/>
    <w:rsid w:val="00955F1C"/>
    <w:rsid w:val="0095605A"/>
    <w:rsid w:val="00956194"/>
    <w:rsid w:val="009561AD"/>
    <w:rsid w:val="00956272"/>
    <w:rsid w:val="0095659B"/>
    <w:rsid w:val="009565D0"/>
    <w:rsid w:val="00956608"/>
    <w:rsid w:val="0095663C"/>
    <w:rsid w:val="0095666F"/>
    <w:rsid w:val="00956746"/>
    <w:rsid w:val="00956992"/>
    <w:rsid w:val="009569CD"/>
    <w:rsid w:val="009569F6"/>
    <w:rsid w:val="00956A07"/>
    <w:rsid w:val="00956A62"/>
    <w:rsid w:val="00956AFB"/>
    <w:rsid w:val="00956C11"/>
    <w:rsid w:val="00956C96"/>
    <w:rsid w:val="00956CD0"/>
    <w:rsid w:val="00956CE9"/>
    <w:rsid w:val="00956D63"/>
    <w:rsid w:val="00956EE1"/>
    <w:rsid w:val="00956F8D"/>
    <w:rsid w:val="009571B3"/>
    <w:rsid w:val="0095720A"/>
    <w:rsid w:val="00957351"/>
    <w:rsid w:val="009573A2"/>
    <w:rsid w:val="00957451"/>
    <w:rsid w:val="0095750A"/>
    <w:rsid w:val="00957624"/>
    <w:rsid w:val="00957769"/>
    <w:rsid w:val="0095776B"/>
    <w:rsid w:val="0095787B"/>
    <w:rsid w:val="0095788F"/>
    <w:rsid w:val="00957898"/>
    <w:rsid w:val="009578DA"/>
    <w:rsid w:val="00957A23"/>
    <w:rsid w:val="00957C30"/>
    <w:rsid w:val="00957DD0"/>
    <w:rsid w:val="00957E80"/>
    <w:rsid w:val="00957E99"/>
    <w:rsid w:val="00957EE5"/>
    <w:rsid w:val="00957F81"/>
    <w:rsid w:val="00957FE7"/>
    <w:rsid w:val="00957FF7"/>
    <w:rsid w:val="009600C3"/>
    <w:rsid w:val="00960112"/>
    <w:rsid w:val="00960284"/>
    <w:rsid w:val="0096030C"/>
    <w:rsid w:val="0096030F"/>
    <w:rsid w:val="0096044D"/>
    <w:rsid w:val="00960681"/>
    <w:rsid w:val="00960708"/>
    <w:rsid w:val="00960839"/>
    <w:rsid w:val="00960851"/>
    <w:rsid w:val="00960880"/>
    <w:rsid w:val="009608F9"/>
    <w:rsid w:val="00960998"/>
    <w:rsid w:val="009609FF"/>
    <w:rsid w:val="00960A28"/>
    <w:rsid w:val="00960A72"/>
    <w:rsid w:val="00960B0D"/>
    <w:rsid w:val="00960B4C"/>
    <w:rsid w:val="00960CC4"/>
    <w:rsid w:val="00960D0E"/>
    <w:rsid w:val="00960DAF"/>
    <w:rsid w:val="00960E29"/>
    <w:rsid w:val="00960E3B"/>
    <w:rsid w:val="00960E63"/>
    <w:rsid w:val="00960E6A"/>
    <w:rsid w:val="009610EE"/>
    <w:rsid w:val="009611AF"/>
    <w:rsid w:val="009611B4"/>
    <w:rsid w:val="009611E4"/>
    <w:rsid w:val="009611E9"/>
    <w:rsid w:val="0096128F"/>
    <w:rsid w:val="009612B4"/>
    <w:rsid w:val="00961419"/>
    <w:rsid w:val="0096146F"/>
    <w:rsid w:val="00961470"/>
    <w:rsid w:val="009615A7"/>
    <w:rsid w:val="00961631"/>
    <w:rsid w:val="0096169D"/>
    <w:rsid w:val="009616D6"/>
    <w:rsid w:val="00961745"/>
    <w:rsid w:val="009617A0"/>
    <w:rsid w:val="00961832"/>
    <w:rsid w:val="009618D5"/>
    <w:rsid w:val="00961942"/>
    <w:rsid w:val="00961A1C"/>
    <w:rsid w:val="00961B55"/>
    <w:rsid w:val="00961C57"/>
    <w:rsid w:val="00961CF6"/>
    <w:rsid w:val="00961D2D"/>
    <w:rsid w:val="00961DF9"/>
    <w:rsid w:val="00961E7F"/>
    <w:rsid w:val="009620FA"/>
    <w:rsid w:val="0096210B"/>
    <w:rsid w:val="009621EA"/>
    <w:rsid w:val="009623D4"/>
    <w:rsid w:val="009623E0"/>
    <w:rsid w:val="00962557"/>
    <w:rsid w:val="00962561"/>
    <w:rsid w:val="009626FA"/>
    <w:rsid w:val="00962881"/>
    <w:rsid w:val="009628E0"/>
    <w:rsid w:val="009628EE"/>
    <w:rsid w:val="0096292A"/>
    <w:rsid w:val="009629F8"/>
    <w:rsid w:val="00962C35"/>
    <w:rsid w:val="00962CA3"/>
    <w:rsid w:val="00962EDD"/>
    <w:rsid w:val="00962F88"/>
    <w:rsid w:val="00963069"/>
    <w:rsid w:val="009630AB"/>
    <w:rsid w:val="00963189"/>
    <w:rsid w:val="0096323E"/>
    <w:rsid w:val="00963258"/>
    <w:rsid w:val="00963273"/>
    <w:rsid w:val="009632BF"/>
    <w:rsid w:val="0096331B"/>
    <w:rsid w:val="00963634"/>
    <w:rsid w:val="0096363B"/>
    <w:rsid w:val="009636BD"/>
    <w:rsid w:val="009636D3"/>
    <w:rsid w:val="00963720"/>
    <w:rsid w:val="0096373F"/>
    <w:rsid w:val="009639F2"/>
    <w:rsid w:val="00963B58"/>
    <w:rsid w:val="00963B85"/>
    <w:rsid w:val="00963BE6"/>
    <w:rsid w:val="00963DC9"/>
    <w:rsid w:val="00963E43"/>
    <w:rsid w:val="00963EAB"/>
    <w:rsid w:val="00963F8F"/>
    <w:rsid w:val="00963F9B"/>
    <w:rsid w:val="00963FE4"/>
    <w:rsid w:val="00964004"/>
    <w:rsid w:val="00964046"/>
    <w:rsid w:val="00964129"/>
    <w:rsid w:val="00964277"/>
    <w:rsid w:val="00964294"/>
    <w:rsid w:val="009642DB"/>
    <w:rsid w:val="00964353"/>
    <w:rsid w:val="009643A6"/>
    <w:rsid w:val="009644C6"/>
    <w:rsid w:val="0096476F"/>
    <w:rsid w:val="009647C4"/>
    <w:rsid w:val="009647DF"/>
    <w:rsid w:val="009648DA"/>
    <w:rsid w:val="00964BA1"/>
    <w:rsid w:val="00964D53"/>
    <w:rsid w:val="00964DC0"/>
    <w:rsid w:val="00964F02"/>
    <w:rsid w:val="00965069"/>
    <w:rsid w:val="00965123"/>
    <w:rsid w:val="00965124"/>
    <w:rsid w:val="00965187"/>
    <w:rsid w:val="00965287"/>
    <w:rsid w:val="009652F1"/>
    <w:rsid w:val="0096539F"/>
    <w:rsid w:val="0096541B"/>
    <w:rsid w:val="00965503"/>
    <w:rsid w:val="0096552A"/>
    <w:rsid w:val="0096559E"/>
    <w:rsid w:val="009655C2"/>
    <w:rsid w:val="00965642"/>
    <w:rsid w:val="009656AA"/>
    <w:rsid w:val="0096572F"/>
    <w:rsid w:val="00965865"/>
    <w:rsid w:val="0096590D"/>
    <w:rsid w:val="00965A25"/>
    <w:rsid w:val="00965AF1"/>
    <w:rsid w:val="00965B56"/>
    <w:rsid w:val="00965C4F"/>
    <w:rsid w:val="00965CB7"/>
    <w:rsid w:val="00965FD6"/>
    <w:rsid w:val="00965FE5"/>
    <w:rsid w:val="009660E0"/>
    <w:rsid w:val="00966155"/>
    <w:rsid w:val="009663D3"/>
    <w:rsid w:val="009663E0"/>
    <w:rsid w:val="00966440"/>
    <w:rsid w:val="00966652"/>
    <w:rsid w:val="00966775"/>
    <w:rsid w:val="009668C7"/>
    <w:rsid w:val="00966968"/>
    <w:rsid w:val="00966A7B"/>
    <w:rsid w:val="00966B41"/>
    <w:rsid w:val="00966DBD"/>
    <w:rsid w:val="00966F64"/>
    <w:rsid w:val="00966F96"/>
    <w:rsid w:val="0096710E"/>
    <w:rsid w:val="00967191"/>
    <w:rsid w:val="00967241"/>
    <w:rsid w:val="0096726E"/>
    <w:rsid w:val="0096729A"/>
    <w:rsid w:val="0096738B"/>
    <w:rsid w:val="009674DD"/>
    <w:rsid w:val="00967524"/>
    <w:rsid w:val="00967558"/>
    <w:rsid w:val="00967672"/>
    <w:rsid w:val="00967711"/>
    <w:rsid w:val="009677E3"/>
    <w:rsid w:val="009678B8"/>
    <w:rsid w:val="00967925"/>
    <w:rsid w:val="00967955"/>
    <w:rsid w:val="009679B9"/>
    <w:rsid w:val="00967A6A"/>
    <w:rsid w:val="00967B0E"/>
    <w:rsid w:val="00967D15"/>
    <w:rsid w:val="00967D34"/>
    <w:rsid w:val="00967D51"/>
    <w:rsid w:val="00967DD3"/>
    <w:rsid w:val="00967F08"/>
    <w:rsid w:val="00967F4C"/>
    <w:rsid w:val="009700E3"/>
    <w:rsid w:val="00970211"/>
    <w:rsid w:val="00970216"/>
    <w:rsid w:val="00970249"/>
    <w:rsid w:val="0097026F"/>
    <w:rsid w:val="0097029D"/>
    <w:rsid w:val="009702A2"/>
    <w:rsid w:val="009703B6"/>
    <w:rsid w:val="00970899"/>
    <w:rsid w:val="00970901"/>
    <w:rsid w:val="009709DC"/>
    <w:rsid w:val="009709ED"/>
    <w:rsid w:val="009709F9"/>
    <w:rsid w:val="00970A5A"/>
    <w:rsid w:val="00970B6D"/>
    <w:rsid w:val="00970C5D"/>
    <w:rsid w:val="00970CC6"/>
    <w:rsid w:val="00970D15"/>
    <w:rsid w:val="00970D19"/>
    <w:rsid w:val="00970D7F"/>
    <w:rsid w:val="00970E62"/>
    <w:rsid w:val="00970EB3"/>
    <w:rsid w:val="00970F65"/>
    <w:rsid w:val="009710C8"/>
    <w:rsid w:val="009711D2"/>
    <w:rsid w:val="0097126B"/>
    <w:rsid w:val="0097145A"/>
    <w:rsid w:val="0097146E"/>
    <w:rsid w:val="00971495"/>
    <w:rsid w:val="00971680"/>
    <w:rsid w:val="00971746"/>
    <w:rsid w:val="009717EE"/>
    <w:rsid w:val="0097186A"/>
    <w:rsid w:val="00971896"/>
    <w:rsid w:val="0097189B"/>
    <w:rsid w:val="009718D0"/>
    <w:rsid w:val="009718F0"/>
    <w:rsid w:val="00971A5A"/>
    <w:rsid w:val="00971C0C"/>
    <w:rsid w:val="00971C87"/>
    <w:rsid w:val="00971CCE"/>
    <w:rsid w:val="00971D8D"/>
    <w:rsid w:val="00971EA0"/>
    <w:rsid w:val="00971ED4"/>
    <w:rsid w:val="009720C0"/>
    <w:rsid w:val="00972117"/>
    <w:rsid w:val="00972181"/>
    <w:rsid w:val="00972279"/>
    <w:rsid w:val="00972339"/>
    <w:rsid w:val="0097233F"/>
    <w:rsid w:val="009724B4"/>
    <w:rsid w:val="009724EB"/>
    <w:rsid w:val="0097259B"/>
    <w:rsid w:val="009725EE"/>
    <w:rsid w:val="0097267E"/>
    <w:rsid w:val="0097269F"/>
    <w:rsid w:val="009726CD"/>
    <w:rsid w:val="009726D1"/>
    <w:rsid w:val="00972738"/>
    <w:rsid w:val="0097276A"/>
    <w:rsid w:val="009727DD"/>
    <w:rsid w:val="00972806"/>
    <w:rsid w:val="00972818"/>
    <w:rsid w:val="0097286B"/>
    <w:rsid w:val="00972AB3"/>
    <w:rsid w:val="00972B40"/>
    <w:rsid w:val="00972C4C"/>
    <w:rsid w:val="00972CDE"/>
    <w:rsid w:val="00972CDF"/>
    <w:rsid w:val="00972CE8"/>
    <w:rsid w:val="00972CF0"/>
    <w:rsid w:val="00972D42"/>
    <w:rsid w:val="00972D5D"/>
    <w:rsid w:val="00972E6F"/>
    <w:rsid w:val="00972E83"/>
    <w:rsid w:val="00972EB4"/>
    <w:rsid w:val="00972F4F"/>
    <w:rsid w:val="00973064"/>
    <w:rsid w:val="009730DB"/>
    <w:rsid w:val="009730E3"/>
    <w:rsid w:val="009730E4"/>
    <w:rsid w:val="00973146"/>
    <w:rsid w:val="00973150"/>
    <w:rsid w:val="009731CF"/>
    <w:rsid w:val="00973212"/>
    <w:rsid w:val="00973286"/>
    <w:rsid w:val="00973405"/>
    <w:rsid w:val="00973410"/>
    <w:rsid w:val="00973465"/>
    <w:rsid w:val="00973480"/>
    <w:rsid w:val="009734A5"/>
    <w:rsid w:val="009734B4"/>
    <w:rsid w:val="009734E2"/>
    <w:rsid w:val="009734EB"/>
    <w:rsid w:val="00973510"/>
    <w:rsid w:val="00973548"/>
    <w:rsid w:val="0097366A"/>
    <w:rsid w:val="009736D0"/>
    <w:rsid w:val="00973769"/>
    <w:rsid w:val="00973901"/>
    <w:rsid w:val="00973945"/>
    <w:rsid w:val="00973974"/>
    <w:rsid w:val="00973AD4"/>
    <w:rsid w:val="00973B8F"/>
    <w:rsid w:val="00973BB4"/>
    <w:rsid w:val="00973CA6"/>
    <w:rsid w:val="00973DA6"/>
    <w:rsid w:val="00973ED3"/>
    <w:rsid w:val="00973F59"/>
    <w:rsid w:val="0097410F"/>
    <w:rsid w:val="00974111"/>
    <w:rsid w:val="00974132"/>
    <w:rsid w:val="009741BF"/>
    <w:rsid w:val="00974227"/>
    <w:rsid w:val="0097422E"/>
    <w:rsid w:val="00974605"/>
    <w:rsid w:val="009748DA"/>
    <w:rsid w:val="00974942"/>
    <w:rsid w:val="00974A2F"/>
    <w:rsid w:val="00974B35"/>
    <w:rsid w:val="00974B39"/>
    <w:rsid w:val="00974F60"/>
    <w:rsid w:val="00974FFA"/>
    <w:rsid w:val="009751A8"/>
    <w:rsid w:val="009751B3"/>
    <w:rsid w:val="009752E9"/>
    <w:rsid w:val="00975528"/>
    <w:rsid w:val="00975548"/>
    <w:rsid w:val="00975551"/>
    <w:rsid w:val="009755D7"/>
    <w:rsid w:val="009756C4"/>
    <w:rsid w:val="00975831"/>
    <w:rsid w:val="009758A0"/>
    <w:rsid w:val="0097593A"/>
    <w:rsid w:val="00975993"/>
    <w:rsid w:val="009759B4"/>
    <w:rsid w:val="00975B59"/>
    <w:rsid w:val="00975BCA"/>
    <w:rsid w:val="00975C0C"/>
    <w:rsid w:val="00975D2B"/>
    <w:rsid w:val="00975D5A"/>
    <w:rsid w:val="00975D5D"/>
    <w:rsid w:val="00975DEE"/>
    <w:rsid w:val="00975DFD"/>
    <w:rsid w:val="00975E49"/>
    <w:rsid w:val="00975E7E"/>
    <w:rsid w:val="00975FBF"/>
    <w:rsid w:val="00976172"/>
    <w:rsid w:val="009761DF"/>
    <w:rsid w:val="00976242"/>
    <w:rsid w:val="00976262"/>
    <w:rsid w:val="0097636B"/>
    <w:rsid w:val="00976405"/>
    <w:rsid w:val="00976485"/>
    <w:rsid w:val="00976506"/>
    <w:rsid w:val="00976606"/>
    <w:rsid w:val="0097664D"/>
    <w:rsid w:val="009768E3"/>
    <w:rsid w:val="00976A49"/>
    <w:rsid w:val="00976A93"/>
    <w:rsid w:val="00976B25"/>
    <w:rsid w:val="00976CF3"/>
    <w:rsid w:val="00976D7B"/>
    <w:rsid w:val="00976E02"/>
    <w:rsid w:val="00976E1D"/>
    <w:rsid w:val="00976E98"/>
    <w:rsid w:val="00976F1D"/>
    <w:rsid w:val="00976F36"/>
    <w:rsid w:val="00976FC9"/>
    <w:rsid w:val="009770BB"/>
    <w:rsid w:val="009770CF"/>
    <w:rsid w:val="0097714E"/>
    <w:rsid w:val="009771B6"/>
    <w:rsid w:val="009771B8"/>
    <w:rsid w:val="009772C4"/>
    <w:rsid w:val="009772E1"/>
    <w:rsid w:val="0097732C"/>
    <w:rsid w:val="00977502"/>
    <w:rsid w:val="00977534"/>
    <w:rsid w:val="00977572"/>
    <w:rsid w:val="009775C2"/>
    <w:rsid w:val="0097762F"/>
    <w:rsid w:val="009776A9"/>
    <w:rsid w:val="00977713"/>
    <w:rsid w:val="00977815"/>
    <w:rsid w:val="00977856"/>
    <w:rsid w:val="0097786B"/>
    <w:rsid w:val="0097793C"/>
    <w:rsid w:val="009779C7"/>
    <w:rsid w:val="009779E7"/>
    <w:rsid w:val="00977A24"/>
    <w:rsid w:val="00977AC2"/>
    <w:rsid w:val="00977AC6"/>
    <w:rsid w:val="00977B00"/>
    <w:rsid w:val="00977B47"/>
    <w:rsid w:val="00977B4B"/>
    <w:rsid w:val="00977B5A"/>
    <w:rsid w:val="00977B93"/>
    <w:rsid w:val="00977BD7"/>
    <w:rsid w:val="00977D05"/>
    <w:rsid w:val="00977D55"/>
    <w:rsid w:val="00977E8E"/>
    <w:rsid w:val="00977FD5"/>
    <w:rsid w:val="00977FDB"/>
    <w:rsid w:val="00980019"/>
    <w:rsid w:val="00980036"/>
    <w:rsid w:val="00980207"/>
    <w:rsid w:val="00980269"/>
    <w:rsid w:val="009803BC"/>
    <w:rsid w:val="00980453"/>
    <w:rsid w:val="00980462"/>
    <w:rsid w:val="0098055B"/>
    <w:rsid w:val="009805D9"/>
    <w:rsid w:val="009806C1"/>
    <w:rsid w:val="00980752"/>
    <w:rsid w:val="00980767"/>
    <w:rsid w:val="0098096A"/>
    <w:rsid w:val="009809B5"/>
    <w:rsid w:val="00980A2B"/>
    <w:rsid w:val="00980B0B"/>
    <w:rsid w:val="00980B43"/>
    <w:rsid w:val="00980C10"/>
    <w:rsid w:val="00980C9B"/>
    <w:rsid w:val="0098119E"/>
    <w:rsid w:val="009811A2"/>
    <w:rsid w:val="00981302"/>
    <w:rsid w:val="00981329"/>
    <w:rsid w:val="0098154F"/>
    <w:rsid w:val="0098158A"/>
    <w:rsid w:val="00981630"/>
    <w:rsid w:val="009816D5"/>
    <w:rsid w:val="009817DE"/>
    <w:rsid w:val="009818DD"/>
    <w:rsid w:val="009818FF"/>
    <w:rsid w:val="00981902"/>
    <w:rsid w:val="00981965"/>
    <w:rsid w:val="00981A3F"/>
    <w:rsid w:val="00981AAA"/>
    <w:rsid w:val="00981AB9"/>
    <w:rsid w:val="00981C6E"/>
    <w:rsid w:val="00981CAC"/>
    <w:rsid w:val="00981CCA"/>
    <w:rsid w:val="00981CCF"/>
    <w:rsid w:val="00981CE6"/>
    <w:rsid w:val="00981CE9"/>
    <w:rsid w:val="00981D5F"/>
    <w:rsid w:val="00981DA7"/>
    <w:rsid w:val="00981DA9"/>
    <w:rsid w:val="00981E1F"/>
    <w:rsid w:val="00981F1A"/>
    <w:rsid w:val="00981F3E"/>
    <w:rsid w:val="00982058"/>
    <w:rsid w:val="009820FD"/>
    <w:rsid w:val="009821CC"/>
    <w:rsid w:val="0098226D"/>
    <w:rsid w:val="009822B0"/>
    <w:rsid w:val="009822CF"/>
    <w:rsid w:val="009823B6"/>
    <w:rsid w:val="009823C8"/>
    <w:rsid w:val="00982432"/>
    <w:rsid w:val="0098245E"/>
    <w:rsid w:val="009824A8"/>
    <w:rsid w:val="009824C4"/>
    <w:rsid w:val="00982602"/>
    <w:rsid w:val="00982639"/>
    <w:rsid w:val="009826DD"/>
    <w:rsid w:val="009826F3"/>
    <w:rsid w:val="00982786"/>
    <w:rsid w:val="009827F1"/>
    <w:rsid w:val="00982983"/>
    <w:rsid w:val="00982A1F"/>
    <w:rsid w:val="00982A99"/>
    <w:rsid w:val="00982BC1"/>
    <w:rsid w:val="00982C26"/>
    <w:rsid w:val="00982D7E"/>
    <w:rsid w:val="00982D80"/>
    <w:rsid w:val="00982F14"/>
    <w:rsid w:val="00982FDA"/>
    <w:rsid w:val="009830B0"/>
    <w:rsid w:val="0098312F"/>
    <w:rsid w:val="00983284"/>
    <w:rsid w:val="0098350C"/>
    <w:rsid w:val="009835B4"/>
    <w:rsid w:val="009835FE"/>
    <w:rsid w:val="00983619"/>
    <w:rsid w:val="009836B3"/>
    <w:rsid w:val="009836BD"/>
    <w:rsid w:val="009836C7"/>
    <w:rsid w:val="009837FC"/>
    <w:rsid w:val="00983870"/>
    <w:rsid w:val="00983878"/>
    <w:rsid w:val="009838DE"/>
    <w:rsid w:val="009838EC"/>
    <w:rsid w:val="009838ED"/>
    <w:rsid w:val="009839CA"/>
    <w:rsid w:val="00983B0D"/>
    <w:rsid w:val="00983B59"/>
    <w:rsid w:val="00983BB6"/>
    <w:rsid w:val="00983BC5"/>
    <w:rsid w:val="00983BFB"/>
    <w:rsid w:val="00983C46"/>
    <w:rsid w:val="00983CA8"/>
    <w:rsid w:val="00983DE4"/>
    <w:rsid w:val="00983DF4"/>
    <w:rsid w:val="00983E97"/>
    <w:rsid w:val="00983EAC"/>
    <w:rsid w:val="00983ECD"/>
    <w:rsid w:val="00983EDF"/>
    <w:rsid w:val="00983F5F"/>
    <w:rsid w:val="00983FBB"/>
    <w:rsid w:val="00984038"/>
    <w:rsid w:val="0098403D"/>
    <w:rsid w:val="0098404D"/>
    <w:rsid w:val="009840A0"/>
    <w:rsid w:val="009840D8"/>
    <w:rsid w:val="00984102"/>
    <w:rsid w:val="0098417F"/>
    <w:rsid w:val="0098425E"/>
    <w:rsid w:val="00984273"/>
    <w:rsid w:val="0098428F"/>
    <w:rsid w:val="009842C3"/>
    <w:rsid w:val="009842D5"/>
    <w:rsid w:val="00984353"/>
    <w:rsid w:val="009843A7"/>
    <w:rsid w:val="009843B6"/>
    <w:rsid w:val="009843F1"/>
    <w:rsid w:val="00984452"/>
    <w:rsid w:val="0098449C"/>
    <w:rsid w:val="0098457F"/>
    <w:rsid w:val="009845FA"/>
    <w:rsid w:val="00984648"/>
    <w:rsid w:val="00984677"/>
    <w:rsid w:val="00984695"/>
    <w:rsid w:val="00984920"/>
    <w:rsid w:val="0098496F"/>
    <w:rsid w:val="009849B7"/>
    <w:rsid w:val="00984C07"/>
    <w:rsid w:val="00984C9B"/>
    <w:rsid w:val="00984D54"/>
    <w:rsid w:val="00984DFA"/>
    <w:rsid w:val="00984E8E"/>
    <w:rsid w:val="00985011"/>
    <w:rsid w:val="00985127"/>
    <w:rsid w:val="009852B6"/>
    <w:rsid w:val="00985585"/>
    <w:rsid w:val="009856E0"/>
    <w:rsid w:val="00985704"/>
    <w:rsid w:val="00985753"/>
    <w:rsid w:val="009857D1"/>
    <w:rsid w:val="009858F6"/>
    <w:rsid w:val="00985967"/>
    <w:rsid w:val="00985B80"/>
    <w:rsid w:val="00985CA8"/>
    <w:rsid w:val="00985DDD"/>
    <w:rsid w:val="00985E98"/>
    <w:rsid w:val="0098608D"/>
    <w:rsid w:val="0098615C"/>
    <w:rsid w:val="009862A4"/>
    <w:rsid w:val="009862FE"/>
    <w:rsid w:val="00986375"/>
    <w:rsid w:val="0098640C"/>
    <w:rsid w:val="00986457"/>
    <w:rsid w:val="0098645F"/>
    <w:rsid w:val="009864C4"/>
    <w:rsid w:val="009864E7"/>
    <w:rsid w:val="00986535"/>
    <w:rsid w:val="00986539"/>
    <w:rsid w:val="00986544"/>
    <w:rsid w:val="0098655B"/>
    <w:rsid w:val="00986583"/>
    <w:rsid w:val="00986598"/>
    <w:rsid w:val="009866C7"/>
    <w:rsid w:val="0098675D"/>
    <w:rsid w:val="00986804"/>
    <w:rsid w:val="00986963"/>
    <w:rsid w:val="00986A6B"/>
    <w:rsid w:val="00986AB2"/>
    <w:rsid w:val="00986ABC"/>
    <w:rsid w:val="00986BEE"/>
    <w:rsid w:val="00986CC0"/>
    <w:rsid w:val="00986CED"/>
    <w:rsid w:val="00986CF6"/>
    <w:rsid w:val="00986D74"/>
    <w:rsid w:val="00986DE6"/>
    <w:rsid w:val="00986E73"/>
    <w:rsid w:val="00986EDB"/>
    <w:rsid w:val="00986EF5"/>
    <w:rsid w:val="00986F72"/>
    <w:rsid w:val="0098700A"/>
    <w:rsid w:val="0098702D"/>
    <w:rsid w:val="009870BC"/>
    <w:rsid w:val="0098710C"/>
    <w:rsid w:val="00987247"/>
    <w:rsid w:val="00987320"/>
    <w:rsid w:val="0098738B"/>
    <w:rsid w:val="009873D9"/>
    <w:rsid w:val="0098754E"/>
    <w:rsid w:val="00987598"/>
    <w:rsid w:val="009875A7"/>
    <w:rsid w:val="009875CE"/>
    <w:rsid w:val="009875E1"/>
    <w:rsid w:val="009876D2"/>
    <w:rsid w:val="009877E3"/>
    <w:rsid w:val="00987821"/>
    <w:rsid w:val="009878D7"/>
    <w:rsid w:val="009879F6"/>
    <w:rsid w:val="00987AD2"/>
    <w:rsid w:val="00987BCA"/>
    <w:rsid w:val="00987C19"/>
    <w:rsid w:val="00987C5B"/>
    <w:rsid w:val="0099007F"/>
    <w:rsid w:val="009900DB"/>
    <w:rsid w:val="00990163"/>
    <w:rsid w:val="009901B2"/>
    <w:rsid w:val="00990457"/>
    <w:rsid w:val="00990482"/>
    <w:rsid w:val="00990487"/>
    <w:rsid w:val="00990578"/>
    <w:rsid w:val="009905D9"/>
    <w:rsid w:val="009906B3"/>
    <w:rsid w:val="009906F3"/>
    <w:rsid w:val="009907F9"/>
    <w:rsid w:val="00990917"/>
    <w:rsid w:val="00990945"/>
    <w:rsid w:val="00990955"/>
    <w:rsid w:val="00990A8A"/>
    <w:rsid w:val="00990BBE"/>
    <w:rsid w:val="00990C79"/>
    <w:rsid w:val="00990CF9"/>
    <w:rsid w:val="00990CFD"/>
    <w:rsid w:val="00990DB0"/>
    <w:rsid w:val="00990E1B"/>
    <w:rsid w:val="00990E34"/>
    <w:rsid w:val="00990F19"/>
    <w:rsid w:val="00991118"/>
    <w:rsid w:val="009912F7"/>
    <w:rsid w:val="00991348"/>
    <w:rsid w:val="0099154B"/>
    <w:rsid w:val="00991651"/>
    <w:rsid w:val="009917F4"/>
    <w:rsid w:val="00991A34"/>
    <w:rsid w:val="00991BB1"/>
    <w:rsid w:val="00991C11"/>
    <w:rsid w:val="00991C98"/>
    <w:rsid w:val="00991CB5"/>
    <w:rsid w:val="00991DA2"/>
    <w:rsid w:val="00991DAD"/>
    <w:rsid w:val="00991DF2"/>
    <w:rsid w:val="00991E22"/>
    <w:rsid w:val="00991ECD"/>
    <w:rsid w:val="00991F75"/>
    <w:rsid w:val="00992024"/>
    <w:rsid w:val="009920BB"/>
    <w:rsid w:val="009920F4"/>
    <w:rsid w:val="00992168"/>
    <w:rsid w:val="00992495"/>
    <w:rsid w:val="00992781"/>
    <w:rsid w:val="0099283F"/>
    <w:rsid w:val="00992851"/>
    <w:rsid w:val="009928F9"/>
    <w:rsid w:val="00992A5D"/>
    <w:rsid w:val="00992A6E"/>
    <w:rsid w:val="00992ACF"/>
    <w:rsid w:val="00992AFC"/>
    <w:rsid w:val="00992BE6"/>
    <w:rsid w:val="00992C66"/>
    <w:rsid w:val="00992CF1"/>
    <w:rsid w:val="00992D54"/>
    <w:rsid w:val="00992D89"/>
    <w:rsid w:val="00992DD2"/>
    <w:rsid w:val="00992F8F"/>
    <w:rsid w:val="00992F9D"/>
    <w:rsid w:val="00992FD4"/>
    <w:rsid w:val="009931E1"/>
    <w:rsid w:val="00993219"/>
    <w:rsid w:val="00993221"/>
    <w:rsid w:val="0099324A"/>
    <w:rsid w:val="00993320"/>
    <w:rsid w:val="009934F8"/>
    <w:rsid w:val="009936D0"/>
    <w:rsid w:val="00993719"/>
    <w:rsid w:val="0099374F"/>
    <w:rsid w:val="0099378F"/>
    <w:rsid w:val="00993957"/>
    <w:rsid w:val="0099398F"/>
    <w:rsid w:val="00993A19"/>
    <w:rsid w:val="00993AE3"/>
    <w:rsid w:val="00993E8A"/>
    <w:rsid w:val="00993E9E"/>
    <w:rsid w:val="00993EC7"/>
    <w:rsid w:val="00993ECE"/>
    <w:rsid w:val="00993F14"/>
    <w:rsid w:val="009940B1"/>
    <w:rsid w:val="0099415E"/>
    <w:rsid w:val="009941E1"/>
    <w:rsid w:val="0099423C"/>
    <w:rsid w:val="009942D5"/>
    <w:rsid w:val="009943F8"/>
    <w:rsid w:val="009944AE"/>
    <w:rsid w:val="00994561"/>
    <w:rsid w:val="00994786"/>
    <w:rsid w:val="00994848"/>
    <w:rsid w:val="009948E4"/>
    <w:rsid w:val="00994A34"/>
    <w:rsid w:val="00994A45"/>
    <w:rsid w:val="00994A48"/>
    <w:rsid w:val="00994C4F"/>
    <w:rsid w:val="00994C74"/>
    <w:rsid w:val="00994CC0"/>
    <w:rsid w:val="00994E26"/>
    <w:rsid w:val="0099503C"/>
    <w:rsid w:val="00995084"/>
    <w:rsid w:val="009950E2"/>
    <w:rsid w:val="00995100"/>
    <w:rsid w:val="00995117"/>
    <w:rsid w:val="009952DA"/>
    <w:rsid w:val="00995582"/>
    <w:rsid w:val="00995629"/>
    <w:rsid w:val="0099566E"/>
    <w:rsid w:val="00995690"/>
    <w:rsid w:val="0099569A"/>
    <w:rsid w:val="009956A3"/>
    <w:rsid w:val="00995782"/>
    <w:rsid w:val="00995919"/>
    <w:rsid w:val="0099599B"/>
    <w:rsid w:val="00995A6D"/>
    <w:rsid w:val="00995A83"/>
    <w:rsid w:val="00995BF5"/>
    <w:rsid w:val="00995EAF"/>
    <w:rsid w:val="00995FE4"/>
    <w:rsid w:val="00996042"/>
    <w:rsid w:val="009960AE"/>
    <w:rsid w:val="00996136"/>
    <w:rsid w:val="00996174"/>
    <w:rsid w:val="009961E1"/>
    <w:rsid w:val="0099624D"/>
    <w:rsid w:val="00996265"/>
    <w:rsid w:val="009962CC"/>
    <w:rsid w:val="009962F7"/>
    <w:rsid w:val="00996365"/>
    <w:rsid w:val="00996446"/>
    <w:rsid w:val="009964E0"/>
    <w:rsid w:val="00996537"/>
    <w:rsid w:val="00996764"/>
    <w:rsid w:val="009967EE"/>
    <w:rsid w:val="009968E4"/>
    <w:rsid w:val="00996945"/>
    <w:rsid w:val="00996AB0"/>
    <w:rsid w:val="00996ABD"/>
    <w:rsid w:val="00996AF0"/>
    <w:rsid w:val="00996B6E"/>
    <w:rsid w:val="00996B9E"/>
    <w:rsid w:val="00996D1E"/>
    <w:rsid w:val="00996D7E"/>
    <w:rsid w:val="00996DF4"/>
    <w:rsid w:val="00996E74"/>
    <w:rsid w:val="00996E9C"/>
    <w:rsid w:val="00996F5D"/>
    <w:rsid w:val="00996FDB"/>
    <w:rsid w:val="0099705C"/>
    <w:rsid w:val="00997168"/>
    <w:rsid w:val="00997184"/>
    <w:rsid w:val="009971C9"/>
    <w:rsid w:val="009971EB"/>
    <w:rsid w:val="00997200"/>
    <w:rsid w:val="0099727F"/>
    <w:rsid w:val="009972CB"/>
    <w:rsid w:val="009972D6"/>
    <w:rsid w:val="00997343"/>
    <w:rsid w:val="009975EF"/>
    <w:rsid w:val="00997628"/>
    <w:rsid w:val="00997698"/>
    <w:rsid w:val="0099770D"/>
    <w:rsid w:val="00997718"/>
    <w:rsid w:val="0099772F"/>
    <w:rsid w:val="009977B1"/>
    <w:rsid w:val="00997876"/>
    <w:rsid w:val="009978A7"/>
    <w:rsid w:val="009978C9"/>
    <w:rsid w:val="009978E9"/>
    <w:rsid w:val="009978F5"/>
    <w:rsid w:val="00997973"/>
    <w:rsid w:val="009979A1"/>
    <w:rsid w:val="009979D2"/>
    <w:rsid w:val="009979F8"/>
    <w:rsid w:val="00997BED"/>
    <w:rsid w:val="00997C08"/>
    <w:rsid w:val="00997C1D"/>
    <w:rsid w:val="00997C61"/>
    <w:rsid w:val="00997D85"/>
    <w:rsid w:val="00997DCB"/>
    <w:rsid w:val="00997E0B"/>
    <w:rsid w:val="009A0007"/>
    <w:rsid w:val="009A0010"/>
    <w:rsid w:val="009A004E"/>
    <w:rsid w:val="009A01AE"/>
    <w:rsid w:val="009A01BC"/>
    <w:rsid w:val="009A021E"/>
    <w:rsid w:val="009A028A"/>
    <w:rsid w:val="009A02B8"/>
    <w:rsid w:val="009A034F"/>
    <w:rsid w:val="009A038A"/>
    <w:rsid w:val="009A03C9"/>
    <w:rsid w:val="009A03F0"/>
    <w:rsid w:val="009A0432"/>
    <w:rsid w:val="009A047B"/>
    <w:rsid w:val="009A048D"/>
    <w:rsid w:val="009A04CB"/>
    <w:rsid w:val="009A077E"/>
    <w:rsid w:val="009A081A"/>
    <w:rsid w:val="009A08C5"/>
    <w:rsid w:val="009A08E0"/>
    <w:rsid w:val="009A09BA"/>
    <w:rsid w:val="009A09C6"/>
    <w:rsid w:val="009A09DB"/>
    <w:rsid w:val="009A0AA6"/>
    <w:rsid w:val="009A0B2A"/>
    <w:rsid w:val="009A0BD2"/>
    <w:rsid w:val="009A0CF3"/>
    <w:rsid w:val="009A0D7E"/>
    <w:rsid w:val="009A112B"/>
    <w:rsid w:val="009A123A"/>
    <w:rsid w:val="009A1268"/>
    <w:rsid w:val="009A1284"/>
    <w:rsid w:val="009A12B0"/>
    <w:rsid w:val="009A1319"/>
    <w:rsid w:val="009A13D1"/>
    <w:rsid w:val="009A14C7"/>
    <w:rsid w:val="009A15EB"/>
    <w:rsid w:val="009A1630"/>
    <w:rsid w:val="009A16AA"/>
    <w:rsid w:val="009A171A"/>
    <w:rsid w:val="009A1749"/>
    <w:rsid w:val="009A1773"/>
    <w:rsid w:val="009A1786"/>
    <w:rsid w:val="009A18B6"/>
    <w:rsid w:val="009A1922"/>
    <w:rsid w:val="009A1A10"/>
    <w:rsid w:val="009A1A13"/>
    <w:rsid w:val="009A1A36"/>
    <w:rsid w:val="009A1A51"/>
    <w:rsid w:val="009A1A9E"/>
    <w:rsid w:val="009A1B3E"/>
    <w:rsid w:val="009A1B9C"/>
    <w:rsid w:val="009A1DFD"/>
    <w:rsid w:val="009A1EFA"/>
    <w:rsid w:val="009A2018"/>
    <w:rsid w:val="009A2056"/>
    <w:rsid w:val="009A205B"/>
    <w:rsid w:val="009A20D7"/>
    <w:rsid w:val="009A2149"/>
    <w:rsid w:val="009A21A6"/>
    <w:rsid w:val="009A2265"/>
    <w:rsid w:val="009A227B"/>
    <w:rsid w:val="009A22A2"/>
    <w:rsid w:val="009A2471"/>
    <w:rsid w:val="009A2665"/>
    <w:rsid w:val="009A2770"/>
    <w:rsid w:val="009A27F9"/>
    <w:rsid w:val="009A2827"/>
    <w:rsid w:val="009A282E"/>
    <w:rsid w:val="009A2852"/>
    <w:rsid w:val="009A285F"/>
    <w:rsid w:val="009A28C6"/>
    <w:rsid w:val="009A2A55"/>
    <w:rsid w:val="009A2B0E"/>
    <w:rsid w:val="009A2BA5"/>
    <w:rsid w:val="009A2BCE"/>
    <w:rsid w:val="009A2BDD"/>
    <w:rsid w:val="009A2C26"/>
    <w:rsid w:val="009A2CEE"/>
    <w:rsid w:val="009A2D22"/>
    <w:rsid w:val="009A2DBA"/>
    <w:rsid w:val="009A2E1C"/>
    <w:rsid w:val="009A2F0F"/>
    <w:rsid w:val="009A2F45"/>
    <w:rsid w:val="009A2F5B"/>
    <w:rsid w:val="009A2F71"/>
    <w:rsid w:val="009A2F75"/>
    <w:rsid w:val="009A2F7A"/>
    <w:rsid w:val="009A2F9F"/>
    <w:rsid w:val="009A305A"/>
    <w:rsid w:val="009A3062"/>
    <w:rsid w:val="009A30A4"/>
    <w:rsid w:val="009A30E3"/>
    <w:rsid w:val="009A326E"/>
    <w:rsid w:val="009A3285"/>
    <w:rsid w:val="009A3530"/>
    <w:rsid w:val="009A3593"/>
    <w:rsid w:val="009A35AB"/>
    <w:rsid w:val="009A3653"/>
    <w:rsid w:val="009A36F1"/>
    <w:rsid w:val="009A378A"/>
    <w:rsid w:val="009A388D"/>
    <w:rsid w:val="009A3899"/>
    <w:rsid w:val="009A3902"/>
    <w:rsid w:val="009A39D8"/>
    <w:rsid w:val="009A3B0A"/>
    <w:rsid w:val="009A3B44"/>
    <w:rsid w:val="009A3D19"/>
    <w:rsid w:val="009A3E1B"/>
    <w:rsid w:val="009A3E5D"/>
    <w:rsid w:val="009A3F0C"/>
    <w:rsid w:val="009A4036"/>
    <w:rsid w:val="009A4113"/>
    <w:rsid w:val="009A4164"/>
    <w:rsid w:val="009A416F"/>
    <w:rsid w:val="009A41E2"/>
    <w:rsid w:val="009A41EA"/>
    <w:rsid w:val="009A4315"/>
    <w:rsid w:val="009A4343"/>
    <w:rsid w:val="009A4348"/>
    <w:rsid w:val="009A4392"/>
    <w:rsid w:val="009A446D"/>
    <w:rsid w:val="009A4506"/>
    <w:rsid w:val="009A456B"/>
    <w:rsid w:val="009A45F3"/>
    <w:rsid w:val="009A4608"/>
    <w:rsid w:val="009A4615"/>
    <w:rsid w:val="009A46AE"/>
    <w:rsid w:val="009A4AD7"/>
    <w:rsid w:val="009A4AE8"/>
    <w:rsid w:val="009A4AFB"/>
    <w:rsid w:val="009A4B84"/>
    <w:rsid w:val="009A4BEC"/>
    <w:rsid w:val="009A4C72"/>
    <w:rsid w:val="009A4D42"/>
    <w:rsid w:val="009A4E36"/>
    <w:rsid w:val="009A513B"/>
    <w:rsid w:val="009A5186"/>
    <w:rsid w:val="009A519E"/>
    <w:rsid w:val="009A52DF"/>
    <w:rsid w:val="009A5350"/>
    <w:rsid w:val="009A543D"/>
    <w:rsid w:val="009A5518"/>
    <w:rsid w:val="009A554A"/>
    <w:rsid w:val="009A5673"/>
    <w:rsid w:val="009A5681"/>
    <w:rsid w:val="009A56F3"/>
    <w:rsid w:val="009A570C"/>
    <w:rsid w:val="009A588B"/>
    <w:rsid w:val="009A58EE"/>
    <w:rsid w:val="009A58EF"/>
    <w:rsid w:val="009A5950"/>
    <w:rsid w:val="009A5962"/>
    <w:rsid w:val="009A59D4"/>
    <w:rsid w:val="009A5AA7"/>
    <w:rsid w:val="009A5AAB"/>
    <w:rsid w:val="009A5B0E"/>
    <w:rsid w:val="009A5C97"/>
    <w:rsid w:val="009A5FBA"/>
    <w:rsid w:val="009A5FF4"/>
    <w:rsid w:val="009A6100"/>
    <w:rsid w:val="009A6109"/>
    <w:rsid w:val="009A61F9"/>
    <w:rsid w:val="009A6234"/>
    <w:rsid w:val="009A624C"/>
    <w:rsid w:val="009A626D"/>
    <w:rsid w:val="009A6302"/>
    <w:rsid w:val="009A634D"/>
    <w:rsid w:val="009A6423"/>
    <w:rsid w:val="009A6485"/>
    <w:rsid w:val="009A6496"/>
    <w:rsid w:val="009A64E6"/>
    <w:rsid w:val="009A663C"/>
    <w:rsid w:val="009A6692"/>
    <w:rsid w:val="009A66E3"/>
    <w:rsid w:val="009A66F0"/>
    <w:rsid w:val="009A6723"/>
    <w:rsid w:val="009A6733"/>
    <w:rsid w:val="009A67BB"/>
    <w:rsid w:val="009A6811"/>
    <w:rsid w:val="009A6881"/>
    <w:rsid w:val="009A68C9"/>
    <w:rsid w:val="009A68D5"/>
    <w:rsid w:val="009A6973"/>
    <w:rsid w:val="009A69C5"/>
    <w:rsid w:val="009A6A0A"/>
    <w:rsid w:val="009A6B07"/>
    <w:rsid w:val="009A6BAE"/>
    <w:rsid w:val="009A6CB4"/>
    <w:rsid w:val="009A6E59"/>
    <w:rsid w:val="009A6F76"/>
    <w:rsid w:val="009A6FF7"/>
    <w:rsid w:val="009A70F8"/>
    <w:rsid w:val="009A7183"/>
    <w:rsid w:val="009A7250"/>
    <w:rsid w:val="009A72D5"/>
    <w:rsid w:val="009A72FE"/>
    <w:rsid w:val="009A73B5"/>
    <w:rsid w:val="009A747A"/>
    <w:rsid w:val="009A74C4"/>
    <w:rsid w:val="009A74C6"/>
    <w:rsid w:val="009A750F"/>
    <w:rsid w:val="009A7541"/>
    <w:rsid w:val="009A760C"/>
    <w:rsid w:val="009A7732"/>
    <w:rsid w:val="009A77A4"/>
    <w:rsid w:val="009A77BE"/>
    <w:rsid w:val="009A77E9"/>
    <w:rsid w:val="009A7817"/>
    <w:rsid w:val="009A783F"/>
    <w:rsid w:val="009A78A2"/>
    <w:rsid w:val="009A79AF"/>
    <w:rsid w:val="009A7AB6"/>
    <w:rsid w:val="009A7B17"/>
    <w:rsid w:val="009A7B8F"/>
    <w:rsid w:val="009A7BBD"/>
    <w:rsid w:val="009A7BED"/>
    <w:rsid w:val="009A7C50"/>
    <w:rsid w:val="009A7CBD"/>
    <w:rsid w:val="009A7E2A"/>
    <w:rsid w:val="009A7E7A"/>
    <w:rsid w:val="009A7E99"/>
    <w:rsid w:val="009B0077"/>
    <w:rsid w:val="009B0163"/>
    <w:rsid w:val="009B02E5"/>
    <w:rsid w:val="009B06C4"/>
    <w:rsid w:val="009B071C"/>
    <w:rsid w:val="009B0730"/>
    <w:rsid w:val="009B076C"/>
    <w:rsid w:val="009B0844"/>
    <w:rsid w:val="009B08EE"/>
    <w:rsid w:val="009B098F"/>
    <w:rsid w:val="009B0991"/>
    <w:rsid w:val="009B0A13"/>
    <w:rsid w:val="009B0B38"/>
    <w:rsid w:val="009B0CDA"/>
    <w:rsid w:val="009B0DDA"/>
    <w:rsid w:val="009B0EF0"/>
    <w:rsid w:val="009B0F33"/>
    <w:rsid w:val="009B0F42"/>
    <w:rsid w:val="009B0F45"/>
    <w:rsid w:val="009B100D"/>
    <w:rsid w:val="009B11A6"/>
    <w:rsid w:val="009B1261"/>
    <w:rsid w:val="009B12BF"/>
    <w:rsid w:val="009B14D5"/>
    <w:rsid w:val="009B15EB"/>
    <w:rsid w:val="009B169E"/>
    <w:rsid w:val="009B16F6"/>
    <w:rsid w:val="009B170D"/>
    <w:rsid w:val="009B1750"/>
    <w:rsid w:val="009B1929"/>
    <w:rsid w:val="009B1941"/>
    <w:rsid w:val="009B19D2"/>
    <w:rsid w:val="009B1A82"/>
    <w:rsid w:val="009B1AB6"/>
    <w:rsid w:val="009B1C22"/>
    <w:rsid w:val="009B1DFF"/>
    <w:rsid w:val="009B1E58"/>
    <w:rsid w:val="009B1E69"/>
    <w:rsid w:val="009B1EF9"/>
    <w:rsid w:val="009B1FAA"/>
    <w:rsid w:val="009B20F2"/>
    <w:rsid w:val="009B2148"/>
    <w:rsid w:val="009B21AE"/>
    <w:rsid w:val="009B21B3"/>
    <w:rsid w:val="009B21FF"/>
    <w:rsid w:val="009B2233"/>
    <w:rsid w:val="009B22E3"/>
    <w:rsid w:val="009B238B"/>
    <w:rsid w:val="009B23A4"/>
    <w:rsid w:val="009B2490"/>
    <w:rsid w:val="009B24AE"/>
    <w:rsid w:val="009B24C5"/>
    <w:rsid w:val="009B260B"/>
    <w:rsid w:val="009B2649"/>
    <w:rsid w:val="009B26AB"/>
    <w:rsid w:val="009B26B3"/>
    <w:rsid w:val="009B2839"/>
    <w:rsid w:val="009B2848"/>
    <w:rsid w:val="009B2924"/>
    <w:rsid w:val="009B2939"/>
    <w:rsid w:val="009B29E7"/>
    <w:rsid w:val="009B2AE8"/>
    <w:rsid w:val="009B2B30"/>
    <w:rsid w:val="009B2C80"/>
    <w:rsid w:val="009B2D2F"/>
    <w:rsid w:val="009B2D9E"/>
    <w:rsid w:val="009B2DBB"/>
    <w:rsid w:val="009B2EC4"/>
    <w:rsid w:val="009B2FCC"/>
    <w:rsid w:val="009B2FDC"/>
    <w:rsid w:val="009B313C"/>
    <w:rsid w:val="009B3156"/>
    <w:rsid w:val="009B318B"/>
    <w:rsid w:val="009B325B"/>
    <w:rsid w:val="009B32A9"/>
    <w:rsid w:val="009B32DA"/>
    <w:rsid w:val="009B32E9"/>
    <w:rsid w:val="009B3310"/>
    <w:rsid w:val="009B3384"/>
    <w:rsid w:val="009B33EE"/>
    <w:rsid w:val="009B3458"/>
    <w:rsid w:val="009B349A"/>
    <w:rsid w:val="009B34B7"/>
    <w:rsid w:val="009B3512"/>
    <w:rsid w:val="009B355A"/>
    <w:rsid w:val="009B358E"/>
    <w:rsid w:val="009B3592"/>
    <w:rsid w:val="009B35E4"/>
    <w:rsid w:val="009B366B"/>
    <w:rsid w:val="009B36C2"/>
    <w:rsid w:val="009B36FF"/>
    <w:rsid w:val="009B373C"/>
    <w:rsid w:val="009B3772"/>
    <w:rsid w:val="009B37F4"/>
    <w:rsid w:val="009B388F"/>
    <w:rsid w:val="009B3906"/>
    <w:rsid w:val="009B3975"/>
    <w:rsid w:val="009B3990"/>
    <w:rsid w:val="009B3A3B"/>
    <w:rsid w:val="009B3B1D"/>
    <w:rsid w:val="009B3BBB"/>
    <w:rsid w:val="009B3C66"/>
    <w:rsid w:val="009B3C7E"/>
    <w:rsid w:val="009B3D03"/>
    <w:rsid w:val="009B3D87"/>
    <w:rsid w:val="009B3DA0"/>
    <w:rsid w:val="009B3DAD"/>
    <w:rsid w:val="009B3EE4"/>
    <w:rsid w:val="009B3F86"/>
    <w:rsid w:val="009B400A"/>
    <w:rsid w:val="009B402F"/>
    <w:rsid w:val="009B404D"/>
    <w:rsid w:val="009B40E0"/>
    <w:rsid w:val="009B40E5"/>
    <w:rsid w:val="009B4245"/>
    <w:rsid w:val="009B4297"/>
    <w:rsid w:val="009B454A"/>
    <w:rsid w:val="009B45B8"/>
    <w:rsid w:val="009B45F4"/>
    <w:rsid w:val="009B4663"/>
    <w:rsid w:val="009B46F0"/>
    <w:rsid w:val="009B4839"/>
    <w:rsid w:val="009B48C6"/>
    <w:rsid w:val="009B48CB"/>
    <w:rsid w:val="009B4910"/>
    <w:rsid w:val="009B49E2"/>
    <w:rsid w:val="009B4AC3"/>
    <w:rsid w:val="009B4AED"/>
    <w:rsid w:val="009B4AF8"/>
    <w:rsid w:val="009B4B73"/>
    <w:rsid w:val="009B4BA8"/>
    <w:rsid w:val="009B4C2B"/>
    <w:rsid w:val="009B4C6E"/>
    <w:rsid w:val="009B4C88"/>
    <w:rsid w:val="009B4CDA"/>
    <w:rsid w:val="009B4CE8"/>
    <w:rsid w:val="009B4DC1"/>
    <w:rsid w:val="009B4E2D"/>
    <w:rsid w:val="009B4E4A"/>
    <w:rsid w:val="009B4ED9"/>
    <w:rsid w:val="009B4FBC"/>
    <w:rsid w:val="009B5048"/>
    <w:rsid w:val="009B52EF"/>
    <w:rsid w:val="009B54AC"/>
    <w:rsid w:val="009B5668"/>
    <w:rsid w:val="009B56FF"/>
    <w:rsid w:val="009B574B"/>
    <w:rsid w:val="009B5781"/>
    <w:rsid w:val="009B5932"/>
    <w:rsid w:val="009B5B24"/>
    <w:rsid w:val="009B5B26"/>
    <w:rsid w:val="009B5BD3"/>
    <w:rsid w:val="009B5C06"/>
    <w:rsid w:val="009B5C69"/>
    <w:rsid w:val="009B5D84"/>
    <w:rsid w:val="009B5DC6"/>
    <w:rsid w:val="009B5F74"/>
    <w:rsid w:val="009B5F8E"/>
    <w:rsid w:val="009B5F9B"/>
    <w:rsid w:val="009B604D"/>
    <w:rsid w:val="009B61B0"/>
    <w:rsid w:val="009B61FE"/>
    <w:rsid w:val="009B624C"/>
    <w:rsid w:val="009B6258"/>
    <w:rsid w:val="009B627C"/>
    <w:rsid w:val="009B6300"/>
    <w:rsid w:val="009B6354"/>
    <w:rsid w:val="009B6381"/>
    <w:rsid w:val="009B6468"/>
    <w:rsid w:val="009B64CE"/>
    <w:rsid w:val="009B64D6"/>
    <w:rsid w:val="009B652E"/>
    <w:rsid w:val="009B6547"/>
    <w:rsid w:val="009B65C2"/>
    <w:rsid w:val="009B65E8"/>
    <w:rsid w:val="009B65F4"/>
    <w:rsid w:val="009B6688"/>
    <w:rsid w:val="009B66C9"/>
    <w:rsid w:val="009B6700"/>
    <w:rsid w:val="009B6758"/>
    <w:rsid w:val="009B6759"/>
    <w:rsid w:val="009B681C"/>
    <w:rsid w:val="009B683B"/>
    <w:rsid w:val="009B6DFB"/>
    <w:rsid w:val="009B6E3E"/>
    <w:rsid w:val="009B6E4B"/>
    <w:rsid w:val="009B6FFF"/>
    <w:rsid w:val="009B706E"/>
    <w:rsid w:val="009B70DD"/>
    <w:rsid w:val="009B715A"/>
    <w:rsid w:val="009B734C"/>
    <w:rsid w:val="009B7591"/>
    <w:rsid w:val="009B75FA"/>
    <w:rsid w:val="009B761F"/>
    <w:rsid w:val="009B7670"/>
    <w:rsid w:val="009B770B"/>
    <w:rsid w:val="009B779A"/>
    <w:rsid w:val="009B77E0"/>
    <w:rsid w:val="009B7814"/>
    <w:rsid w:val="009B79A4"/>
    <w:rsid w:val="009B7A0B"/>
    <w:rsid w:val="009B7AF8"/>
    <w:rsid w:val="009B7BBF"/>
    <w:rsid w:val="009B7D5E"/>
    <w:rsid w:val="009B7E07"/>
    <w:rsid w:val="009B7E2C"/>
    <w:rsid w:val="009B7E91"/>
    <w:rsid w:val="009B7F4F"/>
    <w:rsid w:val="009B7F50"/>
    <w:rsid w:val="009B7FBF"/>
    <w:rsid w:val="009C028B"/>
    <w:rsid w:val="009C0293"/>
    <w:rsid w:val="009C03E3"/>
    <w:rsid w:val="009C0509"/>
    <w:rsid w:val="009C05B5"/>
    <w:rsid w:val="009C05E4"/>
    <w:rsid w:val="009C06CC"/>
    <w:rsid w:val="009C07CF"/>
    <w:rsid w:val="009C0934"/>
    <w:rsid w:val="009C0969"/>
    <w:rsid w:val="009C09EE"/>
    <w:rsid w:val="009C0A21"/>
    <w:rsid w:val="009C0A4A"/>
    <w:rsid w:val="009C0A55"/>
    <w:rsid w:val="009C0A9C"/>
    <w:rsid w:val="009C0AB0"/>
    <w:rsid w:val="009C0BAA"/>
    <w:rsid w:val="009C0BC1"/>
    <w:rsid w:val="009C0C5B"/>
    <w:rsid w:val="009C0C62"/>
    <w:rsid w:val="009C0CAA"/>
    <w:rsid w:val="009C0D57"/>
    <w:rsid w:val="009C0FB5"/>
    <w:rsid w:val="009C1001"/>
    <w:rsid w:val="009C1062"/>
    <w:rsid w:val="009C110D"/>
    <w:rsid w:val="009C1273"/>
    <w:rsid w:val="009C1469"/>
    <w:rsid w:val="009C14CF"/>
    <w:rsid w:val="009C156D"/>
    <w:rsid w:val="009C157B"/>
    <w:rsid w:val="009C159D"/>
    <w:rsid w:val="009C1647"/>
    <w:rsid w:val="009C1716"/>
    <w:rsid w:val="009C1783"/>
    <w:rsid w:val="009C1928"/>
    <w:rsid w:val="009C19B6"/>
    <w:rsid w:val="009C19BB"/>
    <w:rsid w:val="009C1A77"/>
    <w:rsid w:val="009C1AD1"/>
    <w:rsid w:val="009C1C78"/>
    <w:rsid w:val="009C1E6A"/>
    <w:rsid w:val="009C1EAD"/>
    <w:rsid w:val="009C20A0"/>
    <w:rsid w:val="009C20D6"/>
    <w:rsid w:val="009C2111"/>
    <w:rsid w:val="009C21FD"/>
    <w:rsid w:val="009C233E"/>
    <w:rsid w:val="009C2449"/>
    <w:rsid w:val="009C2462"/>
    <w:rsid w:val="009C2536"/>
    <w:rsid w:val="009C2585"/>
    <w:rsid w:val="009C25B0"/>
    <w:rsid w:val="009C261F"/>
    <w:rsid w:val="009C26F0"/>
    <w:rsid w:val="009C2714"/>
    <w:rsid w:val="009C2892"/>
    <w:rsid w:val="009C2946"/>
    <w:rsid w:val="009C2B00"/>
    <w:rsid w:val="009C2D07"/>
    <w:rsid w:val="009C2D0B"/>
    <w:rsid w:val="009C2D4B"/>
    <w:rsid w:val="009C2DFF"/>
    <w:rsid w:val="009C2E09"/>
    <w:rsid w:val="009C2E17"/>
    <w:rsid w:val="009C2ECD"/>
    <w:rsid w:val="009C2F83"/>
    <w:rsid w:val="009C2FF8"/>
    <w:rsid w:val="009C3066"/>
    <w:rsid w:val="009C3067"/>
    <w:rsid w:val="009C3205"/>
    <w:rsid w:val="009C325B"/>
    <w:rsid w:val="009C330A"/>
    <w:rsid w:val="009C3356"/>
    <w:rsid w:val="009C344E"/>
    <w:rsid w:val="009C34DD"/>
    <w:rsid w:val="009C363D"/>
    <w:rsid w:val="009C36E4"/>
    <w:rsid w:val="009C3867"/>
    <w:rsid w:val="009C3923"/>
    <w:rsid w:val="009C3A5F"/>
    <w:rsid w:val="009C3ACC"/>
    <w:rsid w:val="009C3C07"/>
    <w:rsid w:val="009C3C92"/>
    <w:rsid w:val="009C3D65"/>
    <w:rsid w:val="009C3D74"/>
    <w:rsid w:val="009C3DB8"/>
    <w:rsid w:val="009C3E5D"/>
    <w:rsid w:val="009C3EAC"/>
    <w:rsid w:val="009C3F28"/>
    <w:rsid w:val="009C3F42"/>
    <w:rsid w:val="009C417F"/>
    <w:rsid w:val="009C420F"/>
    <w:rsid w:val="009C427F"/>
    <w:rsid w:val="009C4300"/>
    <w:rsid w:val="009C4411"/>
    <w:rsid w:val="009C4420"/>
    <w:rsid w:val="009C4433"/>
    <w:rsid w:val="009C444F"/>
    <w:rsid w:val="009C44F6"/>
    <w:rsid w:val="009C4563"/>
    <w:rsid w:val="009C45C7"/>
    <w:rsid w:val="009C4616"/>
    <w:rsid w:val="009C46A5"/>
    <w:rsid w:val="009C46A9"/>
    <w:rsid w:val="009C46AB"/>
    <w:rsid w:val="009C46C9"/>
    <w:rsid w:val="009C47BA"/>
    <w:rsid w:val="009C4873"/>
    <w:rsid w:val="009C48D4"/>
    <w:rsid w:val="009C48E3"/>
    <w:rsid w:val="009C4948"/>
    <w:rsid w:val="009C4988"/>
    <w:rsid w:val="009C4A3F"/>
    <w:rsid w:val="009C4A57"/>
    <w:rsid w:val="009C4B29"/>
    <w:rsid w:val="009C4BB0"/>
    <w:rsid w:val="009C4CA0"/>
    <w:rsid w:val="009C4CB4"/>
    <w:rsid w:val="009C4CC7"/>
    <w:rsid w:val="009C4D6E"/>
    <w:rsid w:val="009C4D89"/>
    <w:rsid w:val="009C4D8A"/>
    <w:rsid w:val="009C4E42"/>
    <w:rsid w:val="009C4FA9"/>
    <w:rsid w:val="009C4FD5"/>
    <w:rsid w:val="009C508C"/>
    <w:rsid w:val="009C50D9"/>
    <w:rsid w:val="009C5119"/>
    <w:rsid w:val="009C5293"/>
    <w:rsid w:val="009C529D"/>
    <w:rsid w:val="009C52D2"/>
    <w:rsid w:val="009C53CA"/>
    <w:rsid w:val="009C53CE"/>
    <w:rsid w:val="009C543F"/>
    <w:rsid w:val="009C5490"/>
    <w:rsid w:val="009C54E8"/>
    <w:rsid w:val="009C5758"/>
    <w:rsid w:val="009C57C6"/>
    <w:rsid w:val="009C581E"/>
    <w:rsid w:val="009C5855"/>
    <w:rsid w:val="009C586A"/>
    <w:rsid w:val="009C59C6"/>
    <w:rsid w:val="009C5A5E"/>
    <w:rsid w:val="009C5AA4"/>
    <w:rsid w:val="009C5AD2"/>
    <w:rsid w:val="009C5B7D"/>
    <w:rsid w:val="009C5BA8"/>
    <w:rsid w:val="009C5BD1"/>
    <w:rsid w:val="009C5DD2"/>
    <w:rsid w:val="009C5EF2"/>
    <w:rsid w:val="009C5EFB"/>
    <w:rsid w:val="009C5EFF"/>
    <w:rsid w:val="009C5F7A"/>
    <w:rsid w:val="009C602C"/>
    <w:rsid w:val="009C605D"/>
    <w:rsid w:val="009C60E5"/>
    <w:rsid w:val="009C6180"/>
    <w:rsid w:val="009C61AA"/>
    <w:rsid w:val="009C63FA"/>
    <w:rsid w:val="009C6646"/>
    <w:rsid w:val="009C6676"/>
    <w:rsid w:val="009C66B2"/>
    <w:rsid w:val="009C68D3"/>
    <w:rsid w:val="009C68FB"/>
    <w:rsid w:val="009C6967"/>
    <w:rsid w:val="009C6A1E"/>
    <w:rsid w:val="009C6C24"/>
    <w:rsid w:val="009C6DA3"/>
    <w:rsid w:val="009C6DBB"/>
    <w:rsid w:val="009C6F6B"/>
    <w:rsid w:val="009C6FDB"/>
    <w:rsid w:val="009C70E3"/>
    <w:rsid w:val="009C7108"/>
    <w:rsid w:val="009C7166"/>
    <w:rsid w:val="009C717D"/>
    <w:rsid w:val="009C7181"/>
    <w:rsid w:val="009C71D7"/>
    <w:rsid w:val="009C71EA"/>
    <w:rsid w:val="009C7231"/>
    <w:rsid w:val="009C728B"/>
    <w:rsid w:val="009C72AA"/>
    <w:rsid w:val="009C7344"/>
    <w:rsid w:val="009C7390"/>
    <w:rsid w:val="009C750C"/>
    <w:rsid w:val="009C75EC"/>
    <w:rsid w:val="009C75F2"/>
    <w:rsid w:val="009C768E"/>
    <w:rsid w:val="009C7696"/>
    <w:rsid w:val="009C76CA"/>
    <w:rsid w:val="009C77C9"/>
    <w:rsid w:val="009C7881"/>
    <w:rsid w:val="009C7882"/>
    <w:rsid w:val="009C78CE"/>
    <w:rsid w:val="009C791E"/>
    <w:rsid w:val="009C792B"/>
    <w:rsid w:val="009C7934"/>
    <w:rsid w:val="009C7A10"/>
    <w:rsid w:val="009C7A18"/>
    <w:rsid w:val="009C7A3C"/>
    <w:rsid w:val="009C7A53"/>
    <w:rsid w:val="009C7A7C"/>
    <w:rsid w:val="009C7B97"/>
    <w:rsid w:val="009C7C03"/>
    <w:rsid w:val="009C7C23"/>
    <w:rsid w:val="009C7D4A"/>
    <w:rsid w:val="009C7D86"/>
    <w:rsid w:val="009C7E0C"/>
    <w:rsid w:val="009C7E65"/>
    <w:rsid w:val="009C7F6E"/>
    <w:rsid w:val="009C7FCF"/>
    <w:rsid w:val="009D00D5"/>
    <w:rsid w:val="009D01B0"/>
    <w:rsid w:val="009D0226"/>
    <w:rsid w:val="009D03C1"/>
    <w:rsid w:val="009D04A4"/>
    <w:rsid w:val="009D04B4"/>
    <w:rsid w:val="009D0802"/>
    <w:rsid w:val="009D08E9"/>
    <w:rsid w:val="009D0933"/>
    <w:rsid w:val="009D0942"/>
    <w:rsid w:val="009D0998"/>
    <w:rsid w:val="009D09E2"/>
    <w:rsid w:val="009D09FF"/>
    <w:rsid w:val="009D0A06"/>
    <w:rsid w:val="009D0A86"/>
    <w:rsid w:val="009D0AAC"/>
    <w:rsid w:val="009D0CD1"/>
    <w:rsid w:val="009D0DE2"/>
    <w:rsid w:val="009D0E37"/>
    <w:rsid w:val="009D0F46"/>
    <w:rsid w:val="009D0FB4"/>
    <w:rsid w:val="009D0FCF"/>
    <w:rsid w:val="009D0FDC"/>
    <w:rsid w:val="009D0FE5"/>
    <w:rsid w:val="009D10D7"/>
    <w:rsid w:val="009D10ED"/>
    <w:rsid w:val="009D1113"/>
    <w:rsid w:val="009D11EB"/>
    <w:rsid w:val="009D13E2"/>
    <w:rsid w:val="009D142B"/>
    <w:rsid w:val="009D14B9"/>
    <w:rsid w:val="009D14BA"/>
    <w:rsid w:val="009D14C3"/>
    <w:rsid w:val="009D1535"/>
    <w:rsid w:val="009D1570"/>
    <w:rsid w:val="009D1608"/>
    <w:rsid w:val="009D1728"/>
    <w:rsid w:val="009D17CF"/>
    <w:rsid w:val="009D1A09"/>
    <w:rsid w:val="009D1A6C"/>
    <w:rsid w:val="009D1AF4"/>
    <w:rsid w:val="009D1B5A"/>
    <w:rsid w:val="009D1BA4"/>
    <w:rsid w:val="009D1C11"/>
    <w:rsid w:val="009D1C38"/>
    <w:rsid w:val="009D1C72"/>
    <w:rsid w:val="009D1CE1"/>
    <w:rsid w:val="009D1DA2"/>
    <w:rsid w:val="009D1DF8"/>
    <w:rsid w:val="009D1ECB"/>
    <w:rsid w:val="009D1F8E"/>
    <w:rsid w:val="009D1FB2"/>
    <w:rsid w:val="009D1FEB"/>
    <w:rsid w:val="009D203D"/>
    <w:rsid w:val="009D206F"/>
    <w:rsid w:val="009D20B0"/>
    <w:rsid w:val="009D21A6"/>
    <w:rsid w:val="009D21AD"/>
    <w:rsid w:val="009D2223"/>
    <w:rsid w:val="009D22E1"/>
    <w:rsid w:val="009D2361"/>
    <w:rsid w:val="009D248C"/>
    <w:rsid w:val="009D2532"/>
    <w:rsid w:val="009D2647"/>
    <w:rsid w:val="009D2784"/>
    <w:rsid w:val="009D281C"/>
    <w:rsid w:val="009D2883"/>
    <w:rsid w:val="009D28E9"/>
    <w:rsid w:val="009D2922"/>
    <w:rsid w:val="009D29DB"/>
    <w:rsid w:val="009D2A37"/>
    <w:rsid w:val="009D2B60"/>
    <w:rsid w:val="009D2C05"/>
    <w:rsid w:val="009D2C14"/>
    <w:rsid w:val="009D2C17"/>
    <w:rsid w:val="009D2CFB"/>
    <w:rsid w:val="009D2DC0"/>
    <w:rsid w:val="009D2E82"/>
    <w:rsid w:val="009D2FD7"/>
    <w:rsid w:val="009D30CD"/>
    <w:rsid w:val="009D30D8"/>
    <w:rsid w:val="009D31FD"/>
    <w:rsid w:val="009D32B5"/>
    <w:rsid w:val="009D3409"/>
    <w:rsid w:val="009D340E"/>
    <w:rsid w:val="009D34F5"/>
    <w:rsid w:val="009D3554"/>
    <w:rsid w:val="009D355A"/>
    <w:rsid w:val="009D3755"/>
    <w:rsid w:val="009D38A3"/>
    <w:rsid w:val="009D39F0"/>
    <w:rsid w:val="009D3A60"/>
    <w:rsid w:val="009D3A83"/>
    <w:rsid w:val="009D3AAB"/>
    <w:rsid w:val="009D3B28"/>
    <w:rsid w:val="009D3C7C"/>
    <w:rsid w:val="009D3C9B"/>
    <w:rsid w:val="009D3D80"/>
    <w:rsid w:val="009D3E86"/>
    <w:rsid w:val="009D3E95"/>
    <w:rsid w:val="009D3FC9"/>
    <w:rsid w:val="009D41BD"/>
    <w:rsid w:val="009D41F1"/>
    <w:rsid w:val="009D42B8"/>
    <w:rsid w:val="009D432B"/>
    <w:rsid w:val="009D4380"/>
    <w:rsid w:val="009D4399"/>
    <w:rsid w:val="009D43D6"/>
    <w:rsid w:val="009D43D7"/>
    <w:rsid w:val="009D4417"/>
    <w:rsid w:val="009D44B6"/>
    <w:rsid w:val="009D44C9"/>
    <w:rsid w:val="009D45C7"/>
    <w:rsid w:val="009D45E3"/>
    <w:rsid w:val="009D45EC"/>
    <w:rsid w:val="009D4644"/>
    <w:rsid w:val="009D4650"/>
    <w:rsid w:val="009D4703"/>
    <w:rsid w:val="009D4780"/>
    <w:rsid w:val="009D478C"/>
    <w:rsid w:val="009D47BE"/>
    <w:rsid w:val="009D47D4"/>
    <w:rsid w:val="009D4810"/>
    <w:rsid w:val="009D4861"/>
    <w:rsid w:val="009D48F1"/>
    <w:rsid w:val="009D4B14"/>
    <w:rsid w:val="009D4BB4"/>
    <w:rsid w:val="009D4E12"/>
    <w:rsid w:val="009D4E19"/>
    <w:rsid w:val="009D4F40"/>
    <w:rsid w:val="009D4F7B"/>
    <w:rsid w:val="009D4F87"/>
    <w:rsid w:val="009D50BC"/>
    <w:rsid w:val="009D50C9"/>
    <w:rsid w:val="009D50F5"/>
    <w:rsid w:val="009D53DE"/>
    <w:rsid w:val="009D54CB"/>
    <w:rsid w:val="009D561A"/>
    <w:rsid w:val="009D564B"/>
    <w:rsid w:val="009D5697"/>
    <w:rsid w:val="009D56ED"/>
    <w:rsid w:val="009D5709"/>
    <w:rsid w:val="009D576B"/>
    <w:rsid w:val="009D5773"/>
    <w:rsid w:val="009D57DB"/>
    <w:rsid w:val="009D5809"/>
    <w:rsid w:val="009D583B"/>
    <w:rsid w:val="009D58BF"/>
    <w:rsid w:val="009D58F2"/>
    <w:rsid w:val="009D5929"/>
    <w:rsid w:val="009D5964"/>
    <w:rsid w:val="009D5984"/>
    <w:rsid w:val="009D59A2"/>
    <w:rsid w:val="009D5A1B"/>
    <w:rsid w:val="009D5AC0"/>
    <w:rsid w:val="009D5B1E"/>
    <w:rsid w:val="009D5B46"/>
    <w:rsid w:val="009D5B83"/>
    <w:rsid w:val="009D5C10"/>
    <w:rsid w:val="009D5CE4"/>
    <w:rsid w:val="009D5DE9"/>
    <w:rsid w:val="009D5E1D"/>
    <w:rsid w:val="009D5E35"/>
    <w:rsid w:val="009D61C2"/>
    <w:rsid w:val="009D61CA"/>
    <w:rsid w:val="009D642C"/>
    <w:rsid w:val="009D6444"/>
    <w:rsid w:val="009D64E8"/>
    <w:rsid w:val="009D65F5"/>
    <w:rsid w:val="009D664B"/>
    <w:rsid w:val="009D665E"/>
    <w:rsid w:val="009D6681"/>
    <w:rsid w:val="009D6729"/>
    <w:rsid w:val="009D674A"/>
    <w:rsid w:val="009D6775"/>
    <w:rsid w:val="009D678C"/>
    <w:rsid w:val="009D6791"/>
    <w:rsid w:val="009D67D0"/>
    <w:rsid w:val="009D6842"/>
    <w:rsid w:val="009D6855"/>
    <w:rsid w:val="009D685D"/>
    <w:rsid w:val="009D6962"/>
    <w:rsid w:val="009D6967"/>
    <w:rsid w:val="009D6996"/>
    <w:rsid w:val="009D6AC7"/>
    <w:rsid w:val="009D6B5C"/>
    <w:rsid w:val="009D6B8C"/>
    <w:rsid w:val="009D6E42"/>
    <w:rsid w:val="009D6E45"/>
    <w:rsid w:val="009D6E4A"/>
    <w:rsid w:val="009D6F0D"/>
    <w:rsid w:val="009D705E"/>
    <w:rsid w:val="009D7082"/>
    <w:rsid w:val="009D70D7"/>
    <w:rsid w:val="009D7115"/>
    <w:rsid w:val="009D71A4"/>
    <w:rsid w:val="009D7226"/>
    <w:rsid w:val="009D747C"/>
    <w:rsid w:val="009D75D3"/>
    <w:rsid w:val="009D75D7"/>
    <w:rsid w:val="009D76A6"/>
    <w:rsid w:val="009D778E"/>
    <w:rsid w:val="009D7826"/>
    <w:rsid w:val="009D794A"/>
    <w:rsid w:val="009D7983"/>
    <w:rsid w:val="009D7A8E"/>
    <w:rsid w:val="009D7B8C"/>
    <w:rsid w:val="009D7BB8"/>
    <w:rsid w:val="009D7F66"/>
    <w:rsid w:val="009E00B4"/>
    <w:rsid w:val="009E0100"/>
    <w:rsid w:val="009E0177"/>
    <w:rsid w:val="009E025B"/>
    <w:rsid w:val="009E02A9"/>
    <w:rsid w:val="009E02CC"/>
    <w:rsid w:val="009E02FC"/>
    <w:rsid w:val="009E0314"/>
    <w:rsid w:val="009E03CE"/>
    <w:rsid w:val="009E045B"/>
    <w:rsid w:val="009E0500"/>
    <w:rsid w:val="009E054B"/>
    <w:rsid w:val="009E055C"/>
    <w:rsid w:val="009E0607"/>
    <w:rsid w:val="009E065E"/>
    <w:rsid w:val="009E0672"/>
    <w:rsid w:val="009E07BD"/>
    <w:rsid w:val="009E07CC"/>
    <w:rsid w:val="009E08AD"/>
    <w:rsid w:val="009E0954"/>
    <w:rsid w:val="009E09A9"/>
    <w:rsid w:val="009E09F1"/>
    <w:rsid w:val="009E0A99"/>
    <w:rsid w:val="009E0BAB"/>
    <w:rsid w:val="009E0BD3"/>
    <w:rsid w:val="009E0CBD"/>
    <w:rsid w:val="009E0CEA"/>
    <w:rsid w:val="009E0D35"/>
    <w:rsid w:val="009E0D7C"/>
    <w:rsid w:val="009E0D81"/>
    <w:rsid w:val="009E0DD6"/>
    <w:rsid w:val="009E0E1D"/>
    <w:rsid w:val="009E0E7D"/>
    <w:rsid w:val="009E0EAC"/>
    <w:rsid w:val="009E0F26"/>
    <w:rsid w:val="009E0F4E"/>
    <w:rsid w:val="009E100B"/>
    <w:rsid w:val="009E1018"/>
    <w:rsid w:val="009E109B"/>
    <w:rsid w:val="009E12AD"/>
    <w:rsid w:val="009E12F8"/>
    <w:rsid w:val="009E1500"/>
    <w:rsid w:val="009E15E0"/>
    <w:rsid w:val="009E1724"/>
    <w:rsid w:val="009E17F1"/>
    <w:rsid w:val="009E17FF"/>
    <w:rsid w:val="009E1802"/>
    <w:rsid w:val="009E185F"/>
    <w:rsid w:val="009E1883"/>
    <w:rsid w:val="009E199A"/>
    <w:rsid w:val="009E1A3B"/>
    <w:rsid w:val="009E1B5E"/>
    <w:rsid w:val="009E1B7E"/>
    <w:rsid w:val="009E1CD9"/>
    <w:rsid w:val="009E1CF2"/>
    <w:rsid w:val="009E1DEB"/>
    <w:rsid w:val="009E1E29"/>
    <w:rsid w:val="009E1F10"/>
    <w:rsid w:val="009E20B9"/>
    <w:rsid w:val="009E210B"/>
    <w:rsid w:val="009E220A"/>
    <w:rsid w:val="009E2346"/>
    <w:rsid w:val="009E2367"/>
    <w:rsid w:val="009E23FA"/>
    <w:rsid w:val="009E2410"/>
    <w:rsid w:val="009E2473"/>
    <w:rsid w:val="009E2505"/>
    <w:rsid w:val="009E25EB"/>
    <w:rsid w:val="009E25F7"/>
    <w:rsid w:val="009E25F9"/>
    <w:rsid w:val="009E2684"/>
    <w:rsid w:val="009E2724"/>
    <w:rsid w:val="009E2754"/>
    <w:rsid w:val="009E27CE"/>
    <w:rsid w:val="009E283C"/>
    <w:rsid w:val="009E28A7"/>
    <w:rsid w:val="009E296E"/>
    <w:rsid w:val="009E2A3A"/>
    <w:rsid w:val="009E2A76"/>
    <w:rsid w:val="009E2B53"/>
    <w:rsid w:val="009E2B5F"/>
    <w:rsid w:val="009E2C68"/>
    <w:rsid w:val="009E2CF4"/>
    <w:rsid w:val="009E2D1E"/>
    <w:rsid w:val="009E2E51"/>
    <w:rsid w:val="009E2E7D"/>
    <w:rsid w:val="009E2F0D"/>
    <w:rsid w:val="009E2FBA"/>
    <w:rsid w:val="009E3039"/>
    <w:rsid w:val="009E308A"/>
    <w:rsid w:val="009E3120"/>
    <w:rsid w:val="009E31C1"/>
    <w:rsid w:val="009E31FA"/>
    <w:rsid w:val="009E3210"/>
    <w:rsid w:val="009E3256"/>
    <w:rsid w:val="009E342F"/>
    <w:rsid w:val="009E34B8"/>
    <w:rsid w:val="009E34BC"/>
    <w:rsid w:val="009E3507"/>
    <w:rsid w:val="009E3731"/>
    <w:rsid w:val="009E37BA"/>
    <w:rsid w:val="009E37E8"/>
    <w:rsid w:val="009E39C5"/>
    <w:rsid w:val="009E39E4"/>
    <w:rsid w:val="009E3AE9"/>
    <w:rsid w:val="009E3B2A"/>
    <w:rsid w:val="009E3BFB"/>
    <w:rsid w:val="009E3C79"/>
    <w:rsid w:val="009E3CFD"/>
    <w:rsid w:val="009E3D20"/>
    <w:rsid w:val="009E400B"/>
    <w:rsid w:val="009E423D"/>
    <w:rsid w:val="009E42BE"/>
    <w:rsid w:val="009E4353"/>
    <w:rsid w:val="009E438B"/>
    <w:rsid w:val="009E4429"/>
    <w:rsid w:val="009E444D"/>
    <w:rsid w:val="009E453E"/>
    <w:rsid w:val="009E45E1"/>
    <w:rsid w:val="009E4672"/>
    <w:rsid w:val="009E46FF"/>
    <w:rsid w:val="009E47D8"/>
    <w:rsid w:val="009E4885"/>
    <w:rsid w:val="009E48C2"/>
    <w:rsid w:val="009E48CA"/>
    <w:rsid w:val="009E4946"/>
    <w:rsid w:val="009E494A"/>
    <w:rsid w:val="009E4A48"/>
    <w:rsid w:val="009E4CA2"/>
    <w:rsid w:val="009E4CAB"/>
    <w:rsid w:val="009E4EA1"/>
    <w:rsid w:val="009E4ECD"/>
    <w:rsid w:val="009E4ED5"/>
    <w:rsid w:val="009E4F72"/>
    <w:rsid w:val="009E4F8E"/>
    <w:rsid w:val="009E5015"/>
    <w:rsid w:val="009E50C2"/>
    <w:rsid w:val="009E51A9"/>
    <w:rsid w:val="009E5218"/>
    <w:rsid w:val="009E5235"/>
    <w:rsid w:val="009E52F9"/>
    <w:rsid w:val="009E5312"/>
    <w:rsid w:val="009E5456"/>
    <w:rsid w:val="009E54F2"/>
    <w:rsid w:val="009E54FA"/>
    <w:rsid w:val="009E5537"/>
    <w:rsid w:val="009E559C"/>
    <w:rsid w:val="009E5620"/>
    <w:rsid w:val="009E56F2"/>
    <w:rsid w:val="009E570A"/>
    <w:rsid w:val="009E5733"/>
    <w:rsid w:val="009E575E"/>
    <w:rsid w:val="009E5784"/>
    <w:rsid w:val="009E57DF"/>
    <w:rsid w:val="009E5828"/>
    <w:rsid w:val="009E583F"/>
    <w:rsid w:val="009E58E1"/>
    <w:rsid w:val="009E5906"/>
    <w:rsid w:val="009E592B"/>
    <w:rsid w:val="009E5972"/>
    <w:rsid w:val="009E59E2"/>
    <w:rsid w:val="009E5A4F"/>
    <w:rsid w:val="009E5A71"/>
    <w:rsid w:val="009E5A94"/>
    <w:rsid w:val="009E5AE9"/>
    <w:rsid w:val="009E5B47"/>
    <w:rsid w:val="009E5B79"/>
    <w:rsid w:val="009E5BA6"/>
    <w:rsid w:val="009E5C76"/>
    <w:rsid w:val="009E5C97"/>
    <w:rsid w:val="009E5DF9"/>
    <w:rsid w:val="009E5E6D"/>
    <w:rsid w:val="009E5F6A"/>
    <w:rsid w:val="009E6126"/>
    <w:rsid w:val="009E62BD"/>
    <w:rsid w:val="009E6315"/>
    <w:rsid w:val="009E64EC"/>
    <w:rsid w:val="009E6525"/>
    <w:rsid w:val="009E6575"/>
    <w:rsid w:val="009E65E0"/>
    <w:rsid w:val="009E678C"/>
    <w:rsid w:val="009E67F0"/>
    <w:rsid w:val="009E6827"/>
    <w:rsid w:val="009E6847"/>
    <w:rsid w:val="009E6851"/>
    <w:rsid w:val="009E6854"/>
    <w:rsid w:val="009E68B5"/>
    <w:rsid w:val="009E68DC"/>
    <w:rsid w:val="009E6949"/>
    <w:rsid w:val="009E69D4"/>
    <w:rsid w:val="009E69F2"/>
    <w:rsid w:val="009E69FD"/>
    <w:rsid w:val="009E6A37"/>
    <w:rsid w:val="009E6A63"/>
    <w:rsid w:val="009E6B2A"/>
    <w:rsid w:val="009E6B95"/>
    <w:rsid w:val="009E6C21"/>
    <w:rsid w:val="009E6D90"/>
    <w:rsid w:val="009E6E6D"/>
    <w:rsid w:val="009E6E90"/>
    <w:rsid w:val="009E6ED8"/>
    <w:rsid w:val="009E7053"/>
    <w:rsid w:val="009E7142"/>
    <w:rsid w:val="009E7209"/>
    <w:rsid w:val="009E720B"/>
    <w:rsid w:val="009E723E"/>
    <w:rsid w:val="009E72C1"/>
    <w:rsid w:val="009E72E3"/>
    <w:rsid w:val="009E73D0"/>
    <w:rsid w:val="009E7568"/>
    <w:rsid w:val="009E75D5"/>
    <w:rsid w:val="009E766F"/>
    <w:rsid w:val="009E77CC"/>
    <w:rsid w:val="009E781F"/>
    <w:rsid w:val="009E7874"/>
    <w:rsid w:val="009E795E"/>
    <w:rsid w:val="009E795F"/>
    <w:rsid w:val="009E79ED"/>
    <w:rsid w:val="009E7A89"/>
    <w:rsid w:val="009E7AC4"/>
    <w:rsid w:val="009E7B11"/>
    <w:rsid w:val="009E7C63"/>
    <w:rsid w:val="009E7CF8"/>
    <w:rsid w:val="009E7D1D"/>
    <w:rsid w:val="009E7E8C"/>
    <w:rsid w:val="009E7F26"/>
    <w:rsid w:val="009E7FFC"/>
    <w:rsid w:val="009F0072"/>
    <w:rsid w:val="009F0162"/>
    <w:rsid w:val="009F0180"/>
    <w:rsid w:val="009F01B5"/>
    <w:rsid w:val="009F0274"/>
    <w:rsid w:val="009F02C4"/>
    <w:rsid w:val="009F02D1"/>
    <w:rsid w:val="009F03F9"/>
    <w:rsid w:val="009F048F"/>
    <w:rsid w:val="009F05E7"/>
    <w:rsid w:val="009F060A"/>
    <w:rsid w:val="009F060C"/>
    <w:rsid w:val="009F065D"/>
    <w:rsid w:val="009F0692"/>
    <w:rsid w:val="009F0704"/>
    <w:rsid w:val="009F0709"/>
    <w:rsid w:val="009F0884"/>
    <w:rsid w:val="009F0AD8"/>
    <w:rsid w:val="009F0AFB"/>
    <w:rsid w:val="009F0B56"/>
    <w:rsid w:val="009F0BD5"/>
    <w:rsid w:val="009F0CA3"/>
    <w:rsid w:val="009F0D03"/>
    <w:rsid w:val="009F0DB6"/>
    <w:rsid w:val="009F0E88"/>
    <w:rsid w:val="009F0F03"/>
    <w:rsid w:val="009F0F67"/>
    <w:rsid w:val="009F0FB1"/>
    <w:rsid w:val="009F0FF4"/>
    <w:rsid w:val="009F10FD"/>
    <w:rsid w:val="009F10FF"/>
    <w:rsid w:val="009F121A"/>
    <w:rsid w:val="009F12B1"/>
    <w:rsid w:val="009F1355"/>
    <w:rsid w:val="009F13CA"/>
    <w:rsid w:val="009F154B"/>
    <w:rsid w:val="009F15BC"/>
    <w:rsid w:val="009F168E"/>
    <w:rsid w:val="009F1718"/>
    <w:rsid w:val="009F178E"/>
    <w:rsid w:val="009F1794"/>
    <w:rsid w:val="009F17D3"/>
    <w:rsid w:val="009F17D7"/>
    <w:rsid w:val="009F18E3"/>
    <w:rsid w:val="009F195F"/>
    <w:rsid w:val="009F19C1"/>
    <w:rsid w:val="009F19C7"/>
    <w:rsid w:val="009F19EF"/>
    <w:rsid w:val="009F1B16"/>
    <w:rsid w:val="009F1BA2"/>
    <w:rsid w:val="009F1BE0"/>
    <w:rsid w:val="009F1CF0"/>
    <w:rsid w:val="009F1D2E"/>
    <w:rsid w:val="009F1E52"/>
    <w:rsid w:val="009F1FD9"/>
    <w:rsid w:val="009F2068"/>
    <w:rsid w:val="009F2070"/>
    <w:rsid w:val="009F20AB"/>
    <w:rsid w:val="009F2104"/>
    <w:rsid w:val="009F225A"/>
    <w:rsid w:val="009F2291"/>
    <w:rsid w:val="009F22B5"/>
    <w:rsid w:val="009F22BA"/>
    <w:rsid w:val="009F2492"/>
    <w:rsid w:val="009F254F"/>
    <w:rsid w:val="009F25BA"/>
    <w:rsid w:val="009F260D"/>
    <w:rsid w:val="009F26CC"/>
    <w:rsid w:val="009F26DC"/>
    <w:rsid w:val="009F2743"/>
    <w:rsid w:val="009F27B2"/>
    <w:rsid w:val="009F285A"/>
    <w:rsid w:val="009F2876"/>
    <w:rsid w:val="009F28D3"/>
    <w:rsid w:val="009F28F2"/>
    <w:rsid w:val="009F2940"/>
    <w:rsid w:val="009F297F"/>
    <w:rsid w:val="009F2A27"/>
    <w:rsid w:val="009F2BF0"/>
    <w:rsid w:val="009F2D7B"/>
    <w:rsid w:val="009F2D85"/>
    <w:rsid w:val="009F2E00"/>
    <w:rsid w:val="009F2E10"/>
    <w:rsid w:val="009F2EDF"/>
    <w:rsid w:val="009F2F8B"/>
    <w:rsid w:val="009F2F95"/>
    <w:rsid w:val="009F303E"/>
    <w:rsid w:val="009F30B4"/>
    <w:rsid w:val="009F314C"/>
    <w:rsid w:val="009F32F8"/>
    <w:rsid w:val="009F334E"/>
    <w:rsid w:val="009F3485"/>
    <w:rsid w:val="009F34FE"/>
    <w:rsid w:val="009F3537"/>
    <w:rsid w:val="009F37D6"/>
    <w:rsid w:val="009F390C"/>
    <w:rsid w:val="009F3955"/>
    <w:rsid w:val="009F3A64"/>
    <w:rsid w:val="009F3AF3"/>
    <w:rsid w:val="009F3B29"/>
    <w:rsid w:val="009F3BEC"/>
    <w:rsid w:val="009F3C2C"/>
    <w:rsid w:val="009F3C7D"/>
    <w:rsid w:val="009F3D79"/>
    <w:rsid w:val="009F3E1A"/>
    <w:rsid w:val="009F3E56"/>
    <w:rsid w:val="009F3E6C"/>
    <w:rsid w:val="009F3F2D"/>
    <w:rsid w:val="009F3F36"/>
    <w:rsid w:val="009F3FB3"/>
    <w:rsid w:val="009F400A"/>
    <w:rsid w:val="009F4100"/>
    <w:rsid w:val="009F4194"/>
    <w:rsid w:val="009F41AE"/>
    <w:rsid w:val="009F421F"/>
    <w:rsid w:val="009F4373"/>
    <w:rsid w:val="009F43AE"/>
    <w:rsid w:val="009F45E0"/>
    <w:rsid w:val="009F4636"/>
    <w:rsid w:val="009F464A"/>
    <w:rsid w:val="009F467A"/>
    <w:rsid w:val="009F46C8"/>
    <w:rsid w:val="009F47ED"/>
    <w:rsid w:val="009F47F9"/>
    <w:rsid w:val="009F47FE"/>
    <w:rsid w:val="009F4887"/>
    <w:rsid w:val="009F48D0"/>
    <w:rsid w:val="009F48D3"/>
    <w:rsid w:val="009F48DF"/>
    <w:rsid w:val="009F48E9"/>
    <w:rsid w:val="009F4952"/>
    <w:rsid w:val="009F4BFB"/>
    <w:rsid w:val="009F4D46"/>
    <w:rsid w:val="009F4D72"/>
    <w:rsid w:val="009F4E10"/>
    <w:rsid w:val="009F4E36"/>
    <w:rsid w:val="009F4E53"/>
    <w:rsid w:val="009F4EFD"/>
    <w:rsid w:val="009F503B"/>
    <w:rsid w:val="009F5088"/>
    <w:rsid w:val="009F51C3"/>
    <w:rsid w:val="009F5204"/>
    <w:rsid w:val="009F528B"/>
    <w:rsid w:val="009F5419"/>
    <w:rsid w:val="009F54DD"/>
    <w:rsid w:val="009F557C"/>
    <w:rsid w:val="009F55F2"/>
    <w:rsid w:val="009F55FB"/>
    <w:rsid w:val="009F5630"/>
    <w:rsid w:val="009F56DF"/>
    <w:rsid w:val="009F570D"/>
    <w:rsid w:val="009F5735"/>
    <w:rsid w:val="009F57C2"/>
    <w:rsid w:val="009F599D"/>
    <w:rsid w:val="009F5A27"/>
    <w:rsid w:val="009F5A35"/>
    <w:rsid w:val="009F5B1B"/>
    <w:rsid w:val="009F5B50"/>
    <w:rsid w:val="009F5BB3"/>
    <w:rsid w:val="009F5BE3"/>
    <w:rsid w:val="009F5C11"/>
    <w:rsid w:val="009F5C77"/>
    <w:rsid w:val="009F5CC2"/>
    <w:rsid w:val="009F5CD1"/>
    <w:rsid w:val="009F5E71"/>
    <w:rsid w:val="009F5EE3"/>
    <w:rsid w:val="009F5F3A"/>
    <w:rsid w:val="009F5FB7"/>
    <w:rsid w:val="009F5FEF"/>
    <w:rsid w:val="009F603C"/>
    <w:rsid w:val="009F6048"/>
    <w:rsid w:val="009F6195"/>
    <w:rsid w:val="009F63A1"/>
    <w:rsid w:val="009F63DB"/>
    <w:rsid w:val="009F64F2"/>
    <w:rsid w:val="009F64FE"/>
    <w:rsid w:val="009F6521"/>
    <w:rsid w:val="009F67C1"/>
    <w:rsid w:val="009F6883"/>
    <w:rsid w:val="009F6953"/>
    <w:rsid w:val="009F6A2A"/>
    <w:rsid w:val="009F6AAE"/>
    <w:rsid w:val="009F6B3E"/>
    <w:rsid w:val="009F6CDA"/>
    <w:rsid w:val="009F6D08"/>
    <w:rsid w:val="009F6D53"/>
    <w:rsid w:val="009F6DD7"/>
    <w:rsid w:val="009F6DDF"/>
    <w:rsid w:val="009F6E6C"/>
    <w:rsid w:val="009F6F20"/>
    <w:rsid w:val="009F6F8F"/>
    <w:rsid w:val="009F6FAA"/>
    <w:rsid w:val="009F70AA"/>
    <w:rsid w:val="009F70E3"/>
    <w:rsid w:val="009F7165"/>
    <w:rsid w:val="009F7194"/>
    <w:rsid w:val="009F720A"/>
    <w:rsid w:val="009F7365"/>
    <w:rsid w:val="009F748D"/>
    <w:rsid w:val="009F74FD"/>
    <w:rsid w:val="009F75A7"/>
    <w:rsid w:val="009F7610"/>
    <w:rsid w:val="009F767B"/>
    <w:rsid w:val="009F7713"/>
    <w:rsid w:val="009F7717"/>
    <w:rsid w:val="009F7829"/>
    <w:rsid w:val="009F78A7"/>
    <w:rsid w:val="009F79AC"/>
    <w:rsid w:val="009F79FD"/>
    <w:rsid w:val="009F7ACE"/>
    <w:rsid w:val="009F7B58"/>
    <w:rsid w:val="009F7B88"/>
    <w:rsid w:val="009F7CCA"/>
    <w:rsid w:val="009F7D80"/>
    <w:rsid w:val="009F7EED"/>
    <w:rsid w:val="009F7F15"/>
    <w:rsid w:val="009F7F35"/>
    <w:rsid w:val="00A00005"/>
    <w:rsid w:val="00A000BC"/>
    <w:rsid w:val="00A0013B"/>
    <w:rsid w:val="00A00174"/>
    <w:rsid w:val="00A001E2"/>
    <w:rsid w:val="00A001E4"/>
    <w:rsid w:val="00A002C0"/>
    <w:rsid w:val="00A0035C"/>
    <w:rsid w:val="00A0039B"/>
    <w:rsid w:val="00A00426"/>
    <w:rsid w:val="00A0043C"/>
    <w:rsid w:val="00A00530"/>
    <w:rsid w:val="00A0069A"/>
    <w:rsid w:val="00A006A9"/>
    <w:rsid w:val="00A006BB"/>
    <w:rsid w:val="00A007A1"/>
    <w:rsid w:val="00A007DF"/>
    <w:rsid w:val="00A00855"/>
    <w:rsid w:val="00A00899"/>
    <w:rsid w:val="00A00942"/>
    <w:rsid w:val="00A00A64"/>
    <w:rsid w:val="00A00AC7"/>
    <w:rsid w:val="00A00AEC"/>
    <w:rsid w:val="00A00B99"/>
    <w:rsid w:val="00A00D2B"/>
    <w:rsid w:val="00A00E9B"/>
    <w:rsid w:val="00A00F94"/>
    <w:rsid w:val="00A01087"/>
    <w:rsid w:val="00A010DD"/>
    <w:rsid w:val="00A0116B"/>
    <w:rsid w:val="00A011D6"/>
    <w:rsid w:val="00A01231"/>
    <w:rsid w:val="00A01273"/>
    <w:rsid w:val="00A01279"/>
    <w:rsid w:val="00A01287"/>
    <w:rsid w:val="00A0134C"/>
    <w:rsid w:val="00A013BC"/>
    <w:rsid w:val="00A01424"/>
    <w:rsid w:val="00A01464"/>
    <w:rsid w:val="00A01478"/>
    <w:rsid w:val="00A01492"/>
    <w:rsid w:val="00A014AD"/>
    <w:rsid w:val="00A01574"/>
    <w:rsid w:val="00A015E5"/>
    <w:rsid w:val="00A0172A"/>
    <w:rsid w:val="00A0176D"/>
    <w:rsid w:val="00A01788"/>
    <w:rsid w:val="00A017B5"/>
    <w:rsid w:val="00A01984"/>
    <w:rsid w:val="00A019FD"/>
    <w:rsid w:val="00A01A13"/>
    <w:rsid w:val="00A01A96"/>
    <w:rsid w:val="00A01AEE"/>
    <w:rsid w:val="00A01C02"/>
    <w:rsid w:val="00A01CB1"/>
    <w:rsid w:val="00A01D20"/>
    <w:rsid w:val="00A01DB6"/>
    <w:rsid w:val="00A01DCA"/>
    <w:rsid w:val="00A01DD4"/>
    <w:rsid w:val="00A01E30"/>
    <w:rsid w:val="00A01EFE"/>
    <w:rsid w:val="00A01FA9"/>
    <w:rsid w:val="00A02066"/>
    <w:rsid w:val="00A021F5"/>
    <w:rsid w:val="00A0231C"/>
    <w:rsid w:val="00A02368"/>
    <w:rsid w:val="00A0236F"/>
    <w:rsid w:val="00A023B5"/>
    <w:rsid w:val="00A0240C"/>
    <w:rsid w:val="00A02426"/>
    <w:rsid w:val="00A02470"/>
    <w:rsid w:val="00A024C0"/>
    <w:rsid w:val="00A02524"/>
    <w:rsid w:val="00A026EC"/>
    <w:rsid w:val="00A02745"/>
    <w:rsid w:val="00A027C1"/>
    <w:rsid w:val="00A0281F"/>
    <w:rsid w:val="00A02914"/>
    <w:rsid w:val="00A0293A"/>
    <w:rsid w:val="00A0299D"/>
    <w:rsid w:val="00A029C4"/>
    <w:rsid w:val="00A02A87"/>
    <w:rsid w:val="00A02A8E"/>
    <w:rsid w:val="00A02AB1"/>
    <w:rsid w:val="00A02B2E"/>
    <w:rsid w:val="00A02B57"/>
    <w:rsid w:val="00A02C69"/>
    <w:rsid w:val="00A02D74"/>
    <w:rsid w:val="00A02D78"/>
    <w:rsid w:val="00A02DE6"/>
    <w:rsid w:val="00A02E52"/>
    <w:rsid w:val="00A02EEB"/>
    <w:rsid w:val="00A030AB"/>
    <w:rsid w:val="00A0321A"/>
    <w:rsid w:val="00A03422"/>
    <w:rsid w:val="00A034FD"/>
    <w:rsid w:val="00A0360D"/>
    <w:rsid w:val="00A036DC"/>
    <w:rsid w:val="00A03711"/>
    <w:rsid w:val="00A03741"/>
    <w:rsid w:val="00A039A5"/>
    <w:rsid w:val="00A039AA"/>
    <w:rsid w:val="00A03AA7"/>
    <w:rsid w:val="00A03AE0"/>
    <w:rsid w:val="00A03B00"/>
    <w:rsid w:val="00A03B30"/>
    <w:rsid w:val="00A03C5A"/>
    <w:rsid w:val="00A03C8E"/>
    <w:rsid w:val="00A03CA1"/>
    <w:rsid w:val="00A03CC9"/>
    <w:rsid w:val="00A03D21"/>
    <w:rsid w:val="00A03D83"/>
    <w:rsid w:val="00A03E06"/>
    <w:rsid w:val="00A03E59"/>
    <w:rsid w:val="00A03E6B"/>
    <w:rsid w:val="00A03F14"/>
    <w:rsid w:val="00A03F23"/>
    <w:rsid w:val="00A03F62"/>
    <w:rsid w:val="00A03F67"/>
    <w:rsid w:val="00A03FA8"/>
    <w:rsid w:val="00A03FCF"/>
    <w:rsid w:val="00A040E7"/>
    <w:rsid w:val="00A0418E"/>
    <w:rsid w:val="00A042B9"/>
    <w:rsid w:val="00A04477"/>
    <w:rsid w:val="00A044FD"/>
    <w:rsid w:val="00A04537"/>
    <w:rsid w:val="00A0455D"/>
    <w:rsid w:val="00A045F4"/>
    <w:rsid w:val="00A04627"/>
    <w:rsid w:val="00A0470B"/>
    <w:rsid w:val="00A04732"/>
    <w:rsid w:val="00A0473C"/>
    <w:rsid w:val="00A0474A"/>
    <w:rsid w:val="00A0482E"/>
    <w:rsid w:val="00A048B3"/>
    <w:rsid w:val="00A048F1"/>
    <w:rsid w:val="00A04905"/>
    <w:rsid w:val="00A04940"/>
    <w:rsid w:val="00A04A5B"/>
    <w:rsid w:val="00A04A87"/>
    <w:rsid w:val="00A04C6B"/>
    <w:rsid w:val="00A04E11"/>
    <w:rsid w:val="00A04E63"/>
    <w:rsid w:val="00A04FF2"/>
    <w:rsid w:val="00A051D6"/>
    <w:rsid w:val="00A053B5"/>
    <w:rsid w:val="00A053C2"/>
    <w:rsid w:val="00A0540D"/>
    <w:rsid w:val="00A05560"/>
    <w:rsid w:val="00A05586"/>
    <w:rsid w:val="00A055A4"/>
    <w:rsid w:val="00A0562E"/>
    <w:rsid w:val="00A056B9"/>
    <w:rsid w:val="00A0570A"/>
    <w:rsid w:val="00A05764"/>
    <w:rsid w:val="00A058D9"/>
    <w:rsid w:val="00A05AD9"/>
    <w:rsid w:val="00A05B0C"/>
    <w:rsid w:val="00A05B49"/>
    <w:rsid w:val="00A05B53"/>
    <w:rsid w:val="00A05CED"/>
    <w:rsid w:val="00A05EBB"/>
    <w:rsid w:val="00A05ECE"/>
    <w:rsid w:val="00A05EE9"/>
    <w:rsid w:val="00A05F45"/>
    <w:rsid w:val="00A05F58"/>
    <w:rsid w:val="00A05F59"/>
    <w:rsid w:val="00A06272"/>
    <w:rsid w:val="00A062F3"/>
    <w:rsid w:val="00A06361"/>
    <w:rsid w:val="00A06602"/>
    <w:rsid w:val="00A06643"/>
    <w:rsid w:val="00A066B5"/>
    <w:rsid w:val="00A068AB"/>
    <w:rsid w:val="00A069F6"/>
    <w:rsid w:val="00A07134"/>
    <w:rsid w:val="00A0713A"/>
    <w:rsid w:val="00A07144"/>
    <w:rsid w:val="00A07162"/>
    <w:rsid w:val="00A0720B"/>
    <w:rsid w:val="00A07227"/>
    <w:rsid w:val="00A07240"/>
    <w:rsid w:val="00A07246"/>
    <w:rsid w:val="00A072C5"/>
    <w:rsid w:val="00A072E1"/>
    <w:rsid w:val="00A07327"/>
    <w:rsid w:val="00A07345"/>
    <w:rsid w:val="00A07388"/>
    <w:rsid w:val="00A073C0"/>
    <w:rsid w:val="00A07413"/>
    <w:rsid w:val="00A0745B"/>
    <w:rsid w:val="00A075AB"/>
    <w:rsid w:val="00A075F8"/>
    <w:rsid w:val="00A076BF"/>
    <w:rsid w:val="00A076CB"/>
    <w:rsid w:val="00A076D0"/>
    <w:rsid w:val="00A076E2"/>
    <w:rsid w:val="00A078FA"/>
    <w:rsid w:val="00A0792F"/>
    <w:rsid w:val="00A07964"/>
    <w:rsid w:val="00A079F3"/>
    <w:rsid w:val="00A07AA3"/>
    <w:rsid w:val="00A07B08"/>
    <w:rsid w:val="00A07BED"/>
    <w:rsid w:val="00A07C8A"/>
    <w:rsid w:val="00A07CB0"/>
    <w:rsid w:val="00A07D32"/>
    <w:rsid w:val="00A07D83"/>
    <w:rsid w:val="00A07DC9"/>
    <w:rsid w:val="00A07DFB"/>
    <w:rsid w:val="00A07E23"/>
    <w:rsid w:val="00A07E94"/>
    <w:rsid w:val="00A07EBB"/>
    <w:rsid w:val="00A100E9"/>
    <w:rsid w:val="00A10176"/>
    <w:rsid w:val="00A10209"/>
    <w:rsid w:val="00A102EE"/>
    <w:rsid w:val="00A1044C"/>
    <w:rsid w:val="00A1046E"/>
    <w:rsid w:val="00A10661"/>
    <w:rsid w:val="00A10672"/>
    <w:rsid w:val="00A10726"/>
    <w:rsid w:val="00A1093C"/>
    <w:rsid w:val="00A1093D"/>
    <w:rsid w:val="00A1099B"/>
    <w:rsid w:val="00A109E4"/>
    <w:rsid w:val="00A10B1E"/>
    <w:rsid w:val="00A10B3E"/>
    <w:rsid w:val="00A10BA9"/>
    <w:rsid w:val="00A10BB9"/>
    <w:rsid w:val="00A10BC6"/>
    <w:rsid w:val="00A10C23"/>
    <w:rsid w:val="00A10DCB"/>
    <w:rsid w:val="00A10E49"/>
    <w:rsid w:val="00A10E61"/>
    <w:rsid w:val="00A10EB3"/>
    <w:rsid w:val="00A10EF2"/>
    <w:rsid w:val="00A10F2B"/>
    <w:rsid w:val="00A10F8D"/>
    <w:rsid w:val="00A10FA6"/>
    <w:rsid w:val="00A1100E"/>
    <w:rsid w:val="00A11022"/>
    <w:rsid w:val="00A110F6"/>
    <w:rsid w:val="00A11157"/>
    <w:rsid w:val="00A11233"/>
    <w:rsid w:val="00A112C1"/>
    <w:rsid w:val="00A112D5"/>
    <w:rsid w:val="00A112DF"/>
    <w:rsid w:val="00A1147D"/>
    <w:rsid w:val="00A1149F"/>
    <w:rsid w:val="00A11538"/>
    <w:rsid w:val="00A11563"/>
    <w:rsid w:val="00A11595"/>
    <w:rsid w:val="00A117B0"/>
    <w:rsid w:val="00A1183C"/>
    <w:rsid w:val="00A11859"/>
    <w:rsid w:val="00A1187F"/>
    <w:rsid w:val="00A119EB"/>
    <w:rsid w:val="00A119F0"/>
    <w:rsid w:val="00A11BD3"/>
    <w:rsid w:val="00A11BDA"/>
    <w:rsid w:val="00A11BE3"/>
    <w:rsid w:val="00A11C86"/>
    <w:rsid w:val="00A11CA0"/>
    <w:rsid w:val="00A11CEE"/>
    <w:rsid w:val="00A11D4D"/>
    <w:rsid w:val="00A11DA7"/>
    <w:rsid w:val="00A11DAB"/>
    <w:rsid w:val="00A11FA9"/>
    <w:rsid w:val="00A120CD"/>
    <w:rsid w:val="00A120D6"/>
    <w:rsid w:val="00A12339"/>
    <w:rsid w:val="00A12391"/>
    <w:rsid w:val="00A123CC"/>
    <w:rsid w:val="00A123D6"/>
    <w:rsid w:val="00A123F3"/>
    <w:rsid w:val="00A1254B"/>
    <w:rsid w:val="00A125C3"/>
    <w:rsid w:val="00A125DE"/>
    <w:rsid w:val="00A12674"/>
    <w:rsid w:val="00A1269B"/>
    <w:rsid w:val="00A127F9"/>
    <w:rsid w:val="00A12841"/>
    <w:rsid w:val="00A128BF"/>
    <w:rsid w:val="00A12919"/>
    <w:rsid w:val="00A12B3C"/>
    <w:rsid w:val="00A12BAA"/>
    <w:rsid w:val="00A12D43"/>
    <w:rsid w:val="00A12DBC"/>
    <w:rsid w:val="00A12DF0"/>
    <w:rsid w:val="00A12DFC"/>
    <w:rsid w:val="00A12E08"/>
    <w:rsid w:val="00A12E28"/>
    <w:rsid w:val="00A12E4E"/>
    <w:rsid w:val="00A12E66"/>
    <w:rsid w:val="00A130A7"/>
    <w:rsid w:val="00A1315D"/>
    <w:rsid w:val="00A132A9"/>
    <w:rsid w:val="00A1340A"/>
    <w:rsid w:val="00A13426"/>
    <w:rsid w:val="00A13447"/>
    <w:rsid w:val="00A13534"/>
    <w:rsid w:val="00A13633"/>
    <w:rsid w:val="00A13669"/>
    <w:rsid w:val="00A13676"/>
    <w:rsid w:val="00A13682"/>
    <w:rsid w:val="00A13775"/>
    <w:rsid w:val="00A137B0"/>
    <w:rsid w:val="00A137C4"/>
    <w:rsid w:val="00A137C9"/>
    <w:rsid w:val="00A137E6"/>
    <w:rsid w:val="00A138FD"/>
    <w:rsid w:val="00A1398F"/>
    <w:rsid w:val="00A13A08"/>
    <w:rsid w:val="00A13A53"/>
    <w:rsid w:val="00A13A6B"/>
    <w:rsid w:val="00A13B79"/>
    <w:rsid w:val="00A13D65"/>
    <w:rsid w:val="00A13DA6"/>
    <w:rsid w:val="00A13E60"/>
    <w:rsid w:val="00A13E97"/>
    <w:rsid w:val="00A13EA0"/>
    <w:rsid w:val="00A13F68"/>
    <w:rsid w:val="00A13F6C"/>
    <w:rsid w:val="00A13F96"/>
    <w:rsid w:val="00A14048"/>
    <w:rsid w:val="00A1411F"/>
    <w:rsid w:val="00A14130"/>
    <w:rsid w:val="00A141E6"/>
    <w:rsid w:val="00A1437A"/>
    <w:rsid w:val="00A144D7"/>
    <w:rsid w:val="00A1451C"/>
    <w:rsid w:val="00A1451F"/>
    <w:rsid w:val="00A14662"/>
    <w:rsid w:val="00A146ED"/>
    <w:rsid w:val="00A147D2"/>
    <w:rsid w:val="00A14902"/>
    <w:rsid w:val="00A1495A"/>
    <w:rsid w:val="00A149EF"/>
    <w:rsid w:val="00A14AB2"/>
    <w:rsid w:val="00A14B25"/>
    <w:rsid w:val="00A14CED"/>
    <w:rsid w:val="00A14E63"/>
    <w:rsid w:val="00A14EE3"/>
    <w:rsid w:val="00A14F07"/>
    <w:rsid w:val="00A1502B"/>
    <w:rsid w:val="00A15059"/>
    <w:rsid w:val="00A150B5"/>
    <w:rsid w:val="00A1513E"/>
    <w:rsid w:val="00A1516E"/>
    <w:rsid w:val="00A152A8"/>
    <w:rsid w:val="00A152AA"/>
    <w:rsid w:val="00A15302"/>
    <w:rsid w:val="00A15321"/>
    <w:rsid w:val="00A15367"/>
    <w:rsid w:val="00A1553A"/>
    <w:rsid w:val="00A1558E"/>
    <w:rsid w:val="00A156CC"/>
    <w:rsid w:val="00A15723"/>
    <w:rsid w:val="00A15908"/>
    <w:rsid w:val="00A159C4"/>
    <w:rsid w:val="00A15A0A"/>
    <w:rsid w:val="00A15B2F"/>
    <w:rsid w:val="00A15B65"/>
    <w:rsid w:val="00A15BD5"/>
    <w:rsid w:val="00A15C09"/>
    <w:rsid w:val="00A15E53"/>
    <w:rsid w:val="00A15E54"/>
    <w:rsid w:val="00A15E58"/>
    <w:rsid w:val="00A15E7F"/>
    <w:rsid w:val="00A15ECC"/>
    <w:rsid w:val="00A15EE3"/>
    <w:rsid w:val="00A15F74"/>
    <w:rsid w:val="00A16016"/>
    <w:rsid w:val="00A160AC"/>
    <w:rsid w:val="00A16135"/>
    <w:rsid w:val="00A1617F"/>
    <w:rsid w:val="00A161FA"/>
    <w:rsid w:val="00A1643B"/>
    <w:rsid w:val="00A16478"/>
    <w:rsid w:val="00A164EF"/>
    <w:rsid w:val="00A165CC"/>
    <w:rsid w:val="00A16684"/>
    <w:rsid w:val="00A167B6"/>
    <w:rsid w:val="00A167EE"/>
    <w:rsid w:val="00A16926"/>
    <w:rsid w:val="00A16A19"/>
    <w:rsid w:val="00A16A97"/>
    <w:rsid w:val="00A16B5F"/>
    <w:rsid w:val="00A16C5B"/>
    <w:rsid w:val="00A16D5B"/>
    <w:rsid w:val="00A16D7D"/>
    <w:rsid w:val="00A16DDF"/>
    <w:rsid w:val="00A16E75"/>
    <w:rsid w:val="00A16EAE"/>
    <w:rsid w:val="00A16EFE"/>
    <w:rsid w:val="00A16F80"/>
    <w:rsid w:val="00A1709A"/>
    <w:rsid w:val="00A1709F"/>
    <w:rsid w:val="00A170A3"/>
    <w:rsid w:val="00A170F4"/>
    <w:rsid w:val="00A1713C"/>
    <w:rsid w:val="00A1715E"/>
    <w:rsid w:val="00A1731A"/>
    <w:rsid w:val="00A173D8"/>
    <w:rsid w:val="00A17559"/>
    <w:rsid w:val="00A17729"/>
    <w:rsid w:val="00A1772F"/>
    <w:rsid w:val="00A1780B"/>
    <w:rsid w:val="00A1799C"/>
    <w:rsid w:val="00A17C07"/>
    <w:rsid w:val="00A17C17"/>
    <w:rsid w:val="00A17C20"/>
    <w:rsid w:val="00A17CE9"/>
    <w:rsid w:val="00A17D25"/>
    <w:rsid w:val="00A17D45"/>
    <w:rsid w:val="00A17D61"/>
    <w:rsid w:val="00A17E08"/>
    <w:rsid w:val="00A17F43"/>
    <w:rsid w:val="00A2007D"/>
    <w:rsid w:val="00A200EB"/>
    <w:rsid w:val="00A200F9"/>
    <w:rsid w:val="00A201BC"/>
    <w:rsid w:val="00A201F1"/>
    <w:rsid w:val="00A201F2"/>
    <w:rsid w:val="00A2031F"/>
    <w:rsid w:val="00A204DF"/>
    <w:rsid w:val="00A20582"/>
    <w:rsid w:val="00A20639"/>
    <w:rsid w:val="00A206A4"/>
    <w:rsid w:val="00A2070B"/>
    <w:rsid w:val="00A20739"/>
    <w:rsid w:val="00A20AF8"/>
    <w:rsid w:val="00A20CE4"/>
    <w:rsid w:val="00A20D60"/>
    <w:rsid w:val="00A20F8F"/>
    <w:rsid w:val="00A21018"/>
    <w:rsid w:val="00A21025"/>
    <w:rsid w:val="00A2106C"/>
    <w:rsid w:val="00A211CE"/>
    <w:rsid w:val="00A2120D"/>
    <w:rsid w:val="00A21257"/>
    <w:rsid w:val="00A21617"/>
    <w:rsid w:val="00A2166D"/>
    <w:rsid w:val="00A216FD"/>
    <w:rsid w:val="00A2183E"/>
    <w:rsid w:val="00A21853"/>
    <w:rsid w:val="00A218B2"/>
    <w:rsid w:val="00A218E3"/>
    <w:rsid w:val="00A21972"/>
    <w:rsid w:val="00A219D2"/>
    <w:rsid w:val="00A21A35"/>
    <w:rsid w:val="00A21A44"/>
    <w:rsid w:val="00A21AF6"/>
    <w:rsid w:val="00A21B2E"/>
    <w:rsid w:val="00A21BEA"/>
    <w:rsid w:val="00A21BFD"/>
    <w:rsid w:val="00A21C47"/>
    <w:rsid w:val="00A21CEA"/>
    <w:rsid w:val="00A21D05"/>
    <w:rsid w:val="00A21E71"/>
    <w:rsid w:val="00A21EFD"/>
    <w:rsid w:val="00A22035"/>
    <w:rsid w:val="00A2208D"/>
    <w:rsid w:val="00A220B9"/>
    <w:rsid w:val="00A2211A"/>
    <w:rsid w:val="00A2218B"/>
    <w:rsid w:val="00A221FD"/>
    <w:rsid w:val="00A2224D"/>
    <w:rsid w:val="00A222CF"/>
    <w:rsid w:val="00A22332"/>
    <w:rsid w:val="00A2240C"/>
    <w:rsid w:val="00A22519"/>
    <w:rsid w:val="00A2252A"/>
    <w:rsid w:val="00A22580"/>
    <w:rsid w:val="00A225BE"/>
    <w:rsid w:val="00A22687"/>
    <w:rsid w:val="00A22851"/>
    <w:rsid w:val="00A228B6"/>
    <w:rsid w:val="00A228F8"/>
    <w:rsid w:val="00A2291E"/>
    <w:rsid w:val="00A22924"/>
    <w:rsid w:val="00A22A7C"/>
    <w:rsid w:val="00A22B12"/>
    <w:rsid w:val="00A22B16"/>
    <w:rsid w:val="00A22B9F"/>
    <w:rsid w:val="00A22BE7"/>
    <w:rsid w:val="00A22C90"/>
    <w:rsid w:val="00A22CAB"/>
    <w:rsid w:val="00A22D51"/>
    <w:rsid w:val="00A22E22"/>
    <w:rsid w:val="00A22E39"/>
    <w:rsid w:val="00A22FD4"/>
    <w:rsid w:val="00A23021"/>
    <w:rsid w:val="00A230C5"/>
    <w:rsid w:val="00A230F3"/>
    <w:rsid w:val="00A23192"/>
    <w:rsid w:val="00A231B1"/>
    <w:rsid w:val="00A231F3"/>
    <w:rsid w:val="00A23216"/>
    <w:rsid w:val="00A23260"/>
    <w:rsid w:val="00A23261"/>
    <w:rsid w:val="00A23276"/>
    <w:rsid w:val="00A23343"/>
    <w:rsid w:val="00A23406"/>
    <w:rsid w:val="00A23467"/>
    <w:rsid w:val="00A235BB"/>
    <w:rsid w:val="00A2360D"/>
    <w:rsid w:val="00A236E5"/>
    <w:rsid w:val="00A23760"/>
    <w:rsid w:val="00A23772"/>
    <w:rsid w:val="00A237A2"/>
    <w:rsid w:val="00A2383B"/>
    <w:rsid w:val="00A2388C"/>
    <w:rsid w:val="00A238AD"/>
    <w:rsid w:val="00A238F8"/>
    <w:rsid w:val="00A23915"/>
    <w:rsid w:val="00A2391A"/>
    <w:rsid w:val="00A23971"/>
    <w:rsid w:val="00A239EF"/>
    <w:rsid w:val="00A23B21"/>
    <w:rsid w:val="00A23B75"/>
    <w:rsid w:val="00A23B85"/>
    <w:rsid w:val="00A23BCB"/>
    <w:rsid w:val="00A23C89"/>
    <w:rsid w:val="00A23CCE"/>
    <w:rsid w:val="00A23D2F"/>
    <w:rsid w:val="00A23DDA"/>
    <w:rsid w:val="00A23DE3"/>
    <w:rsid w:val="00A23E9D"/>
    <w:rsid w:val="00A24118"/>
    <w:rsid w:val="00A241A4"/>
    <w:rsid w:val="00A241DB"/>
    <w:rsid w:val="00A241DC"/>
    <w:rsid w:val="00A241E1"/>
    <w:rsid w:val="00A2426D"/>
    <w:rsid w:val="00A242BC"/>
    <w:rsid w:val="00A24368"/>
    <w:rsid w:val="00A24393"/>
    <w:rsid w:val="00A243B9"/>
    <w:rsid w:val="00A24476"/>
    <w:rsid w:val="00A244AA"/>
    <w:rsid w:val="00A244DD"/>
    <w:rsid w:val="00A24559"/>
    <w:rsid w:val="00A24590"/>
    <w:rsid w:val="00A24686"/>
    <w:rsid w:val="00A24882"/>
    <w:rsid w:val="00A248AD"/>
    <w:rsid w:val="00A24945"/>
    <w:rsid w:val="00A24969"/>
    <w:rsid w:val="00A24A4F"/>
    <w:rsid w:val="00A24A91"/>
    <w:rsid w:val="00A24AFA"/>
    <w:rsid w:val="00A24B3E"/>
    <w:rsid w:val="00A24B63"/>
    <w:rsid w:val="00A24B92"/>
    <w:rsid w:val="00A24BA7"/>
    <w:rsid w:val="00A24BF5"/>
    <w:rsid w:val="00A24C7D"/>
    <w:rsid w:val="00A24CD0"/>
    <w:rsid w:val="00A24DF7"/>
    <w:rsid w:val="00A24E43"/>
    <w:rsid w:val="00A24E95"/>
    <w:rsid w:val="00A25085"/>
    <w:rsid w:val="00A250B6"/>
    <w:rsid w:val="00A25213"/>
    <w:rsid w:val="00A25245"/>
    <w:rsid w:val="00A2524A"/>
    <w:rsid w:val="00A252F6"/>
    <w:rsid w:val="00A2535E"/>
    <w:rsid w:val="00A254DD"/>
    <w:rsid w:val="00A256C4"/>
    <w:rsid w:val="00A256F1"/>
    <w:rsid w:val="00A25723"/>
    <w:rsid w:val="00A257FB"/>
    <w:rsid w:val="00A25881"/>
    <w:rsid w:val="00A258CC"/>
    <w:rsid w:val="00A25977"/>
    <w:rsid w:val="00A2598E"/>
    <w:rsid w:val="00A259A7"/>
    <w:rsid w:val="00A25A10"/>
    <w:rsid w:val="00A25A1D"/>
    <w:rsid w:val="00A25A47"/>
    <w:rsid w:val="00A25A56"/>
    <w:rsid w:val="00A25A89"/>
    <w:rsid w:val="00A25ACF"/>
    <w:rsid w:val="00A25B66"/>
    <w:rsid w:val="00A25C13"/>
    <w:rsid w:val="00A25C6A"/>
    <w:rsid w:val="00A25DE2"/>
    <w:rsid w:val="00A25EC8"/>
    <w:rsid w:val="00A25F09"/>
    <w:rsid w:val="00A25F2A"/>
    <w:rsid w:val="00A25F46"/>
    <w:rsid w:val="00A25F69"/>
    <w:rsid w:val="00A25FAD"/>
    <w:rsid w:val="00A26108"/>
    <w:rsid w:val="00A26124"/>
    <w:rsid w:val="00A261C9"/>
    <w:rsid w:val="00A2627D"/>
    <w:rsid w:val="00A26337"/>
    <w:rsid w:val="00A263AC"/>
    <w:rsid w:val="00A263AE"/>
    <w:rsid w:val="00A263F9"/>
    <w:rsid w:val="00A26415"/>
    <w:rsid w:val="00A26426"/>
    <w:rsid w:val="00A26441"/>
    <w:rsid w:val="00A26530"/>
    <w:rsid w:val="00A26608"/>
    <w:rsid w:val="00A26626"/>
    <w:rsid w:val="00A26650"/>
    <w:rsid w:val="00A266D3"/>
    <w:rsid w:val="00A266F7"/>
    <w:rsid w:val="00A26711"/>
    <w:rsid w:val="00A2672F"/>
    <w:rsid w:val="00A2682C"/>
    <w:rsid w:val="00A26930"/>
    <w:rsid w:val="00A26A05"/>
    <w:rsid w:val="00A26A67"/>
    <w:rsid w:val="00A26AC3"/>
    <w:rsid w:val="00A26AC6"/>
    <w:rsid w:val="00A26B53"/>
    <w:rsid w:val="00A26B6C"/>
    <w:rsid w:val="00A26C94"/>
    <w:rsid w:val="00A26CA5"/>
    <w:rsid w:val="00A26D3C"/>
    <w:rsid w:val="00A26E12"/>
    <w:rsid w:val="00A26E5E"/>
    <w:rsid w:val="00A26ECF"/>
    <w:rsid w:val="00A27066"/>
    <w:rsid w:val="00A27067"/>
    <w:rsid w:val="00A270C6"/>
    <w:rsid w:val="00A2716D"/>
    <w:rsid w:val="00A271A9"/>
    <w:rsid w:val="00A27386"/>
    <w:rsid w:val="00A274D6"/>
    <w:rsid w:val="00A27577"/>
    <w:rsid w:val="00A275BF"/>
    <w:rsid w:val="00A276B0"/>
    <w:rsid w:val="00A27750"/>
    <w:rsid w:val="00A277AA"/>
    <w:rsid w:val="00A27843"/>
    <w:rsid w:val="00A27858"/>
    <w:rsid w:val="00A27870"/>
    <w:rsid w:val="00A27923"/>
    <w:rsid w:val="00A27985"/>
    <w:rsid w:val="00A279FB"/>
    <w:rsid w:val="00A27A9F"/>
    <w:rsid w:val="00A27B06"/>
    <w:rsid w:val="00A27B42"/>
    <w:rsid w:val="00A27C82"/>
    <w:rsid w:val="00A27D3F"/>
    <w:rsid w:val="00A27E80"/>
    <w:rsid w:val="00A27EB8"/>
    <w:rsid w:val="00A27F27"/>
    <w:rsid w:val="00A27FBF"/>
    <w:rsid w:val="00A30101"/>
    <w:rsid w:val="00A301AA"/>
    <w:rsid w:val="00A30308"/>
    <w:rsid w:val="00A30426"/>
    <w:rsid w:val="00A304C9"/>
    <w:rsid w:val="00A304F0"/>
    <w:rsid w:val="00A30550"/>
    <w:rsid w:val="00A3059A"/>
    <w:rsid w:val="00A305F3"/>
    <w:rsid w:val="00A307E0"/>
    <w:rsid w:val="00A3083B"/>
    <w:rsid w:val="00A308F8"/>
    <w:rsid w:val="00A30958"/>
    <w:rsid w:val="00A309B1"/>
    <w:rsid w:val="00A309D7"/>
    <w:rsid w:val="00A30A22"/>
    <w:rsid w:val="00A30AFC"/>
    <w:rsid w:val="00A30B37"/>
    <w:rsid w:val="00A30B43"/>
    <w:rsid w:val="00A30BDC"/>
    <w:rsid w:val="00A30C74"/>
    <w:rsid w:val="00A30D01"/>
    <w:rsid w:val="00A30DA6"/>
    <w:rsid w:val="00A30FC9"/>
    <w:rsid w:val="00A31151"/>
    <w:rsid w:val="00A31177"/>
    <w:rsid w:val="00A311BC"/>
    <w:rsid w:val="00A313B7"/>
    <w:rsid w:val="00A313D9"/>
    <w:rsid w:val="00A31545"/>
    <w:rsid w:val="00A315E0"/>
    <w:rsid w:val="00A3174A"/>
    <w:rsid w:val="00A317E2"/>
    <w:rsid w:val="00A318E1"/>
    <w:rsid w:val="00A319F6"/>
    <w:rsid w:val="00A31A87"/>
    <w:rsid w:val="00A31B24"/>
    <w:rsid w:val="00A31BEA"/>
    <w:rsid w:val="00A31C43"/>
    <w:rsid w:val="00A31D3C"/>
    <w:rsid w:val="00A31D42"/>
    <w:rsid w:val="00A31E1F"/>
    <w:rsid w:val="00A31F5A"/>
    <w:rsid w:val="00A32239"/>
    <w:rsid w:val="00A322C1"/>
    <w:rsid w:val="00A32334"/>
    <w:rsid w:val="00A324E7"/>
    <w:rsid w:val="00A324FA"/>
    <w:rsid w:val="00A32532"/>
    <w:rsid w:val="00A3258B"/>
    <w:rsid w:val="00A32613"/>
    <w:rsid w:val="00A32980"/>
    <w:rsid w:val="00A32ABC"/>
    <w:rsid w:val="00A32BCB"/>
    <w:rsid w:val="00A32BD8"/>
    <w:rsid w:val="00A32DE3"/>
    <w:rsid w:val="00A32ED8"/>
    <w:rsid w:val="00A32F22"/>
    <w:rsid w:val="00A32F39"/>
    <w:rsid w:val="00A32F9D"/>
    <w:rsid w:val="00A32FAB"/>
    <w:rsid w:val="00A32FBF"/>
    <w:rsid w:val="00A3308E"/>
    <w:rsid w:val="00A330D0"/>
    <w:rsid w:val="00A33250"/>
    <w:rsid w:val="00A332FA"/>
    <w:rsid w:val="00A333AC"/>
    <w:rsid w:val="00A33602"/>
    <w:rsid w:val="00A33686"/>
    <w:rsid w:val="00A336B0"/>
    <w:rsid w:val="00A336DF"/>
    <w:rsid w:val="00A33782"/>
    <w:rsid w:val="00A3389E"/>
    <w:rsid w:val="00A339B7"/>
    <w:rsid w:val="00A33A7D"/>
    <w:rsid w:val="00A33ACB"/>
    <w:rsid w:val="00A33B2D"/>
    <w:rsid w:val="00A33BC4"/>
    <w:rsid w:val="00A33D11"/>
    <w:rsid w:val="00A33D54"/>
    <w:rsid w:val="00A33DBB"/>
    <w:rsid w:val="00A33DC0"/>
    <w:rsid w:val="00A33E02"/>
    <w:rsid w:val="00A33E47"/>
    <w:rsid w:val="00A33E5C"/>
    <w:rsid w:val="00A33ED7"/>
    <w:rsid w:val="00A33EE0"/>
    <w:rsid w:val="00A33F63"/>
    <w:rsid w:val="00A33F7F"/>
    <w:rsid w:val="00A340DA"/>
    <w:rsid w:val="00A340ED"/>
    <w:rsid w:val="00A34112"/>
    <w:rsid w:val="00A34148"/>
    <w:rsid w:val="00A3415E"/>
    <w:rsid w:val="00A3421E"/>
    <w:rsid w:val="00A34238"/>
    <w:rsid w:val="00A3428D"/>
    <w:rsid w:val="00A342BF"/>
    <w:rsid w:val="00A34310"/>
    <w:rsid w:val="00A3432A"/>
    <w:rsid w:val="00A34405"/>
    <w:rsid w:val="00A34450"/>
    <w:rsid w:val="00A34467"/>
    <w:rsid w:val="00A344BE"/>
    <w:rsid w:val="00A3457A"/>
    <w:rsid w:val="00A34679"/>
    <w:rsid w:val="00A346DE"/>
    <w:rsid w:val="00A3472F"/>
    <w:rsid w:val="00A347BE"/>
    <w:rsid w:val="00A34828"/>
    <w:rsid w:val="00A348CB"/>
    <w:rsid w:val="00A34902"/>
    <w:rsid w:val="00A349E3"/>
    <w:rsid w:val="00A34AC0"/>
    <w:rsid w:val="00A34BB5"/>
    <w:rsid w:val="00A34C4E"/>
    <w:rsid w:val="00A34CCC"/>
    <w:rsid w:val="00A34DB2"/>
    <w:rsid w:val="00A34FA7"/>
    <w:rsid w:val="00A3501C"/>
    <w:rsid w:val="00A3502C"/>
    <w:rsid w:val="00A3503F"/>
    <w:rsid w:val="00A350A5"/>
    <w:rsid w:val="00A3516C"/>
    <w:rsid w:val="00A3517B"/>
    <w:rsid w:val="00A35197"/>
    <w:rsid w:val="00A35384"/>
    <w:rsid w:val="00A353DB"/>
    <w:rsid w:val="00A35506"/>
    <w:rsid w:val="00A35551"/>
    <w:rsid w:val="00A35617"/>
    <w:rsid w:val="00A3564E"/>
    <w:rsid w:val="00A356EE"/>
    <w:rsid w:val="00A356F2"/>
    <w:rsid w:val="00A35701"/>
    <w:rsid w:val="00A35846"/>
    <w:rsid w:val="00A3586A"/>
    <w:rsid w:val="00A3587F"/>
    <w:rsid w:val="00A358F8"/>
    <w:rsid w:val="00A358F9"/>
    <w:rsid w:val="00A35914"/>
    <w:rsid w:val="00A3599B"/>
    <w:rsid w:val="00A35A59"/>
    <w:rsid w:val="00A35A67"/>
    <w:rsid w:val="00A35AA8"/>
    <w:rsid w:val="00A35B6E"/>
    <w:rsid w:val="00A35B7E"/>
    <w:rsid w:val="00A35C68"/>
    <w:rsid w:val="00A35D16"/>
    <w:rsid w:val="00A35D2E"/>
    <w:rsid w:val="00A35E13"/>
    <w:rsid w:val="00A35E7F"/>
    <w:rsid w:val="00A35F33"/>
    <w:rsid w:val="00A35F51"/>
    <w:rsid w:val="00A3601C"/>
    <w:rsid w:val="00A360D6"/>
    <w:rsid w:val="00A36168"/>
    <w:rsid w:val="00A36309"/>
    <w:rsid w:val="00A3633D"/>
    <w:rsid w:val="00A3634E"/>
    <w:rsid w:val="00A363D7"/>
    <w:rsid w:val="00A364C9"/>
    <w:rsid w:val="00A36528"/>
    <w:rsid w:val="00A3655C"/>
    <w:rsid w:val="00A3666E"/>
    <w:rsid w:val="00A366C1"/>
    <w:rsid w:val="00A3676F"/>
    <w:rsid w:val="00A36826"/>
    <w:rsid w:val="00A36908"/>
    <w:rsid w:val="00A36A2C"/>
    <w:rsid w:val="00A36A45"/>
    <w:rsid w:val="00A36A64"/>
    <w:rsid w:val="00A36A7F"/>
    <w:rsid w:val="00A36B2A"/>
    <w:rsid w:val="00A36C51"/>
    <w:rsid w:val="00A36EDE"/>
    <w:rsid w:val="00A36F4F"/>
    <w:rsid w:val="00A37081"/>
    <w:rsid w:val="00A370D0"/>
    <w:rsid w:val="00A370F2"/>
    <w:rsid w:val="00A37207"/>
    <w:rsid w:val="00A37226"/>
    <w:rsid w:val="00A372E0"/>
    <w:rsid w:val="00A3731E"/>
    <w:rsid w:val="00A373D0"/>
    <w:rsid w:val="00A374C5"/>
    <w:rsid w:val="00A37755"/>
    <w:rsid w:val="00A37937"/>
    <w:rsid w:val="00A37945"/>
    <w:rsid w:val="00A379C2"/>
    <w:rsid w:val="00A37AA9"/>
    <w:rsid w:val="00A37B2C"/>
    <w:rsid w:val="00A37C91"/>
    <w:rsid w:val="00A37CCC"/>
    <w:rsid w:val="00A37DBB"/>
    <w:rsid w:val="00A37E30"/>
    <w:rsid w:val="00A37E5B"/>
    <w:rsid w:val="00A37FA9"/>
    <w:rsid w:val="00A40040"/>
    <w:rsid w:val="00A400C6"/>
    <w:rsid w:val="00A401C2"/>
    <w:rsid w:val="00A401C8"/>
    <w:rsid w:val="00A40218"/>
    <w:rsid w:val="00A40224"/>
    <w:rsid w:val="00A4024A"/>
    <w:rsid w:val="00A4027D"/>
    <w:rsid w:val="00A40289"/>
    <w:rsid w:val="00A40345"/>
    <w:rsid w:val="00A4048C"/>
    <w:rsid w:val="00A404D9"/>
    <w:rsid w:val="00A40580"/>
    <w:rsid w:val="00A40584"/>
    <w:rsid w:val="00A4059C"/>
    <w:rsid w:val="00A405F4"/>
    <w:rsid w:val="00A4075C"/>
    <w:rsid w:val="00A4096C"/>
    <w:rsid w:val="00A409AC"/>
    <w:rsid w:val="00A40BDF"/>
    <w:rsid w:val="00A40C29"/>
    <w:rsid w:val="00A40D85"/>
    <w:rsid w:val="00A40DE5"/>
    <w:rsid w:val="00A40EC9"/>
    <w:rsid w:val="00A40F07"/>
    <w:rsid w:val="00A40F85"/>
    <w:rsid w:val="00A40F8F"/>
    <w:rsid w:val="00A40FA8"/>
    <w:rsid w:val="00A40FB6"/>
    <w:rsid w:val="00A4102F"/>
    <w:rsid w:val="00A4111A"/>
    <w:rsid w:val="00A411A9"/>
    <w:rsid w:val="00A412A4"/>
    <w:rsid w:val="00A4132D"/>
    <w:rsid w:val="00A41382"/>
    <w:rsid w:val="00A413F9"/>
    <w:rsid w:val="00A41437"/>
    <w:rsid w:val="00A41455"/>
    <w:rsid w:val="00A4149F"/>
    <w:rsid w:val="00A415E6"/>
    <w:rsid w:val="00A415FA"/>
    <w:rsid w:val="00A4163A"/>
    <w:rsid w:val="00A416CD"/>
    <w:rsid w:val="00A41795"/>
    <w:rsid w:val="00A417AF"/>
    <w:rsid w:val="00A417B1"/>
    <w:rsid w:val="00A418F2"/>
    <w:rsid w:val="00A41A25"/>
    <w:rsid w:val="00A41A80"/>
    <w:rsid w:val="00A41B1D"/>
    <w:rsid w:val="00A41C08"/>
    <w:rsid w:val="00A41E1F"/>
    <w:rsid w:val="00A41EB4"/>
    <w:rsid w:val="00A41FF6"/>
    <w:rsid w:val="00A42092"/>
    <w:rsid w:val="00A42211"/>
    <w:rsid w:val="00A4224D"/>
    <w:rsid w:val="00A4238A"/>
    <w:rsid w:val="00A423E4"/>
    <w:rsid w:val="00A424C8"/>
    <w:rsid w:val="00A42519"/>
    <w:rsid w:val="00A42531"/>
    <w:rsid w:val="00A42536"/>
    <w:rsid w:val="00A425EF"/>
    <w:rsid w:val="00A42656"/>
    <w:rsid w:val="00A426F7"/>
    <w:rsid w:val="00A42808"/>
    <w:rsid w:val="00A42809"/>
    <w:rsid w:val="00A4283D"/>
    <w:rsid w:val="00A4296D"/>
    <w:rsid w:val="00A42982"/>
    <w:rsid w:val="00A42986"/>
    <w:rsid w:val="00A42AD9"/>
    <w:rsid w:val="00A42B3E"/>
    <w:rsid w:val="00A42C31"/>
    <w:rsid w:val="00A42C80"/>
    <w:rsid w:val="00A42C93"/>
    <w:rsid w:val="00A42E92"/>
    <w:rsid w:val="00A42EFD"/>
    <w:rsid w:val="00A42FCF"/>
    <w:rsid w:val="00A4303D"/>
    <w:rsid w:val="00A430AC"/>
    <w:rsid w:val="00A430B5"/>
    <w:rsid w:val="00A4330F"/>
    <w:rsid w:val="00A433C3"/>
    <w:rsid w:val="00A43422"/>
    <w:rsid w:val="00A435C8"/>
    <w:rsid w:val="00A4367C"/>
    <w:rsid w:val="00A436AC"/>
    <w:rsid w:val="00A43787"/>
    <w:rsid w:val="00A437DF"/>
    <w:rsid w:val="00A43860"/>
    <w:rsid w:val="00A439C6"/>
    <w:rsid w:val="00A43A18"/>
    <w:rsid w:val="00A43A37"/>
    <w:rsid w:val="00A43A57"/>
    <w:rsid w:val="00A43B27"/>
    <w:rsid w:val="00A43B2D"/>
    <w:rsid w:val="00A43B96"/>
    <w:rsid w:val="00A43BF0"/>
    <w:rsid w:val="00A43C67"/>
    <w:rsid w:val="00A43CAD"/>
    <w:rsid w:val="00A43D09"/>
    <w:rsid w:val="00A43E1D"/>
    <w:rsid w:val="00A43E4F"/>
    <w:rsid w:val="00A43EBD"/>
    <w:rsid w:val="00A43EEA"/>
    <w:rsid w:val="00A440EE"/>
    <w:rsid w:val="00A4418E"/>
    <w:rsid w:val="00A44209"/>
    <w:rsid w:val="00A44214"/>
    <w:rsid w:val="00A44236"/>
    <w:rsid w:val="00A44281"/>
    <w:rsid w:val="00A44359"/>
    <w:rsid w:val="00A443AF"/>
    <w:rsid w:val="00A443F0"/>
    <w:rsid w:val="00A444A9"/>
    <w:rsid w:val="00A44779"/>
    <w:rsid w:val="00A44802"/>
    <w:rsid w:val="00A4485E"/>
    <w:rsid w:val="00A4487B"/>
    <w:rsid w:val="00A44B06"/>
    <w:rsid w:val="00A44B99"/>
    <w:rsid w:val="00A44C23"/>
    <w:rsid w:val="00A44C46"/>
    <w:rsid w:val="00A44D83"/>
    <w:rsid w:val="00A44ECF"/>
    <w:rsid w:val="00A44F8F"/>
    <w:rsid w:val="00A4503C"/>
    <w:rsid w:val="00A4505F"/>
    <w:rsid w:val="00A4509B"/>
    <w:rsid w:val="00A451EC"/>
    <w:rsid w:val="00A452D8"/>
    <w:rsid w:val="00A4534D"/>
    <w:rsid w:val="00A45360"/>
    <w:rsid w:val="00A453BA"/>
    <w:rsid w:val="00A453E7"/>
    <w:rsid w:val="00A454A7"/>
    <w:rsid w:val="00A45535"/>
    <w:rsid w:val="00A45572"/>
    <w:rsid w:val="00A455E5"/>
    <w:rsid w:val="00A45792"/>
    <w:rsid w:val="00A457A0"/>
    <w:rsid w:val="00A457AD"/>
    <w:rsid w:val="00A4585B"/>
    <w:rsid w:val="00A45876"/>
    <w:rsid w:val="00A45955"/>
    <w:rsid w:val="00A45969"/>
    <w:rsid w:val="00A45B16"/>
    <w:rsid w:val="00A45B51"/>
    <w:rsid w:val="00A45B5A"/>
    <w:rsid w:val="00A45B8E"/>
    <w:rsid w:val="00A45C09"/>
    <w:rsid w:val="00A45C78"/>
    <w:rsid w:val="00A45CEB"/>
    <w:rsid w:val="00A45D6A"/>
    <w:rsid w:val="00A45E65"/>
    <w:rsid w:val="00A45EB4"/>
    <w:rsid w:val="00A46025"/>
    <w:rsid w:val="00A46114"/>
    <w:rsid w:val="00A46134"/>
    <w:rsid w:val="00A4619A"/>
    <w:rsid w:val="00A461B9"/>
    <w:rsid w:val="00A46242"/>
    <w:rsid w:val="00A46246"/>
    <w:rsid w:val="00A46321"/>
    <w:rsid w:val="00A4636B"/>
    <w:rsid w:val="00A465AC"/>
    <w:rsid w:val="00A465FD"/>
    <w:rsid w:val="00A46664"/>
    <w:rsid w:val="00A46698"/>
    <w:rsid w:val="00A4669E"/>
    <w:rsid w:val="00A467CB"/>
    <w:rsid w:val="00A46A4D"/>
    <w:rsid w:val="00A46F43"/>
    <w:rsid w:val="00A46FF4"/>
    <w:rsid w:val="00A4705D"/>
    <w:rsid w:val="00A470BF"/>
    <w:rsid w:val="00A47101"/>
    <w:rsid w:val="00A47107"/>
    <w:rsid w:val="00A4713D"/>
    <w:rsid w:val="00A471DB"/>
    <w:rsid w:val="00A472B1"/>
    <w:rsid w:val="00A47364"/>
    <w:rsid w:val="00A4753C"/>
    <w:rsid w:val="00A4754B"/>
    <w:rsid w:val="00A4756B"/>
    <w:rsid w:val="00A476AD"/>
    <w:rsid w:val="00A47738"/>
    <w:rsid w:val="00A478A9"/>
    <w:rsid w:val="00A47911"/>
    <w:rsid w:val="00A47987"/>
    <w:rsid w:val="00A4798F"/>
    <w:rsid w:val="00A47AC8"/>
    <w:rsid w:val="00A47AE3"/>
    <w:rsid w:val="00A47AEE"/>
    <w:rsid w:val="00A47BA9"/>
    <w:rsid w:val="00A47D47"/>
    <w:rsid w:val="00A47DEE"/>
    <w:rsid w:val="00A47E3C"/>
    <w:rsid w:val="00A47E9C"/>
    <w:rsid w:val="00A47F22"/>
    <w:rsid w:val="00A47F93"/>
    <w:rsid w:val="00A47FB1"/>
    <w:rsid w:val="00A47FF4"/>
    <w:rsid w:val="00A50022"/>
    <w:rsid w:val="00A500B2"/>
    <w:rsid w:val="00A50102"/>
    <w:rsid w:val="00A502A6"/>
    <w:rsid w:val="00A5036B"/>
    <w:rsid w:val="00A505F1"/>
    <w:rsid w:val="00A50632"/>
    <w:rsid w:val="00A50715"/>
    <w:rsid w:val="00A508CF"/>
    <w:rsid w:val="00A50921"/>
    <w:rsid w:val="00A50938"/>
    <w:rsid w:val="00A5096F"/>
    <w:rsid w:val="00A50A98"/>
    <w:rsid w:val="00A50B8A"/>
    <w:rsid w:val="00A50C11"/>
    <w:rsid w:val="00A50C67"/>
    <w:rsid w:val="00A50D10"/>
    <w:rsid w:val="00A50D33"/>
    <w:rsid w:val="00A50E43"/>
    <w:rsid w:val="00A50FF5"/>
    <w:rsid w:val="00A5100F"/>
    <w:rsid w:val="00A51062"/>
    <w:rsid w:val="00A5106C"/>
    <w:rsid w:val="00A510DC"/>
    <w:rsid w:val="00A51193"/>
    <w:rsid w:val="00A511A0"/>
    <w:rsid w:val="00A511C2"/>
    <w:rsid w:val="00A512BE"/>
    <w:rsid w:val="00A5133F"/>
    <w:rsid w:val="00A514AE"/>
    <w:rsid w:val="00A514C6"/>
    <w:rsid w:val="00A515D8"/>
    <w:rsid w:val="00A5164B"/>
    <w:rsid w:val="00A5166B"/>
    <w:rsid w:val="00A51677"/>
    <w:rsid w:val="00A516AA"/>
    <w:rsid w:val="00A517AE"/>
    <w:rsid w:val="00A517E7"/>
    <w:rsid w:val="00A51811"/>
    <w:rsid w:val="00A519CB"/>
    <w:rsid w:val="00A51ABC"/>
    <w:rsid w:val="00A51BA9"/>
    <w:rsid w:val="00A51BB7"/>
    <w:rsid w:val="00A51BF3"/>
    <w:rsid w:val="00A51D09"/>
    <w:rsid w:val="00A51D6D"/>
    <w:rsid w:val="00A51D73"/>
    <w:rsid w:val="00A51D7A"/>
    <w:rsid w:val="00A51E4A"/>
    <w:rsid w:val="00A51E9B"/>
    <w:rsid w:val="00A51FAF"/>
    <w:rsid w:val="00A520DD"/>
    <w:rsid w:val="00A521E7"/>
    <w:rsid w:val="00A52240"/>
    <w:rsid w:val="00A52313"/>
    <w:rsid w:val="00A524BF"/>
    <w:rsid w:val="00A524C7"/>
    <w:rsid w:val="00A524D2"/>
    <w:rsid w:val="00A5278C"/>
    <w:rsid w:val="00A5283C"/>
    <w:rsid w:val="00A5292B"/>
    <w:rsid w:val="00A52A4C"/>
    <w:rsid w:val="00A52ABA"/>
    <w:rsid w:val="00A52AD3"/>
    <w:rsid w:val="00A52B20"/>
    <w:rsid w:val="00A52B69"/>
    <w:rsid w:val="00A52DF8"/>
    <w:rsid w:val="00A52E6D"/>
    <w:rsid w:val="00A52E79"/>
    <w:rsid w:val="00A52ECC"/>
    <w:rsid w:val="00A52EE4"/>
    <w:rsid w:val="00A52F0A"/>
    <w:rsid w:val="00A52F47"/>
    <w:rsid w:val="00A52F9C"/>
    <w:rsid w:val="00A530AB"/>
    <w:rsid w:val="00A530D9"/>
    <w:rsid w:val="00A5310F"/>
    <w:rsid w:val="00A5319F"/>
    <w:rsid w:val="00A5322E"/>
    <w:rsid w:val="00A532CA"/>
    <w:rsid w:val="00A53355"/>
    <w:rsid w:val="00A5336D"/>
    <w:rsid w:val="00A53482"/>
    <w:rsid w:val="00A53556"/>
    <w:rsid w:val="00A53615"/>
    <w:rsid w:val="00A5399B"/>
    <w:rsid w:val="00A53AF9"/>
    <w:rsid w:val="00A53B91"/>
    <w:rsid w:val="00A53CB9"/>
    <w:rsid w:val="00A53CDA"/>
    <w:rsid w:val="00A53CE0"/>
    <w:rsid w:val="00A53E46"/>
    <w:rsid w:val="00A53E98"/>
    <w:rsid w:val="00A53F66"/>
    <w:rsid w:val="00A53FDA"/>
    <w:rsid w:val="00A54055"/>
    <w:rsid w:val="00A5405C"/>
    <w:rsid w:val="00A54094"/>
    <w:rsid w:val="00A541D1"/>
    <w:rsid w:val="00A541EF"/>
    <w:rsid w:val="00A541FE"/>
    <w:rsid w:val="00A54247"/>
    <w:rsid w:val="00A54256"/>
    <w:rsid w:val="00A54348"/>
    <w:rsid w:val="00A54392"/>
    <w:rsid w:val="00A543A2"/>
    <w:rsid w:val="00A543EF"/>
    <w:rsid w:val="00A545F6"/>
    <w:rsid w:val="00A54653"/>
    <w:rsid w:val="00A54738"/>
    <w:rsid w:val="00A547CF"/>
    <w:rsid w:val="00A54955"/>
    <w:rsid w:val="00A549A8"/>
    <w:rsid w:val="00A54BA4"/>
    <w:rsid w:val="00A54BB9"/>
    <w:rsid w:val="00A54C5C"/>
    <w:rsid w:val="00A54D4D"/>
    <w:rsid w:val="00A54D65"/>
    <w:rsid w:val="00A54D98"/>
    <w:rsid w:val="00A54E9F"/>
    <w:rsid w:val="00A54F17"/>
    <w:rsid w:val="00A54F19"/>
    <w:rsid w:val="00A54FA4"/>
    <w:rsid w:val="00A54FDE"/>
    <w:rsid w:val="00A5505E"/>
    <w:rsid w:val="00A550CB"/>
    <w:rsid w:val="00A5523A"/>
    <w:rsid w:val="00A5530B"/>
    <w:rsid w:val="00A55350"/>
    <w:rsid w:val="00A55434"/>
    <w:rsid w:val="00A554E9"/>
    <w:rsid w:val="00A555C7"/>
    <w:rsid w:val="00A555EF"/>
    <w:rsid w:val="00A55663"/>
    <w:rsid w:val="00A55666"/>
    <w:rsid w:val="00A5567F"/>
    <w:rsid w:val="00A55740"/>
    <w:rsid w:val="00A55770"/>
    <w:rsid w:val="00A557C8"/>
    <w:rsid w:val="00A5582A"/>
    <w:rsid w:val="00A558D7"/>
    <w:rsid w:val="00A55966"/>
    <w:rsid w:val="00A5596A"/>
    <w:rsid w:val="00A559C1"/>
    <w:rsid w:val="00A55B35"/>
    <w:rsid w:val="00A55D7E"/>
    <w:rsid w:val="00A55DB6"/>
    <w:rsid w:val="00A55E15"/>
    <w:rsid w:val="00A55F36"/>
    <w:rsid w:val="00A56031"/>
    <w:rsid w:val="00A56313"/>
    <w:rsid w:val="00A56407"/>
    <w:rsid w:val="00A5642C"/>
    <w:rsid w:val="00A5645C"/>
    <w:rsid w:val="00A5646D"/>
    <w:rsid w:val="00A564AB"/>
    <w:rsid w:val="00A56513"/>
    <w:rsid w:val="00A56617"/>
    <w:rsid w:val="00A56624"/>
    <w:rsid w:val="00A566A3"/>
    <w:rsid w:val="00A566B6"/>
    <w:rsid w:val="00A566B7"/>
    <w:rsid w:val="00A56764"/>
    <w:rsid w:val="00A567B1"/>
    <w:rsid w:val="00A567D7"/>
    <w:rsid w:val="00A5690E"/>
    <w:rsid w:val="00A5694E"/>
    <w:rsid w:val="00A569B5"/>
    <w:rsid w:val="00A56A12"/>
    <w:rsid w:val="00A56AEA"/>
    <w:rsid w:val="00A56B89"/>
    <w:rsid w:val="00A56BC5"/>
    <w:rsid w:val="00A56BFA"/>
    <w:rsid w:val="00A56BFC"/>
    <w:rsid w:val="00A56CAE"/>
    <w:rsid w:val="00A56D24"/>
    <w:rsid w:val="00A56DF1"/>
    <w:rsid w:val="00A56E6C"/>
    <w:rsid w:val="00A56F2B"/>
    <w:rsid w:val="00A56F2C"/>
    <w:rsid w:val="00A56F90"/>
    <w:rsid w:val="00A56FA8"/>
    <w:rsid w:val="00A5705B"/>
    <w:rsid w:val="00A57078"/>
    <w:rsid w:val="00A571F2"/>
    <w:rsid w:val="00A573C6"/>
    <w:rsid w:val="00A574BD"/>
    <w:rsid w:val="00A57549"/>
    <w:rsid w:val="00A57625"/>
    <w:rsid w:val="00A5767E"/>
    <w:rsid w:val="00A57837"/>
    <w:rsid w:val="00A57A61"/>
    <w:rsid w:val="00A57AC1"/>
    <w:rsid w:val="00A57AF3"/>
    <w:rsid w:val="00A57B36"/>
    <w:rsid w:val="00A57BF5"/>
    <w:rsid w:val="00A57DE2"/>
    <w:rsid w:val="00A57E30"/>
    <w:rsid w:val="00A57E67"/>
    <w:rsid w:val="00A57E70"/>
    <w:rsid w:val="00A60014"/>
    <w:rsid w:val="00A60095"/>
    <w:rsid w:val="00A600AD"/>
    <w:rsid w:val="00A600D2"/>
    <w:rsid w:val="00A60183"/>
    <w:rsid w:val="00A601B7"/>
    <w:rsid w:val="00A601BB"/>
    <w:rsid w:val="00A6026F"/>
    <w:rsid w:val="00A602CA"/>
    <w:rsid w:val="00A60428"/>
    <w:rsid w:val="00A60448"/>
    <w:rsid w:val="00A60449"/>
    <w:rsid w:val="00A604B1"/>
    <w:rsid w:val="00A604CE"/>
    <w:rsid w:val="00A604D7"/>
    <w:rsid w:val="00A60640"/>
    <w:rsid w:val="00A6067A"/>
    <w:rsid w:val="00A606A3"/>
    <w:rsid w:val="00A6070C"/>
    <w:rsid w:val="00A60760"/>
    <w:rsid w:val="00A608AC"/>
    <w:rsid w:val="00A6099D"/>
    <w:rsid w:val="00A609FC"/>
    <w:rsid w:val="00A60A19"/>
    <w:rsid w:val="00A60B24"/>
    <w:rsid w:val="00A60B3D"/>
    <w:rsid w:val="00A60C4A"/>
    <w:rsid w:val="00A60C9F"/>
    <w:rsid w:val="00A60D05"/>
    <w:rsid w:val="00A60EE6"/>
    <w:rsid w:val="00A60F36"/>
    <w:rsid w:val="00A60F9E"/>
    <w:rsid w:val="00A610CE"/>
    <w:rsid w:val="00A611B1"/>
    <w:rsid w:val="00A611CE"/>
    <w:rsid w:val="00A61447"/>
    <w:rsid w:val="00A6151E"/>
    <w:rsid w:val="00A61535"/>
    <w:rsid w:val="00A615F0"/>
    <w:rsid w:val="00A6167B"/>
    <w:rsid w:val="00A616C1"/>
    <w:rsid w:val="00A61739"/>
    <w:rsid w:val="00A61C14"/>
    <w:rsid w:val="00A61C52"/>
    <w:rsid w:val="00A61C62"/>
    <w:rsid w:val="00A61C7E"/>
    <w:rsid w:val="00A61D30"/>
    <w:rsid w:val="00A61E06"/>
    <w:rsid w:val="00A61EFC"/>
    <w:rsid w:val="00A61FF5"/>
    <w:rsid w:val="00A6217B"/>
    <w:rsid w:val="00A62590"/>
    <w:rsid w:val="00A625AE"/>
    <w:rsid w:val="00A6260C"/>
    <w:rsid w:val="00A6260E"/>
    <w:rsid w:val="00A626DA"/>
    <w:rsid w:val="00A62741"/>
    <w:rsid w:val="00A62776"/>
    <w:rsid w:val="00A6288E"/>
    <w:rsid w:val="00A628D7"/>
    <w:rsid w:val="00A62924"/>
    <w:rsid w:val="00A62936"/>
    <w:rsid w:val="00A62A8B"/>
    <w:rsid w:val="00A62B3A"/>
    <w:rsid w:val="00A62C67"/>
    <w:rsid w:val="00A62CA7"/>
    <w:rsid w:val="00A62D80"/>
    <w:rsid w:val="00A62F08"/>
    <w:rsid w:val="00A62F54"/>
    <w:rsid w:val="00A62FB4"/>
    <w:rsid w:val="00A630B8"/>
    <w:rsid w:val="00A63101"/>
    <w:rsid w:val="00A63212"/>
    <w:rsid w:val="00A63278"/>
    <w:rsid w:val="00A632D5"/>
    <w:rsid w:val="00A63371"/>
    <w:rsid w:val="00A63385"/>
    <w:rsid w:val="00A634A8"/>
    <w:rsid w:val="00A634CF"/>
    <w:rsid w:val="00A6359A"/>
    <w:rsid w:val="00A6361E"/>
    <w:rsid w:val="00A63684"/>
    <w:rsid w:val="00A63732"/>
    <w:rsid w:val="00A63806"/>
    <w:rsid w:val="00A6380B"/>
    <w:rsid w:val="00A63847"/>
    <w:rsid w:val="00A6384E"/>
    <w:rsid w:val="00A638BB"/>
    <w:rsid w:val="00A639D7"/>
    <w:rsid w:val="00A639E9"/>
    <w:rsid w:val="00A63C17"/>
    <w:rsid w:val="00A63C39"/>
    <w:rsid w:val="00A63DD3"/>
    <w:rsid w:val="00A63E10"/>
    <w:rsid w:val="00A63F2E"/>
    <w:rsid w:val="00A63F45"/>
    <w:rsid w:val="00A6408A"/>
    <w:rsid w:val="00A640DE"/>
    <w:rsid w:val="00A64194"/>
    <w:rsid w:val="00A64195"/>
    <w:rsid w:val="00A641DC"/>
    <w:rsid w:val="00A641F1"/>
    <w:rsid w:val="00A64232"/>
    <w:rsid w:val="00A64290"/>
    <w:rsid w:val="00A642EA"/>
    <w:rsid w:val="00A642F4"/>
    <w:rsid w:val="00A6438D"/>
    <w:rsid w:val="00A64455"/>
    <w:rsid w:val="00A64480"/>
    <w:rsid w:val="00A644B3"/>
    <w:rsid w:val="00A64505"/>
    <w:rsid w:val="00A6451C"/>
    <w:rsid w:val="00A645A7"/>
    <w:rsid w:val="00A645DC"/>
    <w:rsid w:val="00A646B5"/>
    <w:rsid w:val="00A647D2"/>
    <w:rsid w:val="00A647D5"/>
    <w:rsid w:val="00A64802"/>
    <w:rsid w:val="00A648E6"/>
    <w:rsid w:val="00A649A6"/>
    <w:rsid w:val="00A64AEF"/>
    <w:rsid w:val="00A64BB4"/>
    <w:rsid w:val="00A64BF6"/>
    <w:rsid w:val="00A64BFD"/>
    <w:rsid w:val="00A64CD7"/>
    <w:rsid w:val="00A64CE0"/>
    <w:rsid w:val="00A64D11"/>
    <w:rsid w:val="00A65033"/>
    <w:rsid w:val="00A65084"/>
    <w:rsid w:val="00A65086"/>
    <w:rsid w:val="00A650AE"/>
    <w:rsid w:val="00A650D4"/>
    <w:rsid w:val="00A6530D"/>
    <w:rsid w:val="00A6547B"/>
    <w:rsid w:val="00A65499"/>
    <w:rsid w:val="00A6559E"/>
    <w:rsid w:val="00A6563E"/>
    <w:rsid w:val="00A6568C"/>
    <w:rsid w:val="00A65690"/>
    <w:rsid w:val="00A6569D"/>
    <w:rsid w:val="00A65779"/>
    <w:rsid w:val="00A65799"/>
    <w:rsid w:val="00A657FE"/>
    <w:rsid w:val="00A6580E"/>
    <w:rsid w:val="00A65886"/>
    <w:rsid w:val="00A658D1"/>
    <w:rsid w:val="00A658D3"/>
    <w:rsid w:val="00A658F0"/>
    <w:rsid w:val="00A6598D"/>
    <w:rsid w:val="00A65995"/>
    <w:rsid w:val="00A65B48"/>
    <w:rsid w:val="00A65B76"/>
    <w:rsid w:val="00A65C08"/>
    <w:rsid w:val="00A65C09"/>
    <w:rsid w:val="00A65D8E"/>
    <w:rsid w:val="00A65FDA"/>
    <w:rsid w:val="00A660ED"/>
    <w:rsid w:val="00A6611A"/>
    <w:rsid w:val="00A661A7"/>
    <w:rsid w:val="00A66235"/>
    <w:rsid w:val="00A66297"/>
    <w:rsid w:val="00A662AC"/>
    <w:rsid w:val="00A66352"/>
    <w:rsid w:val="00A663B5"/>
    <w:rsid w:val="00A664C2"/>
    <w:rsid w:val="00A664DC"/>
    <w:rsid w:val="00A66531"/>
    <w:rsid w:val="00A665C6"/>
    <w:rsid w:val="00A666E2"/>
    <w:rsid w:val="00A6671B"/>
    <w:rsid w:val="00A667CF"/>
    <w:rsid w:val="00A66813"/>
    <w:rsid w:val="00A66871"/>
    <w:rsid w:val="00A668F3"/>
    <w:rsid w:val="00A66911"/>
    <w:rsid w:val="00A6691B"/>
    <w:rsid w:val="00A66923"/>
    <w:rsid w:val="00A66A1D"/>
    <w:rsid w:val="00A66A64"/>
    <w:rsid w:val="00A66ABB"/>
    <w:rsid w:val="00A66ADF"/>
    <w:rsid w:val="00A66B2F"/>
    <w:rsid w:val="00A66B8B"/>
    <w:rsid w:val="00A66CFF"/>
    <w:rsid w:val="00A66E1D"/>
    <w:rsid w:val="00A66EBD"/>
    <w:rsid w:val="00A66ECD"/>
    <w:rsid w:val="00A66F97"/>
    <w:rsid w:val="00A66FD2"/>
    <w:rsid w:val="00A670FE"/>
    <w:rsid w:val="00A6726D"/>
    <w:rsid w:val="00A67296"/>
    <w:rsid w:val="00A672B3"/>
    <w:rsid w:val="00A67406"/>
    <w:rsid w:val="00A67412"/>
    <w:rsid w:val="00A6758D"/>
    <w:rsid w:val="00A67652"/>
    <w:rsid w:val="00A67663"/>
    <w:rsid w:val="00A676EE"/>
    <w:rsid w:val="00A6773C"/>
    <w:rsid w:val="00A6782E"/>
    <w:rsid w:val="00A67870"/>
    <w:rsid w:val="00A67877"/>
    <w:rsid w:val="00A6789E"/>
    <w:rsid w:val="00A67987"/>
    <w:rsid w:val="00A67A29"/>
    <w:rsid w:val="00A67A45"/>
    <w:rsid w:val="00A67B21"/>
    <w:rsid w:val="00A67B2B"/>
    <w:rsid w:val="00A67B37"/>
    <w:rsid w:val="00A67BB6"/>
    <w:rsid w:val="00A67D74"/>
    <w:rsid w:val="00A67DF8"/>
    <w:rsid w:val="00A67E86"/>
    <w:rsid w:val="00A67E9F"/>
    <w:rsid w:val="00A67EE4"/>
    <w:rsid w:val="00A67F21"/>
    <w:rsid w:val="00A67F53"/>
    <w:rsid w:val="00A67FE0"/>
    <w:rsid w:val="00A7001C"/>
    <w:rsid w:val="00A70049"/>
    <w:rsid w:val="00A7011B"/>
    <w:rsid w:val="00A70252"/>
    <w:rsid w:val="00A70272"/>
    <w:rsid w:val="00A702B8"/>
    <w:rsid w:val="00A704E4"/>
    <w:rsid w:val="00A705D4"/>
    <w:rsid w:val="00A70643"/>
    <w:rsid w:val="00A707B6"/>
    <w:rsid w:val="00A70825"/>
    <w:rsid w:val="00A709C2"/>
    <w:rsid w:val="00A709C6"/>
    <w:rsid w:val="00A709FB"/>
    <w:rsid w:val="00A709FC"/>
    <w:rsid w:val="00A70B23"/>
    <w:rsid w:val="00A70BCB"/>
    <w:rsid w:val="00A70BFD"/>
    <w:rsid w:val="00A70E46"/>
    <w:rsid w:val="00A70E7F"/>
    <w:rsid w:val="00A70ECC"/>
    <w:rsid w:val="00A7105F"/>
    <w:rsid w:val="00A710B4"/>
    <w:rsid w:val="00A711D1"/>
    <w:rsid w:val="00A7127B"/>
    <w:rsid w:val="00A71328"/>
    <w:rsid w:val="00A71395"/>
    <w:rsid w:val="00A713EA"/>
    <w:rsid w:val="00A71445"/>
    <w:rsid w:val="00A715B7"/>
    <w:rsid w:val="00A7179F"/>
    <w:rsid w:val="00A71805"/>
    <w:rsid w:val="00A7190A"/>
    <w:rsid w:val="00A7191F"/>
    <w:rsid w:val="00A71971"/>
    <w:rsid w:val="00A71A44"/>
    <w:rsid w:val="00A71A5C"/>
    <w:rsid w:val="00A71AAD"/>
    <w:rsid w:val="00A71AD6"/>
    <w:rsid w:val="00A71B81"/>
    <w:rsid w:val="00A71C2B"/>
    <w:rsid w:val="00A71C70"/>
    <w:rsid w:val="00A71CB2"/>
    <w:rsid w:val="00A71CD2"/>
    <w:rsid w:val="00A71D48"/>
    <w:rsid w:val="00A71E0A"/>
    <w:rsid w:val="00A71E17"/>
    <w:rsid w:val="00A71ECD"/>
    <w:rsid w:val="00A71F86"/>
    <w:rsid w:val="00A71FBF"/>
    <w:rsid w:val="00A72014"/>
    <w:rsid w:val="00A72048"/>
    <w:rsid w:val="00A72070"/>
    <w:rsid w:val="00A7223F"/>
    <w:rsid w:val="00A7247A"/>
    <w:rsid w:val="00A7251C"/>
    <w:rsid w:val="00A725F9"/>
    <w:rsid w:val="00A726A8"/>
    <w:rsid w:val="00A726E4"/>
    <w:rsid w:val="00A72786"/>
    <w:rsid w:val="00A7289A"/>
    <w:rsid w:val="00A728D3"/>
    <w:rsid w:val="00A7294A"/>
    <w:rsid w:val="00A72A5F"/>
    <w:rsid w:val="00A72B28"/>
    <w:rsid w:val="00A72B38"/>
    <w:rsid w:val="00A72C6D"/>
    <w:rsid w:val="00A72CB1"/>
    <w:rsid w:val="00A72E59"/>
    <w:rsid w:val="00A72E8C"/>
    <w:rsid w:val="00A72ED0"/>
    <w:rsid w:val="00A72EE0"/>
    <w:rsid w:val="00A72F41"/>
    <w:rsid w:val="00A72F89"/>
    <w:rsid w:val="00A7318A"/>
    <w:rsid w:val="00A732C2"/>
    <w:rsid w:val="00A7330A"/>
    <w:rsid w:val="00A73422"/>
    <w:rsid w:val="00A7344F"/>
    <w:rsid w:val="00A734D8"/>
    <w:rsid w:val="00A734E8"/>
    <w:rsid w:val="00A73635"/>
    <w:rsid w:val="00A7374D"/>
    <w:rsid w:val="00A73777"/>
    <w:rsid w:val="00A737D9"/>
    <w:rsid w:val="00A73A32"/>
    <w:rsid w:val="00A73A87"/>
    <w:rsid w:val="00A73B1E"/>
    <w:rsid w:val="00A73B4F"/>
    <w:rsid w:val="00A73C60"/>
    <w:rsid w:val="00A73CED"/>
    <w:rsid w:val="00A73ED1"/>
    <w:rsid w:val="00A73F2A"/>
    <w:rsid w:val="00A73F51"/>
    <w:rsid w:val="00A73F8C"/>
    <w:rsid w:val="00A73FCA"/>
    <w:rsid w:val="00A74016"/>
    <w:rsid w:val="00A740AB"/>
    <w:rsid w:val="00A74100"/>
    <w:rsid w:val="00A74126"/>
    <w:rsid w:val="00A741A1"/>
    <w:rsid w:val="00A741F5"/>
    <w:rsid w:val="00A7420B"/>
    <w:rsid w:val="00A7448A"/>
    <w:rsid w:val="00A7448D"/>
    <w:rsid w:val="00A7448E"/>
    <w:rsid w:val="00A745F5"/>
    <w:rsid w:val="00A74635"/>
    <w:rsid w:val="00A7467C"/>
    <w:rsid w:val="00A74693"/>
    <w:rsid w:val="00A746DF"/>
    <w:rsid w:val="00A746F9"/>
    <w:rsid w:val="00A747AC"/>
    <w:rsid w:val="00A747E6"/>
    <w:rsid w:val="00A74A2D"/>
    <w:rsid w:val="00A74A9C"/>
    <w:rsid w:val="00A74AA1"/>
    <w:rsid w:val="00A74AA5"/>
    <w:rsid w:val="00A74AAC"/>
    <w:rsid w:val="00A74DAC"/>
    <w:rsid w:val="00A74DE8"/>
    <w:rsid w:val="00A74E2A"/>
    <w:rsid w:val="00A74F93"/>
    <w:rsid w:val="00A75036"/>
    <w:rsid w:val="00A7507D"/>
    <w:rsid w:val="00A75115"/>
    <w:rsid w:val="00A75260"/>
    <w:rsid w:val="00A752FD"/>
    <w:rsid w:val="00A75305"/>
    <w:rsid w:val="00A7534A"/>
    <w:rsid w:val="00A754DF"/>
    <w:rsid w:val="00A755A0"/>
    <w:rsid w:val="00A755E3"/>
    <w:rsid w:val="00A756B7"/>
    <w:rsid w:val="00A756B9"/>
    <w:rsid w:val="00A7572F"/>
    <w:rsid w:val="00A75798"/>
    <w:rsid w:val="00A757E2"/>
    <w:rsid w:val="00A75816"/>
    <w:rsid w:val="00A75877"/>
    <w:rsid w:val="00A75915"/>
    <w:rsid w:val="00A75AF1"/>
    <w:rsid w:val="00A75B26"/>
    <w:rsid w:val="00A75BFF"/>
    <w:rsid w:val="00A75C24"/>
    <w:rsid w:val="00A75CB7"/>
    <w:rsid w:val="00A75D30"/>
    <w:rsid w:val="00A75D55"/>
    <w:rsid w:val="00A75D94"/>
    <w:rsid w:val="00A75E83"/>
    <w:rsid w:val="00A75E93"/>
    <w:rsid w:val="00A75F23"/>
    <w:rsid w:val="00A75F3C"/>
    <w:rsid w:val="00A7600E"/>
    <w:rsid w:val="00A76119"/>
    <w:rsid w:val="00A76163"/>
    <w:rsid w:val="00A7626B"/>
    <w:rsid w:val="00A7638C"/>
    <w:rsid w:val="00A763D1"/>
    <w:rsid w:val="00A76422"/>
    <w:rsid w:val="00A76455"/>
    <w:rsid w:val="00A7651C"/>
    <w:rsid w:val="00A7654E"/>
    <w:rsid w:val="00A765B5"/>
    <w:rsid w:val="00A7669D"/>
    <w:rsid w:val="00A76738"/>
    <w:rsid w:val="00A76773"/>
    <w:rsid w:val="00A7683A"/>
    <w:rsid w:val="00A76925"/>
    <w:rsid w:val="00A76944"/>
    <w:rsid w:val="00A76A94"/>
    <w:rsid w:val="00A76A9A"/>
    <w:rsid w:val="00A76B28"/>
    <w:rsid w:val="00A76BF4"/>
    <w:rsid w:val="00A76C55"/>
    <w:rsid w:val="00A76C87"/>
    <w:rsid w:val="00A76CD3"/>
    <w:rsid w:val="00A76CD7"/>
    <w:rsid w:val="00A76D15"/>
    <w:rsid w:val="00A76D67"/>
    <w:rsid w:val="00A76D8B"/>
    <w:rsid w:val="00A76E98"/>
    <w:rsid w:val="00A76EB7"/>
    <w:rsid w:val="00A77069"/>
    <w:rsid w:val="00A7712C"/>
    <w:rsid w:val="00A771DE"/>
    <w:rsid w:val="00A77229"/>
    <w:rsid w:val="00A77239"/>
    <w:rsid w:val="00A77248"/>
    <w:rsid w:val="00A772C8"/>
    <w:rsid w:val="00A773F2"/>
    <w:rsid w:val="00A77457"/>
    <w:rsid w:val="00A774FC"/>
    <w:rsid w:val="00A7754E"/>
    <w:rsid w:val="00A775B4"/>
    <w:rsid w:val="00A77644"/>
    <w:rsid w:val="00A77696"/>
    <w:rsid w:val="00A776BA"/>
    <w:rsid w:val="00A7780D"/>
    <w:rsid w:val="00A779C2"/>
    <w:rsid w:val="00A77A58"/>
    <w:rsid w:val="00A77B0E"/>
    <w:rsid w:val="00A77B6D"/>
    <w:rsid w:val="00A77B8B"/>
    <w:rsid w:val="00A77BC2"/>
    <w:rsid w:val="00A77BDC"/>
    <w:rsid w:val="00A77BE2"/>
    <w:rsid w:val="00A77BE3"/>
    <w:rsid w:val="00A77C06"/>
    <w:rsid w:val="00A77CC7"/>
    <w:rsid w:val="00A77D5F"/>
    <w:rsid w:val="00A77D8F"/>
    <w:rsid w:val="00A77DF0"/>
    <w:rsid w:val="00A77E46"/>
    <w:rsid w:val="00A77EC7"/>
    <w:rsid w:val="00A77FC5"/>
    <w:rsid w:val="00A80032"/>
    <w:rsid w:val="00A8004D"/>
    <w:rsid w:val="00A80064"/>
    <w:rsid w:val="00A800BC"/>
    <w:rsid w:val="00A80139"/>
    <w:rsid w:val="00A80178"/>
    <w:rsid w:val="00A801F4"/>
    <w:rsid w:val="00A80422"/>
    <w:rsid w:val="00A805B3"/>
    <w:rsid w:val="00A80786"/>
    <w:rsid w:val="00A807E3"/>
    <w:rsid w:val="00A80872"/>
    <w:rsid w:val="00A8088B"/>
    <w:rsid w:val="00A80920"/>
    <w:rsid w:val="00A80B5D"/>
    <w:rsid w:val="00A80B7D"/>
    <w:rsid w:val="00A80C23"/>
    <w:rsid w:val="00A80C85"/>
    <w:rsid w:val="00A80D1A"/>
    <w:rsid w:val="00A80DEA"/>
    <w:rsid w:val="00A80E8B"/>
    <w:rsid w:val="00A80EE5"/>
    <w:rsid w:val="00A80F05"/>
    <w:rsid w:val="00A80F77"/>
    <w:rsid w:val="00A80FA3"/>
    <w:rsid w:val="00A8104E"/>
    <w:rsid w:val="00A811D7"/>
    <w:rsid w:val="00A81217"/>
    <w:rsid w:val="00A8123C"/>
    <w:rsid w:val="00A81261"/>
    <w:rsid w:val="00A81331"/>
    <w:rsid w:val="00A814AA"/>
    <w:rsid w:val="00A8169E"/>
    <w:rsid w:val="00A81791"/>
    <w:rsid w:val="00A817C4"/>
    <w:rsid w:val="00A81803"/>
    <w:rsid w:val="00A81839"/>
    <w:rsid w:val="00A81846"/>
    <w:rsid w:val="00A81863"/>
    <w:rsid w:val="00A8189B"/>
    <w:rsid w:val="00A818D2"/>
    <w:rsid w:val="00A81907"/>
    <w:rsid w:val="00A8198F"/>
    <w:rsid w:val="00A81991"/>
    <w:rsid w:val="00A819D2"/>
    <w:rsid w:val="00A81AE0"/>
    <w:rsid w:val="00A81BE3"/>
    <w:rsid w:val="00A81C4F"/>
    <w:rsid w:val="00A81D03"/>
    <w:rsid w:val="00A81D2D"/>
    <w:rsid w:val="00A81D59"/>
    <w:rsid w:val="00A81E70"/>
    <w:rsid w:val="00A81E7B"/>
    <w:rsid w:val="00A81E9D"/>
    <w:rsid w:val="00A81EA7"/>
    <w:rsid w:val="00A81ED8"/>
    <w:rsid w:val="00A81F1A"/>
    <w:rsid w:val="00A8209E"/>
    <w:rsid w:val="00A820C4"/>
    <w:rsid w:val="00A8216E"/>
    <w:rsid w:val="00A82218"/>
    <w:rsid w:val="00A82268"/>
    <w:rsid w:val="00A822A3"/>
    <w:rsid w:val="00A822F5"/>
    <w:rsid w:val="00A8239D"/>
    <w:rsid w:val="00A826BA"/>
    <w:rsid w:val="00A827E6"/>
    <w:rsid w:val="00A82840"/>
    <w:rsid w:val="00A82B0C"/>
    <w:rsid w:val="00A82B2D"/>
    <w:rsid w:val="00A82B94"/>
    <w:rsid w:val="00A82CEF"/>
    <w:rsid w:val="00A82D03"/>
    <w:rsid w:val="00A82DF2"/>
    <w:rsid w:val="00A82DF8"/>
    <w:rsid w:val="00A82EF2"/>
    <w:rsid w:val="00A830B9"/>
    <w:rsid w:val="00A830DA"/>
    <w:rsid w:val="00A83169"/>
    <w:rsid w:val="00A832B6"/>
    <w:rsid w:val="00A832F8"/>
    <w:rsid w:val="00A83362"/>
    <w:rsid w:val="00A83428"/>
    <w:rsid w:val="00A836F7"/>
    <w:rsid w:val="00A83757"/>
    <w:rsid w:val="00A8384D"/>
    <w:rsid w:val="00A83893"/>
    <w:rsid w:val="00A838D5"/>
    <w:rsid w:val="00A838FC"/>
    <w:rsid w:val="00A8397C"/>
    <w:rsid w:val="00A83989"/>
    <w:rsid w:val="00A83ABD"/>
    <w:rsid w:val="00A83AEB"/>
    <w:rsid w:val="00A83B32"/>
    <w:rsid w:val="00A83C17"/>
    <w:rsid w:val="00A83DDB"/>
    <w:rsid w:val="00A83E2C"/>
    <w:rsid w:val="00A83FBA"/>
    <w:rsid w:val="00A8400E"/>
    <w:rsid w:val="00A840A0"/>
    <w:rsid w:val="00A840C5"/>
    <w:rsid w:val="00A84216"/>
    <w:rsid w:val="00A8421C"/>
    <w:rsid w:val="00A84263"/>
    <w:rsid w:val="00A84330"/>
    <w:rsid w:val="00A84344"/>
    <w:rsid w:val="00A8439D"/>
    <w:rsid w:val="00A843E3"/>
    <w:rsid w:val="00A8462B"/>
    <w:rsid w:val="00A84638"/>
    <w:rsid w:val="00A84676"/>
    <w:rsid w:val="00A8475C"/>
    <w:rsid w:val="00A84762"/>
    <w:rsid w:val="00A8477C"/>
    <w:rsid w:val="00A848C8"/>
    <w:rsid w:val="00A8491A"/>
    <w:rsid w:val="00A8497C"/>
    <w:rsid w:val="00A849AC"/>
    <w:rsid w:val="00A849C6"/>
    <w:rsid w:val="00A849F0"/>
    <w:rsid w:val="00A84A4A"/>
    <w:rsid w:val="00A84B18"/>
    <w:rsid w:val="00A84B62"/>
    <w:rsid w:val="00A84BAE"/>
    <w:rsid w:val="00A84BBE"/>
    <w:rsid w:val="00A84CFB"/>
    <w:rsid w:val="00A84D65"/>
    <w:rsid w:val="00A84DCA"/>
    <w:rsid w:val="00A84E0E"/>
    <w:rsid w:val="00A84E87"/>
    <w:rsid w:val="00A84E88"/>
    <w:rsid w:val="00A84EA0"/>
    <w:rsid w:val="00A84FBA"/>
    <w:rsid w:val="00A85039"/>
    <w:rsid w:val="00A852B1"/>
    <w:rsid w:val="00A853D8"/>
    <w:rsid w:val="00A853EB"/>
    <w:rsid w:val="00A8547A"/>
    <w:rsid w:val="00A854BE"/>
    <w:rsid w:val="00A854CC"/>
    <w:rsid w:val="00A8555D"/>
    <w:rsid w:val="00A85585"/>
    <w:rsid w:val="00A855A7"/>
    <w:rsid w:val="00A855CA"/>
    <w:rsid w:val="00A8563E"/>
    <w:rsid w:val="00A85685"/>
    <w:rsid w:val="00A856AA"/>
    <w:rsid w:val="00A856F0"/>
    <w:rsid w:val="00A85714"/>
    <w:rsid w:val="00A85733"/>
    <w:rsid w:val="00A85764"/>
    <w:rsid w:val="00A8578F"/>
    <w:rsid w:val="00A85833"/>
    <w:rsid w:val="00A85970"/>
    <w:rsid w:val="00A85A2C"/>
    <w:rsid w:val="00A85A48"/>
    <w:rsid w:val="00A85B65"/>
    <w:rsid w:val="00A85B91"/>
    <w:rsid w:val="00A85BA1"/>
    <w:rsid w:val="00A85C6F"/>
    <w:rsid w:val="00A85C7B"/>
    <w:rsid w:val="00A85D6E"/>
    <w:rsid w:val="00A85DC5"/>
    <w:rsid w:val="00A85DD6"/>
    <w:rsid w:val="00A85DE2"/>
    <w:rsid w:val="00A85F69"/>
    <w:rsid w:val="00A85FC1"/>
    <w:rsid w:val="00A86074"/>
    <w:rsid w:val="00A86089"/>
    <w:rsid w:val="00A860AC"/>
    <w:rsid w:val="00A860C8"/>
    <w:rsid w:val="00A8615E"/>
    <w:rsid w:val="00A8619F"/>
    <w:rsid w:val="00A86206"/>
    <w:rsid w:val="00A86422"/>
    <w:rsid w:val="00A864DC"/>
    <w:rsid w:val="00A86507"/>
    <w:rsid w:val="00A8653C"/>
    <w:rsid w:val="00A865BF"/>
    <w:rsid w:val="00A86735"/>
    <w:rsid w:val="00A86872"/>
    <w:rsid w:val="00A868BE"/>
    <w:rsid w:val="00A8696E"/>
    <w:rsid w:val="00A86A13"/>
    <w:rsid w:val="00A86A81"/>
    <w:rsid w:val="00A86BFE"/>
    <w:rsid w:val="00A86CBC"/>
    <w:rsid w:val="00A86D9C"/>
    <w:rsid w:val="00A86DEF"/>
    <w:rsid w:val="00A86E68"/>
    <w:rsid w:val="00A86F39"/>
    <w:rsid w:val="00A86FAC"/>
    <w:rsid w:val="00A86FBD"/>
    <w:rsid w:val="00A86FC2"/>
    <w:rsid w:val="00A870A8"/>
    <w:rsid w:val="00A871BF"/>
    <w:rsid w:val="00A872E8"/>
    <w:rsid w:val="00A87380"/>
    <w:rsid w:val="00A87457"/>
    <w:rsid w:val="00A8756F"/>
    <w:rsid w:val="00A87593"/>
    <w:rsid w:val="00A87655"/>
    <w:rsid w:val="00A876D6"/>
    <w:rsid w:val="00A877A3"/>
    <w:rsid w:val="00A87822"/>
    <w:rsid w:val="00A87874"/>
    <w:rsid w:val="00A87896"/>
    <w:rsid w:val="00A87903"/>
    <w:rsid w:val="00A87AC8"/>
    <w:rsid w:val="00A87B08"/>
    <w:rsid w:val="00A87BBF"/>
    <w:rsid w:val="00A87C2A"/>
    <w:rsid w:val="00A87C54"/>
    <w:rsid w:val="00A87D29"/>
    <w:rsid w:val="00A87D42"/>
    <w:rsid w:val="00A90000"/>
    <w:rsid w:val="00A90039"/>
    <w:rsid w:val="00A9003C"/>
    <w:rsid w:val="00A901BD"/>
    <w:rsid w:val="00A90291"/>
    <w:rsid w:val="00A9039A"/>
    <w:rsid w:val="00A9047A"/>
    <w:rsid w:val="00A90553"/>
    <w:rsid w:val="00A9060D"/>
    <w:rsid w:val="00A9063F"/>
    <w:rsid w:val="00A9064E"/>
    <w:rsid w:val="00A90670"/>
    <w:rsid w:val="00A9067A"/>
    <w:rsid w:val="00A9078C"/>
    <w:rsid w:val="00A9084F"/>
    <w:rsid w:val="00A90885"/>
    <w:rsid w:val="00A90A14"/>
    <w:rsid w:val="00A90A9D"/>
    <w:rsid w:val="00A90B16"/>
    <w:rsid w:val="00A90BC5"/>
    <w:rsid w:val="00A90D13"/>
    <w:rsid w:val="00A90F0F"/>
    <w:rsid w:val="00A90F99"/>
    <w:rsid w:val="00A90FF1"/>
    <w:rsid w:val="00A91014"/>
    <w:rsid w:val="00A910DE"/>
    <w:rsid w:val="00A910E1"/>
    <w:rsid w:val="00A91108"/>
    <w:rsid w:val="00A91157"/>
    <w:rsid w:val="00A91197"/>
    <w:rsid w:val="00A911A9"/>
    <w:rsid w:val="00A9122C"/>
    <w:rsid w:val="00A912A4"/>
    <w:rsid w:val="00A9142D"/>
    <w:rsid w:val="00A9142E"/>
    <w:rsid w:val="00A9157F"/>
    <w:rsid w:val="00A915A8"/>
    <w:rsid w:val="00A91610"/>
    <w:rsid w:val="00A91618"/>
    <w:rsid w:val="00A91678"/>
    <w:rsid w:val="00A91681"/>
    <w:rsid w:val="00A91692"/>
    <w:rsid w:val="00A917FC"/>
    <w:rsid w:val="00A91819"/>
    <w:rsid w:val="00A9195E"/>
    <w:rsid w:val="00A91AD7"/>
    <w:rsid w:val="00A91B24"/>
    <w:rsid w:val="00A91B85"/>
    <w:rsid w:val="00A91DA2"/>
    <w:rsid w:val="00A91E30"/>
    <w:rsid w:val="00A91ED7"/>
    <w:rsid w:val="00A92175"/>
    <w:rsid w:val="00A921AA"/>
    <w:rsid w:val="00A922F1"/>
    <w:rsid w:val="00A92362"/>
    <w:rsid w:val="00A92431"/>
    <w:rsid w:val="00A925C3"/>
    <w:rsid w:val="00A925F8"/>
    <w:rsid w:val="00A92627"/>
    <w:rsid w:val="00A9279A"/>
    <w:rsid w:val="00A927D4"/>
    <w:rsid w:val="00A92819"/>
    <w:rsid w:val="00A9282A"/>
    <w:rsid w:val="00A92882"/>
    <w:rsid w:val="00A929EC"/>
    <w:rsid w:val="00A92B36"/>
    <w:rsid w:val="00A92B4A"/>
    <w:rsid w:val="00A92C4E"/>
    <w:rsid w:val="00A92C95"/>
    <w:rsid w:val="00A92E3D"/>
    <w:rsid w:val="00A92E86"/>
    <w:rsid w:val="00A92EB1"/>
    <w:rsid w:val="00A92EBD"/>
    <w:rsid w:val="00A92EDD"/>
    <w:rsid w:val="00A92F41"/>
    <w:rsid w:val="00A9308C"/>
    <w:rsid w:val="00A93093"/>
    <w:rsid w:val="00A93279"/>
    <w:rsid w:val="00A932B1"/>
    <w:rsid w:val="00A932C7"/>
    <w:rsid w:val="00A9345C"/>
    <w:rsid w:val="00A9346A"/>
    <w:rsid w:val="00A935FA"/>
    <w:rsid w:val="00A9360D"/>
    <w:rsid w:val="00A936F9"/>
    <w:rsid w:val="00A93861"/>
    <w:rsid w:val="00A938BC"/>
    <w:rsid w:val="00A938BE"/>
    <w:rsid w:val="00A93A54"/>
    <w:rsid w:val="00A93B27"/>
    <w:rsid w:val="00A93B9E"/>
    <w:rsid w:val="00A93C95"/>
    <w:rsid w:val="00A93D78"/>
    <w:rsid w:val="00A93D93"/>
    <w:rsid w:val="00A93DF4"/>
    <w:rsid w:val="00A93E5C"/>
    <w:rsid w:val="00A93FCB"/>
    <w:rsid w:val="00A940D6"/>
    <w:rsid w:val="00A94105"/>
    <w:rsid w:val="00A9418A"/>
    <w:rsid w:val="00A94204"/>
    <w:rsid w:val="00A943C7"/>
    <w:rsid w:val="00A9446C"/>
    <w:rsid w:val="00A9447F"/>
    <w:rsid w:val="00A94545"/>
    <w:rsid w:val="00A94560"/>
    <w:rsid w:val="00A94697"/>
    <w:rsid w:val="00A946DF"/>
    <w:rsid w:val="00A946EE"/>
    <w:rsid w:val="00A94748"/>
    <w:rsid w:val="00A94807"/>
    <w:rsid w:val="00A9491E"/>
    <w:rsid w:val="00A9498B"/>
    <w:rsid w:val="00A949FC"/>
    <w:rsid w:val="00A94A9E"/>
    <w:rsid w:val="00A94AB5"/>
    <w:rsid w:val="00A94AD5"/>
    <w:rsid w:val="00A94BAA"/>
    <w:rsid w:val="00A94CCE"/>
    <w:rsid w:val="00A94D28"/>
    <w:rsid w:val="00A94D53"/>
    <w:rsid w:val="00A94D74"/>
    <w:rsid w:val="00A94E8E"/>
    <w:rsid w:val="00A94F19"/>
    <w:rsid w:val="00A94F79"/>
    <w:rsid w:val="00A94F87"/>
    <w:rsid w:val="00A94F9F"/>
    <w:rsid w:val="00A950DD"/>
    <w:rsid w:val="00A95102"/>
    <w:rsid w:val="00A95136"/>
    <w:rsid w:val="00A9524F"/>
    <w:rsid w:val="00A95264"/>
    <w:rsid w:val="00A95450"/>
    <w:rsid w:val="00A95492"/>
    <w:rsid w:val="00A95518"/>
    <w:rsid w:val="00A955B6"/>
    <w:rsid w:val="00A956A6"/>
    <w:rsid w:val="00A9575F"/>
    <w:rsid w:val="00A95821"/>
    <w:rsid w:val="00A958B2"/>
    <w:rsid w:val="00A958C2"/>
    <w:rsid w:val="00A959F1"/>
    <w:rsid w:val="00A95A58"/>
    <w:rsid w:val="00A95AF3"/>
    <w:rsid w:val="00A95B5F"/>
    <w:rsid w:val="00A95CF6"/>
    <w:rsid w:val="00A95E3D"/>
    <w:rsid w:val="00A95F7E"/>
    <w:rsid w:val="00A95F81"/>
    <w:rsid w:val="00A95FC3"/>
    <w:rsid w:val="00A9603A"/>
    <w:rsid w:val="00A960C3"/>
    <w:rsid w:val="00A9618F"/>
    <w:rsid w:val="00A961C2"/>
    <w:rsid w:val="00A96241"/>
    <w:rsid w:val="00A96263"/>
    <w:rsid w:val="00A96315"/>
    <w:rsid w:val="00A963DF"/>
    <w:rsid w:val="00A96480"/>
    <w:rsid w:val="00A964C3"/>
    <w:rsid w:val="00A96595"/>
    <w:rsid w:val="00A96597"/>
    <w:rsid w:val="00A965A5"/>
    <w:rsid w:val="00A9665E"/>
    <w:rsid w:val="00A96689"/>
    <w:rsid w:val="00A9677E"/>
    <w:rsid w:val="00A96814"/>
    <w:rsid w:val="00A968FC"/>
    <w:rsid w:val="00A969B9"/>
    <w:rsid w:val="00A969D5"/>
    <w:rsid w:val="00A96AC1"/>
    <w:rsid w:val="00A96C3A"/>
    <w:rsid w:val="00A96CB0"/>
    <w:rsid w:val="00A96CCB"/>
    <w:rsid w:val="00A96D38"/>
    <w:rsid w:val="00A96DCF"/>
    <w:rsid w:val="00A96E70"/>
    <w:rsid w:val="00A96E71"/>
    <w:rsid w:val="00A96E95"/>
    <w:rsid w:val="00A96EE1"/>
    <w:rsid w:val="00A97045"/>
    <w:rsid w:val="00A970A2"/>
    <w:rsid w:val="00A97194"/>
    <w:rsid w:val="00A971C3"/>
    <w:rsid w:val="00A97215"/>
    <w:rsid w:val="00A9721D"/>
    <w:rsid w:val="00A97328"/>
    <w:rsid w:val="00A9747F"/>
    <w:rsid w:val="00A97480"/>
    <w:rsid w:val="00A974C3"/>
    <w:rsid w:val="00A974F2"/>
    <w:rsid w:val="00A97650"/>
    <w:rsid w:val="00A97672"/>
    <w:rsid w:val="00A977F0"/>
    <w:rsid w:val="00A9782F"/>
    <w:rsid w:val="00A978AE"/>
    <w:rsid w:val="00A978C8"/>
    <w:rsid w:val="00A97979"/>
    <w:rsid w:val="00A979C3"/>
    <w:rsid w:val="00A97A29"/>
    <w:rsid w:val="00A97A4C"/>
    <w:rsid w:val="00A97A86"/>
    <w:rsid w:val="00A97B00"/>
    <w:rsid w:val="00A97B07"/>
    <w:rsid w:val="00A97B64"/>
    <w:rsid w:val="00A97CB6"/>
    <w:rsid w:val="00A97CCD"/>
    <w:rsid w:val="00A97D1F"/>
    <w:rsid w:val="00A97D3F"/>
    <w:rsid w:val="00A97D56"/>
    <w:rsid w:val="00A97D78"/>
    <w:rsid w:val="00A97DCB"/>
    <w:rsid w:val="00A97DD0"/>
    <w:rsid w:val="00A97DED"/>
    <w:rsid w:val="00A97E7C"/>
    <w:rsid w:val="00A97ED7"/>
    <w:rsid w:val="00A97F59"/>
    <w:rsid w:val="00AA00C7"/>
    <w:rsid w:val="00AA0164"/>
    <w:rsid w:val="00AA0171"/>
    <w:rsid w:val="00AA01AA"/>
    <w:rsid w:val="00AA01D3"/>
    <w:rsid w:val="00AA01E7"/>
    <w:rsid w:val="00AA0297"/>
    <w:rsid w:val="00AA0352"/>
    <w:rsid w:val="00AA03DB"/>
    <w:rsid w:val="00AA0476"/>
    <w:rsid w:val="00AA047A"/>
    <w:rsid w:val="00AA0503"/>
    <w:rsid w:val="00AA06BF"/>
    <w:rsid w:val="00AA07AE"/>
    <w:rsid w:val="00AA0818"/>
    <w:rsid w:val="00AA08C9"/>
    <w:rsid w:val="00AA0930"/>
    <w:rsid w:val="00AA09B0"/>
    <w:rsid w:val="00AA0A0E"/>
    <w:rsid w:val="00AA0C8B"/>
    <w:rsid w:val="00AA0DED"/>
    <w:rsid w:val="00AA0E12"/>
    <w:rsid w:val="00AA0E7B"/>
    <w:rsid w:val="00AA1020"/>
    <w:rsid w:val="00AA10AD"/>
    <w:rsid w:val="00AA1121"/>
    <w:rsid w:val="00AA1135"/>
    <w:rsid w:val="00AA1136"/>
    <w:rsid w:val="00AA114E"/>
    <w:rsid w:val="00AA1171"/>
    <w:rsid w:val="00AA1182"/>
    <w:rsid w:val="00AA1248"/>
    <w:rsid w:val="00AA126D"/>
    <w:rsid w:val="00AA137A"/>
    <w:rsid w:val="00AA13C2"/>
    <w:rsid w:val="00AA142E"/>
    <w:rsid w:val="00AA147C"/>
    <w:rsid w:val="00AA14EF"/>
    <w:rsid w:val="00AA1580"/>
    <w:rsid w:val="00AA15B8"/>
    <w:rsid w:val="00AA1707"/>
    <w:rsid w:val="00AA172E"/>
    <w:rsid w:val="00AA183C"/>
    <w:rsid w:val="00AA185C"/>
    <w:rsid w:val="00AA18E9"/>
    <w:rsid w:val="00AA19A6"/>
    <w:rsid w:val="00AA1A7B"/>
    <w:rsid w:val="00AA1B27"/>
    <w:rsid w:val="00AA1B57"/>
    <w:rsid w:val="00AA1C88"/>
    <w:rsid w:val="00AA1D22"/>
    <w:rsid w:val="00AA1D53"/>
    <w:rsid w:val="00AA1D65"/>
    <w:rsid w:val="00AA1D67"/>
    <w:rsid w:val="00AA1E61"/>
    <w:rsid w:val="00AA1F88"/>
    <w:rsid w:val="00AA2058"/>
    <w:rsid w:val="00AA20D7"/>
    <w:rsid w:val="00AA21A6"/>
    <w:rsid w:val="00AA220C"/>
    <w:rsid w:val="00AA2320"/>
    <w:rsid w:val="00AA24EA"/>
    <w:rsid w:val="00AA2553"/>
    <w:rsid w:val="00AA25DF"/>
    <w:rsid w:val="00AA261C"/>
    <w:rsid w:val="00AA2664"/>
    <w:rsid w:val="00AA26E4"/>
    <w:rsid w:val="00AA28C4"/>
    <w:rsid w:val="00AA28CE"/>
    <w:rsid w:val="00AA2902"/>
    <w:rsid w:val="00AA29D3"/>
    <w:rsid w:val="00AA2A29"/>
    <w:rsid w:val="00AA2A44"/>
    <w:rsid w:val="00AA2B98"/>
    <w:rsid w:val="00AA2C1C"/>
    <w:rsid w:val="00AA2C46"/>
    <w:rsid w:val="00AA2C76"/>
    <w:rsid w:val="00AA2C9B"/>
    <w:rsid w:val="00AA2D81"/>
    <w:rsid w:val="00AA2E24"/>
    <w:rsid w:val="00AA2F61"/>
    <w:rsid w:val="00AA2FA3"/>
    <w:rsid w:val="00AA2FA4"/>
    <w:rsid w:val="00AA3029"/>
    <w:rsid w:val="00AA302D"/>
    <w:rsid w:val="00AA3078"/>
    <w:rsid w:val="00AA316D"/>
    <w:rsid w:val="00AA3286"/>
    <w:rsid w:val="00AA32A6"/>
    <w:rsid w:val="00AA3414"/>
    <w:rsid w:val="00AA34E6"/>
    <w:rsid w:val="00AA3509"/>
    <w:rsid w:val="00AA354B"/>
    <w:rsid w:val="00AA3583"/>
    <w:rsid w:val="00AA3662"/>
    <w:rsid w:val="00AA36BF"/>
    <w:rsid w:val="00AA3759"/>
    <w:rsid w:val="00AA389F"/>
    <w:rsid w:val="00AA3A11"/>
    <w:rsid w:val="00AA3B61"/>
    <w:rsid w:val="00AA3B6F"/>
    <w:rsid w:val="00AA3CC8"/>
    <w:rsid w:val="00AA3DFF"/>
    <w:rsid w:val="00AA3ECB"/>
    <w:rsid w:val="00AA3ED9"/>
    <w:rsid w:val="00AA3F05"/>
    <w:rsid w:val="00AA3F3E"/>
    <w:rsid w:val="00AA3FE8"/>
    <w:rsid w:val="00AA4183"/>
    <w:rsid w:val="00AA41F4"/>
    <w:rsid w:val="00AA43AA"/>
    <w:rsid w:val="00AA452E"/>
    <w:rsid w:val="00AA4593"/>
    <w:rsid w:val="00AA45D2"/>
    <w:rsid w:val="00AA45E5"/>
    <w:rsid w:val="00AA4665"/>
    <w:rsid w:val="00AA47A0"/>
    <w:rsid w:val="00AA4888"/>
    <w:rsid w:val="00AA49E7"/>
    <w:rsid w:val="00AA4BBC"/>
    <w:rsid w:val="00AA4C77"/>
    <w:rsid w:val="00AA4DCC"/>
    <w:rsid w:val="00AA4DE7"/>
    <w:rsid w:val="00AA4F5D"/>
    <w:rsid w:val="00AA4FDF"/>
    <w:rsid w:val="00AA501A"/>
    <w:rsid w:val="00AA509A"/>
    <w:rsid w:val="00AA50A7"/>
    <w:rsid w:val="00AA50C2"/>
    <w:rsid w:val="00AA51C6"/>
    <w:rsid w:val="00AA5204"/>
    <w:rsid w:val="00AA52A8"/>
    <w:rsid w:val="00AA5313"/>
    <w:rsid w:val="00AA53F6"/>
    <w:rsid w:val="00AA540E"/>
    <w:rsid w:val="00AA54B3"/>
    <w:rsid w:val="00AA5672"/>
    <w:rsid w:val="00AA5704"/>
    <w:rsid w:val="00AA572B"/>
    <w:rsid w:val="00AA57F1"/>
    <w:rsid w:val="00AA58F1"/>
    <w:rsid w:val="00AA5906"/>
    <w:rsid w:val="00AA59E2"/>
    <w:rsid w:val="00AA5A09"/>
    <w:rsid w:val="00AA5A17"/>
    <w:rsid w:val="00AA5B1D"/>
    <w:rsid w:val="00AA5B23"/>
    <w:rsid w:val="00AA5C3F"/>
    <w:rsid w:val="00AA5C4C"/>
    <w:rsid w:val="00AA5D3F"/>
    <w:rsid w:val="00AA5D5C"/>
    <w:rsid w:val="00AA5D65"/>
    <w:rsid w:val="00AA5E85"/>
    <w:rsid w:val="00AA5E91"/>
    <w:rsid w:val="00AA5EA5"/>
    <w:rsid w:val="00AA5EAB"/>
    <w:rsid w:val="00AA5EAF"/>
    <w:rsid w:val="00AA5EDA"/>
    <w:rsid w:val="00AA5FEC"/>
    <w:rsid w:val="00AA6002"/>
    <w:rsid w:val="00AA6065"/>
    <w:rsid w:val="00AA60CA"/>
    <w:rsid w:val="00AA6115"/>
    <w:rsid w:val="00AA6133"/>
    <w:rsid w:val="00AA61E4"/>
    <w:rsid w:val="00AA623F"/>
    <w:rsid w:val="00AA6243"/>
    <w:rsid w:val="00AA62AF"/>
    <w:rsid w:val="00AA63BB"/>
    <w:rsid w:val="00AA641B"/>
    <w:rsid w:val="00AA6488"/>
    <w:rsid w:val="00AA64C7"/>
    <w:rsid w:val="00AA6627"/>
    <w:rsid w:val="00AA6657"/>
    <w:rsid w:val="00AA66C0"/>
    <w:rsid w:val="00AA681B"/>
    <w:rsid w:val="00AA688E"/>
    <w:rsid w:val="00AA68AB"/>
    <w:rsid w:val="00AA68BD"/>
    <w:rsid w:val="00AA693B"/>
    <w:rsid w:val="00AA69AD"/>
    <w:rsid w:val="00AA6B72"/>
    <w:rsid w:val="00AA6BCB"/>
    <w:rsid w:val="00AA6C2D"/>
    <w:rsid w:val="00AA6CCF"/>
    <w:rsid w:val="00AA6CE8"/>
    <w:rsid w:val="00AA6E51"/>
    <w:rsid w:val="00AA6EB2"/>
    <w:rsid w:val="00AA6EDC"/>
    <w:rsid w:val="00AA6F1B"/>
    <w:rsid w:val="00AA6F27"/>
    <w:rsid w:val="00AA6FAD"/>
    <w:rsid w:val="00AA710E"/>
    <w:rsid w:val="00AA71BC"/>
    <w:rsid w:val="00AA71F9"/>
    <w:rsid w:val="00AA71FE"/>
    <w:rsid w:val="00AA72C7"/>
    <w:rsid w:val="00AA7364"/>
    <w:rsid w:val="00AA7375"/>
    <w:rsid w:val="00AA73E4"/>
    <w:rsid w:val="00AA740A"/>
    <w:rsid w:val="00AA7493"/>
    <w:rsid w:val="00AA74F8"/>
    <w:rsid w:val="00AA7522"/>
    <w:rsid w:val="00AA7551"/>
    <w:rsid w:val="00AA75DD"/>
    <w:rsid w:val="00AA7615"/>
    <w:rsid w:val="00AA761C"/>
    <w:rsid w:val="00AA7649"/>
    <w:rsid w:val="00AA76ED"/>
    <w:rsid w:val="00AA788E"/>
    <w:rsid w:val="00AA78BF"/>
    <w:rsid w:val="00AA7985"/>
    <w:rsid w:val="00AA79E8"/>
    <w:rsid w:val="00AA7B93"/>
    <w:rsid w:val="00AA7BB9"/>
    <w:rsid w:val="00AA7CF2"/>
    <w:rsid w:val="00AA7E10"/>
    <w:rsid w:val="00AA7EAB"/>
    <w:rsid w:val="00AA7FCD"/>
    <w:rsid w:val="00AB014A"/>
    <w:rsid w:val="00AB01C9"/>
    <w:rsid w:val="00AB0235"/>
    <w:rsid w:val="00AB02DD"/>
    <w:rsid w:val="00AB0317"/>
    <w:rsid w:val="00AB036E"/>
    <w:rsid w:val="00AB03B5"/>
    <w:rsid w:val="00AB048A"/>
    <w:rsid w:val="00AB04D2"/>
    <w:rsid w:val="00AB053D"/>
    <w:rsid w:val="00AB058D"/>
    <w:rsid w:val="00AB061E"/>
    <w:rsid w:val="00AB0669"/>
    <w:rsid w:val="00AB06BD"/>
    <w:rsid w:val="00AB0743"/>
    <w:rsid w:val="00AB075A"/>
    <w:rsid w:val="00AB07F1"/>
    <w:rsid w:val="00AB0806"/>
    <w:rsid w:val="00AB0B1E"/>
    <w:rsid w:val="00AB0BCD"/>
    <w:rsid w:val="00AB0DD3"/>
    <w:rsid w:val="00AB0E01"/>
    <w:rsid w:val="00AB0E5B"/>
    <w:rsid w:val="00AB0F3D"/>
    <w:rsid w:val="00AB0F56"/>
    <w:rsid w:val="00AB0F61"/>
    <w:rsid w:val="00AB112C"/>
    <w:rsid w:val="00AB122C"/>
    <w:rsid w:val="00AB12AA"/>
    <w:rsid w:val="00AB12B8"/>
    <w:rsid w:val="00AB12C6"/>
    <w:rsid w:val="00AB12E4"/>
    <w:rsid w:val="00AB12F6"/>
    <w:rsid w:val="00AB134F"/>
    <w:rsid w:val="00AB1443"/>
    <w:rsid w:val="00AB14ED"/>
    <w:rsid w:val="00AB166C"/>
    <w:rsid w:val="00AB1971"/>
    <w:rsid w:val="00AB19D7"/>
    <w:rsid w:val="00AB1A97"/>
    <w:rsid w:val="00AB1AC9"/>
    <w:rsid w:val="00AB1B06"/>
    <w:rsid w:val="00AB1B1C"/>
    <w:rsid w:val="00AB1B53"/>
    <w:rsid w:val="00AB1C48"/>
    <w:rsid w:val="00AB1CDC"/>
    <w:rsid w:val="00AB1CF8"/>
    <w:rsid w:val="00AB1D47"/>
    <w:rsid w:val="00AB1DF6"/>
    <w:rsid w:val="00AB1ECD"/>
    <w:rsid w:val="00AB1F5E"/>
    <w:rsid w:val="00AB207B"/>
    <w:rsid w:val="00AB216C"/>
    <w:rsid w:val="00AB21ED"/>
    <w:rsid w:val="00AB226C"/>
    <w:rsid w:val="00AB2302"/>
    <w:rsid w:val="00AB2377"/>
    <w:rsid w:val="00AB2418"/>
    <w:rsid w:val="00AB24E3"/>
    <w:rsid w:val="00AB253A"/>
    <w:rsid w:val="00AB254A"/>
    <w:rsid w:val="00AB25A0"/>
    <w:rsid w:val="00AB2618"/>
    <w:rsid w:val="00AB2743"/>
    <w:rsid w:val="00AB2775"/>
    <w:rsid w:val="00AB27E1"/>
    <w:rsid w:val="00AB2812"/>
    <w:rsid w:val="00AB28D2"/>
    <w:rsid w:val="00AB28E2"/>
    <w:rsid w:val="00AB297C"/>
    <w:rsid w:val="00AB2985"/>
    <w:rsid w:val="00AB2A48"/>
    <w:rsid w:val="00AB2AA0"/>
    <w:rsid w:val="00AB2AE9"/>
    <w:rsid w:val="00AB2AF6"/>
    <w:rsid w:val="00AB2B08"/>
    <w:rsid w:val="00AB2B42"/>
    <w:rsid w:val="00AB2CFE"/>
    <w:rsid w:val="00AB2D36"/>
    <w:rsid w:val="00AB2D55"/>
    <w:rsid w:val="00AB2DDE"/>
    <w:rsid w:val="00AB2F8B"/>
    <w:rsid w:val="00AB3043"/>
    <w:rsid w:val="00AB3087"/>
    <w:rsid w:val="00AB31E8"/>
    <w:rsid w:val="00AB3235"/>
    <w:rsid w:val="00AB326D"/>
    <w:rsid w:val="00AB32E0"/>
    <w:rsid w:val="00AB32EB"/>
    <w:rsid w:val="00AB3377"/>
    <w:rsid w:val="00AB36D4"/>
    <w:rsid w:val="00AB37E0"/>
    <w:rsid w:val="00AB383A"/>
    <w:rsid w:val="00AB39A3"/>
    <w:rsid w:val="00AB39AF"/>
    <w:rsid w:val="00AB3A1D"/>
    <w:rsid w:val="00AB3AF2"/>
    <w:rsid w:val="00AB3B0D"/>
    <w:rsid w:val="00AB3C17"/>
    <w:rsid w:val="00AB3C4C"/>
    <w:rsid w:val="00AB3C7F"/>
    <w:rsid w:val="00AB3C9F"/>
    <w:rsid w:val="00AB3E4D"/>
    <w:rsid w:val="00AB4027"/>
    <w:rsid w:val="00AB40B7"/>
    <w:rsid w:val="00AB40F5"/>
    <w:rsid w:val="00AB410D"/>
    <w:rsid w:val="00AB412C"/>
    <w:rsid w:val="00AB4138"/>
    <w:rsid w:val="00AB41C8"/>
    <w:rsid w:val="00AB422E"/>
    <w:rsid w:val="00AB42E3"/>
    <w:rsid w:val="00AB4342"/>
    <w:rsid w:val="00AB4360"/>
    <w:rsid w:val="00AB43A1"/>
    <w:rsid w:val="00AB43B0"/>
    <w:rsid w:val="00AB4456"/>
    <w:rsid w:val="00AB4539"/>
    <w:rsid w:val="00AB4594"/>
    <w:rsid w:val="00AB4600"/>
    <w:rsid w:val="00AB4656"/>
    <w:rsid w:val="00AB4682"/>
    <w:rsid w:val="00AB484B"/>
    <w:rsid w:val="00AB4986"/>
    <w:rsid w:val="00AB49E5"/>
    <w:rsid w:val="00AB4ACF"/>
    <w:rsid w:val="00AB4BAE"/>
    <w:rsid w:val="00AB4BC9"/>
    <w:rsid w:val="00AB4C44"/>
    <w:rsid w:val="00AB4D11"/>
    <w:rsid w:val="00AB4D78"/>
    <w:rsid w:val="00AB4DC9"/>
    <w:rsid w:val="00AB4E2D"/>
    <w:rsid w:val="00AB4EAC"/>
    <w:rsid w:val="00AB4FAB"/>
    <w:rsid w:val="00AB50A3"/>
    <w:rsid w:val="00AB5173"/>
    <w:rsid w:val="00AB51A8"/>
    <w:rsid w:val="00AB51D7"/>
    <w:rsid w:val="00AB51D9"/>
    <w:rsid w:val="00AB5213"/>
    <w:rsid w:val="00AB5277"/>
    <w:rsid w:val="00AB52AF"/>
    <w:rsid w:val="00AB52E4"/>
    <w:rsid w:val="00AB5374"/>
    <w:rsid w:val="00AB53BC"/>
    <w:rsid w:val="00AB53D2"/>
    <w:rsid w:val="00AB54A4"/>
    <w:rsid w:val="00AB5547"/>
    <w:rsid w:val="00AB5663"/>
    <w:rsid w:val="00AB5681"/>
    <w:rsid w:val="00AB570F"/>
    <w:rsid w:val="00AB574A"/>
    <w:rsid w:val="00AB5898"/>
    <w:rsid w:val="00AB591B"/>
    <w:rsid w:val="00AB5966"/>
    <w:rsid w:val="00AB5A6B"/>
    <w:rsid w:val="00AB5B34"/>
    <w:rsid w:val="00AB5B75"/>
    <w:rsid w:val="00AB5C7B"/>
    <w:rsid w:val="00AB5C90"/>
    <w:rsid w:val="00AB5D2E"/>
    <w:rsid w:val="00AB5E53"/>
    <w:rsid w:val="00AB5E6F"/>
    <w:rsid w:val="00AB5EC8"/>
    <w:rsid w:val="00AB608B"/>
    <w:rsid w:val="00AB6119"/>
    <w:rsid w:val="00AB6130"/>
    <w:rsid w:val="00AB64A7"/>
    <w:rsid w:val="00AB6532"/>
    <w:rsid w:val="00AB673F"/>
    <w:rsid w:val="00AB67CF"/>
    <w:rsid w:val="00AB68C5"/>
    <w:rsid w:val="00AB6940"/>
    <w:rsid w:val="00AB6A4A"/>
    <w:rsid w:val="00AB6ABB"/>
    <w:rsid w:val="00AB6ADD"/>
    <w:rsid w:val="00AB6B33"/>
    <w:rsid w:val="00AB6CC1"/>
    <w:rsid w:val="00AB6DF4"/>
    <w:rsid w:val="00AB6E09"/>
    <w:rsid w:val="00AB6E10"/>
    <w:rsid w:val="00AB6E88"/>
    <w:rsid w:val="00AB6E9C"/>
    <w:rsid w:val="00AB6EC0"/>
    <w:rsid w:val="00AB6ED4"/>
    <w:rsid w:val="00AB6F76"/>
    <w:rsid w:val="00AB6FB7"/>
    <w:rsid w:val="00AB705E"/>
    <w:rsid w:val="00AB7139"/>
    <w:rsid w:val="00AB71D5"/>
    <w:rsid w:val="00AB71E4"/>
    <w:rsid w:val="00AB720C"/>
    <w:rsid w:val="00AB731D"/>
    <w:rsid w:val="00AB7346"/>
    <w:rsid w:val="00AB7379"/>
    <w:rsid w:val="00AB738E"/>
    <w:rsid w:val="00AB73A6"/>
    <w:rsid w:val="00AB7403"/>
    <w:rsid w:val="00AB74D4"/>
    <w:rsid w:val="00AB74F9"/>
    <w:rsid w:val="00AB7598"/>
    <w:rsid w:val="00AB76D3"/>
    <w:rsid w:val="00AB7731"/>
    <w:rsid w:val="00AB77BD"/>
    <w:rsid w:val="00AB788C"/>
    <w:rsid w:val="00AB78B2"/>
    <w:rsid w:val="00AB7ACA"/>
    <w:rsid w:val="00AB7AF4"/>
    <w:rsid w:val="00AB7B00"/>
    <w:rsid w:val="00AB7B7A"/>
    <w:rsid w:val="00AB7BB9"/>
    <w:rsid w:val="00AB7BBE"/>
    <w:rsid w:val="00AB7C09"/>
    <w:rsid w:val="00AC00C3"/>
    <w:rsid w:val="00AC01FB"/>
    <w:rsid w:val="00AC02EE"/>
    <w:rsid w:val="00AC0304"/>
    <w:rsid w:val="00AC0397"/>
    <w:rsid w:val="00AC03AA"/>
    <w:rsid w:val="00AC0415"/>
    <w:rsid w:val="00AC04C4"/>
    <w:rsid w:val="00AC04D5"/>
    <w:rsid w:val="00AC04DC"/>
    <w:rsid w:val="00AC059E"/>
    <w:rsid w:val="00AC060C"/>
    <w:rsid w:val="00AC0676"/>
    <w:rsid w:val="00AC080D"/>
    <w:rsid w:val="00AC093A"/>
    <w:rsid w:val="00AC0961"/>
    <w:rsid w:val="00AC0A88"/>
    <w:rsid w:val="00AC0AAB"/>
    <w:rsid w:val="00AC0AC7"/>
    <w:rsid w:val="00AC0BB5"/>
    <w:rsid w:val="00AC0BC6"/>
    <w:rsid w:val="00AC0BE0"/>
    <w:rsid w:val="00AC0C46"/>
    <w:rsid w:val="00AC0CA5"/>
    <w:rsid w:val="00AC0CE2"/>
    <w:rsid w:val="00AC0D01"/>
    <w:rsid w:val="00AC0D37"/>
    <w:rsid w:val="00AC0D7F"/>
    <w:rsid w:val="00AC0DA7"/>
    <w:rsid w:val="00AC0E08"/>
    <w:rsid w:val="00AC0F18"/>
    <w:rsid w:val="00AC0FB9"/>
    <w:rsid w:val="00AC0FD7"/>
    <w:rsid w:val="00AC1044"/>
    <w:rsid w:val="00AC1050"/>
    <w:rsid w:val="00AC10C0"/>
    <w:rsid w:val="00AC10D9"/>
    <w:rsid w:val="00AC110C"/>
    <w:rsid w:val="00AC11A6"/>
    <w:rsid w:val="00AC11EB"/>
    <w:rsid w:val="00AC1212"/>
    <w:rsid w:val="00AC1224"/>
    <w:rsid w:val="00AC1255"/>
    <w:rsid w:val="00AC132C"/>
    <w:rsid w:val="00AC1375"/>
    <w:rsid w:val="00AC1377"/>
    <w:rsid w:val="00AC139A"/>
    <w:rsid w:val="00AC13AF"/>
    <w:rsid w:val="00AC14BF"/>
    <w:rsid w:val="00AC14DC"/>
    <w:rsid w:val="00AC1617"/>
    <w:rsid w:val="00AC16FB"/>
    <w:rsid w:val="00AC1833"/>
    <w:rsid w:val="00AC1861"/>
    <w:rsid w:val="00AC1902"/>
    <w:rsid w:val="00AC1995"/>
    <w:rsid w:val="00AC1C66"/>
    <w:rsid w:val="00AC1CA6"/>
    <w:rsid w:val="00AC1E0A"/>
    <w:rsid w:val="00AC1E0C"/>
    <w:rsid w:val="00AC1EB6"/>
    <w:rsid w:val="00AC1FD0"/>
    <w:rsid w:val="00AC2285"/>
    <w:rsid w:val="00AC22B0"/>
    <w:rsid w:val="00AC2371"/>
    <w:rsid w:val="00AC237F"/>
    <w:rsid w:val="00AC23F8"/>
    <w:rsid w:val="00AC25B1"/>
    <w:rsid w:val="00AC25DB"/>
    <w:rsid w:val="00AC27B3"/>
    <w:rsid w:val="00AC27F2"/>
    <w:rsid w:val="00AC284D"/>
    <w:rsid w:val="00AC2863"/>
    <w:rsid w:val="00AC2B28"/>
    <w:rsid w:val="00AC2B3E"/>
    <w:rsid w:val="00AC2B45"/>
    <w:rsid w:val="00AC2B86"/>
    <w:rsid w:val="00AC2C2E"/>
    <w:rsid w:val="00AC2C58"/>
    <w:rsid w:val="00AC2D43"/>
    <w:rsid w:val="00AC2D46"/>
    <w:rsid w:val="00AC2D6B"/>
    <w:rsid w:val="00AC2D94"/>
    <w:rsid w:val="00AC2EA6"/>
    <w:rsid w:val="00AC2EF0"/>
    <w:rsid w:val="00AC30ED"/>
    <w:rsid w:val="00AC3108"/>
    <w:rsid w:val="00AC315F"/>
    <w:rsid w:val="00AC3286"/>
    <w:rsid w:val="00AC32F4"/>
    <w:rsid w:val="00AC33DF"/>
    <w:rsid w:val="00AC33F7"/>
    <w:rsid w:val="00AC340B"/>
    <w:rsid w:val="00AC3424"/>
    <w:rsid w:val="00AC347B"/>
    <w:rsid w:val="00AC3505"/>
    <w:rsid w:val="00AC3510"/>
    <w:rsid w:val="00AC3535"/>
    <w:rsid w:val="00AC35D6"/>
    <w:rsid w:val="00AC35EC"/>
    <w:rsid w:val="00AC36FD"/>
    <w:rsid w:val="00AC37E9"/>
    <w:rsid w:val="00AC380B"/>
    <w:rsid w:val="00AC3871"/>
    <w:rsid w:val="00AC3892"/>
    <w:rsid w:val="00AC393A"/>
    <w:rsid w:val="00AC39AC"/>
    <w:rsid w:val="00AC3AE9"/>
    <w:rsid w:val="00AC3B0A"/>
    <w:rsid w:val="00AC3B26"/>
    <w:rsid w:val="00AC3C38"/>
    <w:rsid w:val="00AC3C98"/>
    <w:rsid w:val="00AC3CDD"/>
    <w:rsid w:val="00AC3D92"/>
    <w:rsid w:val="00AC3DAE"/>
    <w:rsid w:val="00AC3E4C"/>
    <w:rsid w:val="00AC3FAB"/>
    <w:rsid w:val="00AC4011"/>
    <w:rsid w:val="00AC40AC"/>
    <w:rsid w:val="00AC411A"/>
    <w:rsid w:val="00AC4144"/>
    <w:rsid w:val="00AC427E"/>
    <w:rsid w:val="00AC42B3"/>
    <w:rsid w:val="00AC42D0"/>
    <w:rsid w:val="00AC4328"/>
    <w:rsid w:val="00AC436F"/>
    <w:rsid w:val="00AC439C"/>
    <w:rsid w:val="00AC43C1"/>
    <w:rsid w:val="00AC442F"/>
    <w:rsid w:val="00AC4452"/>
    <w:rsid w:val="00AC450B"/>
    <w:rsid w:val="00AC4707"/>
    <w:rsid w:val="00AC48DA"/>
    <w:rsid w:val="00AC493A"/>
    <w:rsid w:val="00AC4998"/>
    <w:rsid w:val="00AC49C3"/>
    <w:rsid w:val="00AC49FB"/>
    <w:rsid w:val="00AC4A22"/>
    <w:rsid w:val="00AC4A6E"/>
    <w:rsid w:val="00AC4AD9"/>
    <w:rsid w:val="00AC4B68"/>
    <w:rsid w:val="00AC4C53"/>
    <w:rsid w:val="00AC4D78"/>
    <w:rsid w:val="00AC4EFB"/>
    <w:rsid w:val="00AC504E"/>
    <w:rsid w:val="00AC507E"/>
    <w:rsid w:val="00AC516E"/>
    <w:rsid w:val="00AC51B9"/>
    <w:rsid w:val="00AC51BA"/>
    <w:rsid w:val="00AC522A"/>
    <w:rsid w:val="00AC5279"/>
    <w:rsid w:val="00AC52E6"/>
    <w:rsid w:val="00AC543D"/>
    <w:rsid w:val="00AC5526"/>
    <w:rsid w:val="00AC5623"/>
    <w:rsid w:val="00AC5639"/>
    <w:rsid w:val="00AC563E"/>
    <w:rsid w:val="00AC5692"/>
    <w:rsid w:val="00AC57AF"/>
    <w:rsid w:val="00AC58F7"/>
    <w:rsid w:val="00AC5A72"/>
    <w:rsid w:val="00AC5B8D"/>
    <w:rsid w:val="00AC5BAD"/>
    <w:rsid w:val="00AC5C0A"/>
    <w:rsid w:val="00AC5D7B"/>
    <w:rsid w:val="00AC5DBB"/>
    <w:rsid w:val="00AC5EB5"/>
    <w:rsid w:val="00AC5FBD"/>
    <w:rsid w:val="00AC6033"/>
    <w:rsid w:val="00AC605F"/>
    <w:rsid w:val="00AC6172"/>
    <w:rsid w:val="00AC6188"/>
    <w:rsid w:val="00AC628E"/>
    <w:rsid w:val="00AC63E5"/>
    <w:rsid w:val="00AC64FE"/>
    <w:rsid w:val="00AC6537"/>
    <w:rsid w:val="00AC6750"/>
    <w:rsid w:val="00AC68F8"/>
    <w:rsid w:val="00AC690E"/>
    <w:rsid w:val="00AC692C"/>
    <w:rsid w:val="00AC6974"/>
    <w:rsid w:val="00AC6A3B"/>
    <w:rsid w:val="00AC6A4D"/>
    <w:rsid w:val="00AC6A57"/>
    <w:rsid w:val="00AC6C70"/>
    <w:rsid w:val="00AC6D42"/>
    <w:rsid w:val="00AC6D55"/>
    <w:rsid w:val="00AC6E85"/>
    <w:rsid w:val="00AC6F0B"/>
    <w:rsid w:val="00AC6F6E"/>
    <w:rsid w:val="00AC703A"/>
    <w:rsid w:val="00AC70F4"/>
    <w:rsid w:val="00AC7129"/>
    <w:rsid w:val="00AC7130"/>
    <w:rsid w:val="00AC7157"/>
    <w:rsid w:val="00AC71AB"/>
    <w:rsid w:val="00AC71E0"/>
    <w:rsid w:val="00AC7427"/>
    <w:rsid w:val="00AC7528"/>
    <w:rsid w:val="00AC75BC"/>
    <w:rsid w:val="00AC7632"/>
    <w:rsid w:val="00AC76B2"/>
    <w:rsid w:val="00AC7735"/>
    <w:rsid w:val="00AC776F"/>
    <w:rsid w:val="00AC7791"/>
    <w:rsid w:val="00AC78B5"/>
    <w:rsid w:val="00AC78EE"/>
    <w:rsid w:val="00AC795C"/>
    <w:rsid w:val="00AC798D"/>
    <w:rsid w:val="00AC7A6B"/>
    <w:rsid w:val="00AC7AD7"/>
    <w:rsid w:val="00AC7CC5"/>
    <w:rsid w:val="00AC7D50"/>
    <w:rsid w:val="00AC7DC0"/>
    <w:rsid w:val="00AC7DD2"/>
    <w:rsid w:val="00AC7E65"/>
    <w:rsid w:val="00AC7E7B"/>
    <w:rsid w:val="00AC7FEC"/>
    <w:rsid w:val="00AD011D"/>
    <w:rsid w:val="00AD01A1"/>
    <w:rsid w:val="00AD02B1"/>
    <w:rsid w:val="00AD030B"/>
    <w:rsid w:val="00AD04CE"/>
    <w:rsid w:val="00AD0517"/>
    <w:rsid w:val="00AD0527"/>
    <w:rsid w:val="00AD0560"/>
    <w:rsid w:val="00AD0585"/>
    <w:rsid w:val="00AD059B"/>
    <w:rsid w:val="00AD07E0"/>
    <w:rsid w:val="00AD0831"/>
    <w:rsid w:val="00AD09BA"/>
    <w:rsid w:val="00AD09E1"/>
    <w:rsid w:val="00AD0A31"/>
    <w:rsid w:val="00AD0B6D"/>
    <w:rsid w:val="00AD0B8F"/>
    <w:rsid w:val="00AD0C64"/>
    <w:rsid w:val="00AD0CD2"/>
    <w:rsid w:val="00AD0CF3"/>
    <w:rsid w:val="00AD0D7B"/>
    <w:rsid w:val="00AD0E36"/>
    <w:rsid w:val="00AD0E72"/>
    <w:rsid w:val="00AD0EBE"/>
    <w:rsid w:val="00AD0EDB"/>
    <w:rsid w:val="00AD0F24"/>
    <w:rsid w:val="00AD104C"/>
    <w:rsid w:val="00AD10A8"/>
    <w:rsid w:val="00AD10BA"/>
    <w:rsid w:val="00AD1272"/>
    <w:rsid w:val="00AD12BC"/>
    <w:rsid w:val="00AD12E5"/>
    <w:rsid w:val="00AD1311"/>
    <w:rsid w:val="00AD1390"/>
    <w:rsid w:val="00AD13E2"/>
    <w:rsid w:val="00AD13F6"/>
    <w:rsid w:val="00AD14BE"/>
    <w:rsid w:val="00AD154D"/>
    <w:rsid w:val="00AD156C"/>
    <w:rsid w:val="00AD15D1"/>
    <w:rsid w:val="00AD1649"/>
    <w:rsid w:val="00AD165F"/>
    <w:rsid w:val="00AD16BE"/>
    <w:rsid w:val="00AD16E1"/>
    <w:rsid w:val="00AD16EE"/>
    <w:rsid w:val="00AD17D3"/>
    <w:rsid w:val="00AD17E8"/>
    <w:rsid w:val="00AD1943"/>
    <w:rsid w:val="00AD1A88"/>
    <w:rsid w:val="00AD1B42"/>
    <w:rsid w:val="00AD1B63"/>
    <w:rsid w:val="00AD1B80"/>
    <w:rsid w:val="00AD1D20"/>
    <w:rsid w:val="00AD1D58"/>
    <w:rsid w:val="00AD1E7A"/>
    <w:rsid w:val="00AD1FA4"/>
    <w:rsid w:val="00AD1FC4"/>
    <w:rsid w:val="00AD202C"/>
    <w:rsid w:val="00AD2098"/>
    <w:rsid w:val="00AD20AD"/>
    <w:rsid w:val="00AD20BE"/>
    <w:rsid w:val="00AD20D2"/>
    <w:rsid w:val="00AD2102"/>
    <w:rsid w:val="00AD210C"/>
    <w:rsid w:val="00AD2147"/>
    <w:rsid w:val="00AD21AA"/>
    <w:rsid w:val="00AD227F"/>
    <w:rsid w:val="00AD2370"/>
    <w:rsid w:val="00AD2438"/>
    <w:rsid w:val="00AD2465"/>
    <w:rsid w:val="00AD2483"/>
    <w:rsid w:val="00AD261E"/>
    <w:rsid w:val="00AD275B"/>
    <w:rsid w:val="00AD283F"/>
    <w:rsid w:val="00AD288D"/>
    <w:rsid w:val="00AD28B2"/>
    <w:rsid w:val="00AD2A25"/>
    <w:rsid w:val="00AD2AC5"/>
    <w:rsid w:val="00AD2B28"/>
    <w:rsid w:val="00AD2D68"/>
    <w:rsid w:val="00AD2DEA"/>
    <w:rsid w:val="00AD2E26"/>
    <w:rsid w:val="00AD2FE9"/>
    <w:rsid w:val="00AD3001"/>
    <w:rsid w:val="00AD3002"/>
    <w:rsid w:val="00AD3055"/>
    <w:rsid w:val="00AD308B"/>
    <w:rsid w:val="00AD3239"/>
    <w:rsid w:val="00AD3246"/>
    <w:rsid w:val="00AD340E"/>
    <w:rsid w:val="00AD3456"/>
    <w:rsid w:val="00AD35F5"/>
    <w:rsid w:val="00AD360D"/>
    <w:rsid w:val="00AD3676"/>
    <w:rsid w:val="00AD36C5"/>
    <w:rsid w:val="00AD36F6"/>
    <w:rsid w:val="00AD3703"/>
    <w:rsid w:val="00AD37DE"/>
    <w:rsid w:val="00AD38DB"/>
    <w:rsid w:val="00AD3910"/>
    <w:rsid w:val="00AD39CD"/>
    <w:rsid w:val="00AD3A0F"/>
    <w:rsid w:val="00AD3BA9"/>
    <w:rsid w:val="00AD3C07"/>
    <w:rsid w:val="00AD3CC2"/>
    <w:rsid w:val="00AD3D0E"/>
    <w:rsid w:val="00AD3D52"/>
    <w:rsid w:val="00AD3EA4"/>
    <w:rsid w:val="00AD41DC"/>
    <w:rsid w:val="00AD420F"/>
    <w:rsid w:val="00AD4258"/>
    <w:rsid w:val="00AD429D"/>
    <w:rsid w:val="00AD4357"/>
    <w:rsid w:val="00AD464C"/>
    <w:rsid w:val="00AD4677"/>
    <w:rsid w:val="00AD47BE"/>
    <w:rsid w:val="00AD4818"/>
    <w:rsid w:val="00AD4823"/>
    <w:rsid w:val="00AD4824"/>
    <w:rsid w:val="00AD4871"/>
    <w:rsid w:val="00AD4884"/>
    <w:rsid w:val="00AD49DB"/>
    <w:rsid w:val="00AD4A15"/>
    <w:rsid w:val="00AD4A53"/>
    <w:rsid w:val="00AD4A5E"/>
    <w:rsid w:val="00AD4A94"/>
    <w:rsid w:val="00AD4AA3"/>
    <w:rsid w:val="00AD4B20"/>
    <w:rsid w:val="00AD4B21"/>
    <w:rsid w:val="00AD4B7D"/>
    <w:rsid w:val="00AD4B80"/>
    <w:rsid w:val="00AD4D15"/>
    <w:rsid w:val="00AD4D2B"/>
    <w:rsid w:val="00AD4DA7"/>
    <w:rsid w:val="00AD4E66"/>
    <w:rsid w:val="00AD4F7B"/>
    <w:rsid w:val="00AD5006"/>
    <w:rsid w:val="00AD50A7"/>
    <w:rsid w:val="00AD50EC"/>
    <w:rsid w:val="00AD515F"/>
    <w:rsid w:val="00AD51B5"/>
    <w:rsid w:val="00AD524C"/>
    <w:rsid w:val="00AD5469"/>
    <w:rsid w:val="00AD54DC"/>
    <w:rsid w:val="00AD5502"/>
    <w:rsid w:val="00AD5525"/>
    <w:rsid w:val="00AD5591"/>
    <w:rsid w:val="00AD57F8"/>
    <w:rsid w:val="00AD5850"/>
    <w:rsid w:val="00AD587D"/>
    <w:rsid w:val="00AD587E"/>
    <w:rsid w:val="00AD5884"/>
    <w:rsid w:val="00AD588D"/>
    <w:rsid w:val="00AD5937"/>
    <w:rsid w:val="00AD59E4"/>
    <w:rsid w:val="00AD5C22"/>
    <w:rsid w:val="00AD5C7B"/>
    <w:rsid w:val="00AD5CEA"/>
    <w:rsid w:val="00AD5CF5"/>
    <w:rsid w:val="00AD5D63"/>
    <w:rsid w:val="00AD5E07"/>
    <w:rsid w:val="00AD5EE7"/>
    <w:rsid w:val="00AD5F1B"/>
    <w:rsid w:val="00AD5F24"/>
    <w:rsid w:val="00AD5F74"/>
    <w:rsid w:val="00AD62FA"/>
    <w:rsid w:val="00AD63B4"/>
    <w:rsid w:val="00AD63FA"/>
    <w:rsid w:val="00AD6517"/>
    <w:rsid w:val="00AD66C4"/>
    <w:rsid w:val="00AD66D5"/>
    <w:rsid w:val="00AD66F0"/>
    <w:rsid w:val="00AD68E8"/>
    <w:rsid w:val="00AD6919"/>
    <w:rsid w:val="00AD6A02"/>
    <w:rsid w:val="00AD6A40"/>
    <w:rsid w:val="00AD6AAD"/>
    <w:rsid w:val="00AD6AC1"/>
    <w:rsid w:val="00AD6AD9"/>
    <w:rsid w:val="00AD6B53"/>
    <w:rsid w:val="00AD6C2A"/>
    <w:rsid w:val="00AD6CED"/>
    <w:rsid w:val="00AD6E38"/>
    <w:rsid w:val="00AD6F5A"/>
    <w:rsid w:val="00AD7007"/>
    <w:rsid w:val="00AD7069"/>
    <w:rsid w:val="00AD70AC"/>
    <w:rsid w:val="00AD712B"/>
    <w:rsid w:val="00AD71CD"/>
    <w:rsid w:val="00AD7253"/>
    <w:rsid w:val="00AD7329"/>
    <w:rsid w:val="00AD740F"/>
    <w:rsid w:val="00AD741E"/>
    <w:rsid w:val="00AD748A"/>
    <w:rsid w:val="00AD74E6"/>
    <w:rsid w:val="00AD7593"/>
    <w:rsid w:val="00AD75CA"/>
    <w:rsid w:val="00AD7786"/>
    <w:rsid w:val="00AD778E"/>
    <w:rsid w:val="00AD791F"/>
    <w:rsid w:val="00AD7997"/>
    <w:rsid w:val="00AD7B5D"/>
    <w:rsid w:val="00AD7C1F"/>
    <w:rsid w:val="00AD7C23"/>
    <w:rsid w:val="00AD7DC3"/>
    <w:rsid w:val="00AD7DC5"/>
    <w:rsid w:val="00AD7E1D"/>
    <w:rsid w:val="00AD7F36"/>
    <w:rsid w:val="00AE00D6"/>
    <w:rsid w:val="00AE01A6"/>
    <w:rsid w:val="00AE03A4"/>
    <w:rsid w:val="00AE03FE"/>
    <w:rsid w:val="00AE0472"/>
    <w:rsid w:val="00AE04C0"/>
    <w:rsid w:val="00AE0518"/>
    <w:rsid w:val="00AE0698"/>
    <w:rsid w:val="00AE07A9"/>
    <w:rsid w:val="00AE07F4"/>
    <w:rsid w:val="00AE0A3C"/>
    <w:rsid w:val="00AE0AA4"/>
    <w:rsid w:val="00AE0B25"/>
    <w:rsid w:val="00AE0B6E"/>
    <w:rsid w:val="00AE0B8A"/>
    <w:rsid w:val="00AE0BAB"/>
    <w:rsid w:val="00AE0BCD"/>
    <w:rsid w:val="00AE0BE0"/>
    <w:rsid w:val="00AE0D3E"/>
    <w:rsid w:val="00AE0DD2"/>
    <w:rsid w:val="00AE0E19"/>
    <w:rsid w:val="00AE0E41"/>
    <w:rsid w:val="00AE0E63"/>
    <w:rsid w:val="00AE0FA4"/>
    <w:rsid w:val="00AE0FAD"/>
    <w:rsid w:val="00AE1034"/>
    <w:rsid w:val="00AE1055"/>
    <w:rsid w:val="00AE11C4"/>
    <w:rsid w:val="00AE1376"/>
    <w:rsid w:val="00AE137F"/>
    <w:rsid w:val="00AE147C"/>
    <w:rsid w:val="00AE14D2"/>
    <w:rsid w:val="00AE14F9"/>
    <w:rsid w:val="00AE151E"/>
    <w:rsid w:val="00AE1595"/>
    <w:rsid w:val="00AE15D1"/>
    <w:rsid w:val="00AE178B"/>
    <w:rsid w:val="00AE17CA"/>
    <w:rsid w:val="00AE18A2"/>
    <w:rsid w:val="00AE18F5"/>
    <w:rsid w:val="00AE1927"/>
    <w:rsid w:val="00AE19E8"/>
    <w:rsid w:val="00AE19FA"/>
    <w:rsid w:val="00AE1A78"/>
    <w:rsid w:val="00AE1AE5"/>
    <w:rsid w:val="00AE1BC0"/>
    <w:rsid w:val="00AE1BD2"/>
    <w:rsid w:val="00AE1C54"/>
    <w:rsid w:val="00AE1D35"/>
    <w:rsid w:val="00AE1DB4"/>
    <w:rsid w:val="00AE1DDA"/>
    <w:rsid w:val="00AE1DFA"/>
    <w:rsid w:val="00AE1EF1"/>
    <w:rsid w:val="00AE2007"/>
    <w:rsid w:val="00AE2079"/>
    <w:rsid w:val="00AE20A5"/>
    <w:rsid w:val="00AE220B"/>
    <w:rsid w:val="00AE2215"/>
    <w:rsid w:val="00AE223F"/>
    <w:rsid w:val="00AE2292"/>
    <w:rsid w:val="00AE2375"/>
    <w:rsid w:val="00AE241D"/>
    <w:rsid w:val="00AE2537"/>
    <w:rsid w:val="00AE2594"/>
    <w:rsid w:val="00AE2676"/>
    <w:rsid w:val="00AE27A2"/>
    <w:rsid w:val="00AE28A0"/>
    <w:rsid w:val="00AE28C7"/>
    <w:rsid w:val="00AE2A46"/>
    <w:rsid w:val="00AE2AAD"/>
    <w:rsid w:val="00AE2AC7"/>
    <w:rsid w:val="00AE2AFD"/>
    <w:rsid w:val="00AE2B0D"/>
    <w:rsid w:val="00AE2B7A"/>
    <w:rsid w:val="00AE2CEC"/>
    <w:rsid w:val="00AE2D2F"/>
    <w:rsid w:val="00AE2EAE"/>
    <w:rsid w:val="00AE2EDA"/>
    <w:rsid w:val="00AE2EF5"/>
    <w:rsid w:val="00AE2F2F"/>
    <w:rsid w:val="00AE2FBE"/>
    <w:rsid w:val="00AE3037"/>
    <w:rsid w:val="00AE30A3"/>
    <w:rsid w:val="00AE30A5"/>
    <w:rsid w:val="00AE312F"/>
    <w:rsid w:val="00AE3163"/>
    <w:rsid w:val="00AE3164"/>
    <w:rsid w:val="00AE3296"/>
    <w:rsid w:val="00AE32A4"/>
    <w:rsid w:val="00AE32D9"/>
    <w:rsid w:val="00AE32F9"/>
    <w:rsid w:val="00AE335E"/>
    <w:rsid w:val="00AE3370"/>
    <w:rsid w:val="00AE3374"/>
    <w:rsid w:val="00AE33AF"/>
    <w:rsid w:val="00AE33B7"/>
    <w:rsid w:val="00AE34A3"/>
    <w:rsid w:val="00AE34C0"/>
    <w:rsid w:val="00AE34E5"/>
    <w:rsid w:val="00AE358D"/>
    <w:rsid w:val="00AE37E0"/>
    <w:rsid w:val="00AE38BF"/>
    <w:rsid w:val="00AE393E"/>
    <w:rsid w:val="00AE3ADC"/>
    <w:rsid w:val="00AE3B10"/>
    <w:rsid w:val="00AE3C1A"/>
    <w:rsid w:val="00AE3C64"/>
    <w:rsid w:val="00AE3C7A"/>
    <w:rsid w:val="00AE3D36"/>
    <w:rsid w:val="00AE3D73"/>
    <w:rsid w:val="00AE3D7D"/>
    <w:rsid w:val="00AE3DF9"/>
    <w:rsid w:val="00AE412E"/>
    <w:rsid w:val="00AE431B"/>
    <w:rsid w:val="00AE4356"/>
    <w:rsid w:val="00AE440A"/>
    <w:rsid w:val="00AE454D"/>
    <w:rsid w:val="00AE45A2"/>
    <w:rsid w:val="00AE46BF"/>
    <w:rsid w:val="00AE4781"/>
    <w:rsid w:val="00AE47BE"/>
    <w:rsid w:val="00AE4828"/>
    <w:rsid w:val="00AE48A6"/>
    <w:rsid w:val="00AE49D5"/>
    <w:rsid w:val="00AE4B02"/>
    <w:rsid w:val="00AE4B4F"/>
    <w:rsid w:val="00AE4C8B"/>
    <w:rsid w:val="00AE4D77"/>
    <w:rsid w:val="00AE4DA2"/>
    <w:rsid w:val="00AE4DA9"/>
    <w:rsid w:val="00AE4DD1"/>
    <w:rsid w:val="00AE4EE1"/>
    <w:rsid w:val="00AE4F37"/>
    <w:rsid w:val="00AE50EE"/>
    <w:rsid w:val="00AE51D4"/>
    <w:rsid w:val="00AE52AB"/>
    <w:rsid w:val="00AE52B6"/>
    <w:rsid w:val="00AE52CB"/>
    <w:rsid w:val="00AE52D4"/>
    <w:rsid w:val="00AE5301"/>
    <w:rsid w:val="00AE5367"/>
    <w:rsid w:val="00AE542D"/>
    <w:rsid w:val="00AE54A9"/>
    <w:rsid w:val="00AE5571"/>
    <w:rsid w:val="00AE55B0"/>
    <w:rsid w:val="00AE568D"/>
    <w:rsid w:val="00AE58F1"/>
    <w:rsid w:val="00AE5939"/>
    <w:rsid w:val="00AE59FD"/>
    <w:rsid w:val="00AE5A28"/>
    <w:rsid w:val="00AE5A66"/>
    <w:rsid w:val="00AE5A7B"/>
    <w:rsid w:val="00AE5AE8"/>
    <w:rsid w:val="00AE5BD6"/>
    <w:rsid w:val="00AE5BDF"/>
    <w:rsid w:val="00AE5C98"/>
    <w:rsid w:val="00AE5CAD"/>
    <w:rsid w:val="00AE5DF0"/>
    <w:rsid w:val="00AE5E5E"/>
    <w:rsid w:val="00AE5E97"/>
    <w:rsid w:val="00AE5F2E"/>
    <w:rsid w:val="00AE6040"/>
    <w:rsid w:val="00AE6177"/>
    <w:rsid w:val="00AE619D"/>
    <w:rsid w:val="00AE6300"/>
    <w:rsid w:val="00AE63CF"/>
    <w:rsid w:val="00AE63D0"/>
    <w:rsid w:val="00AE64E5"/>
    <w:rsid w:val="00AE6504"/>
    <w:rsid w:val="00AE6506"/>
    <w:rsid w:val="00AE6554"/>
    <w:rsid w:val="00AE65DB"/>
    <w:rsid w:val="00AE665E"/>
    <w:rsid w:val="00AE673C"/>
    <w:rsid w:val="00AE679A"/>
    <w:rsid w:val="00AE69E6"/>
    <w:rsid w:val="00AE6AAF"/>
    <w:rsid w:val="00AE6B06"/>
    <w:rsid w:val="00AE6B48"/>
    <w:rsid w:val="00AE6B5B"/>
    <w:rsid w:val="00AE6C5F"/>
    <w:rsid w:val="00AE6DCB"/>
    <w:rsid w:val="00AE6F09"/>
    <w:rsid w:val="00AE700B"/>
    <w:rsid w:val="00AE713F"/>
    <w:rsid w:val="00AE7175"/>
    <w:rsid w:val="00AE7207"/>
    <w:rsid w:val="00AE728A"/>
    <w:rsid w:val="00AE7322"/>
    <w:rsid w:val="00AE7552"/>
    <w:rsid w:val="00AE7577"/>
    <w:rsid w:val="00AE75B9"/>
    <w:rsid w:val="00AE77D2"/>
    <w:rsid w:val="00AE7819"/>
    <w:rsid w:val="00AE796A"/>
    <w:rsid w:val="00AE7A39"/>
    <w:rsid w:val="00AE7A9E"/>
    <w:rsid w:val="00AE7AA7"/>
    <w:rsid w:val="00AE7AF0"/>
    <w:rsid w:val="00AE7B67"/>
    <w:rsid w:val="00AE7BA7"/>
    <w:rsid w:val="00AE7BB5"/>
    <w:rsid w:val="00AE7C30"/>
    <w:rsid w:val="00AE7C67"/>
    <w:rsid w:val="00AE7CF0"/>
    <w:rsid w:val="00AE7CF5"/>
    <w:rsid w:val="00AE7D15"/>
    <w:rsid w:val="00AE7D1A"/>
    <w:rsid w:val="00AE7D7C"/>
    <w:rsid w:val="00AE7D97"/>
    <w:rsid w:val="00AE7EA2"/>
    <w:rsid w:val="00AE7EA3"/>
    <w:rsid w:val="00AE7EBC"/>
    <w:rsid w:val="00AE7F74"/>
    <w:rsid w:val="00AF00E0"/>
    <w:rsid w:val="00AF010B"/>
    <w:rsid w:val="00AF016E"/>
    <w:rsid w:val="00AF021D"/>
    <w:rsid w:val="00AF0254"/>
    <w:rsid w:val="00AF027E"/>
    <w:rsid w:val="00AF034D"/>
    <w:rsid w:val="00AF03A4"/>
    <w:rsid w:val="00AF03AE"/>
    <w:rsid w:val="00AF03CF"/>
    <w:rsid w:val="00AF0460"/>
    <w:rsid w:val="00AF0504"/>
    <w:rsid w:val="00AF0512"/>
    <w:rsid w:val="00AF069F"/>
    <w:rsid w:val="00AF06A5"/>
    <w:rsid w:val="00AF06BA"/>
    <w:rsid w:val="00AF0751"/>
    <w:rsid w:val="00AF0758"/>
    <w:rsid w:val="00AF078C"/>
    <w:rsid w:val="00AF07D7"/>
    <w:rsid w:val="00AF0819"/>
    <w:rsid w:val="00AF08B3"/>
    <w:rsid w:val="00AF092E"/>
    <w:rsid w:val="00AF098B"/>
    <w:rsid w:val="00AF09AA"/>
    <w:rsid w:val="00AF09DE"/>
    <w:rsid w:val="00AF0A0A"/>
    <w:rsid w:val="00AF0A0E"/>
    <w:rsid w:val="00AF0A41"/>
    <w:rsid w:val="00AF0AF0"/>
    <w:rsid w:val="00AF0B8C"/>
    <w:rsid w:val="00AF0BCA"/>
    <w:rsid w:val="00AF0C5A"/>
    <w:rsid w:val="00AF0C72"/>
    <w:rsid w:val="00AF0C9E"/>
    <w:rsid w:val="00AF0D45"/>
    <w:rsid w:val="00AF0E39"/>
    <w:rsid w:val="00AF0F02"/>
    <w:rsid w:val="00AF0F85"/>
    <w:rsid w:val="00AF0FC1"/>
    <w:rsid w:val="00AF0FE8"/>
    <w:rsid w:val="00AF101A"/>
    <w:rsid w:val="00AF1057"/>
    <w:rsid w:val="00AF1082"/>
    <w:rsid w:val="00AF1094"/>
    <w:rsid w:val="00AF10BA"/>
    <w:rsid w:val="00AF10D1"/>
    <w:rsid w:val="00AF10E2"/>
    <w:rsid w:val="00AF11BF"/>
    <w:rsid w:val="00AF11FF"/>
    <w:rsid w:val="00AF1356"/>
    <w:rsid w:val="00AF1437"/>
    <w:rsid w:val="00AF147F"/>
    <w:rsid w:val="00AF1480"/>
    <w:rsid w:val="00AF152B"/>
    <w:rsid w:val="00AF1667"/>
    <w:rsid w:val="00AF169F"/>
    <w:rsid w:val="00AF16B4"/>
    <w:rsid w:val="00AF16D4"/>
    <w:rsid w:val="00AF179B"/>
    <w:rsid w:val="00AF192B"/>
    <w:rsid w:val="00AF1A4A"/>
    <w:rsid w:val="00AF1AA3"/>
    <w:rsid w:val="00AF1B52"/>
    <w:rsid w:val="00AF1B69"/>
    <w:rsid w:val="00AF1BE5"/>
    <w:rsid w:val="00AF1C41"/>
    <w:rsid w:val="00AF1CC4"/>
    <w:rsid w:val="00AF1CF7"/>
    <w:rsid w:val="00AF1DC6"/>
    <w:rsid w:val="00AF1DC8"/>
    <w:rsid w:val="00AF1DFA"/>
    <w:rsid w:val="00AF1E01"/>
    <w:rsid w:val="00AF1E06"/>
    <w:rsid w:val="00AF1EB6"/>
    <w:rsid w:val="00AF1FFC"/>
    <w:rsid w:val="00AF20F8"/>
    <w:rsid w:val="00AF2191"/>
    <w:rsid w:val="00AF234A"/>
    <w:rsid w:val="00AF2350"/>
    <w:rsid w:val="00AF2351"/>
    <w:rsid w:val="00AF2367"/>
    <w:rsid w:val="00AF23F8"/>
    <w:rsid w:val="00AF2446"/>
    <w:rsid w:val="00AF27F6"/>
    <w:rsid w:val="00AF27FC"/>
    <w:rsid w:val="00AF2829"/>
    <w:rsid w:val="00AF2840"/>
    <w:rsid w:val="00AF292F"/>
    <w:rsid w:val="00AF29C8"/>
    <w:rsid w:val="00AF2A15"/>
    <w:rsid w:val="00AF2BD6"/>
    <w:rsid w:val="00AF2C26"/>
    <w:rsid w:val="00AF2C51"/>
    <w:rsid w:val="00AF2C77"/>
    <w:rsid w:val="00AF2D89"/>
    <w:rsid w:val="00AF2DAC"/>
    <w:rsid w:val="00AF2DFE"/>
    <w:rsid w:val="00AF2E42"/>
    <w:rsid w:val="00AF2E50"/>
    <w:rsid w:val="00AF2EF1"/>
    <w:rsid w:val="00AF2F27"/>
    <w:rsid w:val="00AF2FCC"/>
    <w:rsid w:val="00AF30D3"/>
    <w:rsid w:val="00AF315D"/>
    <w:rsid w:val="00AF31F5"/>
    <w:rsid w:val="00AF3378"/>
    <w:rsid w:val="00AF3385"/>
    <w:rsid w:val="00AF33FA"/>
    <w:rsid w:val="00AF3411"/>
    <w:rsid w:val="00AF3451"/>
    <w:rsid w:val="00AF34DD"/>
    <w:rsid w:val="00AF34EF"/>
    <w:rsid w:val="00AF355A"/>
    <w:rsid w:val="00AF35E6"/>
    <w:rsid w:val="00AF3676"/>
    <w:rsid w:val="00AF3711"/>
    <w:rsid w:val="00AF3822"/>
    <w:rsid w:val="00AF38BA"/>
    <w:rsid w:val="00AF390A"/>
    <w:rsid w:val="00AF3968"/>
    <w:rsid w:val="00AF3A00"/>
    <w:rsid w:val="00AF3A17"/>
    <w:rsid w:val="00AF3A62"/>
    <w:rsid w:val="00AF3AC8"/>
    <w:rsid w:val="00AF3BB5"/>
    <w:rsid w:val="00AF3D36"/>
    <w:rsid w:val="00AF3DDA"/>
    <w:rsid w:val="00AF3EF8"/>
    <w:rsid w:val="00AF3F3A"/>
    <w:rsid w:val="00AF405E"/>
    <w:rsid w:val="00AF409D"/>
    <w:rsid w:val="00AF40B7"/>
    <w:rsid w:val="00AF4118"/>
    <w:rsid w:val="00AF4289"/>
    <w:rsid w:val="00AF42C2"/>
    <w:rsid w:val="00AF4378"/>
    <w:rsid w:val="00AF444C"/>
    <w:rsid w:val="00AF45F9"/>
    <w:rsid w:val="00AF4692"/>
    <w:rsid w:val="00AF46F9"/>
    <w:rsid w:val="00AF4789"/>
    <w:rsid w:val="00AF478E"/>
    <w:rsid w:val="00AF47BF"/>
    <w:rsid w:val="00AF47E9"/>
    <w:rsid w:val="00AF47F8"/>
    <w:rsid w:val="00AF47F9"/>
    <w:rsid w:val="00AF487F"/>
    <w:rsid w:val="00AF4939"/>
    <w:rsid w:val="00AF496B"/>
    <w:rsid w:val="00AF4994"/>
    <w:rsid w:val="00AF4A0F"/>
    <w:rsid w:val="00AF4B91"/>
    <w:rsid w:val="00AF4BAF"/>
    <w:rsid w:val="00AF4C92"/>
    <w:rsid w:val="00AF4DCA"/>
    <w:rsid w:val="00AF4DED"/>
    <w:rsid w:val="00AF4E20"/>
    <w:rsid w:val="00AF4EA8"/>
    <w:rsid w:val="00AF4F8E"/>
    <w:rsid w:val="00AF5113"/>
    <w:rsid w:val="00AF523C"/>
    <w:rsid w:val="00AF52ED"/>
    <w:rsid w:val="00AF54F6"/>
    <w:rsid w:val="00AF5557"/>
    <w:rsid w:val="00AF561A"/>
    <w:rsid w:val="00AF5665"/>
    <w:rsid w:val="00AF5703"/>
    <w:rsid w:val="00AF5716"/>
    <w:rsid w:val="00AF5A12"/>
    <w:rsid w:val="00AF5A52"/>
    <w:rsid w:val="00AF5B03"/>
    <w:rsid w:val="00AF5C05"/>
    <w:rsid w:val="00AF5C7D"/>
    <w:rsid w:val="00AF5C9B"/>
    <w:rsid w:val="00AF5DB2"/>
    <w:rsid w:val="00AF5F2F"/>
    <w:rsid w:val="00AF5F5E"/>
    <w:rsid w:val="00AF5FB0"/>
    <w:rsid w:val="00AF5FFE"/>
    <w:rsid w:val="00AF604B"/>
    <w:rsid w:val="00AF60A3"/>
    <w:rsid w:val="00AF6214"/>
    <w:rsid w:val="00AF62DC"/>
    <w:rsid w:val="00AF634B"/>
    <w:rsid w:val="00AF642A"/>
    <w:rsid w:val="00AF6577"/>
    <w:rsid w:val="00AF659A"/>
    <w:rsid w:val="00AF65B0"/>
    <w:rsid w:val="00AF665A"/>
    <w:rsid w:val="00AF67C5"/>
    <w:rsid w:val="00AF67CC"/>
    <w:rsid w:val="00AF68B0"/>
    <w:rsid w:val="00AF68DA"/>
    <w:rsid w:val="00AF6918"/>
    <w:rsid w:val="00AF6A5F"/>
    <w:rsid w:val="00AF6C67"/>
    <w:rsid w:val="00AF6D20"/>
    <w:rsid w:val="00AF6E2B"/>
    <w:rsid w:val="00AF6EB5"/>
    <w:rsid w:val="00AF6F32"/>
    <w:rsid w:val="00AF6FB6"/>
    <w:rsid w:val="00AF6FD2"/>
    <w:rsid w:val="00AF7013"/>
    <w:rsid w:val="00AF7035"/>
    <w:rsid w:val="00AF705B"/>
    <w:rsid w:val="00AF707B"/>
    <w:rsid w:val="00AF719C"/>
    <w:rsid w:val="00AF71A0"/>
    <w:rsid w:val="00AF7293"/>
    <w:rsid w:val="00AF7338"/>
    <w:rsid w:val="00AF735B"/>
    <w:rsid w:val="00AF73E0"/>
    <w:rsid w:val="00AF7568"/>
    <w:rsid w:val="00AF75D1"/>
    <w:rsid w:val="00AF7622"/>
    <w:rsid w:val="00AF7635"/>
    <w:rsid w:val="00AF7679"/>
    <w:rsid w:val="00AF76BD"/>
    <w:rsid w:val="00AF76BF"/>
    <w:rsid w:val="00AF76EF"/>
    <w:rsid w:val="00AF7701"/>
    <w:rsid w:val="00AF77AC"/>
    <w:rsid w:val="00AF781D"/>
    <w:rsid w:val="00AF78FB"/>
    <w:rsid w:val="00AF7941"/>
    <w:rsid w:val="00AF7A69"/>
    <w:rsid w:val="00AF7E90"/>
    <w:rsid w:val="00B001A0"/>
    <w:rsid w:val="00B00209"/>
    <w:rsid w:val="00B0022C"/>
    <w:rsid w:val="00B002D3"/>
    <w:rsid w:val="00B00303"/>
    <w:rsid w:val="00B0031C"/>
    <w:rsid w:val="00B003C7"/>
    <w:rsid w:val="00B00478"/>
    <w:rsid w:val="00B00566"/>
    <w:rsid w:val="00B006F9"/>
    <w:rsid w:val="00B00728"/>
    <w:rsid w:val="00B0072E"/>
    <w:rsid w:val="00B00893"/>
    <w:rsid w:val="00B009EA"/>
    <w:rsid w:val="00B00B09"/>
    <w:rsid w:val="00B00C8B"/>
    <w:rsid w:val="00B00CAE"/>
    <w:rsid w:val="00B00CC2"/>
    <w:rsid w:val="00B00CD1"/>
    <w:rsid w:val="00B00D51"/>
    <w:rsid w:val="00B00DED"/>
    <w:rsid w:val="00B00E0F"/>
    <w:rsid w:val="00B00EC5"/>
    <w:rsid w:val="00B01068"/>
    <w:rsid w:val="00B010B2"/>
    <w:rsid w:val="00B010BC"/>
    <w:rsid w:val="00B01245"/>
    <w:rsid w:val="00B012FF"/>
    <w:rsid w:val="00B01383"/>
    <w:rsid w:val="00B01409"/>
    <w:rsid w:val="00B014AA"/>
    <w:rsid w:val="00B0158D"/>
    <w:rsid w:val="00B0159C"/>
    <w:rsid w:val="00B0169E"/>
    <w:rsid w:val="00B016C0"/>
    <w:rsid w:val="00B016D8"/>
    <w:rsid w:val="00B0171C"/>
    <w:rsid w:val="00B017AA"/>
    <w:rsid w:val="00B017FC"/>
    <w:rsid w:val="00B019A2"/>
    <w:rsid w:val="00B019AF"/>
    <w:rsid w:val="00B01B95"/>
    <w:rsid w:val="00B01C21"/>
    <w:rsid w:val="00B01C24"/>
    <w:rsid w:val="00B01CF0"/>
    <w:rsid w:val="00B01CFC"/>
    <w:rsid w:val="00B01D01"/>
    <w:rsid w:val="00B01DA2"/>
    <w:rsid w:val="00B01DA6"/>
    <w:rsid w:val="00B01DEF"/>
    <w:rsid w:val="00B01E5F"/>
    <w:rsid w:val="00B01EC1"/>
    <w:rsid w:val="00B0208F"/>
    <w:rsid w:val="00B022B2"/>
    <w:rsid w:val="00B022CD"/>
    <w:rsid w:val="00B022D2"/>
    <w:rsid w:val="00B0238D"/>
    <w:rsid w:val="00B023B4"/>
    <w:rsid w:val="00B02428"/>
    <w:rsid w:val="00B02788"/>
    <w:rsid w:val="00B027A9"/>
    <w:rsid w:val="00B027DA"/>
    <w:rsid w:val="00B027F4"/>
    <w:rsid w:val="00B0296F"/>
    <w:rsid w:val="00B0298C"/>
    <w:rsid w:val="00B02A68"/>
    <w:rsid w:val="00B02B07"/>
    <w:rsid w:val="00B02BDD"/>
    <w:rsid w:val="00B02C65"/>
    <w:rsid w:val="00B02CCE"/>
    <w:rsid w:val="00B02D66"/>
    <w:rsid w:val="00B02E66"/>
    <w:rsid w:val="00B0302B"/>
    <w:rsid w:val="00B03035"/>
    <w:rsid w:val="00B0308E"/>
    <w:rsid w:val="00B030C2"/>
    <w:rsid w:val="00B030E3"/>
    <w:rsid w:val="00B0314C"/>
    <w:rsid w:val="00B03179"/>
    <w:rsid w:val="00B03196"/>
    <w:rsid w:val="00B031F9"/>
    <w:rsid w:val="00B032B8"/>
    <w:rsid w:val="00B03368"/>
    <w:rsid w:val="00B033C3"/>
    <w:rsid w:val="00B03439"/>
    <w:rsid w:val="00B03769"/>
    <w:rsid w:val="00B03806"/>
    <w:rsid w:val="00B0382E"/>
    <w:rsid w:val="00B038A9"/>
    <w:rsid w:val="00B038D2"/>
    <w:rsid w:val="00B0391D"/>
    <w:rsid w:val="00B03940"/>
    <w:rsid w:val="00B03A0F"/>
    <w:rsid w:val="00B03B93"/>
    <w:rsid w:val="00B03C0C"/>
    <w:rsid w:val="00B03D96"/>
    <w:rsid w:val="00B03DEC"/>
    <w:rsid w:val="00B03E89"/>
    <w:rsid w:val="00B03EC2"/>
    <w:rsid w:val="00B03EDA"/>
    <w:rsid w:val="00B03FF1"/>
    <w:rsid w:val="00B0414E"/>
    <w:rsid w:val="00B04216"/>
    <w:rsid w:val="00B04279"/>
    <w:rsid w:val="00B042F4"/>
    <w:rsid w:val="00B043C1"/>
    <w:rsid w:val="00B045BC"/>
    <w:rsid w:val="00B04641"/>
    <w:rsid w:val="00B046B9"/>
    <w:rsid w:val="00B046F3"/>
    <w:rsid w:val="00B04751"/>
    <w:rsid w:val="00B04757"/>
    <w:rsid w:val="00B04766"/>
    <w:rsid w:val="00B04887"/>
    <w:rsid w:val="00B04898"/>
    <w:rsid w:val="00B048B3"/>
    <w:rsid w:val="00B048C4"/>
    <w:rsid w:val="00B04919"/>
    <w:rsid w:val="00B04ABB"/>
    <w:rsid w:val="00B04AE2"/>
    <w:rsid w:val="00B04C29"/>
    <w:rsid w:val="00B04C52"/>
    <w:rsid w:val="00B04CA2"/>
    <w:rsid w:val="00B04DDB"/>
    <w:rsid w:val="00B04F0F"/>
    <w:rsid w:val="00B04F28"/>
    <w:rsid w:val="00B050EC"/>
    <w:rsid w:val="00B0510C"/>
    <w:rsid w:val="00B051BF"/>
    <w:rsid w:val="00B052C2"/>
    <w:rsid w:val="00B05313"/>
    <w:rsid w:val="00B05324"/>
    <w:rsid w:val="00B053EC"/>
    <w:rsid w:val="00B0554C"/>
    <w:rsid w:val="00B0568D"/>
    <w:rsid w:val="00B057FC"/>
    <w:rsid w:val="00B05802"/>
    <w:rsid w:val="00B05862"/>
    <w:rsid w:val="00B058B5"/>
    <w:rsid w:val="00B058C9"/>
    <w:rsid w:val="00B05921"/>
    <w:rsid w:val="00B05996"/>
    <w:rsid w:val="00B059BF"/>
    <w:rsid w:val="00B059FE"/>
    <w:rsid w:val="00B05A2E"/>
    <w:rsid w:val="00B05B09"/>
    <w:rsid w:val="00B05B90"/>
    <w:rsid w:val="00B05BDE"/>
    <w:rsid w:val="00B05C56"/>
    <w:rsid w:val="00B05CBA"/>
    <w:rsid w:val="00B05CE7"/>
    <w:rsid w:val="00B05E2E"/>
    <w:rsid w:val="00B05EA1"/>
    <w:rsid w:val="00B05F20"/>
    <w:rsid w:val="00B05F2A"/>
    <w:rsid w:val="00B05F36"/>
    <w:rsid w:val="00B05F5C"/>
    <w:rsid w:val="00B06010"/>
    <w:rsid w:val="00B0605D"/>
    <w:rsid w:val="00B06104"/>
    <w:rsid w:val="00B06105"/>
    <w:rsid w:val="00B0613F"/>
    <w:rsid w:val="00B0622A"/>
    <w:rsid w:val="00B062D4"/>
    <w:rsid w:val="00B062F9"/>
    <w:rsid w:val="00B06350"/>
    <w:rsid w:val="00B06365"/>
    <w:rsid w:val="00B063E8"/>
    <w:rsid w:val="00B0644A"/>
    <w:rsid w:val="00B064AE"/>
    <w:rsid w:val="00B064C5"/>
    <w:rsid w:val="00B064DC"/>
    <w:rsid w:val="00B064E5"/>
    <w:rsid w:val="00B06540"/>
    <w:rsid w:val="00B0654D"/>
    <w:rsid w:val="00B0656D"/>
    <w:rsid w:val="00B06573"/>
    <w:rsid w:val="00B06608"/>
    <w:rsid w:val="00B0660D"/>
    <w:rsid w:val="00B066B6"/>
    <w:rsid w:val="00B066DB"/>
    <w:rsid w:val="00B0670B"/>
    <w:rsid w:val="00B067B0"/>
    <w:rsid w:val="00B068DA"/>
    <w:rsid w:val="00B06948"/>
    <w:rsid w:val="00B06A22"/>
    <w:rsid w:val="00B06A2C"/>
    <w:rsid w:val="00B06A69"/>
    <w:rsid w:val="00B06B43"/>
    <w:rsid w:val="00B06B85"/>
    <w:rsid w:val="00B06BCE"/>
    <w:rsid w:val="00B06C2A"/>
    <w:rsid w:val="00B06D4E"/>
    <w:rsid w:val="00B06D64"/>
    <w:rsid w:val="00B06E28"/>
    <w:rsid w:val="00B06E3A"/>
    <w:rsid w:val="00B06EA2"/>
    <w:rsid w:val="00B06F30"/>
    <w:rsid w:val="00B06F60"/>
    <w:rsid w:val="00B06F6B"/>
    <w:rsid w:val="00B06F78"/>
    <w:rsid w:val="00B06FCB"/>
    <w:rsid w:val="00B0701F"/>
    <w:rsid w:val="00B07118"/>
    <w:rsid w:val="00B0713E"/>
    <w:rsid w:val="00B07156"/>
    <w:rsid w:val="00B071B9"/>
    <w:rsid w:val="00B07256"/>
    <w:rsid w:val="00B072AB"/>
    <w:rsid w:val="00B07379"/>
    <w:rsid w:val="00B073DE"/>
    <w:rsid w:val="00B0743A"/>
    <w:rsid w:val="00B07468"/>
    <w:rsid w:val="00B074C8"/>
    <w:rsid w:val="00B07500"/>
    <w:rsid w:val="00B07525"/>
    <w:rsid w:val="00B0762F"/>
    <w:rsid w:val="00B076F6"/>
    <w:rsid w:val="00B0771A"/>
    <w:rsid w:val="00B0772D"/>
    <w:rsid w:val="00B07806"/>
    <w:rsid w:val="00B0781D"/>
    <w:rsid w:val="00B07881"/>
    <w:rsid w:val="00B078C1"/>
    <w:rsid w:val="00B0797D"/>
    <w:rsid w:val="00B079B4"/>
    <w:rsid w:val="00B07A9B"/>
    <w:rsid w:val="00B07AE9"/>
    <w:rsid w:val="00B07B88"/>
    <w:rsid w:val="00B07BEB"/>
    <w:rsid w:val="00B07C3D"/>
    <w:rsid w:val="00B07C6A"/>
    <w:rsid w:val="00B07DA3"/>
    <w:rsid w:val="00B07DE0"/>
    <w:rsid w:val="00B07DEB"/>
    <w:rsid w:val="00B07E10"/>
    <w:rsid w:val="00B07E23"/>
    <w:rsid w:val="00B07EA5"/>
    <w:rsid w:val="00B07EFA"/>
    <w:rsid w:val="00B07FD9"/>
    <w:rsid w:val="00B1004E"/>
    <w:rsid w:val="00B1008E"/>
    <w:rsid w:val="00B1009C"/>
    <w:rsid w:val="00B100B4"/>
    <w:rsid w:val="00B100CC"/>
    <w:rsid w:val="00B100ED"/>
    <w:rsid w:val="00B102B6"/>
    <w:rsid w:val="00B102CC"/>
    <w:rsid w:val="00B10338"/>
    <w:rsid w:val="00B1041C"/>
    <w:rsid w:val="00B10682"/>
    <w:rsid w:val="00B10822"/>
    <w:rsid w:val="00B10850"/>
    <w:rsid w:val="00B1088A"/>
    <w:rsid w:val="00B108ED"/>
    <w:rsid w:val="00B108FD"/>
    <w:rsid w:val="00B109FB"/>
    <w:rsid w:val="00B10A2C"/>
    <w:rsid w:val="00B10A3D"/>
    <w:rsid w:val="00B10A6F"/>
    <w:rsid w:val="00B10B36"/>
    <w:rsid w:val="00B10B5F"/>
    <w:rsid w:val="00B10B96"/>
    <w:rsid w:val="00B10BD3"/>
    <w:rsid w:val="00B10C26"/>
    <w:rsid w:val="00B10C6B"/>
    <w:rsid w:val="00B10C91"/>
    <w:rsid w:val="00B10E56"/>
    <w:rsid w:val="00B10EE4"/>
    <w:rsid w:val="00B10EFA"/>
    <w:rsid w:val="00B10F08"/>
    <w:rsid w:val="00B10F79"/>
    <w:rsid w:val="00B10F87"/>
    <w:rsid w:val="00B10FE9"/>
    <w:rsid w:val="00B111D9"/>
    <w:rsid w:val="00B111DA"/>
    <w:rsid w:val="00B11313"/>
    <w:rsid w:val="00B11332"/>
    <w:rsid w:val="00B113A6"/>
    <w:rsid w:val="00B115A6"/>
    <w:rsid w:val="00B11737"/>
    <w:rsid w:val="00B117D3"/>
    <w:rsid w:val="00B117DB"/>
    <w:rsid w:val="00B118BB"/>
    <w:rsid w:val="00B118E5"/>
    <w:rsid w:val="00B1191E"/>
    <w:rsid w:val="00B119CE"/>
    <w:rsid w:val="00B11AA1"/>
    <w:rsid w:val="00B11C5B"/>
    <w:rsid w:val="00B11CC6"/>
    <w:rsid w:val="00B11D29"/>
    <w:rsid w:val="00B11DA5"/>
    <w:rsid w:val="00B11EFB"/>
    <w:rsid w:val="00B11F42"/>
    <w:rsid w:val="00B11F47"/>
    <w:rsid w:val="00B11F4C"/>
    <w:rsid w:val="00B12077"/>
    <w:rsid w:val="00B120CF"/>
    <w:rsid w:val="00B121F4"/>
    <w:rsid w:val="00B1230B"/>
    <w:rsid w:val="00B124E6"/>
    <w:rsid w:val="00B1250E"/>
    <w:rsid w:val="00B125B5"/>
    <w:rsid w:val="00B12630"/>
    <w:rsid w:val="00B12742"/>
    <w:rsid w:val="00B12756"/>
    <w:rsid w:val="00B127D7"/>
    <w:rsid w:val="00B12808"/>
    <w:rsid w:val="00B12865"/>
    <w:rsid w:val="00B128B0"/>
    <w:rsid w:val="00B12A34"/>
    <w:rsid w:val="00B12A6F"/>
    <w:rsid w:val="00B12B90"/>
    <w:rsid w:val="00B12C0D"/>
    <w:rsid w:val="00B12CA8"/>
    <w:rsid w:val="00B12D98"/>
    <w:rsid w:val="00B12E13"/>
    <w:rsid w:val="00B12EB4"/>
    <w:rsid w:val="00B12EB9"/>
    <w:rsid w:val="00B13024"/>
    <w:rsid w:val="00B13234"/>
    <w:rsid w:val="00B13244"/>
    <w:rsid w:val="00B1326B"/>
    <w:rsid w:val="00B13292"/>
    <w:rsid w:val="00B13326"/>
    <w:rsid w:val="00B13425"/>
    <w:rsid w:val="00B134F9"/>
    <w:rsid w:val="00B13541"/>
    <w:rsid w:val="00B135EB"/>
    <w:rsid w:val="00B1364C"/>
    <w:rsid w:val="00B136C9"/>
    <w:rsid w:val="00B13732"/>
    <w:rsid w:val="00B1381C"/>
    <w:rsid w:val="00B13B5D"/>
    <w:rsid w:val="00B13C2B"/>
    <w:rsid w:val="00B13C42"/>
    <w:rsid w:val="00B13E07"/>
    <w:rsid w:val="00B13E6A"/>
    <w:rsid w:val="00B14012"/>
    <w:rsid w:val="00B140B1"/>
    <w:rsid w:val="00B140E0"/>
    <w:rsid w:val="00B14297"/>
    <w:rsid w:val="00B143E8"/>
    <w:rsid w:val="00B14473"/>
    <w:rsid w:val="00B14496"/>
    <w:rsid w:val="00B144BB"/>
    <w:rsid w:val="00B14624"/>
    <w:rsid w:val="00B146D4"/>
    <w:rsid w:val="00B146DB"/>
    <w:rsid w:val="00B147D0"/>
    <w:rsid w:val="00B14943"/>
    <w:rsid w:val="00B14B09"/>
    <w:rsid w:val="00B14B42"/>
    <w:rsid w:val="00B14CFB"/>
    <w:rsid w:val="00B14DE5"/>
    <w:rsid w:val="00B14DF9"/>
    <w:rsid w:val="00B14E43"/>
    <w:rsid w:val="00B14E7A"/>
    <w:rsid w:val="00B14EA2"/>
    <w:rsid w:val="00B14EA9"/>
    <w:rsid w:val="00B14F24"/>
    <w:rsid w:val="00B14F69"/>
    <w:rsid w:val="00B14F77"/>
    <w:rsid w:val="00B14FBC"/>
    <w:rsid w:val="00B15126"/>
    <w:rsid w:val="00B151AF"/>
    <w:rsid w:val="00B153F6"/>
    <w:rsid w:val="00B1558C"/>
    <w:rsid w:val="00B1565B"/>
    <w:rsid w:val="00B1584B"/>
    <w:rsid w:val="00B15881"/>
    <w:rsid w:val="00B15902"/>
    <w:rsid w:val="00B15968"/>
    <w:rsid w:val="00B159B5"/>
    <w:rsid w:val="00B15A44"/>
    <w:rsid w:val="00B15A92"/>
    <w:rsid w:val="00B15A99"/>
    <w:rsid w:val="00B15AF4"/>
    <w:rsid w:val="00B15B37"/>
    <w:rsid w:val="00B15B3F"/>
    <w:rsid w:val="00B15B46"/>
    <w:rsid w:val="00B15CFD"/>
    <w:rsid w:val="00B15DC1"/>
    <w:rsid w:val="00B15E4C"/>
    <w:rsid w:val="00B16032"/>
    <w:rsid w:val="00B16041"/>
    <w:rsid w:val="00B16065"/>
    <w:rsid w:val="00B160B2"/>
    <w:rsid w:val="00B160FE"/>
    <w:rsid w:val="00B160FF"/>
    <w:rsid w:val="00B16108"/>
    <w:rsid w:val="00B16126"/>
    <w:rsid w:val="00B16134"/>
    <w:rsid w:val="00B1617B"/>
    <w:rsid w:val="00B16181"/>
    <w:rsid w:val="00B1624F"/>
    <w:rsid w:val="00B162C7"/>
    <w:rsid w:val="00B164A1"/>
    <w:rsid w:val="00B1651C"/>
    <w:rsid w:val="00B16522"/>
    <w:rsid w:val="00B1661A"/>
    <w:rsid w:val="00B16681"/>
    <w:rsid w:val="00B1677F"/>
    <w:rsid w:val="00B168A0"/>
    <w:rsid w:val="00B1691F"/>
    <w:rsid w:val="00B16926"/>
    <w:rsid w:val="00B169A9"/>
    <w:rsid w:val="00B16C05"/>
    <w:rsid w:val="00B16C10"/>
    <w:rsid w:val="00B16C8C"/>
    <w:rsid w:val="00B16C91"/>
    <w:rsid w:val="00B16CE3"/>
    <w:rsid w:val="00B16D94"/>
    <w:rsid w:val="00B16E69"/>
    <w:rsid w:val="00B16E92"/>
    <w:rsid w:val="00B16ECE"/>
    <w:rsid w:val="00B16EF0"/>
    <w:rsid w:val="00B16F0B"/>
    <w:rsid w:val="00B1706C"/>
    <w:rsid w:val="00B171A7"/>
    <w:rsid w:val="00B171B0"/>
    <w:rsid w:val="00B171F6"/>
    <w:rsid w:val="00B1734B"/>
    <w:rsid w:val="00B17361"/>
    <w:rsid w:val="00B176AA"/>
    <w:rsid w:val="00B177EA"/>
    <w:rsid w:val="00B17901"/>
    <w:rsid w:val="00B17B3A"/>
    <w:rsid w:val="00B17DFD"/>
    <w:rsid w:val="00B17E0A"/>
    <w:rsid w:val="00B17E9F"/>
    <w:rsid w:val="00B17ECB"/>
    <w:rsid w:val="00B17FC4"/>
    <w:rsid w:val="00B17FFD"/>
    <w:rsid w:val="00B2001E"/>
    <w:rsid w:val="00B201D3"/>
    <w:rsid w:val="00B201DC"/>
    <w:rsid w:val="00B2021E"/>
    <w:rsid w:val="00B2024F"/>
    <w:rsid w:val="00B20255"/>
    <w:rsid w:val="00B20279"/>
    <w:rsid w:val="00B20396"/>
    <w:rsid w:val="00B204E2"/>
    <w:rsid w:val="00B2050B"/>
    <w:rsid w:val="00B20588"/>
    <w:rsid w:val="00B20598"/>
    <w:rsid w:val="00B205E2"/>
    <w:rsid w:val="00B20622"/>
    <w:rsid w:val="00B2079D"/>
    <w:rsid w:val="00B20808"/>
    <w:rsid w:val="00B208BF"/>
    <w:rsid w:val="00B20973"/>
    <w:rsid w:val="00B209D5"/>
    <w:rsid w:val="00B20A20"/>
    <w:rsid w:val="00B20A63"/>
    <w:rsid w:val="00B20A6E"/>
    <w:rsid w:val="00B20AED"/>
    <w:rsid w:val="00B20B18"/>
    <w:rsid w:val="00B20B79"/>
    <w:rsid w:val="00B20B92"/>
    <w:rsid w:val="00B20BF8"/>
    <w:rsid w:val="00B20C89"/>
    <w:rsid w:val="00B20DF2"/>
    <w:rsid w:val="00B20F37"/>
    <w:rsid w:val="00B20F57"/>
    <w:rsid w:val="00B21061"/>
    <w:rsid w:val="00B211C3"/>
    <w:rsid w:val="00B211DC"/>
    <w:rsid w:val="00B21272"/>
    <w:rsid w:val="00B21388"/>
    <w:rsid w:val="00B214C0"/>
    <w:rsid w:val="00B215B6"/>
    <w:rsid w:val="00B21604"/>
    <w:rsid w:val="00B217E0"/>
    <w:rsid w:val="00B2181F"/>
    <w:rsid w:val="00B21870"/>
    <w:rsid w:val="00B218B0"/>
    <w:rsid w:val="00B218D1"/>
    <w:rsid w:val="00B219E6"/>
    <w:rsid w:val="00B21AC7"/>
    <w:rsid w:val="00B21B1C"/>
    <w:rsid w:val="00B21B83"/>
    <w:rsid w:val="00B21BF4"/>
    <w:rsid w:val="00B21E4C"/>
    <w:rsid w:val="00B21F03"/>
    <w:rsid w:val="00B21F05"/>
    <w:rsid w:val="00B21F1F"/>
    <w:rsid w:val="00B2206A"/>
    <w:rsid w:val="00B22124"/>
    <w:rsid w:val="00B221AB"/>
    <w:rsid w:val="00B22298"/>
    <w:rsid w:val="00B222D6"/>
    <w:rsid w:val="00B222D8"/>
    <w:rsid w:val="00B2235D"/>
    <w:rsid w:val="00B223EB"/>
    <w:rsid w:val="00B224C9"/>
    <w:rsid w:val="00B224FD"/>
    <w:rsid w:val="00B225E6"/>
    <w:rsid w:val="00B2267D"/>
    <w:rsid w:val="00B22691"/>
    <w:rsid w:val="00B226AD"/>
    <w:rsid w:val="00B226E7"/>
    <w:rsid w:val="00B22966"/>
    <w:rsid w:val="00B229BF"/>
    <w:rsid w:val="00B22A19"/>
    <w:rsid w:val="00B22A86"/>
    <w:rsid w:val="00B22B35"/>
    <w:rsid w:val="00B22B7C"/>
    <w:rsid w:val="00B22BA4"/>
    <w:rsid w:val="00B22C1C"/>
    <w:rsid w:val="00B22CA7"/>
    <w:rsid w:val="00B22D36"/>
    <w:rsid w:val="00B22DDF"/>
    <w:rsid w:val="00B22F64"/>
    <w:rsid w:val="00B22FCF"/>
    <w:rsid w:val="00B22FFE"/>
    <w:rsid w:val="00B23038"/>
    <w:rsid w:val="00B230C6"/>
    <w:rsid w:val="00B2317B"/>
    <w:rsid w:val="00B23183"/>
    <w:rsid w:val="00B23362"/>
    <w:rsid w:val="00B2345B"/>
    <w:rsid w:val="00B2347A"/>
    <w:rsid w:val="00B2349E"/>
    <w:rsid w:val="00B23504"/>
    <w:rsid w:val="00B2361B"/>
    <w:rsid w:val="00B238B8"/>
    <w:rsid w:val="00B238D6"/>
    <w:rsid w:val="00B23906"/>
    <w:rsid w:val="00B2397E"/>
    <w:rsid w:val="00B23A0A"/>
    <w:rsid w:val="00B23A6C"/>
    <w:rsid w:val="00B23A71"/>
    <w:rsid w:val="00B23A82"/>
    <w:rsid w:val="00B23AE4"/>
    <w:rsid w:val="00B23B20"/>
    <w:rsid w:val="00B23E96"/>
    <w:rsid w:val="00B23EB6"/>
    <w:rsid w:val="00B23ECF"/>
    <w:rsid w:val="00B23EDE"/>
    <w:rsid w:val="00B23F33"/>
    <w:rsid w:val="00B23F6D"/>
    <w:rsid w:val="00B2408E"/>
    <w:rsid w:val="00B241E5"/>
    <w:rsid w:val="00B242CF"/>
    <w:rsid w:val="00B2432F"/>
    <w:rsid w:val="00B24454"/>
    <w:rsid w:val="00B244B9"/>
    <w:rsid w:val="00B2451D"/>
    <w:rsid w:val="00B2474A"/>
    <w:rsid w:val="00B24823"/>
    <w:rsid w:val="00B24956"/>
    <w:rsid w:val="00B249B9"/>
    <w:rsid w:val="00B249ED"/>
    <w:rsid w:val="00B24A43"/>
    <w:rsid w:val="00B24AE1"/>
    <w:rsid w:val="00B24B0A"/>
    <w:rsid w:val="00B24C7F"/>
    <w:rsid w:val="00B24D8A"/>
    <w:rsid w:val="00B24D91"/>
    <w:rsid w:val="00B24DF8"/>
    <w:rsid w:val="00B24EC4"/>
    <w:rsid w:val="00B24EE2"/>
    <w:rsid w:val="00B24F3E"/>
    <w:rsid w:val="00B24F90"/>
    <w:rsid w:val="00B25055"/>
    <w:rsid w:val="00B25116"/>
    <w:rsid w:val="00B25153"/>
    <w:rsid w:val="00B25300"/>
    <w:rsid w:val="00B2538B"/>
    <w:rsid w:val="00B254E2"/>
    <w:rsid w:val="00B254EC"/>
    <w:rsid w:val="00B2558D"/>
    <w:rsid w:val="00B2565A"/>
    <w:rsid w:val="00B25734"/>
    <w:rsid w:val="00B257A0"/>
    <w:rsid w:val="00B257DA"/>
    <w:rsid w:val="00B257FA"/>
    <w:rsid w:val="00B25977"/>
    <w:rsid w:val="00B2598F"/>
    <w:rsid w:val="00B25A96"/>
    <w:rsid w:val="00B25ABC"/>
    <w:rsid w:val="00B25B77"/>
    <w:rsid w:val="00B25BDE"/>
    <w:rsid w:val="00B25C8F"/>
    <w:rsid w:val="00B25DB9"/>
    <w:rsid w:val="00B25EFD"/>
    <w:rsid w:val="00B2603E"/>
    <w:rsid w:val="00B2609D"/>
    <w:rsid w:val="00B260D3"/>
    <w:rsid w:val="00B2624C"/>
    <w:rsid w:val="00B262AB"/>
    <w:rsid w:val="00B263C8"/>
    <w:rsid w:val="00B264CA"/>
    <w:rsid w:val="00B26504"/>
    <w:rsid w:val="00B26536"/>
    <w:rsid w:val="00B2661D"/>
    <w:rsid w:val="00B266DF"/>
    <w:rsid w:val="00B26708"/>
    <w:rsid w:val="00B2671C"/>
    <w:rsid w:val="00B2680E"/>
    <w:rsid w:val="00B26850"/>
    <w:rsid w:val="00B26A2C"/>
    <w:rsid w:val="00B26A51"/>
    <w:rsid w:val="00B26A7A"/>
    <w:rsid w:val="00B26A9A"/>
    <w:rsid w:val="00B26AE5"/>
    <w:rsid w:val="00B26B0E"/>
    <w:rsid w:val="00B26B73"/>
    <w:rsid w:val="00B26C1D"/>
    <w:rsid w:val="00B26CA9"/>
    <w:rsid w:val="00B26CB9"/>
    <w:rsid w:val="00B26CBF"/>
    <w:rsid w:val="00B26DA8"/>
    <w:rsid w:val="00B26DCD"/>
    <w:rsid w:val="00B26E5E"/>
    <w:rsid w:val="00B26FAB"/>
    <w:rsid w:val="00B270B5"/>
    <w:rsid w:val="00B2717A"/>
    <w:rsid w:val="00B2731F"/>
    <w:rsid w:val="00B27419"/>
    <w:rsid w:val="00B2745F"/>
    <w:rsid w:val="00B27493"/>
    <w:rsid w:val="00B276DB"/>
    <w:rsid w:val="00B27705"/>
    <w:rsid w:val="00B27751"/>
    <w:rsid w:val="00B27893"/>
    <w:rsid w:val="00B278AC"/>
    <w:rsid w:val="00B278F6"/>
    <w:rsid w:val="00B279A2"/>
    <w:rsid w:val="00B27B9C"/>
    <w:rsid w:val="00B27BD9"/>
    <w:rsid w:val="00B27C80"/>
    <w:rsid w:val="00B27D08"/>
    <w:rsid w:val="00B27D54"/>
    <w:rsid w:val="00B27E6E"/>
    <w:rsid w:val="00B27EF9"/>
    <w:rsid w:val="00B27FC2"/>
    <w:rsid w:val="00B27FED"/>
    <w:rsid w:val="00B30034"/>
    <w:rsid w:val="00B30060"/>
    <w:rsid w:val="00B300D1"/>
    <w:rsid w:val="00B30112"/>
    <w:rsid w:val="00B30141"/>
    <w:rsid w:val="00B30246"/>
    <w:rsid w:val="00B30251"/>
    <w:rsid w:val="00B3026C"/>
    <w:rsid w:val="00B30270"/>
    <w:rsid w:val="00B3046A"/>
    <w:rsid w:val="00B30486"/>
    <w:rsid w:val="00B30525"/>
    <w:rsid w:val="00B305AC"/>
    <w:rsid w:val="00B305F6"/>
    <w:rsid w:val="00B30603"/>
    <w:rsid w:val="00B3068D"/>
    <w:rsid w:val="00B3071F"/>
    <w:rsid w:val="00B30721"/>
    <w:rsid w:val="00B308C7"/>
    <w:rsid w:val="00B308E2"/>
    <w:rsid w:val="00B309A4"/>
    <w:rsid w:val="00B309C5"/>
    <w:rsid w:val="00B30AD2"/>
    <w:rsid w:val="00B30B47"/>
    <w:rsid w:val="00B30B67"/>
    <w:rsid w:val="00B30DA5"/>
    <w:rsid w:val="00B30ED8"/>
    <w:rsid w:val="00B30EF2"/>
    <w:rsid w:val="00B30F54"/>
    <w:rsid w:val="00B3104C"/>
    <w:rsid w:val="00B31138"/>
    <w:rsid w:val="00B31254"/>
    <w:rsid w:val="00B3128B"/>
    <w:rsid w:val="00B312F2"/>
    <w:rsid w:val="00B313E9"/>
    <w:rsid w:val="00B314C7"/>
    <w:rsid w:val="00B3165C"/>
    <w:rsid w:val="00B3165D"/>
    <w:rsid w:val="00B31703"/>
    <w:rsid w:val="00B3180A"/>
    <w:rsid w:val="00B318B4"/>
    <w:rsid w:val="00B318D0"/>
    <w:rsid w:val="00B318FC"/>
    <w:rsid w:val="00B319A2"/>
    <w:rsid w:val="00B319FC"/>
    <w:rsid w:val="00B31A6C"/>
    <w:rsid w:val="00B31B4A"/>
    <w:rsid w:val="00B31B59"/>
    <w:rsid w:val="00B31BEF"/>
    <w:rsid w:val="00B31CD6"/>
    <w:rsid w:val="00B31DDD"/>
    <w:rsid w:val="00B31F3F"/>
    <w:rsid w:val="00B31F46"/>
    <w:rsid w:val="00B31FC5"/>
    <w:rsid w:val="00B31FCB"/>
    <w:rsid w:val="00B3205F"/>
    <w:rsid w:val="00B3212D"/>
    <w:rsid w:val="00B32189"/>
    <w:rsid w:val="00B321B9"/>
    <w:rsid w:val="00B32247"/>
    <w:rsid w:val="00B32299"/>
    <w:rsid w:val="00B323EB"/>
    <w:rsid w:val="00B32524"/>
    <w:rsid w:val="00B325C3"/>
    <w:rsid w:val="00B325ED"/>
    <w:rsid w:val="00B32665"/>
    <w:rsid w:val="00B326F1"/>
    <w:rsid w:val="00B3271C"/>
    <w:rsid w:val="00B3275F"/>
    <w:rsid w:val="00B3293C"/>
    <w:rsid w:val="00B32972"/>
    <w:rsid w:val="00B329D9"/>
    <w:rsid w:val="00B32A30"/>
    <w:rsid w:val="00B32A6F"/>
    <w:rsid w:val="00B32ADA"/>
    <w:rsid w:val="00B32B76"/>
    <w:rsid w:val="00B32C7B"/>
    <w:rsid w:val="00B32D3A"/>
    <w:rsid w:val="00B32D50"/>
    <w:rsid w:val="00B32D67"/>
    <w:rsid w:val="00B32DA0"/>
    <w:rsid w:val="00B32E66"/>
    <w:rsid w:val="00B32F6C"/>
    <w:rsid w:val="00B33025"/>
    <w:rsid w:val="00B3304D"/>
    <w:rsid w:val="00B33150"/>
    <w:rsid w:val="00B332AD"/>
    <w:rsid w:val="00B3330A"/>
    <w:rsid w:val="00B33374"/>
    <w:rsid w:val="00B3346A"/>
    <w:rsid w:val="00B33531"/>
    <w:rsid w:val="00B33601"/>
    <w:rsid w:val="00B3362D"/>
    <w:rsid w:val="00B3362E"/>
    <w:rsid w:val="00B338B6"/>
    <w:rsid w:val="00B338DB"/>
    <w:rsid w:val="00B33960"/>
    <w:rsid w:val="00B33996"/>
    <w:rsid w:val="00B339BF"/>
    <w:rsid w:val="00B33A71"/>
    <w:rsid w:val="00B33BDD"/>
    <w:rsid w:val="00B33C09"/>
    <w:rsid w:val="00B33CF7"/>
    <w:rsid w:val="00B33CFC"/>
    <w:rsid w:val="00B33D0F"/>
    <w:rsid w:val="00B33EB9"/>
    <w:rsid w:val="00B33FD0"/>
    <w:rsid w:val="00B3402C"/>
    <w:rsid w:val="00B34059"/>
    <w:rsid w:val="00B34179"/>
    <w:rsid w:val="00B34245"/>
    <w:rsid w:val="00B34331"/>
    <w:rsid w:val="00B34465"/>
    <w:rsid w:val="00B3460D"/>
    <w:rsid w:val="00B346D5"/>
    <w:rsid w:val="00B347B8"/>
    <w:rsid w:val="00B347C9"/>
    <w:rsid w:val="00B347EE"/>
    <w:rsid w:val="00B34890"/>
    <w:rsid w:val="00B3491B"/>
    <w:rsid w:val="00B34AA2"/>
    <w:rsid w:val="00B34CAE"/>
    <w:rsid w:val="00B34E02"/>
    <w:rsid w:val="00B34E44"/>
    <w:rsid w:val="00B34E82"/>
    <w:rsid w:val="00B34F6B"/>
    <w:rsid w:val="00B34FD3"/>
    <w:rsid w:val="00B34FFE"/>
    <w:rsid w:val="00B35035"/>
    <w:rsid w:val="00B3505C"/>
    <w:rsid w:val="00B350A8"/>
    <w:rsid w:val="00B3510B"/>
    <w:rsid w:val="00B3519E"/>
    <w:rsid w:val="00B351D3"/>
    <w:rsid w:val="00B3528C"/>
    <w:rsid w:val="00B35372"/>
    <w:rsid w:val="00B35440"/>
    <w:rsid w:val="00B35452"/>
    <w:rsid w:val="00B35472"/>
    <w:rsid w:val="00B35485"/>
    <w:rsid w:val="00B35584"/>
    <w:rsid w:val="00B355D7"/>
    <w:rsid w:val="00B3568B"/>
    <w:rsid w:val="00B35740"/>
    <w:rsid w:val="00B3578C"/>
    <w:rsid w:val="00B35798"/>
    <w:rsid w:val="00B357BA"/>
    <w:rsid w:val="00B357D5"/>
    <w:rsid w:val="00B3584D"/>
    <w:rsid w:val="00B35888"/>
    <w:rsid w:val="00B35A08"/>
    <w:rsid w:val="00B35B27"/>
    <w:rsid w:val="00B35B6A"/>
    <w:rsid w:val="00B35E01"/>
    <w:rsid w:val="00B35E2A"/>
    <w:rsid w:val="00B35F25"/>
    <w:rsid w:val="00B35F82"/>
    <w:rsid w:val="00B3606F"/>
    <w:rsid w:val="00B360B6"/>
    <w:rsid w:val="00B36147"/>
    <w:rsid w:val="00B361E2"/>
    <w:rsid w:val="00B361EA"/>
    <w:rsid w:val="00B362F1"/>
    <w:rsid w:val="00B36326"/>
    <w:rsid w:val="00B36331"/>
    <w:rsid w:val="00B3637B"/>
    <w:rsid w:val="00B36464"/>
    <w:rsid w:val="00B36545"/>
    <w:rsid w:val="00B36879"/>
    <w:rsid w:val="00B368A3"/>
    <w:rsid w:val="00B3696D"/>
    <w:rsid w:val="00B36A63"/>
    <w:rsid w:val="00B36A6E"/>
    <w:rsid w:val="00B36AFF"/>
    <w:rsid w:val="00B36B2C"/>
    <w:rsid w:val="00B36BBF"/>
    <w:rsid w:val="00B36C42"/>
    <w:rsid w:val="00B36C5E"/>
    <w:rsid w:val="00B36C64"/>
    <w:rsid w:val="00B36CCC"/>
    <w:rsid w:val="00B36E35"/>
    <w:rsid w:val="00B36FA9"/>
    <w:rsid w:val="00B3701A"/>
    <w:rsid w:val="00B370D2"/>
    <w:rsid w:val="00B37121"/>
    <w:rsid w:val="00B371C3"/>
    <w:rsid w:val="00B372A7"/>
    <w:rsid w:val="00B3733B"/>
    <w:rsid w:val="00B37368"/>
    <w:rsid w:val="00B37379"/>
    <w:rsid w:val="00B373DB"/>
    <w:rsid w:val="00B373EA"/>
    <w:rsid w:val="00B3749D"/>
    <w:rsid w:val="00B37565"/>
    <w:rsid w:val="00B37692"/>
    <w:rsid w:val="00B3771D"/>
    <w:rsid w:val="00B3779A"/>
    <w:rsid w:val="00B3784A"/>
    <w:rsid w:val="00B37893"/>
    <w:rsid w:val="00B378D7"/>
    <w:rsid w:val="00B379B4"/>
    <w:rsid w:val="00B37ACE"/>
    <w:rsid w:val="00B37B82"/>
    <w:rsid w:val="00B37BD0"/>
    <w:rsid w:val="00B37C4F"/>
    <w:rsid w:val="00B37C97"/>
    <w:rsid w:val="00B37CA8"/>
    <w:rsid w:val="00B37CC7"/>
    <w:rsid w:val="00B37D2E"/>
    <w:rsid w:val="00B37D50"/>
    <w:rsid w:val="00B400A2"/>
    <w:rsid w:val="00B400DF"/>
    <w:rsid w:val="00B40187"/>
    <w:rsid w:val="00B40202"/>
    <w:rsid w:val="00B40393"/>
    <w:rsid w:val="00B403A5"/>
    <w:rsid w:val="00B405CE"/>
    <w:rsid w:val="00B406B8"/>
    <w:rsid w:val="00B4078D"/>
    <w:rsid w:val="00B407B6"/>
    <w:rsid w:val="00B40923"/>
    <w:rsid w:val="00B4099C"/>
    <w:rsid w:val="00B40A57"/>
    <w:rsid w:val="00B40BA7"/>
    <w:rsid w:val="00B40BE4"/>
    <w:rsid w:val="00B40BEC"/>
    <w:rsid w:val="00B40C14"/>
    <w:rsid w:val="00B40C42"/>
    <w:rsid w:val="00B40E4C"/>
    <w:rsid w:val="00B40EC9"/>
    <w:rsid w:val="00B40ED0"/>
    <w:rsid w:val="00B40F29"/>
    <w:rsid w:val="00B40F8B"/>
    <w:rsid w:val="00B40FC2"/>
    <w:rsid w:val="00B41026"/>
    <w:rsid w:val="00B410B3"/>
    <w:rsid w:val="00B410E6"/>
    <w:rsid w:val="00B41131"/>
    <w:rsid w:val="00B41157"/>
    <w:rsid w:val="00B41168"/>
    <w:rsid w:val="00B411CA"/>
    <w:rsid w:val="00B411FD"/>
    <w:rsid w:val="00B41235"/>
    <w:rsid w:val="00B413A8"/>
    <w:rsid w:val="00B414BE"/>
    <w:rsid w:val="00B41656"/>
    <w:rsid w:val="00B4168A"/>
    <w:rsid w:val="00B4169B"/>
    <w:rsid w:val="00B4176B"/>
    <w:rsid w:val="00B41877"/>
    <w:rsid w:val="00B418B9"/>
    <w:rsid w:val="00B418C3"/>
    <w:rsid w:val="00B418F8"/>
    <w:rsid w:val="00B41912"/>
    <w:rsid w:val="00B41929"/>
    <w:rsid w:val="00B4192B"/>
    <w:rsid w:val="00B41935"/>
    <w:rsid w:val="00B419DD"/>
    <w:rsid w:val="00B41A0A"/>
    <w:rsid w:val="00B41A32"/>
    <w:rsid w:val="00B41A52"/>
    <w:rsid w:val="00B41A5C"/>
    <w:rsid w:val="00B41AE8"/>
    <w:rsid w:val="00B41B5B"/>
    <w:rsid w:val="00B41C6A"/>
    <w:rsid w:val="00B41D8E"/>
    <w:rsid w:val="00B41D90"/>
    <w:rsid w:val="00B41DE0"/>
    <w:rsid w:val="00B41E1C"/>
    <w:rsid w:val="00B41E1F"/>
    <w:rsid w:val="00B41E7E"/>
    <w:rsid w:val="00B41EAD"/>
    <w:rsid w:val="00B41EF0"/>
    <w:rsid w:val="00B41F51"/>
    <w:rsid w:val="00B42016"/>
    <w:rsid w:val="00B4205E"/>
    <w:rsid w:val="00B4209F"/>
    <w:rsid w:val="00B42124"/>
    <w:rsid w:val="00B42174"/>
    <w:rsid w:val="00B421D2"/>
    <w:rsid w:val="00B422BD"/>
    <w:rsid w:val="00B42332"/>
    <w:rsid w:val="00B42376"/>
    <w:rsid w:val="00B423D9"/>
    <w:rsid w:val="00B4247A"/>
    <w:rsid w:val="00B424F9"/>
    <w:rsid w:val="00B42537"/>
    <w:rsid w:val="00B425A0"/>
    <w:rsid w:val="00B4270A"/>
    <w:rsid w:val="00B42843"/>
    <w:rsid w:val="00B4286F"/>
    <w:rsid w:val="00B42933"/>
    <w:rsid w:val="00B42936"/>
    <w:rsid w:val="00B4295E"/>
    <w:rsid w:val="00B42A12"/>
    <w:rsid w:val="00B42A6D"/>
    <w:rsid w:val="00B42ABE"/>
    <w:rsid w:val="00B42D11"/>
    <w:rsid w:val="00B42DF0"/>
    <w:rsid w:val="00B42E02"/>
    <w:rsid w:val="00B42E35"/>
    <w:rsid w:val="00B42E6C"/>
    <w:rsid w:val="00B42E9E"/>
    <w:rsid w:val="00B42F71"/>
    <w:rsid w:val="00B42FFE"/>
    <w:rsid w:val="00B43003"/>
    <w:rsid w:val="00B43097"/>
    <w:rsid w:val="00B430A9"/>
    <w:rsid w:val="00B4310F"/>
    <w:rsid w:val="00B431BD"/>
    <w:rsid w:val="00B431C8"/>
    <w:rsid w:val="00B43312"/>
    <w:rsid w:val="00B43327"/>
    <w:rsid w:val="00B433FD"/>
    <w:rsid w:val="00B4342B"/>
    <w:rsid w:val="00B434BC"/>
    <w:rsid w:val="00B434FB"/>
    <w:rsid w:val="00B43546"/>
    <w:rsid w:val="00B435A0"/>
    <w:rsid w:val="00B435B8"/>
    <w:rsid w:val="00B435F8"/>
    <w:rsid w:val="00B43666"/>
    <w:rsid w:val="00B4366C"/>
    <w:rsid w:val="00B43694"/>
    <w:rsid w:val="00B43728"/>
    <w:rsid w:val="00B43794"/>
    <w:rsid w:val="00B4387F"/>
    <w:rsid w:val="00B438D5"/>
    <w:rsid w:val="00B43972"/>
    <w:rsid w:val="00B43A19"/>
    <w:rsid w:val="00B43A5B"/>
    <w:rsid w:val="00B43ABF"/>
    <w:rsid w:val="00B43B00"/>
    <w:rsid w:val="00B43B9F"/>
    <w:rsid w:val="00B43BE2"/>
    <w:rsid w:val="00B43C07"/>
    <w:rsid w:val="00B43C8D"/>
    <w:rsid w:val="00B43CAA"/>
    <w:rsid w:val="00B43D32"/>
    <w:rsid w:val="00B43D99"/>
    <w:rsid w:val="00B43DA0"/>
    <w:rsid w:val="00B43DB0"/>
    <w:rsid w:val="00B43E16"/>
    <w:rsid w:val="00B43E2B"/>
    <w:rsid w:val="00B43E3C"/>
    <w:rsid w:val="00B43EBE"/>
    <w:rsid w:val="00B43F7F"/>
    <w:rsid w:val="00B44080"/>
    <w:rsid w:val="00B44082"/>
    <w:rsid w:val="00B440DF"/>
    <w:rsid w:val="00B441A8"/>
    <w:rsid w:val="00B441E9"/>
    <w:rsid w:val="00B44270"/>
    <w:rsid w:val="00B4428E"/>
    <w:rsid w:val="00B442AF"/>
    <w:rsid w:val="00B443CC"/>
    <w:rsid w:val="00B44496"/>
    <w:rsid w:val="00B44563"/>
    <w:rsid w:val="00B445DF"/>
    <w:rsid w:val="00B4460F"/>
    <w:rsid w:val="00B44675"/>
    <w:rsid w:val="00B446BC"/>
    <w:rsid w:val="00B44776"/>
    <w:rsid w:val="00B4482E"/>
    <w:rsid w:val="00B44867"/>
    <w:rsid w:val="00B4487A"/>
    <w:rsid w:val="00B44AF1"/>
    <w:rsid w:val="00B44B8A"/>
    <w:rsid w:val="00B44BAA"/>
    <w:rsid w:val="00B44C82"/>
    <w:rsid w:val="00B44DD3"/>
    <w:rsid w:val="00B44E01"/>
    <w:rsid w:val="00B44E54"/>
    <w:rsid w:val="00B44E9F"/>
    <w:rsid w:val="00B45012"/>
    <w:rsid w:val="00B45130"/>
    <w:rsid w:val="00B45151"/>
    <w:rsid w:val="00B45479"/>
    <w:rsid w:val="00B45599"/>
    <w:rsid w:val="00B455C4"/>
    <w:rsid w:val="00B45722"/>
    <w:rsid w:val="00B4574B"/>
    <w:rsid w:val="00B45781"/>
    <w:rsid w:val="00B458B6"/>
    <w:rsid w:val="00B458C9"/>
    <w:rsid w:val="00B458EB"/>
    <w:rsid w:val="00B45923"/>
    <w:rsid w:val="00B45A76"/>
    <w:rsid w:val="00B45B57"/>
    <w:rsid w:val="00B45BA6"/>
    <w:rsid w:val="00B45BDF"/>
    <w:rsid w:val="00B45C9E"/>
    <w:rsid w:val="00B45CE7"/>
    <w:rsid w:val="00B45D5F"/>
    <w:rsid w:val="00B45E63"/>
    <w:rsid w:val="00B46007"/>
    <w:rsid w:val="00B460CC"/>
    <w:rsid w:val="00B4627C"/>
    <w:rsid w:val="00B46293"/>
    <w:rsid w:val="00B462FF"/>
    <w:rsid w:val="00B4633E"/>
    <w:rsid w:val="00B46390"/>
    <w:rsid w:val="00B46472"/>
    <w:rsid w:val="00B4647A"/>
    <w:rsid w:val="00B46480"/>
    <w:rsid w:val="00B4650C"/>
    <w:rsid w:val="00B46699"/>
    <w:rsid w:val="00B466B5"/>
    <w:rsid w:val="00B46731"/>
    <w:rsid w:val="00B467A5"/>
    <w:rsid w:val="00B468A3"/>
    <w:rsid w:val="00B468B2"/>
    <w:rsid w:val="00B4699E"/>
    <w:rsid w:val="00B46B69"/>
    <w:rsid w:val="00B46B71"/>
    <w:rsid w:val="00B46B99"/>
    <w:rsid w:val="00B46C78"/>
    <w:rsid w:val="00B46C80"/>
    <w:rsid w:val="00B46CA9"/>
    <w:rsid w:val="00B46CD0"/>
    <w:rsid w:val="00B46DCE"/>
    <w:rsid w:val="00B46EAC"/>
    <w:rsid w:val="00B46EE7"/>
    <w:rsid w:val="00B46F26"/>
    <w:rsid w:val="00B46F72"/>
    <w:rsid w:val="00B46FAB"/>
    <w:rsid w:val="00B4712B"/>
    <w:rsid w:val="00B47160"/>
    <w:rsid w:val="00B472D3"/>
    <w:rsid w:val="00B473C6"/>
    <w:rsid w:val="00B473E1"/>
    <w:rsid w:val="00B47483"/>
    <w:rsid w:val="00B47509"/>
    <w:rsid w:val="00B47583"/>
    <w:rsid w:val="00B476C2"/>
    <w:rsid w:val="00B4798B"/>
    <w:rsid w:val="00B47A01"/>
    <w:rsid w:val="00B47A46"/>
    <w:rsid w:val="00B47AF9"/>
    <w:rsid w:val="00B47BC2"/>
    <w:rsid w:val="00B47C54"/>
    <w:rsid w:val="00B47C91"/>
    <w:rsid w:val="00B47CD4"/>
    <w:rsid w:val="00B47DCF"/>
    <w:rsid w:val="00B47F1F"/>
    <w:rsid w:val="00B47FBC"/>
    <w:rsid w:val="00B500A4"/>
    <w:rsid w:val="00B50139"/>
    <w:rsid w:val="00B5021D"/>
    <w:rsid w:val="00B5024D"/>
    <w:rsid w:val="00B5029C"/>
    <w:rsid w:val="00B502D2"/>
    <w:rsid w:val="00B5030B"/>
    <w:rsid w:val="00B50389"/>
    <w:rsid w:val="00B50478"/>
    <w:rsid w:val="00B505C6"/>
    <w:rsid w:val="00B506A9"/>
    <w:rsid w:val="00B50878"/>
    <w:rsid w:val="00B50921"/>
    <w:rsid w:val="00B50B2F"/>
    <w:rsid w:val="00B50BB4"/>
    <w:rsid w:val="00B50C01"/>
    <w:rsid w:val="00B50C2E"/>
    <w:rsid w:val="00B50CBB"/>
    <w:rsid w:val="00B50D35"/>
    <w:rsid w:val="00B50F5E"/>
    <w:rsid w:val="00B50F83"/>
    <w:rsid w:val="00B50FBC"/>
    <w:rsid w:val="00B51046"/>
    <w:rsid w:val="00B51090"/>
    <w:rsid w:val="00B511F1"/>
    <w:rsid w:val="00B51212"/>
    <w:rsid w:val="00B51268"/>
    <w:rsid w:val="00B512B7"/>
    <w:rsid w:val="00B51386"/>
    <w:rsid w:val="00B51431"/>
    <w:rsid w:val="00B51509"/>
    <w:rsid w:val="00B517DF"/>
    <w:rsid w:val="00B51A00"/>
    <w:rsid w:val="00B51AE1"/>
    <w:rsid w:val="00B51AFA"/>
    <w:rsid w:val="00B51B63"/>
    <w:rsid w:val="00B51BB4"/>
    <w:rsid w:val="00B51C0F"/>
    <w:rsid w:val="00B51C67"/>
    <w:rsid w:val="00B51CD8"/>
    <w:rsid w:val="00B51CF8"/>
    <w:rsid w:val="00B51D08"/>
    <w:rsid w:val="00B51EAA"/>
    <w:rsid w:val="00B51F1A"/>
    <w:rsid w:val="00B51F47"/>
    <w:rsid w:val="00B52028"/>
    <w:rsid w:val="00B5202F"/>
    <w:rsid w:val="00B52061"/>
    <w:rsid w:val="00B5217F"/>
    <w:rsid w:val="00B52252"/>
    <w:rsid w:val="00B524D3"/>
    <w:rsid w:val="00B525DD"/>
    <w:rsid w:val="00B52671"/>
    <w:rsid w:val="00B5284C"/>
    <w:rsid w:val="00B52957"/>
    <w:rsid w:val="00B529BC"/>
    <w:rsid w:val="00B529D3"/>
    <w:rsid w:val="00B52B21"/>
    <w:rsid w:val="00B52BC5"/>
    <w:rsid w:val="00B52BDC"/>
    <w:rsid w:val="00B52C68"/>
    <w:rsid w:val="00B52C88"/>
    <w:rsid w:val="00B52D17"/>
    <w:rsid w:val="00B52DB9"/>
    <w:rsid w:val="00B52E0B"/>
    <w:rsid w:val="00B52E1C"/>
    <w:rsid w:val="00B52E44"/>
    <w:rsid w:val="00B52E67"/>
    <w:rsid w:val="00B52EEA"/>
    <w:rsid w:val="00B52F08"/>
    <w:rsid w:val="00B52F79"/>
    <w:rsid w:val="00B52FA8"/>
    <w:rsid w:val="00B530AC"/>
    <w:rsid w:val="00B5310B"/>
    <w:rsid w:val="00B53140"/>
    <w:rsid w:val="00B5316C"/>
    <w:rsid w:val="00B531DF"/>
    <w:rsid w:val="00B531F9"/>
    <w:rsid w:val="00B5320C"/>
    <w:rsid w:val="00B5324E"/>
    <w:rsid w:val="00B5325D"/>
    <w:rsid w:val="00B5326A"/>
    <w:rsid w:val="00B532A0"/>
    <w:rsid w:val="00B532A1"/>
    <w:rsid w:val="00B5333D"/>
    <w:rsid w:val="00B5336D"/>
    <w:rsid w:val="00B5340C"/>
    <w:rsid w:val="00B53425"/>
    <w:rsid w:val="00B53426"/>
    <w:rsid w:val="00B534B7"/>
    <w:rsid w:val="00B534C4"/>
    <w:rsid w:val="00B53569"/>
    <w:rsid w:val="00B5356A"/>
    <w:rsid w:val="00B53598"/>
    <w:rsid w:val="00B535CA"/>
    <w:rsid w:val="00B535F8"/>
    <w:rsid w:val="00B5360C"/>
    <w:rsid w:val="00B5375D"/>
    <w:rsid w:val="00B53CEB"/>
    <w:rsid w:val="00B53D59"/>
    <w:rsid w:val="00B53E25"/>
    <w:rsid w:val="00B53FA5"/>
    <w:rsid w:val="00B53FAF"/>
    <w:rsid w:val="00B540A2"/>
    <w:rsid w:val="00B5412C"/>
    <w:rsid w:val="00B5412D"/>
    <w:rsid w:val="00B5419F"/>
    <w:rsid w:val="00B54362"/>
    <w:rsid w:val="00B543DC"/>
    <w:rsid w:val="00B54431"/>
    <w:rsid w:val="00B544A3"/>
    <w:rsid w:val="00B544C9"/>
    <w:rsid w:val="00B5455E"/>
    <w:rsid w:val="00B5456A"/>
    <w:rsid w:val="00B546B6"/>
    <w:rsid w:val="00B547BF"/>
    <w:rsid w:val="00B5485D"/>
    <w:rsid w:val="00B549E1"/>
    <w:rsid w:val="00B54A6C"/>
    <w:rsid w:val="00B54A82"/>
    <w:rsid w:val="00B54AED"/>
    <w:rsid w:val="00B54AF5"/>
    <w:rsid w:val="00B54BA2"/>
    <w:rsid w:val="00B54CAD"/>
    <w:rsid w:val="00B54DA6"/>
    <w:rsid w:val="00B54E5E"/>
    <w:rsid w:val="00B54EFF"/>
    <w:rsid w:val="00B550CC"/>
    <w:rsid w:val="00B550DE"/>
    <w:rsid w:val="00B550F9"/>
    <w:rsid w:val="00B551A5"/>
    <w:rsid w:val="00B551B4"/>
    <w:rsid w:val="00B551B6"/>
    <w:rsid w:val="00B551E3"/>
    <w:rsid w:val="00B55302"/>
    <w:rsid w:val="00B55306"/>
    <w:rsid w:val="00B554BA"/>
    <w:rsid w:val="00B554F0"/>
    <w:rsid w:val="00B555FC"/>
    <w:rsid w:val="00B5566D"/>
    <w:rsid w:val="00B5572A"/>
    <w:rsid w:val="00B5580B"/>
    <w:rsid w:val="00B55847"/>
    <w:rsid w:val="00B55899"/>
    <w:rsid w:val="00B55968"/>
    <w:rsid w:val="00B559EF"/>
    <w:rsid w:val="00B55B44"/>
    <w:rsid w:val="00B55B53"/>
    <w:rsid w:val="00B55C12"/>
    <w:rsid w:val="00B55CE7"/>
    <w:rsid w:val="00B55D15"/>
    <w:rsid w:val="00B55D31"/>
    <w:rsid w:val="00B55D34"/>
    <w:rsid w:val="00B55D4A"/>
    <w:rsid w:val="00B55D87"/>
    <w:rsid w:val="00B55DE6"/>
    <w:rsid w:val="00B55F00"/>
    <w:rsid w:val="00B55FF3"/>
    <w:rsid w:val="00B56095"/>
    <w:rsid w:val="00B560C9"/>
    <w:rsid w:val="00B5614B"/>
    <w:rsid w:val="00B56172"/>
    <w:rsid w:val="00B56195"/>
    <w:rsid w:val="00B56235"/>
    <w:rsid w:val="00B562B8"/>
    <w:rsid w:val="00B562D3"/>
    <w:rsid w:val="00B56460"/>
    <w:rsid w:val="00B564B8"/>
    <w:rsid w:val="00B56520"/>
    <w:rsid w:val="00B56573"/>
    <w:rsid w:val="00B56662"/>
    <w:rsid w:val="00B56673"/>
    <w:rsid w:val="00B566BE"/>
    <w:rsid w:val="00B56803"/>
    <w:rsid w:val="00B56840"/>
    <w:rsid w:val="00B56981"/>
    <w:rsid w:val="00B569F0"/>
    <w:rsid w:val="00B56B42"/>
    <w:rsid w:val="00B56C4C"/>
    <w:rsid w:val="00B56CE4"/>
    <w:rsid w:val="00B56CFA"/>
    <w:rsid w:val="00B56FC1"/>
    <w:rsid w:val="00B5708A"/>
    <w:rsid w:val="00B570CC"/>
    <w:rsid w:val="00B570DB"/>
    <w:rsid w:val="00B572CB"/>
    <w:rsid w:val="00B572ED"/>
    <w:rsid w:val="00B5732D"/>
    <w:rsid w:val="00B5740B"/>
    <w:rsid w:val="00B5747A"/>
    <w:rsid w:val="00B57562"/>
    <w:rsid w:val="00B57687"/>
    <w:rsid w:val="00B5769A"/>
    <w:rsid w:val="00B576BC"/>
    <w:rsid w:val="00B57746"/>
    <w:rsid w:val="00B57794"/>
    <w:rsid w:val="00B577C1"/>
    <w:rsid w:val="00B5782E"/>
    <w:rsid w:val="00B57A06"/>
    <w:rsid w:val="00B57AA0"/>
    <w:rsid w:val="00B57B6D"/>
    <w:rsid w:val="00B57BEC"/>
    <w:rsid w:val="00B57C02"/>
    <w:rsid w:val="00B57D52"/>
    <w:rsid w:val="00B57E3A"/>
    <w:rsid w:val="00B57F93"/>
    <w:rsid w:val="00B57FDF"/>
    <w:rsid w:val="00B57FFE"/>
    <w:rsid w:val="00B600C2"/>
    <w:rsid w:val="00B60136"/>
    <w:rsid w:val="00B602A9"/>
    <w:rsid w:val="00B60348"/>
    <w:rsid w:val="00B60364"/>
    <w:rsid w:val="00B6038B"/>
    <w:rsid w:val="00B6043E"/>
    <w:rsid w:val="00B6047E"/>
    <w:rsid w:val="00B60486"/>
    <w:rsid w:val="00B604C5"/>
    <w:rsid w:val="00B604EE"/>
    <w:rsid w:val="00B604F2"/>
    <w:rsid w:val="00B60551"/>
    <w:rsid w:val="00B605E7"/>
    <w:rsid w:val="00B60689"/>
    <w:rsid w:val="00B607ED"/>
    <w:rsid w:val="00B60894"/>
    <w:rsid w:val="00B608F6"/>
    <w:rsid w:val="00B60914"/>
    <w:rsid w:val="00B60ABA"/>
    <w:rsid w:val="00B60B04"/>
    <w:rsid w:val="00B60C2E"/>
    <w:rsid w:val="00B60C32"/>
    <w:rsid w:val="00B60D1F"/>
    <w:rsid w:val="00B60D48"/>
    <w:rsid w:val="00B60E15"/>
    <w:rsid w:val="00B60E2A"/>
    <w:rsid w:val="00B60E31"/>
    <w:rsid w:val="00B60EE4"/>
    <w:rsid w:val="00B60F35"/>
    <w:rsid w:val="00B60F93"/>
    <w:rsid w:val="00B60F96"/>
    <w:rsid w:val="00B60FBD"/>
    <w:rsid w:val="00B60FD5"/>
    <w:rsid w:val="00B610AF"/>
    <w:rsid w:val="00B610ED"/>
    <w:rsid w:val="00B611A1"/>
    <w:rsid w:val="00B612B4"/>
    <w:rsid w:val="00B612C5"/>
    <w:rsid w:val="00B612D2"/>
    <w:rsid w:val="00B61352"/>
    <w:rsid w:val="00B614BB"/>
    <w:rsid w:val="00B61526"/>
    <w:rsid w:val="00B615D6"/>
    <w:rsid w:val="00B615DF"/>
    <w:rsid w:val="00B615FE"/>
    <w:rsid w:val="00B61607"/>
    <w:rsid w:val="00B6167F"/>
    <w:rsid w:val="00B617EB"/>
    <w:rsid w:val="00B6181C"/>
    <w:rsid w:val="00B6181D"/>
    <w:rsid w:val="00B61825"/>
    <w:rsid w:val="00B619CD"/>
    <w:rsid w:val="00B61A1D"/>
    <w:rsid w:val="00B61AFA"/>
    <w:rsid w:val="00B61BD1"/>
    <w:rsid w:val="00B61D1F"/>
    <w:rsid w:val="00B61D53"/>
    <w:rsid w:val="00B61D5C"/>
    <w:rsid w:val="00B61EC5"/>
    <w:rsid w:val="00B61F30"/>
    <w:rsid w:val="00B61F32"/>
    <w:rsid w:val="00B62072"/>
    <w:rsid w:val="00B620E5"/>
    <w:rsid w:val="00B62150"/>
    <w:rsid w:val="00B62220"/>
    <w:rsid w:val="00B62306"/>
    <w:rsid w:val="00B6236F"/>
    <w:rsid w:val="00B62387"/>
    <w:rsid w:val="00B6242D"/>
    <w:rsid w:val="00B625B2"/>
    <w:rsid w:val="00B626DF"/>
    <w:rsid w:val="00B62752"/>
    <w:rsid w:val="00B6276F"/>
    <w:rsid w:val="00B628B6"/>
    <w:rsid w:val="00B62928"/>
    <w:rsid w:val="00B629A3"/>
    <w:rsid w:val="00B62AC4"/>
    <w:rsid w:val="00B62B1A"/>
    <w:rsid w:val="00B62BA4"/>
    <w:rsid w:val="00B62C5B"/>
    <w:rsid w:val="00B62F30"/>
    <w:rsid w:val="00B62F57"/>
    <w:rsid w:val="00B62F91"/>
    <w:rsid w:val="00B62FDF"/>
    <w:rsid w:val="00B630CA"/>
    <w:rsid w:val="00B6316A"/>
    <w:rsid w:val="00B632B9"/>
    <w:rsid w:val="00B63306"/>
    <w:rsid w:val="00B6330B"/>
    <w:rsid w:val="00B63343"/>
    <w:rsid w:val="00B633F8"/>
    <w:rsid w:val="00B635B2"/>
    <w:rsid w:val="00B6361E"/>
    <w:rsid w:val="00B6363C"/>
    <w:rsid w:val="00B6366B"/>
    <w:rsid w:val="00B636E4"/>
    <w:rsid w:val="00B63709"/>
    <w:rsid w:val="00B637C7"/>
    <w:rsid w:val="00B63984"/>
    <w:rsid w:val="00B6398F"/>
    <w:rsid w:val="00B63A42"/>
    <w:rsid w:val="00B63A83"/>
    <w:rsid w:val="00B63AA0"/>
    <w:rsid w:val="00B63AFF"/>
    <w:rsid w:val="00B63BA5"/>
    <w:rsid w:val="00B63D56"/>
    <w:rsid w:val="00B63DB5"/>
    <w:rsid w:val="00B63E43"/>
    <w:rsid w:val="00B63EB6"/>
    <w:rsid w:val="00B63EB9"/>
    <w:rsid w:val="00B64012"/>
    <w:rsid w:val="00B640D0"/>
    <w:rsid w:val="00B6413B"/>
    <w:rsid w:val="00B6426F"/>
    <w:rsid w:val="00B642C6"/>
    <w:rsid w:val="00B64323"/>
    <w:rsid w:val="00B6435A"/>
    <w:rsid w:val="00B6446B"/>
    <w:rsid w:val="00B644ED"/>
    <w:rsid w:val="00B64547"/>
    <w:rsid w:val="00B64611"/>
    <w:rsid w:val="00B64639"/>
    <w:rsid w:val="00B64658"/>
    <w:rsid w:val="00B64676"/>
    <w:rsid w:val="00B64728"/>
    <w:rsid w:val="00B64814"/>
    <w:rsid w:val="00B6485B"/>
    <w:rsid w:val="00B648DE"/>
    <w:rsid w:val="00B649A5"/>
    <w:rsid w:val="00B64A0D"/>
    <w:rsid w:val="00B64A80"/>
    <w:rsid w:val="00B64AC2"/>
    <w:rsid w:val="00B64AD9"/>
    <w:rsid w:val="00B64BEB"/>
    <w:rsid w:val="00B64CB6"/>
    <w:rsid w:val="00B64CFA"/>
    <w:rsid w:val="00B64D5A"/>
    <w:rsid w:val="00B64EBF"/>
    <w:rsid w:val="00B64F0E"/>
    <w:rsid w:val="00B64F42"/>
    <w:rsid w:val="00B64FEA"/>
    <w:rsid w:val="00B65080"/>
    <w:rsid w:val="00B650C9"/>
    <w:rsid w:val="00B65176"/>
    <w:rsid w:val="00B65209"/>
    <w:rsid w:val="00B652D4"/>
    <w:rsid w:val="00B65314"/>
    <w:rsid w:val="00B65356"/>
    <w:rsid w:val="00B6558A"/>
    <w:rsid w:val="00B656CA"/>
    <w:rsid w:val="00B65758"/>
    <w:rsid w:val="00B65787"/>
    <w:rsid w:val="00B657C0"/>
    <w:rsid w:val="00B6593E"/>
    <w:rsid w:val="00B65ABC"/>
    <w:rsid w:val="00B65BB5"/>
    <w:rsid w:val="00B65C0D"/>
    <w:rsid w:val="00B65CDB"/>
    <w:rsid w:val="00B65EF1"/>
    <w:rsid w:val="00B65F30"/>
    <w:rsid w:val="00B66030"/>
    <w:rsid w:val="00B6605A"/>
    <w:rsid w:val="00B660B3"/>
    <w:rsid w:val="00B6631D"/>
    <w:rsid w:val="00B66326"/>
    <w:rsid w:val="00B663F1"/>
    <w:rsid w:val="00B66411"/>
    <w:rsid w:val="00B66418"/>
    <w:rsid w:val="00B664A3"/>
    <w:rsid w:val="00B6658C"/>
    <w:rsid w:val="00B665B4"/>
    <w:rsid w:val="00B66643"/>
    <w:rsid w:val="00B66647"/>
    <w:rsid w:val="00B666A0"/>
    <w:rsid w:val="00B666A9"/>
    <w:rsid w:val="00B6679A"/>
    <w:rsid w:val="00B667CB"/>
    <w:rsid w:val="00B667F2"/>
    <w:rsid w:val="00B66A5E"/>
    <w:rsid w:val="00B66C4D"/>
    <w:rsid w:val="00B66C64"/>
    <w:rsid w:val="00B66D48"/>
    <w:rsid w:val="00B66DA8"/>
    <w:rsid w:val="00B66F00"/>
    <w:rsid w:val="00B66FB8"/>
    <w:rsid w:val="00B670A4"/>
    <w:rsid w:val="00B67103"/>
    <w:rsid w:val="00B6715F"/>
    <w:rsid w:val="00B671FD"/>
    <w:rsid w:val="00B67296"/>
    <w:rsid w:val="00B672B8"/>
    <w:rsid w:val="00B672F7"/>
    <w:rsid w:val="00B673C5"/>
    <w:rsid w:val="00B67474"/>
    <w:rsid w:val="00B674D8"/>
    <w:rsid w:val="00B674FA"/>
    <w:rsid w:val="00B67524"/>
    <w:rsid w:val="00B67542"/>
    <w:rsid w:val="00B6755C"/>
    <w:rsid w:val="00B675D2"/>
    <w:rsid w:val="00B677AE"/>
    <w:rsid w:val="00B67880"/>
    <w:rsid w:val="00B67923"/>
    <w:rsid w:val="00B67A97"/>
    <w:rsid w:val="00B67AD5"/>
    <w:rsid w:val="00B67B16"/>
    <w:rsid w:val="00B67C35"/>
    <w:rsid w:val="00B67CE5"/>
    <w:rsid w:val="00B67D63"/>
    <w:rsid w:val="00B67EB3"/>
    <w:rsid w:val="00B700FB"/>
    <w:rsid w:val="00B70155"/>
    <w:rsid w:val="00B7035E"/>
    <w:rsid w:val="00B70445"/>
    <w:rsid w:val="00B704A2"/>
    <w:rsid w:val="00B704BB"/>
    <w:rsid w:val="00B705A5"/>
    <w:rsid w:val="00B7065A"/>
    <w:rsid w:val="00B7069C"/>
    <w:rsid w:val="00B706E5"/>
    <w:rsid w:val="00B70852"/>
    <w:rsid w:val="00B7088E"/>
    <w:rsid w:val="00B7093C"/>
    <w:rsid w:val="00B70976"/>
    <w:rsid w:val="00B70989"/>
    <w:rsid w:val="00B70A45"/>
    <w:rsid w:val="00B70A6E"/>
    <w:rsid w:val="00B70ADA"/>
    <w:rsid w:val="00B70AFD"/>
    <w:rsid w:val="00B70D64"/>
    <w:rsid w:val="00B70DAD"/>
    <w:rsid w:val="00B70E09"/>
    <w:rsid w:val="00B70EE2"/>
    <w:rsid w:val="00B70F77"/>
    <w:rsid w:val="00B71078"/>
    <w:rsid w:val="00B710E9"/>
    <w:rsid w:val="00B7112A"/>
    <w:rsid w:val="00B711A2"/>
    <w:rsid w:val="00B711DD"/>
    <w:rsid w:val="00B711E0"/>
    <w:rsid w:val="00B7120B"/>
    <w:rsid w:val="00B71342"/>
    <w:rsid w:val="00B713FB"/>
    <w:rsid w:val="00B71455"/>
    <w:rsid w:val="00B7150E"/>
    <w:rsid w:val="00B7157B"/>
    <w:rsid w:val="00B71623"/>
    <w:rsid w:val="00B71641"/>
    <w:rsid w:val="00B71688"/>
    <w:rsid w:val="00B716B0"/>
    <w:rsid w:val="00B7175F"/>
    <w:rsid w:val="00B717F7"/>
    <w:rsid w:val="00B717F9"/>
    <w:rsid w:val="00B71A1D"/>
    <w:rsid w:val="00B71BC5"/>
    <w:rsid w:val="00B71CF7"/>
    <w:rsid w:val="00B71DC2"/>
    <w:rsid w:val="00B71E15"/>
    <w:rsid w:val="00B71E5E"/>
    <w:rsid w:val="00B71E5F"/>
    <w:rsid w:val="00B71EEC"/>
    <w:rsid w:val="00B71F4C"/>
    <w:rsid w:val="00B71F50"/>
    <w:rsid w:val="00B71FD9"/>
    <w:rsid w:val="00B72117"/>
    <w:rsid w:val="00B72129"/>
    <w:rsid w:val="00B72171"/>
    <w:rsid w:val="00B721E4"/>
    <w:rsid w:val="00B721EE"/>
    <w:rsid w:val="00B72292"/>
    <w:rsid w:val="00B723C7"/>
    <w:rsid w:val="00B724BE"/>
    <w:rsid w:val="00B7251B"/>
    <w:rsid w:val="00B72586"/>
    <w:rsid w:val="00B72595"/>
    <w:rsid w:val="00B725C3"/>
    <w:rsid w:val="00B725F4"/>
    <w:rsid w:val="00B725FF"/>
    <w:rsid w:val="00B72A56"/>
    <w:rsid w:val="00B72A96"/>
    <w:rsid w:val="00B72B9C"/>
    <w:rsid w:val="00B72C52"/>
    <w:rsid w:val="00B72D55"/>
    <w:rsid w:val="00B72F6D"/>
    <w:rsid w:val="00B72F82"/>
    <w:rsid w:val="00B730C3"/>
    <w:rsid w:val="00B7322A"/>
    <w:rsid w:val="00B732A7"/>
    <w:rsid w:val="00B73301"/>
    <w:rsid w:val="00B73483"/>
    <w:rsid w:val="00B73505"/>
    <w:rsid w:val="00B73550"/>
    <w:rsid w:val="00B736A0"/>
    <w:rsid w:val="00B736F9"/>
    <w:rsid w:val="00B7370B"/>
    <w:rsid w:val="00B737D9"/>
    <w:rsid w:val="00B73874"/>
    <w:rsid w:val="00B73883"/>
    <w:rsid w:val="00B73A81"/>
    <w:rsid w:val="00B73ABE"/>
    <w:rsid w:val="00B73BC8"/>
    <w:rsid w:val="00B73C0B"/>
    <w:rsid w:val="00B73D56"/>
    <w:rsid w:val="00B73EB5"/>
    <w:rsid w:val="00B73F1A"/>
    <w:rsid w:val="00B74175"/>
    <w:rsid w:val="00B741BD"/>
    <w:rsid w:val="00B741F0"/>
    <w:rsid w:val="00B74333"/>
    <w:rsid w:val="00B74418"/>
    <w:rsid w:val="00B7446C"/>
    <w:rsid w:val="00B744E1"/>
    <w:rsid w:val="00B7455F"/>
    <w:rsid w:val="00B7475A"/>
    <w:rsid w:val="00B74765"/>
    <w:rsid w:val="00B747C5"/>
    <w:rsid w:val="00B7489A"/>
    <w:rsid w:val="00B748E6"/>
    <w:rsid w:val="00B7492B"/>
    <w:rsid w:val="00B7495F"/>
    <w:rsid w:val="00B74A34"/>
    <w:rsid w:val="00B74A40"/>
    <w:rsid w:val="00B74A41"/>
    <w:rsid w:val="00B74BB3"/>
    <w:rsid w:val="00B74C1F"/>
    <w:rsid w:val="00B74D02"/>
    <w:rsid w:val="00B74D68"/>
    <w:rsid w:val="00B74F3C"/>
    <w:rsid w:val="00B74FA5"/>
    <w:rsid w:val="00B74FA8"/>
    <w:rsid w:val="00B74FF9"/>
    <w:rsid w:val="00B75023"/>
    <w:rsid w:val="00B7502E"/>
    <w:rsid w:val="00B75099"/>
    <w:rsid w:val="00B750F4"/>
    <w:rsid w:val="00B75215"/>
    <w:rsid w:val="00B75252"/>
    <w:rsid w:val="00B752A0"/>
    <w:rsid w:val="00B753BE"/>
    <w:rsid w:val="00B75602"/>
    <w:rsid w:val="00B75606"/>
    <w:rsid w:val="00B75762"/>
    <w:rsid w:val="00B75808"/>
    <w:rsid w:val="00B75850"/>
    <w:rsid w:val="00B758AA"/>
    <w:rsid w:val="00B758CA"/>
    <w:rsid w:val="00B7591A"/>
    <w:rsid w:val="00B75A1C"/>
    <w:rsid w:val="00B75A23"/>
    <w:rsid w:val="00B75A55"/>
    <w:rsid w:val="00B75B57"/>
    <w:rsid w:val="00B75C4B"/>
    <w:rsid w:val="00B75CAD"/>
    <w:rsid w:val="00B75D00"/>
    <w:rsid w:val="00B75E51"/>
    <w:rsid w:val="00B75E75"/>
    <w:rsid w:val="00B75ED8"/>
    <w:rsid w:val="00B75F5F"/>
    <w:rsid w:val="00B75FE0"/>
    <w:rsid w:val="00B760B8"/>
    <w:rsid w:val="00B760DA"/>
    <w:rsid w:val="00B76178"/>
    <w:rsid w:val="00B761E5"/>
    <w:rsid w:val="00B76222"/>
    <w:rsid w:val="00B76306"/>
    <w:rsid w:val="00B76348"/>
    <w:rsid w:val="00B76355"/>
    <w:rsid w:val="00B7665F"/>
    <w:rsid w:val="00B76671"/>
    <w:rsid w:val="00B767AD"/>
    <w:rsid w:val="00B76805"/>
    <w:rsid w:val="00B7680D"/>
    <w:rsid w:val="00B7682A"/>
    <w:rsid w:val="00B768CC"/>
    <w:rsid w:val="00B76960"/>
    <w:rsid w:val="00B76979"/>
    <w:rsid w:val="00B76A38"/>
    <w:rsid w:val="00B76A9D"/>
    <w:rsid w:val="00B76AF2"/>
    <w:rsid w:val="00B76B35"/>
    <w:rsid w:val="00B76BA9"/>
    <w:rsid w:val="00B76BC2"/>
    <w:rsid w:val="00B76BD3"/>
    <w:rsid w:val="00B76C0C"/>
    <w:rsid w:val="00B76CCC"/>
    <w:rsid w:val="00B76CDB"/>
    <w:rsid w:val="00B76D1D"/>
    <w:rsid w:val="00B76DF6"/>
    <w:rsid w:val="00B76F8C"/>
    <w:rsid w:val="00B7703C"/>
    <w:rsid w:val="00B77053"/>
    <w:rsid w:val="00B77085"/>
    <w:rsid w:val="00B770E7"/>
    <w:rsid w:val="00B771B2"/>
    <w:rsid w:val="00B77274"/>
    <w:rsid w:val="00B772AA"/>
    <w:rsid w:val="00B774A9"/>
    <w:rsid w:val="00B774D0"/>
    <w:rsid w:val="00B774E0"/>
    <w:rsid w:val="00B77567"/>
    <w:rsid w:val="00B775E2"/>
    <w:rsid w:val="00B776B1"/>
    <w:rsid w:val="00B77701"/>
    <w:rsid w:val="00B77744"/>
    <w:rsid w:val="00B7775E"/>
    <w:rsid w:val="00B777E0"/>
    <w:rsid w:val="00B7787E"/>
    <w:rsid w:val="00B77923"/>
    <w:rsid w:val="00B779A2"/>
    <w:rsid w:val="00B77A37"/>
    <w:rsid w:val="00B77A71"/>
    <w:rsid w:val="00B77AAC"/>
    <w:rsid w:val="00B77AC3"/>
    <w:rsid w:val="00B77D18"/>
    <w:rsid w:val="00B77D8C"/>
    <w:rsid w:val="00B800A5"/>
    <w:rsid w:val="00B800B5"/>
    <w:rsid w:val="00B80231"/>
    <w:rsid w:val="00B8029F"/>
    <w:rsid w:val="00B80541"/>
    <w:rsid w:val="00B80570"/>
    <w:rsid w:val="00B805F7"/>
    <w:rsid w:val="00B80681"/>
    <w:rsid w:val="00B8079D"/>
    <w:rsid w:val="00B80802"/>
    <w:rsid w:val="00B80AB3"/>
    <w:rsid w:val="00B80C11"/>
    <w:rsid w:val="00B80CBF"/>
    <w:rsid w:val="00B80CDA"/>
    <w:rsid w:val="00B80DAC"/>
    <w:rsid w:val="00B80E18"/>
    <w:rsid w:val="00B80EC7"/>
    <w:rsid w:val="00B8107D"/>
    <w:rsid w:val="00B8114E"/>
    <w:rsid w:val="00B811E7"/>
    <w:rsid w:val="00B813A6"/>
    <w:rsid w:val="00B8146D"/>
    <w:rsid w:val="00B814FB"/>
    <w:rsid w:val="00B81512"/>
    <w:rsid w:val="00B8161F"/>
    <w:rsid w:val="00B81641"/>
    <w:rsid w:val="00B81727"/>
    <w:rsid w:val="00B81798"/>
    <w:rsid w:val="00B8179A"/>
    <w:rsid w:val="00B817A3"/>
    <w:rsid w:val="00B81823"/>
    <w:rsid w:val="00B818C0"/>
    <w:rsid w:val="00B81AF6"/>
    <w:rsid w:val="00B81C7A"/>
    <w:rsid w:val="00B81CA1"/>
    <w:rsid w:val="00B81CBC"/>
    <w:rsid w:val="00B81D38"/>
    <w:rsid w:val="00B81D53"/>
    <w:rsid w:val="00B81D6D"/>
    <w:rsid w:val="00B81D76"/>
    <w:rsid w:val="00B8208E"/>
    <w:rsid w:val="00B82175"/>
    <w:rsid w:val="00B8219C"/>
    <w:rsid w:val="00B8225B"/>
    <w:rsid w:val="00B82265"/>
    <w:rsid w:val="00B8228B"/>
    <w:rsid w:val="00B8232D"/>
    <w:rsid w:val="00B8234A"/>
    <w:rsid w:val="00B82368"/>
    <w:rsid w:val="00B82371"/>
    <w:rsid w:val="00B823BC"/>
    <w:rsid w:val="00B825B3"/>
    <w:rsid w:val="00B8268D"/>
    <w:rsid w:val="00B826AC"/>
    <w:rsid w:val="00B82747"/>
    <w:rsid w:val="00B82758"/>
    <w:rsid w:val="00B82769"/>
    <w:rsid w:val="00B827D4"/>
    <w:rsid w:val="00B8281A"/>
    <w:rsid w:val="00B8290B"/>
    <w:rsid w:val="00B8292E"/>
    <w:rsid w:val="00B82936"/>
    <w:rsid w:val="00B829D7"/>
    <w:rsid w:val="00B82B89"/>
    <w:rsid w:val="00B82BA7"/>
    <w:rsid w:val="00B82DCC"/>
    <w:rsid w:val="00B82E67"/>
    <w:rsid w:val="00B82FBC"/>
    <w:rsid w:val="00B83050"/>
    <w:rsid w:val="00B831C3"/>
    <w:rsid w:val="00B83425"/>
    <w:rsid w:val="00B83439"/>
    <w:rsid w:val="00B8344E"/>
    <w:rsid w:val="00B834FB"/>
    <w:rsid w:val="00B8368D"/>
    <w:rsid w:val="00B836DE"/>
    <w:rsid w:val="00B836E6"/>
    <w:rsid w:val="00B836EB"/>
    <w:rsid w:val="00B836F8"/>
    <w:rsid w:val="00B83779"/>
    <w:rsid w:val="00B8377D"/>
    <w:rsid w:val="00B837F2"/>
    <w:rsid w:val="00B83840"/>
    <w:rsid w:val="00B83887"/>
    <w:rsid w:val="00B838A7"/>
    <w:rsid w:val="00B838B6"/>
    <w:rsid w:val="00B83922"/>
    <w:rsid w:val="00B83975"/>
    <w:rsid w:val="00B83A23"/>
    <w:rsid w:val="00B83A41"/>
    <w:rsid w:val="00B83C94"/>
    <w:rsid w:val="00B84090"/>
    <w:rsid w:val="00B840BD"/>
    <w:rsid w:val="00B84102"/>
    <w:rsid w:val="00B84134"/>
    <w:rsid w:val="00B84190"/>
    <w:rsid w:val="00B84208"/>
    <w:rsid w:val="00B84246"/>
    <w:rsid w:val="00B8443F"/>
    <w:rsid w:val="00B844DE"/>
    <w:rsid w:val="00B84548"/>
    <w:rsid w:val="00B84561"/>
    <w:rsid w:val="00B84696"/>
    <w:rsid w:val="00B84731"/>
    <w:rsid w:val="00B8477A"/>
    <w:rsid w:val="00B84879"/>
    <w:rsid w:val="00B848DF"/>
    <w:rsid w:val="00B8490E"/>
    <w:rsid w:val="00B849B3"/>
    <w:rsid w:val="00B84B56"/>
    <w:rsid w:val="00B84BE1"/>
    <w:rsid w:val="00B84C03"/>
    <w:rsid w:val="00B84CEF"/>
    <w:rsid w:val="00B84DA8"/>
    <w:rsid w:val="00B84E27"/>
    <w:rsid w:val="00B850BA"/>
    <w:rsid w:val="00B850BF"/>
    <w:rsid w:val="00B85195"/>
    <w:rsid w:val="00B851C8"/>
    <w:rsid w:val="00B8530A"/>
    <w:rsid w:val="00B85387"/>
    <w:rsid w:val="00B853A0"/>
    <w:rsid w:val="00B8540D"/>
    <w:rsid w:val="00B8541F"/>
    <w:rsid w:val="00B857DC"/>
    <w:rsid w:val="00B85831"/>
    <w:rsid w:val="00B858DE"/>
    <w:rsid w:val="00B8590F"/>
    <w:rsid w:val="00B85976"/>
    <w:rsid w:val="00B85A9C"/>
    <w:rsid w:val="00B85BEF"/>
    <w:rsid w:val="00B85C17"/>
    <w:rsid w:val="00B85C23"/>
    <w:rsid w:val="00B85CC5"/>
    <w:rsid w:val="00B85DF8"/>
    <w:rsid w:val="00B85EDC"/>
    <w:rsid w:val="00B85FBF"/>
    <w:rsid w:val="00B860EB"/>
    <w:rsid w:val="00B8615E"/>
    <w:rsid w:val="00B861A7"/>
    <w:rsid w:val="00B861E4"/>
    <w:rsid w:val="00B862FF"/>
    <w:rsid w:val="00B8646C"/>
    <w:rsid w:val="00B864CC"/>
    <w:rsid w:val="00B8651B"/>
    <w:rsid w:val="00B86527"/>
    <w:rsid w:val="00B869CC"/>
    <w:rsid w:val="00B86A05"/>
    <w:rsid w:val="00B86B3B"/>
    <w:rsid w:val="00B86B67"/>
    <w:rsid w:val="00B86B75"/>
    <w:rsid w:val="00B86C24"/>
    <w:rsid w:val="00B86C3B"/>
    <w:rsid w:val="00B86D1E"/>
    <w:rsid w:val="00B86D9D"/>
    <w:rsid w:val="00B86EBE"/>
    <w:rsid w:val="00B86F10"/>
    <w:rsid w:val="00B86F94"/>
    <w:rsid w:val="00B86FFA"/>
    <w:rsid w:val="00B87094"/>
    <w:rsid w:val="00B87282"/>
    <w:rsid w:val="00B8729A"/>
    <w:rsid w:val="00B8732D"/>
    <w:rsid w:val="00B87341"/>
    <w:rsid w:val="00B87461"/>
    <w:rsid w:val="00B87507"/>
    <w:rsid w:val="00B875AE"/>
    <w:rsid w:val="00B8761E"/>
    <w:rsid w:val="00B877D2"/>
    <w:rsid w:val="00B879CC"/>
    <w:rsid w:val="00B87C39"/>
    <w:rsid w:val="00B87CFF"/>
    <w:rsid w:val="00B87D0F"/>
    <w:rsid w:val="00B87D1B"/>
    <w:rsid w:val="00B87D9E"/>
    <w:rsid w:val="00B87ED4"/>
    <w:rsid w:val="00B87FD2"/>
    <w:rsid w:val="00B87FE1"/>
    <w:rsid w:val="00B90095"/>
    <w:rsid w:val="00B900E0"/>
    <w:rsid w:val="00B9010E"/>
    <w:rsid w:val="00B90134"/>
    <w:rsid w:val="00B90196"/>
    <w:rsid w:val="00B902CF"/>
    <w:rsid w:val="00B903BE"/>
    <w:rsid w:val="00B90556"/>
    <w:rsid w:val="00B90639"/>
    <w:rsid w:val="00B9067F"/>
    <w:rsid w:val="00B906B0"/>
    <w:rsid w:val="00B90736"/>
    <w:rsid w:val="00B907DB"/>
    <w:rsid w:val="00B9082F"/>
    <w:rsid w:val="00B9090F"/>
    <w:rsid w:val="00B90B24"/>
    <w:rsid w:val="00B90BA7"/>
    <w:rsid w:val="00B90BD1"/>
    <w:rsid w:val="00B90C7F"/>
    <w:rsid w:val="00B90CA2"/>
    <w:rsid w:val="00B90D12"/>
    <w:rsid w:val="00B90D7D"/>
    <w:rsid w:val="00B90DE1"/>
    <w:rsid w:val="00B90ECF"/>
    <w:rsid w:val="00B90ED6"/>
    <w:rsid w:val="00B90FC2"/>
    <w:rsid w:val="00B90FD4"/>
    <w:rsid w:val="00B91035"/>
    <w:rsid w:val="00B91068"/>
    <w:rsid w:val="00B910C8"/>
    <w:rsid w:val="00B910C9"/>
    <w:rsid w:val="00B9116E"/>
    <w:rsid w:val="00B911C6"/>
    <w:rsid w:val="00B911CF"/>
    <w:rsid w:val="00B91240"/>
    <w:rsid w:val="00B91435"/>
    <w:rsid w:val="00B91526"/>
    <w:rsid w:val="00B9152D"/>
    <w:rsid w:val="00B91565"/>
    <w:rsid w:val="00B91567"/>
    <w:rsid w:val="00B915A3"/>
    <w:rsid w:val="00B91668"/>
    <w:rsid w:val="00B916FA"/>
    <w:rsid w:val="00B917EB"/>
    <w:rsid w:val="00B9185B"/>
    <w:rsid w:val="00B91895"/>
    <w:rsid w:val="00B918DC"/>
    <w:rsid w:val="00B918EA"/>
    <w:rsid w:val="00B91A03"/>
    <w:rsid w:val="00B91A7D"/>
    <w:rsid w:val="00B91B14"/>
    <w:rsid w:val="00B91B2F"/>
    <w:rsid w:val="00B91BB0"/>
    <w:rsid w:val="00B91BE8"/>
    <w:rsid w:val="00B91C26"/>
    <w:rsid w:val="00B91CFF"/>
    <w:rsid w:val="00B91D4A"/>
    <w:rsid w:val="00B91EFE"/>
    <w:rsid w:val="00B91F13"/>
    <w:rsid w:val="00B91F6C"/>
    <w:rsid w:val="00B92021"/>
    <w:rsid w:val="00B920F0"/>
    <w:rsid w:val="00B920F3"/>
    <w:rsid w:val="00B92317"/>
    <w:rsid w:val="00B923FB"/>
    <w:rsid w:val="00B92587"/>
    <w:rsid w:val="00B925B0"/>
    <w:rsid w:val="00B925BE"/>
    <w:rsid w:val="00B9270B"/>
    <w:rsid w:val="00B92738"/>
    <w:rsid w:val="00B92765"/>
    <w:rsid w:val="00B927D9"/>
    <w:rsid w:val="00B928E0"/>
    <w:rsid w:val="00B9292E"/>
    <w:rsid w:val="00B9299C"/>
    <w:rsid w:val="00B92AB9"/>
    <w:rsid w:val="00B92ACC"/>
    <w:rsid w:val="00B92BC8"/>
    <w:rsid w:val="00B92CD4"/>
    <w:rsid w:val="00B92D16"/>
    <w:rsid w:val="00B92D4B"/>
    <w:rsid w:val="00B92E47"/>
    <w:rsid w:val="00B92E87"/>
    <w:rsid w:val="00B92EE3"/>
    <w:rsid w:val="00B92F13"/>
    <w:rsid w:val="00B930D5"/>
    <w:rsid w:val="00B931A9"/>
    <w:rsid w:val="00B93252"/>
    <w:rsid w:val="00B93329"/>
    <w:rsid w:val="00B93392"/>
    <w:rsid w:val="00B933CF"/>
    <w:rsid w:val="00B93496"/>
    <w:rsid w:val="00B934B2"/>
    <w:rsid w:val="00B935EF"/>
    <w:rsid w:val="00B936D7"/>
    <w:rsid w:val="00B9379E"/>
    <w:rsid w:val="00B93831"/>
    <w:rsid w:val="00B9383D"/>
    <w:rsid w:val="00B9395F"/>
    <w:rsid w:val="00B9399B"/>
    <w:rsid w:val="00B939D2"/>
    <w:rsid w:val="00B93A92"/>
    <w:rsid w:val="00B93B41"/>
    <w:rsid w:val="00B93B54"/>
    <w:rsid w:val="00B93BBF"/>
    <w:rsid w:val="00B93C17"/>
    <w:rsid w:val="00B93C1E"/>
    <w:rsid w:val="00B93CA0"/>
    <w:rsid w:val="00B93E48"/>
    <w:rsid w:val="00B93E87"/>
    <w:rsid w:val="00B93ED3"/>
    <w:rsid w:val="00B940A2"/>
    <w:rsid w:val="00B9421F"/>
    <w:rsid w:val="00B9428F"/>
    <w:rsid w:val="00B942AB"/>
    <w:rsid w:val="00B942F5"/>
    <w:rsid w:val="00B9437E"/>
    <w:rsid w:val="00B9460F"/>
    <w:rsid w:val="00B94674"/>
    <w:rsid w:val="00B9477B"/>
    <w:rsid w:val="00B947E1"/>
    <w:rsid w:val="00B947EA"/>
    <w:rsid w:val="00B94836"/>
    <w:rsid w:val="00B948D5"/>
    <w:rsid w:val="00B949A9"/>
    <w:rsid w:val="00B949D1"/>
    <w:rsid w:val="00B94A56"/>
    <w:rsid w:val="00B94A5E"/>
    <w:rsid w:val="00B94A65"/>
    <w:rsid w:val="00B94B06"/>
    <w:rsid w:val="00B94B67"/>
    <w:rsid w:val="00B94BAF"/>
    <w:rsid w:val="00B94BCA"/>
    <w:rsid w:val="00B94CAB"/>
    <w:rsid w:val="00B94CB2"/>
    <w:rsid w:val="00B94D10"/>
    <w:rsid w:val="00B94E1F"/>
    <w:rsid w:val="00B94E70"/>
    <w:rsid w:val="00B9501A"/>
    <w:rsid w:val="00B9505F"/>
    <w:rsid w:val="00B95170"/>
    <w:rsid w:val="00B951AA"/>
    <w:rsid w:val="00B951AF"/>
    <w:rsid w:val="00B9522E"/>
    <w:rsid w:val="00B95284"/>
    <w:rsid w:val="00B952D5"/>
    <w:rsid w:val="00B9538A"/>
    <w:rsid w:val="00B9539C"/>
    <w:rsid w:val="00B9542A"/>
    <w:rsid w:val="00B954CF"/>
    <w:rsid w:val="00B95544"/>
    <w:rsid w:val="00B9554C"/>
    <w:rsid w:val="00B9556B"/>
    <w:rsid w:val="00B95578"/>
    <w:rsid w:val="00B955A4"/>
    <w:rsid w:val="00B956DE"/>
    <w:rsid w:val="00B956FF"/>
    <w:rsid w:val="00B957F1"/>
    <w:rsid w:val="00B95AE4"/>
    <w:rsid w:val="00B95CC8"/>
    <w:rsid w:val="00B95DEC"/>
    <w:rsid w:val="00B95E10"/>
    <w:rsid w:val="00B95F02"/>
    <w:rsid w:val="00B95F6D"/>
    <w:rsid w:val="00B95F80"/>
    <w:rsid w:val="00B960D2"/>
    <w:rsid w:val="00B960EB"/>
    <w:rsid w:val="00B962C5"/>
    <w:rsid w:val="00B96334"/>
    <w:rsid w:val="00B963D2"/>
    <w:rsid w:val="00B964A7"/>
    <w:rsid w:val="00B96635"/>
    <w:rsid w:val="00B96640"/>
    <w:rsid w:val="00B9664A"/>
    <w:rsid w:val="00B9672C"/>
    <w:rsid w:val="00B9675A"/>
    <w:rsid w:val="00B967F5"/>
    <w:rsid w:val="00B96875"/>
    <w:rsid w:val="00B9689B"/>
    <w:rsid w:val="00B96950"/>
    <w:rsid w:val="00B96962"/>
    <w:rsid w:val="00B96984"/>
    <w:rsid w:val="00B96991"/>
    <w:rsid w:val="00B969C5"/>
    <w:rsid w:val="00B96A0C"/>
    <w:rsid w:val="00B96AE5"/>
    <w:rsid w:val="00B96AFF"/>
    <w:rsid w:val="00B96B18"/>
    <w:rsid w:val="00B96B1C"/>
    <w:rsid w:val="00B96B47"/>
    <w:rsid w:val="00B96C09"/>
    <w:rsid w:val="00B96CCE"/>
    <w:rsid w:val="00B96DAF"/>
    <w:rsid w:val="00B96DCD"/>
    <w:rsid w:val="00B96E2C"/>
    <w:rsid w:val="00B96E55"/>
    <w:rsid w:val="00B96E87"/>
    <w:rsid w:val="00B96FBC"/>
    <w:rsid w:val="00B9717B"/>
    <w:rsid w:val="00B97214"/>
    <w:rsid w:val="00B9721A"/>
    <w:rsid w:val="00B97226"/>
    <w:rsid w:val="00B9722C"/>
    <w:rsid w:val="00B972AE"/>
    <w:rsid w:val="00B972DF"/>
    <w:rsid w:val="00B97471"/>
    <w:rsid w:val="00B97515"/>
    <w:rsid w:val="00B97580"/>
    <w:rsid w:val="00B97675"/>
    <w:rsid w:val="00B976B1"/>
    <w:rsid w:val="00B977C1"/>
    <w:rsid w:val="00B977E9"/>
    <w:rsid w:val="00B977FA"/>
    <w:rsid w:val="00B9787A"/>
    <w:rsid w:val="00B97910"/>
    <w:rsid w:val="00B979A2"/>
    <w:rsid w:val="00B97BC7"/>
    <w:rsid w:val="00B97C72"/>
    <w:rsid w:val="00B97C83"/>
    <w:rsid w:val="00B97CC1"/>
    <w:rsid w:val="00B97D7E"/>
    <w:rsid w:val="00B97DD7"/>
    <w:rsid w:val="00B97EA7"/>
    <w:rsid w:val="00B97EE0"/>
    <w:rsid w:val="00B97F6A"/>
    <w:rsid w:val="00BA00B3"/>
    <w:rsid w:val="00BA00D3"/>
    <w:rsid w:val="00BA00F6"/>
    <w:rsid w:val="00BA0123"/>
    <w:rsid w:val="00BA013C"/>
    <w:rsid w:val="00BA01D5"/>
    <w:rsid w:val="00BA0237"/>
    <w:rsid w:val="00BA028A"/>
    <w:rsid w:val="00BA02D1"/>
    <w:rsid w:val="00BA03B6"/>
    <w:rsid w:val="00BA04C8"/>
    <w:rsid w:val="00BA04FC"/>
    <w:rsid w:val="00BA05A4"/>
    <w:rsid w:val="00BA05B8"/>
    <w:rsid w:val="00BA068D"/>
    <w:rsid w:val="00BA06D1"/>
    <w:rsid w:val="00BA07EF"/>
    <w:rsid w:val="00BA0884"/>
    <w:rsid w:val="00BA08E8"/>
    <w:rsid w:val="00BA091F"/>
    <w:rsid w:val="00BA092C"/>
    <w:rsid w:val="00BA0A57"/>
    <w:rsid w:val="00BA0AEC"/>
    <w:rsid w:val="00BA0AFB"/>
    <w:rsid w:val="00BA0B1D"/>
    <w:rsid w:val="00BA0B23"/>
    <w:rsid w:val="00BA0B80"/>
    <w:rsid w:val="00BA0B9A"/>
    <w:rsid w:val="00BA0BA8"/>
    <w:rsid w:val="00BA0C9D"/>
    <w:rsid w:val="00BA0CD3"/>
    <w:rsid w:val="00BA0D2B"/>
    <w:rsid w:val="00BA105C"/>
    <w:rsid w:val="00BA1182"/>
    <w:rsid w:val="00BA11F9"/>
    <w:rsid w:val="00BA1278"/>
    <w:rsid w:val="00BA12A9"/>
    <w:rsid w:val="00BA139D"/>
    <w:rsid w:val="00BA13B6"/>
    <w:rsid w:val="00BA1439"/>
    <w:rsid w:val="00BA144A"/>
    <w:rsid w:val="00BA145A"/>
    <w:rsid w:val="00BA1487"/>
    <w:rsid w:val="00BA14B8"/>
    <w:rsid w:val="00BA14E3"/>
    <w:rsid w:val="00BA15FE"/>
    <w:rsid w:val="00BA179C"/>
    <w:rsid w:val="00BA17B8"/>
    <w:rsid w:val="00BA1884"/>
    <w:rsid w:val="00BA18D2"/>
    <w:rsid w:val="00BA191D"/>
    <w:rsid w:val="00BA1980"/>
    <w:rsid w:val="00BA19D7"/>
    <w:rsid w:val="00BA1A0D"/>
    <w:rsid w:val="00BA1A19"/>
    <w:rsid w:val="00BA1A4B"/>
    <w:rsid w:val="00BA1B47"/>
    <w:rsid w:val="00BA1BB2"/>
    <w:rsid w:val="00BA1C95"/>
    <w:rsid w:val="00BA1C96"/>
    <w:rsid w:val="00BA1C9E"/>
    <w:rsid w:val="00BA1CBA"/>
    <w:rsid w:val="00BA1D24"/>
    <w:rsid w:val="00BA1DC7"/>
    <w:rsid w:val="00BA1F12"/>
    <w:rsid w:val="00BA1F48"/>
    <w:rsid w:val="00BA1FA0"/>
    <w:rsid w:val="00BA1FB0"/>
    <w:rsid w:val="00BA202C"/>
    <w:rsid w:val="00BA20EE"/>
    <w:rsid w:val="00BA213C"/>
    <w:rsid w:val="00BA2145"/>
    <w:rsid w:val="00BA2150"/>
    <w:rsid w:val="00BA21B8"/>
    <w:rsid w:val="00BA22D3"/>
    <w:rsid w:val="00BA2353"/>
    <w:rsid w:val="00BA2397"/>
    <w:rsid w:val="00BA23D0"/>
    <w:rsid w:val="00BA240D"/>
    <w:rsid w:val="00BA248E"/>
    <w:rsid w:val="00BA24B1"/>
    <w:rsid w:val="00BA271D"/>
    <w:rsid w:val="00BA2799"/>
    <w:rsid w:val="00BA2819"/>
    <w:rsid w:val="00BA2846"/>
    <w:rsid w:val="00BA28E0"/>
    <w:rsid w:val="00BA29E7"/>
    <w:rsid w:val="00BA2A17"/>
    <w:rsid w:val="00BA2B33"/>
    <w:rsid w:val="00BA2BDB"/>
    <w:rsid w:val="00BA2D71"/>
    <w:rsid w:val="00BA2E9D"/>
    <w:rsid w:val="00BA2EAB"/>
    <w:rsid w:val="00BA2EAE"/>
    <w:rsid w:val="00BA2F0D"/>
    <w:rsid w:val="00BA2F2E"/>
    <w:rsid w:val="00BA2F89"/>
    <w:rsid w:val="00BA3015"/>
    <w:rsid w:val="00BA3058"/>
    <w:rsid w:val="00BA30AF"/>
    <w:rsid w:val="00BA3131"/>
    <w:rsid w:val="00BA3171"/>
    <w:rsid w:val="00BA31A8"/>
    <w:rsid w:val="00BA31EB"/>
    <w:rsid w:val="00BA3280"/>
    <w:rsid w:val="00BA3350"/>
    <w:rsid w:val="00BA3383"/>
    <w:rsid w:val="00BA347F"/>
    <w:rsid w:val="00BA353D"/>
    <w:rsid w:val="00BA3553"/>
    <w:rsid w:val="00BA3561"/>
    <w:rsid w:val="00BA3568"/>
    <w:rsid w:val="00BA380B"/>
    <w:rsid w:val="00BA385A"/>
    <w:rsid w:val="00BA38EF"/>
    <w:rsid w:val="00BA3B05"/>
    <w:rsid w:val="00BA3B54"/>
    <w:rsid w:val="00BA3B78"/>
    <w:rsid w:val="00BA3D07"/>
    <w:rsid w:val="00BA3DB8"/>
    <w:rsid w:val="00BA3E3F"/>
    <w:rsid w:val="00BA3E60"/>
    <w:rsid w:val="00BA3F34"/>
    <w:rsid w:val="00BA408D"/>
    <w:rsid w:val="00BA40AD"/>
    <w:rsid w:val="00BA40FA"/>
    <w:rsid w:val="00BA4103"/>
    <w:rsid w:val="00BA4302"/>
    <w:rsid w:val="00BA4392"/>
    <w:rsid w:val="00BA43B5"/>
    <w:rsid w:val="00BA43D1"/>
    <w:rsid w:val="00BA4419"/>
    <w:rsid w:val="00BA448B"/>
    <w:rsid w:val="00BA4535"/>
    <w:rsid w:val="00BA455F"/>
    <w:rsid w:val="00BA4611"/>
    <w:rsid w:val="00BA46E7"/>
    <w:rsid w:val="00BA491D"/>
    <w:rsid w:val="00BA4950"/>
    <w:rsid w:val="00BA49C7"/>
    <w:rsid w:val="00BA4B3C"/>
    <w:rsid w:val="00BA4B88"/>
    <w:rsid w:val="00BA4C17"/>
    <w:rsid w:val="00BA4C19"/>
    <w:rsid w:val="00BA4CE3"/>
    <w:rsid w:val="00BA4D30"/>
    <w:rsid w:val="00BA4EFD"/>
    <w:rsid w:val="00BA4FEE"/>
    <w:rsid w:val="00BA5241"/>
    <w:rsid w:val="00BA53D1"/>
    <w:rsid w:val="00BA54C0"/>
    <w:rsid w:val="00BA5578"/>
    <w:rsid w:val="00BA5779"/>
    <w:rsid w:val="00BA5830"/>
    <w:rsid w:val="00BA5879"/>
    <w:rsid w:val="00BA587A"/>
    <w:rsid w:val="00BA58B2"/>
    <w:rsid w:val="00BA58B6"/>
    <w:rsid w:val="00BA5AA1"/>
    <w:rsid w:val="00BA5AEB"/>
    <w:rsid w:val="00BA5BCD"/>
    <w:rsid w:val="00BA5D7D"/>
    <w:rsid w:val="00BA5E38"/>
    <w:rsid w:val="00BA5E3A"/>
    <w:rsid w:val="00BA5F60"/>
    <w:rsid w:val="00BA612C"/>
    <w:rsid w:val="00BA6144"/>
    <w:rsid w:val="00BA62B2"/>
    <w:rsid w:val="00BA63BB"/>
    <w:rsid w:val="00BA63D0"/>
    <w:rsid w:val="00BA6426"/>
    <w:rsid w:val="00BA6465"/>
    <w:rsid w:val="00BA6472"/>
    <w:rsid w:val="00BA6482"/>
    <w:rsid w:val="00BA6524"/>
    <w:rsid w:val="00BA6534"/>
    <w:rsid w:val="00BA663F"/>
    <w:rsid w:val="00BA6886"/>
    <w:rsid w:val="00BA68C6"/>
    <w:rsid w:val="00BA69DC"/>
    <w:rsid w:val="00BA6A7A"/>
    <w:rsid w:val="00BA6BB6"/>
    <w:rsid w:val="00BA6C4A"/>
    <w:rsid w:val="00BA6D26"/>
    <w:rsid w:val="00BA6D81"/>
    <w:rsid w:val="00BA6DDC"/>
    <w:rsid w:val="00BA6E7A"/>
    <w:rsid w:val="00BA6FB6"/>
    <w:rsid w:val="00BA6FEB"/>
    <w:rsid w:val="00BA6FF5"/>
    <w:rsid w:val="00BA70F7"/>
    <w:rsid w:val="00BA710B"/>
    <w:rsid w:val="00BA714F"/>
    <w:rsid w:val="00BA717B"/>
    <w:rsid w:val="00BA7186"/>
    <w:rsid w:val="00BA7253"/>
    <w:rsid w:val="00BA72A0"/>
    <w:rsid w:val="00BA72B6"/>
    <w:rsid w:val="00BA7329"/>
    <w:rsid w:val="00BA7345"/>
    <w:rsid w:val="00BA73F0"/>
    <w:rsid w:val="00BA7409"/>
    <w:rsid w:val="00BA74E8"/>
    <w:rsid w:val="00BA74F8"/>
    <w:rsid w:val="00BA7745"/>
    <w:rsid w:val="00BA7813"/>
    <w:rsid w:val="00BA7824"/>
    <w:rsid w:val="00BA7835"/>
    <w:rsid w:val="00BA78ED"/>
    <w:rsid w:val="00BA79AA"/>
    <w:rsid w:val="00BA7A69"/>
    <w:rsid w:val="00BA7B84"/>
    <w:rsid w:val="00BA7C4F"/>
    <w:rsid w:val="00BA7CE3"/>
    <w:rsid w:val="00BA7D18"/>
    <w:rsid w:val="00BA7D73"/>
    <w:rsid w:val="00BA7F1D"/>
    <w:rsid w:val="00BB0121"/>
    <w:rsid w:val="00BB0195"/>
    <w:rsid w:val="00BB0262"/>
    <w:rsid w:val="00BB02A0"/>
    <w:rsid w:val="00BB02B5"/>
    <w:rsid w:val="00BB02E7"/>
    <w:rsid w:val="00BB0336"/>
    <w:rsid w:val="00BB0389"/>
    <w:rsid w:val="00BB0396"/>
    <w:rsid w:val="00BB043C"/>
    <w:rsid w:val="00BB046F"/>
    <w:rsid w:val="00BB069F"/>
    <w:rsid w:val="00BB0734"/>
    <w:rsid w:val="00BB0749"/>
    <w:rsid w:val="00BB0878"/>
    <w:rsid w:val="00BB09AB"/>
    <w:rsid w:val="00BB09FD"/>
    <w:rsid w:val="00BB0A58"/>
    <w:rsid w:val="00BB0A9C"/>
    <w:rsid w:val="00BB0B3B"/>
    <w:rsid w:val="00BB0B9E"/>
    <w:rsid w:val="00BB0BA7"/>
    <w:rsid w:val="00BB0C40"/>
    <w:rsid w:val="00BB0D67"/>
    <w:rsid w:val="00BB0DC2"/>
    <w:rsid w:val="00BB0E4D"/>
    <w:rsid w:val="00BB0F41"/>
    <w:rsid w:val="00BB0FD7"/>
    <w:rsid w:val="00BB100D"/>
    <w:rsid w:val="00BB100E"/>
    <w:rsid w:val="00BB1137"/>
    <w:rsid w:val="00BB11AB"/>
    <w:rsid w:val="00BB137C"/>
    <w:rsid w:val="00BB13CB"/>
    <w:rsid w:val="00BB156E"/>
    <w:rsid w:val="00BB1834"/>
    <w:rsid w:val="00BB1836"/>
    <w:rsid w:val="00BB1884"/>
    <w:rsid w:val="00BB188C"/>
    <w:rsid w:val="00BB18C5"/>
    <w:rsid w:val="00BB1915"/>
    <w:rsid w:val="00BB191B"/>
    <w:rsid w:val="00BB1AE8"/>
    <w:rsid w:val="00BB1B2F"/>
    <w:rsid w:val="00BB1B4B"/>
    <w:rsid w:val="00BB1C9E"/>
    <w:rsid w:val="00BB1CA5"/>
    <w:rsid w:val="00BB1DAC"/>
    <w:rsid w:val="00BB1FDE"/>
    <w:rsid w:val="00BB203A"/>
    <w:rsid w:val="00BB2043"/>
    <w:rsid w:val="00BB2075"/>
    <w:rsid w:val="00BB212B"/>
    <w:rsid w:val="00BB2147"/>
    <w:rsid w:val="00BB21BB"/>
    <w:rsid w:val="00BB2205"/>
    <w:rsid w:val="00BB225D"/>
    <w:rsid w:val="00BB2358"/>
    <w:rsid w:val="00BB23C3"/>
    <w:rsid w:val="00BB23E8"/>
    <w:rsid w:val="00BB23F3"/>
    <w:rsid w:val="00BB255A"/>
    <w:rsid w:val="00BB2573"/>
    <w:rsid w:val="00BB265D"/>
    <w:rsid w:val="00BB2670"/>
    <w:rsid w:val="00BB275A"/>
    <w:rsid w:val="00BB28B8"/>
    <w:rsid w:val="00BB2906"/>
    <w:rsid w:val="00BB2A92"/>
    <w:rsid w:val="00BB2AA9"/>
    <w:rsid w:val="00BB2ABC"/>
    <w:rsid w:val="00BB2B5F"/>
    <w:rsid w:val="00BB2B6C"/>
    <w:rsid w:val="00BB2B8C"/>
    <w:rsid w:val="00BB2D4E"/>
    <w:rsid w:val="00BB2D6A"/>
    <w:rsid w:val="00BB2DB3"/>
    <w:rsid w:val="00BB2E41"/>
    <w:rsid w:val="00BB2EA4"/>
    <w:rsid w:val="00BB2EE5"/>
    <w:rsid w:val="00BB2F74"/>
    <w:rsid w:val="00BB315F"/>
    <w:rsid w:val="00BB316E"/>
    <w:rsid w:val="00BB3185"/>
    <w:rsid w:val="00BB31E9"/>
    <w:rsid w:val="00BB3259"/>
    <w:rsid w:val="00BB3295"/>
    <w:rsid w:val="00BB32B5"/>
    <w:rsid w:val="00BB337E"/>
    <w:rsid w:val="00BB349A"/>
    <w:rsid w:val="00BB34ED"/>
    <w:rsid w:val="00BB35F3"/>
    <w:rsid w:val="00BB36D0"/>
    <w:rsid w:val="00BB3723"/>
    <w:rsid w:val="00BB3759"/>
    <w:rsid w:val="00BB375A"/>
    <w:rsid w:val="00BB377B"/>
    <w:rsid w:val="00BB390B"/>
    <w:rsid w:val="00BB3912"/>
    <w:rsid w:val="00BB39E9"/>
    <w:rsid w:val="00BB3A3A"/>
    <w:rsid w:val="00BB3A8D"/>
    <w:rsid w:val="00BB3B07"/>
    <w:rsid w:val="00BB3B7C"/>
    <w:rsid w:val="00BB3B7D"/>
    <w:rsid w:val="00BB3DFC"/>
    <w:rsid w:val="00BB3F5A"/>
    <w:rsid w:val="00BB3FC9"/>
    <w:rsid w:val="00BB4135"/>
    <w:rsid w:val="00BB413B"/>
    <w:rsid w:val="00BB4260"/>
    <w:rsid w:val="00BB43D8"/>
    <w:rsid w:val="00BB43EB"/>
    <w:rsid w:val="00BB445C"/>
    <w:rsid w:val="00BB45CA"/>
    <w:rsid w:val="00BB4660"/>
    <w:rsid w:val="00BB47C3"/>
    <w:rsid w:val="00BB47EE"/>
    <w:rsid w:val="00BB4830"/>
    <w:rsid w:val="00BB4852"/>
    <w:rsid w:val="00BB486F"/>
    <w:rsid w:val="00BB4A99"/>
    <w:rsid w:val="00BB4D78"/>
    <w:rsid w:val="00BB4EBC"/>
    <w:rsid w:val="00BB4F29"/>
    <w:rsid w:val="00BB4FD7"/>
    <w:rsid w:val="00BB4FEA"/>
    <w:rsid w:val="00BB500D"/>
    <w:rsid w:val="00BB52C7"/>
    <w:rsid w:val="00BB5448"/>
    <w:rsid w:val="00BB551B"/>
    <w:rsid w:val="00BB56AC"/>
    <w:rsid w:val="00BB5790"/>
    <w:rsid w:val="00BB581F"/>
    <w:rsid w:val="00BB5888"/>
    <w:rsid w:val="00BB588F"/>
    <w:rsid w:val="00BB5912"/>
    <w:rsid w:val="00BB5A06"/>
    <w:rsid w:val="00BB5A66"/>
    <w:rsid w:val="00BB5AC1"/>
    <w:rsid w:val="00BB5BB8"/>
    <w:rsid w:val="00BB5BFA"/>
    <w:rsid w:val="00BB5D6D"/>
    <w:rsid w:val="00BB5D81"/>
    <w:rsid w:val="00BB5DC2"/>
    <w:rsid w:val="00BB5DFC"/>
    <w:rsid w:val="00BB5EE3"/>
    <w:rsid w:val="00BB5F6F"/>
    <w:rsid w:val="00BB5F8B"/>
    <w:rsid w:val="00BB5FDE"/>
    <w:rsid w:val="00BB6077"/>
    <w:rsid w:val="00BB611E"/>
    <w:rsid w:val="00BB6195"/>
    <w:rsid w:val="00BB6376"/>
    <w:rsid w:val="00BB63B2"/>
    <w:rsid w:val="00BB6512"/>
    <w:rsid w:val="00BB6541"/>
    <w:rsid w:val="00BB6570"/>
    <w:rsid w:val="00BB65EB"/>
    <w:rsid w:val="00BB6625"/>
    <w:rsid w:val="00BB6635"/>
    <w:rsid w:val="00BB6738"/>
    <w:rsid w:val="00BB67E4"/>
    <w:rsid w:val="00BB68AA"/>
    <w:rsid w:val="00BB68D7"/>
    <w:rsid w:val="00BB6976"/>
    <w:rsid w:val="00BB6999"/>
    <w:rsid w:val="00BB69D4"/>
    <w:rsid w:val="00BB6AF9"/>
    <w:rsid w:val="00BB6B74"/>
    <w:rsid w:val="00BB6BB2"/>
    <w:rsid w:val="00BB6C3A"/>
    <w:rsid w:val="00BB6CE1"/>
    <w:rsid w:val="00BB6E8B"/>
    <w:rsid w:val="00BB6EA2"/>
    <w:rsid w:val="00BB6ED5"/>
    <w:rsid w:val="00BB6F20"/>
    <w:rsid w:val="00BB6F5B"/>
    <w:rsid w:val="00BB7103"/>
    <w:rsid w:val="00BB71B9"/>
    <w:rsid w:val="00BB7296"/>
    <w:rsid w:val="00BB73A8"/>
    <w:rsid w:val="00BB73F0"/>
    <w:rsid w:val="00BB7591"/>
    <w:rsid w:val="00BB7613"/>
    <w:rsid w:val="00BB774B"/>
    <w:rsid w:val="00BB78E7"/>
    <w:rsid w:val="00BB7909"/>
    <w:rsid w:val="00BB7963"/>
    <w:rsid w:val="00BB7973"/>
    <w:rsid w:val="00BB7A1A"/>
    <w:rsid w:val="00BB7AC2"/>
    <w:rsid w:val="00BB7B01"/>
    <w:rsid w:val="00BB7B26"/>
    <w:rsid w:val="00BB7B95"/>
    <w:rsid w:val="00BB7CA1"/>
    <w:rsid w:val="00BB7D25"/>
    <w:rsid w:val="00BB7DFC"/>
    <w:rsid w:val="00BB7E33"/>
    <w:rsid w:val="00BB7E44"/>
    <w:rsid w:val="00BB7F4D"/>
    <w:rsid w:val="00BB7F99"/>
    <w:rsid w:val="00BC00A8"/>
    <w:rsid w:val="00BC010C"/>
    <w:rsid w:val="00BC016A"/>
    <w:rsid w:val="00BC024F"/>
    <w:rsid w:val="00BC0340"/>
    <w:rsid w:val="00BC045F"/>
    <w:rsid w:val="00BC04CC"/>
    <w:rsid w:val="00BC0648"/>
    <w:rsid w:val="00BC06D0"/>
    <w:rsid w:val="00BC0AF3"/>
    <w:rsid w:val="00BC0C3E"/>
    <w:rsid w:val="00BC0D4F"/>
    <w:rsid w:val="00BC0DDD"/>
    <w:rsid w:val="00BC0E0D"/>
    <w:rsid w:val="00BC0E3E"/>
    <w:rsid w:val="00BC0E57"/>
    <w:rsid w:val="00BC0F08"/>
    <w:rsid w:val="00BC0F42"/>
    <w:rsid w:val="00BC0F4C"/>
    <w:rsid w:val="00BC0FD3"/>
    <w:rsid w:val="00BC102C"/>
    <w:rsid w:val="00BC105F"/>
    <w:rsid w:val="00BC115C"/>
    <w:rsid w:val="00BC1231"/>
    <w:rsid w:val="00BC12E1"/>
    <w:rsid w:val="00BC146D"/>
    <w:rsid w:val="00BC1593"/>
    <w:rsid w:val="00BC1599"/>
    <w:rsid w:val="00BC16F4"/>
    <w:rsid w:val="00BC1796"/>
    <w:rsid w:val="00BC1829"/>
    <w:rsid w:val="00BC191D"/>
    <w:rsid w:val="00BC1935"/>
    <w:rsid w:val="00BC19A4"/>
    <w:rsid w:val="00BC1A29"/>
    <w:rsid w:val="00BC1A71"/>
    <w:rsid w:val="00BC1BFA"/>
    <w:rsid w:val="00BC1CCC"/>
    <w:rsid w:val="00BC1DA8"/>
    <w:rsid w:val="00BC1ED7"/>
    <w:rsid w:val="00BC1EDF"/>
    <w:rsid w:val="00BC1F89"/>
    <w:rsid w:val="00BC1FEB"/>
    <w:rsid w:val="00BC202B"/>
    <w:rsid w:val="00BC2062"/>
    <w:rsid w:val="00BC20FC"/>
    <w:rsid w:val="00BC217F"/>
    <w:rsid w:val="00BC21CE"/>
    <w:rsid w:val="00BC225D"/>
    <w:rsid w:val="00BC22CE"/>
    <w:rsid w:val="00BC2311"/>
    <w:rsid w:val="00BC235A"/>
    <w:rsid w:val="00BC237A"/>
    <w:rsid w:val="00BC2387"/>
    <w:rsid w:val="00BC23F2"/>
    <w:rsid w:val="00BC2413"/>
    <w:rsid w:val="00BC2427"/>
    <w:rsid w:val="00BC2499"/>
    <w:rsid w:val="00BC24A8"/>
    <w:rsid w:val="00BC24C5"/>
    <w:rsid w:val="00BC2558"/>
    <w:rsid w:val="00BC2672"/>
    <w:rsid w:val="00BC2675"/>
    <w:rsid w:val="00BC2714"/>
    <w:rsid w:val="00BC2779"/>
    <w:rsid w:val="00BC27C1"/>
    <w:rsid w:val="00BC2833"/>
    <w:rsid w:val="00BC29F6"/>
    <w:rsid w:val="00BC2A20"/>
    <w:rsid w:val="00BC2ABD"/>
    <w:rsid w:val="00BC2B38"/>
    <w:rsid w:val="00BC2C1E"/>
    <w:rsid w:val="00BC2D10"/>
    <w:rsid w:val="00BC2D15"/>
    <w:rsid w:val="00BC2D28"/>
    <w:rsid w:val="00BC2E79"/>
    <w:rsid w:val="00BC2EFB"/>
    <w:rsid w:val="00BC2F1C"/>
    <w:rsid w:val="00BC2F42"/>
    <w:rsid w:val="00BC2F4A"/>
    <w:rsid w:val="00BC2FDA"/>
    <w:rsid w:val="00BC3225"/>
    <w:rsid w:val="00BC32BF"/>
    <w:rsid w:val="00BC349D"/>
    <w:rsid w:val="00BC36C5"/>
    <w:rsid w:val="00BC372E"/>
    <w:rsid w:val="00BC37E8"/>
    <w:rsid w:val="00BC37F7"/>
    <w:rsid w:val="00BC3813"/>
    <w:rsid w:val="00BC382E"/>
    <w:rsid w:val="00BC3843"/>
    <w:rsid w:val="00BC384B"/>
    <w:rsid w:val="00BC3921"/>
    <w:rsid w:val="00BC3956"/>
    <w:rsid w:val="00BC39D0"/>
    <w:rsid w:val="00BC39F6"/>
    <w:rsid w:val="00BC3A54"/>
    <w:rsid w:val="00BC3AB9"/>
    <w:rsid w:val="00BC3AEF"/>
    <w:rsid w:val="00BC3B6D"/>
    <w:rsid w:val="00BC3D8D"/>
    <w:rsid w:val="00BC3E28"/>
    <w:rsid w:val="00BC3F2B"/>
    <w:rsid w:val="00BC406A"/>
    <w:rsid w:val="00BC40A0"/>
    <w:rsid w:val="00BC42DE"/>
    <w:rsid w:val="00BC4345"/>
    <w:rsid w:val="00BC4358"/>
    <w:rsid w:val="00BC4473"/>
    <w:rsid w:val="00BC4499"/>
    <w:rsid w:val="00BC4505"/>
    <w:rsid w:val="00BC464A"/>
    <w:rsid w:val="00BC467E"/>
    <w:rsid w:val="00BC4701"/>
    <w:rsid w:val="00BC4758"/>
    <w:rsid w:val="00BC4852"/>
    <w:rsid w:val="00BC4853"/>
    <w:rsid w:val="00BC4890"/>
    <w:rsid w:val="00BC48AE"/>
    <w:rsid w:val="00BC4985"/>
    <w:rsid w:val="00BC4A41"/>
    <w:rsid w:val="00BC4A94"/>
    <w:rsid w:val="00BC4AF7"/>
    <w:rsid w:val="00BC4B76"/>
    <w:rsid w:val="00BC4B94"/>
    <w:rsid w:val="00BC4D34"/>
    <w:rsid w:val="00BC4DFF"/>
    <w:rsid w:val="00BC4E42"/>
    <w:rsid w:val="00BC4E49"/>
    <w:rsid w:val="00BC4E69"/>
    <w:rsid w:val="00BC5107"/>
    <w:rsid w:val="00BC51BD"/>
    <w:rsid w:val="00BC51D4"/>
    <w:rsid w:val="00BC5264"/>
    <w:rsid w:val="00BC54A3"/>
    <w:rsid w:val="00BC555E"/>
    <w:rsid w:val="00BC5607"/>
    <w:rsid w:val="00BC5775"/>
    <w:rsid w:val="00BC5823"/>
    <w:rsid w:val="00BC5855"/>
    <w:rsid w:val="00BC58DC"/>
    <w:rsid w:val="00BC5939"/>
    <w:rsid w:val="00BC59DC"/>
    <w:rsid w:val="00BC5A6A"/>
    <w:rsid w:val="00BC5A6F"/>
    <w:rsid w:val="00BC5BA5"/>
    <w:rsid w:val="00BC5BCF"/>
    <w:rsid w:val="00BC5C3F"/>
    <w:rsid w:val="00BC5C71"/>
    <w:rsid w:val="00BC5C80"/>
    <w:rsid w:val="00BC5CB5"/>
    <w:rsid w:val="00BC5CF9"/>
    <w:rsid w:val="00BC5CFF"/>
    <w:rsid w:val="00BC5DA0"/>
    <w:rsid w:val="00BC5DB1"/>
    <w:rsid w:val="00BC5E20"/>
    <w:rsid w:val="00BC5E29"/>
    <w:rsid w:val="00BC5E9D"/>
    <w:rsid w:val="00BC5F2C"/>
    <w:rsid w:val="00BC60DE"/>
    <w:rsid w:val="00BC6103"/>
    <w:rsid w:val="00BC6111"/>
    <w:rsid w:val="00BC6199"/>
    <w:rsid w:val="00BC62CE"/>
    <w:rsid w:val="00BC6407"/>
    <w:rsid w:val="00BC6423"/>
    <w:rsid w:val="00BC6464"/>
    <w:rsid w:val="00BC6482"/>
    <w:rsid w:val="00BC6696"/>
    <w:rsid w:val="00BC6792"/>
    <w:rsid w:val="00BC6808"/>
    <w:rsid w:val="00BC69FF"/>
    <w:rsid w:val="00BC6A1F"/>
    <w:rsid w:val="00BC6ACC"/>
    <w:rsid w:val="00BC6B2B"/>
    <w:rsid w:val="00BC6C56"/>
    <w:rsid w:val="00BC6CD0"/>
    <w:rsid w:val="00BC6D0B"/>
    <w:rsid w:val="00BC6DD2"/>
    <w:rsid w:val="00BC6DF3"/>
    <w:rsid w:val="00BC6E3E"/>
    <w:rsid w:val="00BC6E8F"/>
    <w:rsid w:val="00BC6F6C"/>
    <w:rsid w:val="00BC6F7D"/>
    <w:rsid w:val="00BC6FBE"/>
    <w:rsid w:val="00BC7124"/>
    <w:rsid w:val="00BC713A"/>
    <w:rsid w:val="00BC71FC"/>
    <w:rsid w:val="00BC720B"/>
    <w:rsid w:val="00BC7234"/>
    <w:rsid w:val="00BC7369"/>
    <w:rsid w:val="00BC73F3"/>
    <w:rsid w:val="00BC74CA"/>
    <w:rsid w:val="00BC757F"/>
    <w:rsid w:val="00BC768D"/>
    <w:rsid w:val="00BC7710"/>
    <w:rsid w:val="00BC774A"/>
    <w:rsid w:val="00BC77A1"/>
    <w:rsid w:val="00BC77F9"/>
    <w:rsid w:val="00BC7879"/>
    <w:rsid w:val="00BC798D"/>
    <w:rsid w:val="00BC7A42"/>
    <w:rsid w:val="00BC7BE6"/>
    <w:rsid w:val="00BC7C9D"/>
    <w:rsid w:val="00BC7E38"/>
    <w:rsid w:val="00BC7EBE"/>
    <w:rsid w:val="00BC7F0B"/>
    <w:rsid w:val="00BC7F97"/>
    <w:rsid w:val="00BC7FF8"/>
    <w:rsid w:val="00BD0005"/>
    <w:rsid w:val="00BD005C"/>
    <w:rsid w:val="00BD00A1"/>
    <w:rsid w:val="00BD00D3"/>
    <w:rsid w:val="00BD00DA"/>
    <w:rsid w:val="00BD00E7"/>
    <w:rsid w:val="00BD010E"/>
    <w:rsid w:val="00BD0190"/>
    <w:rsid w:val="00BD02BC"/>
    <w:rsid w:val="00BD0313"/>
    <w:rsid w:val="00BD047C"/>
    <w:rsid w:val="00BD051B"/>
    <w:rsid w:val="00BD054D"/>
    <w:rsid w:val="00BD05BE"/>
    <w:rsid w:val="00BD05D6"/>
    <w:rsid w:val="00BD05F1"/>
    <w:rsid w:val="00BD08BE"/>
    <w:rsid w:val="00BD08CE"/>
    <w:rsid w:val="00BD0915"/>
    <w:rsid w:val="00BD095A"/>
    <w:rsid w:val="00BD09D6"/>
    <w:rsid w:val="00BD0A06"/>
    <w:rsid w:val="00BD0A0B"/>
    <w:rsid w:val="00BD0A9C"/>
    <w:rsid w:val="00BD0AF3"/>
    <w:rsid w:val="00BD0B33"/>
    <w:rsid w:val="00BD0BB8"/>
    <w:rsid w:val="00BD0CC9"/>
    <w:rsid w:val="00BD0E00"/>
    <w:rsid w:val="00BD0E2A"/>
    <w:rsid w:val="00BD0EA1"/>
    <w:rsid w:val="00BD0EA2"/>
    <w:rsid w:val="00BD0ECC"/>
    <w:rsid w:val="00BD1002"/>
    <w:rsid w:val="00BD103D"/>
    <w:rsid w:val="00BD1096"/>
    <w:rsid w:val="00BD1166"/>
    <w:rsid w:val="00BD121C"/>
    <w:rsid w:val="00BD128B"/>
    <w:rsid w:val="00BD1370"/>
    <w:rsid w:val="00BD1427"/>
    <w:rsid w:val="00BD144F"/>
    <w:rsid w:val="00BD1472"/>
    <w:rsid w:val="00BD15D3"/>
    <w:rsid w:val="00BD15D8"/>
    <w:rsid w:val="00BD1643"/>
    <w:rsid w:val="00BD19BC"/>
    <w:rsid w:val="00BD1A58"/>
    <w:rsid w:val="00BD1ACA"/>
    <w:rsid w:val="00BD1B65"/>
    <w:rsid w:val="00BD1B87"/>
    <w:rsid w:val="00BD1BC4"/>
    <w:rsid w:val="00BD1C5C"/>
    <w:rsid w:val="00BD1CC9"/>
    <w:rsid w:val="00BD1E4D"/>
    <w:rsid w:val="00BD1E6C"/>
    <w:rsid w:val="00BD1E77"/>
    <w:rsid w:val="00BD1EA6"/>
    <w:rsid w:val="00BD1ED0"/>
    <w:rsid w:val="00BD1F1F"/>
    <w:rsid w:val="00BD1F35"/>
    <w:rsid w:val="00BD2114"/>
    <w:rsid w:val="00BD2186"/>
    <w:rsid w:val="00BD21D3"/>
    <w:rsid w:val="00BD2224"/>
    <w:rsid w:val="00BD230D"/>
    <w:rsid w:val="00BD2330"/>
    <w:rsid w:val="00BD236B"/>
    <w:rsid w:val="00BD23B2"/>
    <w:rsid w:val="00BD264F"/>
    <w:rsid w:val="00BD26F8"/>
    <w:rsid w:val="00BD2789"/>
    <w:rsid w:val="00BD2832"/>
    <w:rsid w:val="00BD2893"/>
    <w:rsid w:val="00BD2931"/>
    <w:rsid w:val="00BD2975"/>
    <w:rsid w:val="00BD2A01"/>
    <w:rsid w:val="00BD2B18"/>
    <w:rsid w:val="00BD2B87"/>
    <w:rsid w:val="00BD2BB2"/>
    <w:rsid w:val="00BD2BBC"/>
    <w:rsid w:val="00BD2BE7"/>
    <w:rsid w:val="00BD2CD8"/>
    <w:rsid w:val="00BD2DC1"/>
    <w:rsid w:val="00BD2E2D"/>
    <w:rsid w:val="00BD2E89"/>
    <w:rsid w:val="00BD2E8D"/>
    <w:rsid w:val="00BD2EE3"/>
    <w:rsid w:val="00BD2F75"/>
    <w:rsid w:val="00BD2FBF"/>
    <w:rsid w:val="00BD2FE8"/>
    <w:rsid w:val="00BD3000"/>
    <w:rsid w:val="00BD301F"/>
    <w:rsid w:val="00BD325A"/>
    <w:rsid w:val="00BD32C7"/>
    <w:rsid w:val="00BD3436"/>
    <w:rsid w:val="00BD346C"/>
    <w:rsid w:val="00BD366D"/>
    <w:rsid w:val="00BD3689"/>
    <w:rsid w:val="00BD36C4"/>
    <w:rsid w:val="00BD376B"/>
    <w:rsid w:val="00BD3809"/>
    <w:rsid w:val="00BD3845"/>
    <w:rsid w:val="00BD38E1"/>
    <w:rsid w:val="00BD3909"/>
    <w:rsid w:val="00BD3AEE"/>
    <w:rsid w:val="00BD3BA7"/>
    <w:rsid w:val="00BD3C12"/>
    <w:rsid w:val="00BD3C13"/>
    <w:rsid w:val="00BD3DB3"/>
    <w:rsid w:val="00BD3E00"/>
    <w:rsid w:val="00BD3F87"/>
    <w:rsid w:val="00BD405F"/>
    <w:rsid w:val="00BD412F"/>
    <w:rsid w:val="00BD417C"/>
    <w:rsid w:val="00BD438E"/>
    <w:rsid w:val="00BD438F"/>
    <w:rsid w:val="00BD4552"/>
    <w:rsid w:val="00BD4582"/>
    <w:rsid w:val="00BD465A"/>
    <w:rsid w:val="00BD46A7"/>
    <w:rsid w:val="00BD46A9"/>
    <w:rsid w:val="00BD4823"/>
    <w:rsid w:val="00BD4863"/>
    <w:rsid w:val="00BD495E"/>
    <w:rsid w:val="00BD497A"/>
    <w:rsid w:val="00BD4A9C"/>
    <w:rsid w:val="00BD4B02"/>
    <w:rsid w:val="00BD4CE4"/>
    <w:rsid w:val="00BD4D43"/>
    <w:rsid w:val="00BD4DE6"/>
    <w:rsid w:val="00BD4EC4"/>
    <w:rsid w:val="00BD5005"/>
    <w:rsid w:val="00BD502F"/>
    <w:rsid w:val="00BD5082"/>
    <w:rsid w:val="00BD5087"/>
    <w:rsid w:val="00BD5103"/>
    <w:rsid w:val="00BD518D"/>
    <w:rsid w:val="00BD52A7"/>
    <w:rsid w:val="00BD53E3"/>
    <w:rsid w:val="00BD53F5"/>
    <w:rsid w:val="00BD54AE"/>
    <w:rsid w:val="00BD54C9"/>
    <w:rsid w:val="00BD54D5"/>
    <w:rsid w:val="00BD54D6"/>
    <w:rsid w:val="00BD54E1"/>
    <w:rsid w:val="00BD555E"/>
    <w:rsid w:val="00BD55BD"/>
    <w:rsid w:val="00BD55FA"/>
    <w:rsid w:val="00BD5647"/>
    <w:rsid w:val="00BD5707"/>
    <w:rsid w:val="00BD57E1"/>
    <w:rsid w:val="00BD5861"/>
    <w:rsid w:val="00BD5889"/>
    <w:rsid w:val="00BD5B6F"/>
    <w:rsid w:val="00BD5BDC"/>
    <w:rsid w:val="00BD5C36"/>
    <w:rsid w:val="00BD5D25"/>
    <w:rsid w:val="00BD5EA3"/>
    <w:rsid w:val="00BD5EAC"/>
    <w:rsid w:val="00BD5ECE"/>
    <w:rsid w:val="00BD601B"/>
    <w:rsid w:val="00BD6084"/>
    <w:rsid w:val="00BD6179"/>
    <w:rsid w:val="00BD61AC"/>
    <w:rsid w:val="00BD62E6"/>
    <w:rsid w:val="00BD6312"/>
    <w:rsid w:val="00BD6340"/>
    <w:rsid w:val="00BD63A9"/>
    <w:rsid w:val="00BD648F"/>
    <w:rsid w:val="00BD64B2"/>
    <w:rsid w:val="00BD64B6"/>
    <w:rsid w:val="00BD64CB"/>
    <w:rsid w:val="00BD652A"/>
    <w:rsid w:val="00BD654D"/>
    <w:rsid w:val="00BD6868"/>
    <w:rsid w:val="00BD68C4"/>
    <w:rsid w:val="00BD69FC"/>
    <w:rsid w:val="00BD6A19"/>
    <w:rsid w:val="00BD6A87"/>
    <w:rsid w:val="00BD6BBC"/>
    <w:rsid w:val="00BD6BC1"/>
    <w:rsid w:val="00BD6BEC"/>
    <w:rsid w:val="00BD6C2B"/>
    <w:rsid w:val="00BD6C35"/>
    <w:rsid w:val="00BD6CA3"/>
    <w:rsid w:val="00BD6E39"/>
    <w:rsid w:val="00BD6E4A"/>
    <w:rsid w:val="00BD6E6D"/>
    <w:rsid w:val="00BD6F86"/>
    <w:rsid w:val="00BD7037"/>
    <w:rsid w:val="00BD7161"/>
    <w:rsid w:val="00BD71BB"/>
    <w:rsid w:val="00BD725F"/>
    <w:rsid w:val="00BD726A"/>
    <w:rsid w:val="00BD72BE"/>
    <w:rsid w:val="00BD739C"/>
    <w:rsid w:val="00BD73A0"/>
    <w:rsid w:val="00BD756E"/>
    <w:rsid w:val="00BD7733"/>
    <w:rsid w:val="00BD77A4"/>
    <w:rsid w:val="00BD77E9"/>
    <w:rsid w:val="00BD78EF"/>
    <w:rsid w:val="00BD7A4C"/>
    <w:rsid w:val="00BD7A5A"/>
    <w:rsid w:val="00BD7AB7"/>
    <w:rsid w:val="00BD7C97"/>
    <w:rsid w:val="00BD7E20"/>
    <w:rsid w:val="00BD7ECF"/>
    <w:rsid w:val="00BD7F5A"/>
    <w:rsid w:val="00BD7FB3"/>
    <w:rsid w:val="00BE0036"/>
    <w:rsid w:val="00BE0064"/>
    <w:rsid w:val="00BE0077"/>
    <w:rsid w:val="00BE009D"/>
    <w:rsid w:val="00BE0165"/>
    <w:rsid w:val="00BE01E3"/>
    <w:rsid w:val="00BE01F3"/>
    <w:rsid w:val="00BE0223"/>
    <w:rsid w:val="00BE0239"/>
    <w:rsid w:val="00BE0253"/>
    <w:rsid w:val="00BE0312"/>
    <w:rsid w:val="00BE0356"/>
    <w:rsid w:val="00BE03E7"/>
    <w:rsid w:val="00BE0436"/>
    <w:rsid w:val="00BE04C9"/>
    <w:rsid w:val="00BE05DB"/>
    <w:rsid w:val="00BE05EB"/>
    <w:rsid w:val="00BE06DF"/>
    <w:rsid w:val="00BE06EA"/>
    <w:rsid w:val="00BE076C"/>
    <w:rsid w:val="00BE07FB"/>
    <w:rsid w:val="00BE08CC"/>
    <w:rsid w:val="00BE08D1"/>
    <w:rsid w:val="00BE0920"/>
    <w:rsid w:val="00BE0959"/>
    <w:rsid w:val="00BE0967"/>
    <w:rsid w:val="00BE0970"/>
    <w:rsid w:val="00BE0A53"/>
    <w:rsid w:val="00BE0BCD"/>
    <w:rsid w:val="00BE0D38"/>
    <w:rsid w:val="00BE0DAC"/>
    <w:rsid w:val="00BE0DD0"/>
    <w:rsid w:val="00BE0E2D"/>
    <w:rsid w:val="00BE0E60"/>
    <w:rsid w:val="00BE0FE9"/>
    <w:rsid w:val="00BE1044"/>
    <w:rsid w:val="00BE110F"/>
    <w:rsid w:val="00BE111E"/>
    <w:rsid w:val="00BE12AF"/>
    <w:rsid w:val="00BE12B4"/>
    <w:rsid w:val="00BE1307"/>
    <w:rsid w:val="00BE141E"/>
    <w:rsid w:val="00BE142B"/>
    <w:rsid w:val="00BE148C"/>
    <w:rsid w:val="00BE148F"/>
    <w:rsid w:val="00BE14D5"/>
    <w:rsid w:val="00BE1535"/>
    <w:rsid w:val="00BE15A0"/>
    <w:rsid w:val="00BE1602"/>
    <w:rsid w:val="00BE1697"/>
    <w:rsid w:val="00BE1881"/>
    <w:rsid w:val="00BE18AC"/>
    <w:rsid w:val="00BE1A14"/>
    <w:rsid w:val="00BE1B57"/>
    <w:rsid w:val="00BE1C48"/>
    <w:rsid w:val="00BE1CB1"/>
    <w:rsid w:val="00BE1D59"/>
    <w:rsid w:val="00BE1DA9"/>
    <w:rsid w:val="00BE1E29"/>
    <w:rsid w:val="00BE1EF5"/>
    <w:rsid w:val="00BE1F4B"/>
    <w:rsid w:val="00BE2027"/>
    <w:rsid w:val="00BE20D3"/>
    <w:rsid w:val="00BE217C"/>
    <w:rsid w:val="00BE2184"/>
    <w:rsid w:val="00BE21C0"/>
    <w:rsid w:val="00BE222B"/>
    <w:rsid w:val="00BE243F"/>
    <w:rsid w:val="00BE2488"/>
    <w:rsid w:val="00BE25A9"/>
    <w:rsid w:val="00BE2627"/>
    <w:rsid w:val="00BE278A"/>
    <w:rsid w:val="00BE27D1"/>
    <w:rsid w:val="00BE27F4"/>
    <w:rsid w:val="00BE27F7"/>
    <w:rsid w:val="00BE2843"/>
    <w:rsid w:val="00BE28B2"/>
    <w:rsid w:val="00BE290B"/>
    <w:rsid w:val="00BE295E"/>
    <w:rsid w:val="00BE2A71"/>
    <w:rsid w:val="00BE2B84"/>
    <w:rsid w:val="00BE2C0B"/>
    <w:rsid w:val="00BE2C4A"/>
    <w:rsid w:val="00BE2CDB"/>
    <w:rsid w:val="00BE2E10"/>
    <w:rsid w:val="00BE2EB9"/>
    <w:rsid w:val="00BE2EFA"/>
    <w:rsid w:val="00BE3029"/>
    <w:rsid w:val="00BE33D1"/>
    <w:rsid w:val="00BE33FE"/>
    <w:rsid w:val="00BE3429"/>
    <w:rsid w:val="00BE34D3"/>
    <w:rsid w:val="00BE3533"/>
    <w:rsid w:val="00BE3557"/>
    <w:rsid w:val="00BE368C"/>
    <w:rsid w:val="00BE36C2"/>
    <w:rsid w:val="00BE36ED"/>
    <w:rsid w:val="00BE3716"/>
    <w:rsid w:val="00BE37B2"/>
    <w:rsid w:val="00BE385A"/>
    <w:rsid w:val="00BE3882"/>
    <w:rsid w:val="00BE38C5"/>
    <w:rsid w:val="00BE3932"/>
    <w:rsid w:val="00BE39C7"/>
    <w:rsid w:val="00BE3B20"/>
    <w:rsid w:val="00BE3C49"/>
    <w:rsid w:val="00BE3CF7"/>
    <w:rsid w:val="00BE3E00"/>
    <w:rsid w:val="00BE3EBE"/>
    <w:rsid w:val="00BE4030"/>
    <w:rsid w:val="00BE40C7"/>
    <w:rsid w:val="00BE41A9"/>
    <w:rsid w:val="00BE41D8"/>
    <w:rsid w:val="00BE41FD"/>
    <w:rsid w:val="00BE4211"/>
    <w:rsid w:val="00BE4238"/>
    <w:rsid w:val="00BE4329"/>
    <w:rsid w:val="00BE437A"/>
    <w:rsid w:val="00BE44C4"/>
    <w:rsid w:val="00BE44D0"/>
    <w:rsid w:val="00BE457F"/>
    <w:rsid w:val="00BE468B"/>
    <w:rsid w:val="00BE46EC"/>
    <w:rsid w:val="00BE4719"/>
    <w:rsid w:val="00BE4731"/>
    <w:rsid w:val="00BE4795"/>
    <w:rsid w:val="00BE4987"/>
    <w:rsid w:val="00BE49BD"/>
    <w:rsid w:val="00BE4B78"/>
    <w:rsid w:val="00BE4B9E"/>
    <w:rsid w:val="00BE4BD5"/>
    <w:rsid w:val="00BE4E12"/>
    <w:rsid w:val="00BE4F63"/>
    <w:rsid w:val="00BE4FB3"/>
    <w:rsid w:val="00BE504E"/>
    <w:rsid w:val="00BE516E"/>
    <w:rsid w:val="00BE51F6"/>
    <w:rsid w:val="00BE525F"/>
    <w:rsid w:val="00BE54AC"/>
    <w:rsid w:val="00BE56DE"/>
    <w:rsid w:val="00BE573D"/>
    <w:rsid w:val="00BE57F4"/>
    <w:rsid w:val="00BE57FB"/>
    <w:rsid w:val="00BE5832"/>
    <w:rsid w:val="00BE5878"/>
    <w:rsid w:val="00BE58DE"/>
    <w:rsid w:val="00BE58E8"/>
    <w:rsid w:val="00BE591C"/>
    <w:rsid w:val="00BE5941"/>
    <w:rsid w:val="00BE595C"/>
    <w:rsid w:val="00BE59B8"/>
    <w:rsid w:val="00BE5A2B"/>
    <w:rsid w:val="00BE5AA9"/>
    <w:rsid w:val="00BE5AEF"/>
    <w:rsid w:val="00BE5B61"/>
    <w:rsid w:val="00BE5B6D"/>
    <w:rsid w:val="00BE5D0F"/>
    <w:rsid w:val="00BE5D97"/>
    <w:rsid w:val="00BE5D98"/>
    <w:rsid w:val="00BE5ECF"/>
    <w:rsid w:val="00BE5F46"/>
    <w:rsid w:val="00BE5FD9"/>
    <w:rsid w:val="00BE6022"/>
    <w:rsid w:val="00BE6052"/>
    <w:rsid w:val="00BE60A5"/>
    <w:rsid w:val="00BE60B7"/>
    <w:rsid w:val="00BE60CB"/>
    <w:rsid w:val="00BE60D4"/>
    <w:rsid w:val="00BE60FC"/>
    <w:rsid w:val="00BE61AE"/>
    <w:rsid w:val="00BE62A8"/>
    <w:rsid w:val="00BE63CB"/>
    <w:rsid w:val="00BE642C"/>
    <w:rsid w:val="00BE645B"/>
    <w:rsid w:val="00BE65F6"/>
    <w:rsid w:val="00BE6625"/>
    <w:rsid w:val="00BE6634"/>
    <w:rsid w:val="00BE6680"/>
    <w:rsid w:val="00BE6715"/>
    <w:rsid w:val="00BE67AF"/>
    <w:rsid w:val="00BE6853"/>
    <w:rsid w:val="00BE68A7"/>
    <w:rsid w:val="00BE68FB"/>
    <w:rsid w:val="00BE6924"/>
    <w:rsid w:val="00BE6967"/>
    <w:rsid w:val="00BE69AA"/>
    <w:rsid w:val="00BE69B0"/>
    <w:rsid w:val="00BE69BA"/>
    <w:rsid w:val="00BE69D5"/>
    <w:rsid w:val="00BE6A07"/>
    <w:rsid w:val="00BE6A75"/>
    <w:rsid w:val="00BE6A8B"/>
    <w:rsid w:val="00BE6BBD"/>
    <w:rsid w:val="00BE6D7E"/>
    <w:rsid w:val="00BE6DD3"/>
    <w:rsid w:val="00BE6E3F"/>
    <w:rsid w:val="00BE6E43"/>
    <w:rsid w:val="00BE6F31"/>
    <w:rsid w:val="00BE6FDA"/>
    <w:rsid w:val="00BE7050"/>
    <w:rsid w:val="00BE70D2"/>
    <w:rsid w:val="00BE7157"/>
    <w:rsid w:val="00BE7202"/>
    <w:rsid w:val="00BE7270"/>
    <w:rsid w:val="00BE72A3"/>
    <w:rsid w:val="00BE732E"/>
    <w:rsid w:val="00BE7342"/>
    <w:rsid w:val="00BE73E2"/>
    <w:rsid w:val="00BE7402"/>
    <w:rsid w:val="00BE760C"/>
    <w:rsid w:val="00BE7640"/>
    <w:rsid w:val="00BE76CF"/>
    <w:rsid w:val="00BE773C"/>
    <w:rsid w:val="00BE775E"/>
    <w:rsid w:val="00BE7856"/>
    <w:rsid w:val="00BE7C2E"/>
    <w:rsid w:val="00BE7D30"/>
    <w:rsid w:val="00BE7D66"/>
    <w:rsid w:val="00BE7E79"/>
    <w:rsid w:val="00BE7F24"/>
    <w:rsid w:val="00BF005D"/>
    <w:rsid w:val="00BF00A0"/>
    <w:rsid w:val="00BF0406"/>
    <w:rsid w:val="00BF0447"/>
    <w:rsid w:val="00BF0500"/>
    <w:rsid w:val="00BF0526"/>
    <w:rsid w:val="00BF05B6"/>
    <w:rsid w:val="00BF06F4"/>
    <w:rsid w:val="00BF079D"/>
    <w:rsid w:val="00BF082D"/>
    <w:rsid w:val="00BF089F"/>
    <w:rsid w:val="00BF08CA"/>
    <w:rsid w:val="00BF08EE"/>
    <w:rsid w:val="00BF0986"/>
    <w:rsid w:val="00BF099F"/>
    <w:rsid w:val="00BF0D91"/>
    <w:rsid w:val="00BF0E17"/>
    <w:rsid w:val="00BF0EDE"/>
    <w:rsid w:val="00BF0F84"/>
    <w:rsid w:val="00BF0FAB"/>
    <w:rsid w:val="00BF0FC3"/>
    <w:rsid w:val="00BF0FC8"/>
    <w:rsid w:val="00BF10A8"/>
    <w:rsid w:val="00BF1131"/>
    <w:rsid w:val="00BF11AC"/>
    <w:rsid w:val="00BF11B6"/>
    <w:rsid w:val="00BF1277"/>
    <w:rsid w:val="00BF1295"/>
    <w:rsid w:val="00BF131E"/>
    <w:rsid w:val="00BF14A6"/>
    <w:rsid w:val="00BF156D"/>
    <w:rsid w:val="00BF1627"/>
    <w:rsid w:val="00BF169F"/>
    <w:rsid w:val="00BF16CD"/>
    <w:rsid w:val="00BF179A"/>
    <w:rsid w:val="00BF17D1"/>
    <w:rsid w:val="00BF17E2"/>
    <w:rsid w:val="00BF1838"/>
    <w:rsid w:val="00BF1ADA"/>
    <w:rsid w:val="00BF1BD7"/>
    <w:rsid w:val="00BF1DD1"/>
    <w:rsid w:val="00BF1EA9"/>
    <w:rsid w:val="00BF1EF5"/>
    <w:rsid w:val="00BF1FCA"/>
    <w:rsid w:val="00BF2042"/>
    <w:rsid w:val="00BF21D3"/>
    <w:rsid w:val="00BF229C"/>
    <w:rsid w:val="00BF22FB"/>
    <w:rsid w:val="00BF2304"/>
    <w:rsid w:val="00BF230E"/>
    <w:rsid w:val="00BF2321"/>
    <w:rsid w:val="00BF2345"/>
    <w:rsid w:val="00BF2395"/>
    <w:rsid w:val="00BF24B4"/>
    <w:rsid w:val="00BF24CB"/>
    <w:rsid w:val="00BF2506"/>
    <w:rsid w:val="00BF2610"/>
    <w:rsid w:val="00BF27C5"/>
    <w:rsid w:val="00BF2847"/>
    <w:rsid w:val="00BF291C"/>
    <w:rsid w:val="00BF2B84"/>
    <w:rsid w:val="00BF2BC0"/>
    <w:rsid w:val="00BF2D6F"/>
    <w:rsid w:val="00BF2D8C"/>
    <w:rsid w:val="00BF2E78"/>
    <w:rsid w:val="00BF2EB3"/>
    <w:rsid w:val="00BF2EB8"/>
    <w:rsid w:val="00BF2FB1"/>
    <w:rsid w:val="00BF2FB8"/>
    <w:rsid w:val="00BF3094"/>
    <w:rsid w:val="00BF30B9"/>
    <w:rsid w:val="00BF3114"/>
    <w:rsid w:val="00BF3165"/>
    <w:rsid w:val="00BF32FD"/>
    <w:rsid w:val="00BF3364"/>
    <w:rsid w:val="00BF3549"/>
    <w:rsid w:val="00BF359E"/>
    <w:rsid w:val="00BF35B7"/>
    <w:rsid w:val="00BF36E9"/>
    <w:rsid w:val="00BF3715"/>
    <w:rsid w:val="00BF3788"/>
    <w:rsid w:val="00BF37DD"/>
    <w:rsid w:val="00BF38C9"/>
    <w:rsid w:val="00BF38D0"/>
    <w:rsid w:val="00BF3994"/>
    <w:rsid w:val="00BF39E3"/>
    <w:rsid w:val="00BF39FF"/>
    <w:rsid w:val="00BF3A8A"/>
    <w:rsid w:val="00BF3C8D"/>
    <w:rsid w:val="00BF3CAD"/>
    <w:rsid w:val="00BF3CAF"/>
    <w:rsid w:val="00BF3D23"/>
    <w:rsid w:val="00BF3D46"/>
    <w:rsid w:val="00BF3DFA"/>
    <w:rsid w:val="00BF4031"/>
    <w:rsid w:val="00BF40F4"/>
    <w:rsid w:val="00BF4217"/>
    <w:rsid w:val="00BF434A"/>
    <w:rsid w:val="00BF43E2"/>
    <w:rsid w:val="00BF44B5"/>
    <w:rsid w:val="00BF44D8"/>
    <w:rsid w:val="00BF44F2"/>
    <w:rsid w:val="00BF453D"/>
    <w:rsid w:val="00BF46E2"/>
    <w:rsid w:val="00BF46E3"/>
    <w:rsid w:val="00BF473B"/>
    <w:rsid w:val="00BF4757"/>
    <w:rsid w:val="00BF47A7"/>
    <w:rsid w:val="00BF47D8"/>
    <w:rsid w:val="00BF48E2"/>
    <w:rsid w:val="00BF4975"/>
    <w:rsid w:val="00BF499B"/>
    <w:rsid w:val="00BF4A00"/>
    <w:rsid w:val="00BF4A74"/>
    <w:rsid w:val="00BF4A84"/>
    <w:rsid w:val="00BF4ABB"/>
    <w:rsid w:val="00BF4AE7"/>
    <w:rsid w:val="00BF4C33"/>
    <w:rsid w:val="00BF4C36"/>
    <w:rsid w:val="00BF4D1B"/>
    <w:rsid w:val="00BF4D8E"/>
    <w:rsid w:val="00BF4E2C"/>
    <w:rsid w:val="00BF4E85"/>
    <w:rsid w:val="00BF4EEE"/>
    <w:rsid w:val="00BF4EF6"/>
    <w:rsid w:val="00BF4F64"/>
    <w:rsid w:val="00BF4FA3"/>
    <w:rsid w:val="00BF50E5"/>
    <w:rsid w:val="00BF5204"/>
    <w:rsid w:val="00BF5346"/>
    <w:rsid w:val="00BF537C"/>
    <w:rsid w:val="00BF53A8"/>
    <w:rsid w:val="00BF53AF"/>
    <w:rsid w:val="00BF551F"/>
    <w:rsid w:val="00BF5599"/>
    <w:rsid w:val="00BF563C"/>
    <w:rsid w:val="00BF5648"/>
    <w:rsid w:val="00BF56EA"/>
    <w:rsid w:val="00BF59B3"/>
    <w:rsid w:val="00BF5A2B"/>
    <w:rsid w:val="00BF5B49"/>
    <w:rsid w:val="00BF5B66"/>
    <w:rsid w:val="00BF5B80"/>
    <w:rsid w:val="00BF5BFB"/>
    <w:rsid w:val="00BF5E7C"/>
    <w:rsid w:val="00BF5F15"/>
    <w:rsid w:val="00BF60D1"/>
    <w:rsid w:val="00BF60D9"/>
    <w:rsid w:val="00BF6105"/>
    <w:rsid w:val="00BF6158"/>
    <w:rsid w:val="00BF61CA"/>
    <w:rsid w:val="00BF6262"/>
    <w:rsid w:val="00BF6273"/>
    <w:rsid w:val="00BF63AF"/>
    <w:rsid w:val="00BF6429"/>
    <w:rsid w:val="00BF6452"/>
    <w:rsid w:val="00BF6536"/>
    <w:rsid w:val="00BF66C6"/>
    <w:rsid w:val="00BF67D0"/>
    <w:rsid w:val="00BF696D"/>
    <w:rsid w:val="00BF6B1C"/>
    <w:rsid w:val="00BF6B64"/>
    <w:rsid w:val="00BF6B82"/>
    <w:rsid w:val="00BF6BD0"/>
    <w:rsid w:val="00BF6C77"/>
    <w:rsid w:val="00BF6C9E"/>
    <w:rsid w:val="00BF6CC3"/>
    <w:rsid w:val="00BF6E73"/>
    <w:rsid w:val="00BF6F1A"/>
    <w:rsid w:val="00BF6FCA"/>
    <w:rsid w:val="00BF7022"/>
    <w:rsid w:val="00BF7136"/>
    <w:rsid w:val="00BF71B2"/>
    <w:rsid w:val="00BF71B8"/>
    <w:rsid w:val="00BF71CD"/>
    <w:rsid w:val="00BF71E8"/>
    <w:rsid w:val="00BF7387"/>
    <w:rsid w:val="00BF73FD"/>
    <w:rsid w:val="00BF7436"/>
    <w:rsid w:val="00BF7469"/>
    <w:rsid w:val="00BF752D"/>
    <w:rsid w:val="00BF7585"/>
    <w:rsid w:val="00BF75FF"/>
    <w:rsid w:val="00BF760B"/>
    <w:rsid w:val="00BF766E"/>
    <w:rsid w:val="00BF7724"/>
    <w:rsid w:val="00BF7857"/>
    <w:rsid w:val="00BF79FC"/>
    <w:rsid w:val="00BF7AF0"/>
    <w:rsid w:val="00BF7D3B"/>
    <w:rsid w:val="00BF7E6B"/>
    <w:rsid w:val="00BF7E9F"/>
    <w:rsid w:val="00BF7EF0"/>
    <w:rsid w:val="00BF7F6B"/>
    <w:rsid w:val="00C0006F"/>
    <w:rsid w:val="00C00274"/>
    <w:rsid w:val="00C004C7"/>
    <w:rsid w:val="00C0050E"/>
    <w:rsid w:val="00C005F8"/>
    <w:rsid w:val="00C00660"/>
    <w:rsid w:val="00C00765"/>
    <w:rsid w:val="00C00810"/>
    <w:rsid w:val="00C0082C"/>
    <w:rsid w:val="00C0082E"/>
    <w:rsid w:val="00C00856"/>
    <w:rsid w:val="00C00949"/>
    <w:rsid w:val="00C00A58"/>
    <w:rsid w:val="00C00A92"/>
    <w:rsid w:val="00C00C58"/>
    <w:rsid w:val="00C00D80"/>
    <w:rsid w:val="00C00E04"/>
    <w:rsid w:val="00C00E09"/>
    <w:rsid w:val="00C00E37"/>
    <w:rsid w:val="00C00E79"/>
    <w:rsid w:val="00C01006"/>
    <w:rsid w:val="00C01053"/>
    <w:rsid w:val="00C010A7"/>
    <w:rsid w:val="00C01184"/>
    <w:rsid w:val="00C01339"/>
    <w:rsid w:val="00C0133A"/>
    <w:rsid w:val="00C015F6"/>
    <w:rsid w:val="00C0160B"/>
    <w:rsid w:val="00C0169B"/>
    <w:rsid w:val="00C01706"/>
    <w:rsid w:val="00C01856"/>
    <w:rsid w:val="00C018E0"/>
    <w:rsid w:val="00C01A46"/>
    <w:rsid w:val="00C01A72"/>
    <w:rsid w:val="00C01A89"/>
    <w:rsid w:val="00C01BB3"/>
    <w:rsid w:val="00C01C52"/>
    <w:rsid w:val="00C01CEA"/>
    <w:rsid w:val="00C01D0B"/>
    <w:rsid w:val="00C01D6A"/>
    <w:rsid w:val="00C01D96"/>
    <w:rsid w:val="00C01E11"/>
    <w:rsid w:val="00C01E96"/>
    <w:rsid w:val="00C01F3A"/>
    <w:rsid w:val="00C01F48"/>
    <w:rsid w:val="00C021CB"/>
    <w:rsid w:val="00C02271"/>
    <w:rsid w:val="00C02349"/>
    <w:rsid w:val="00C023B6"/>
    <w:rsid w:val="00C0256C"/>
    <w:rsid w:val="00C02572"/>
    <w:rsid w:val="00C026EC"/>
    <w:rsid w:val="00C027B8"/>
    <w:rsid w:val="00C0282F"/>
    <w:rsid w:val="00C02882"/>
    <w:rsid w:val="00C028E1"/>
    <w:rsid w:val="00C028FB"/>
    <w:rsid w:val="00C02940"/>
    <w:rsid w:val="00C02A15"/>
    <w:rsid w:val="00C02B1A"/>
    <w:rsid w:val="00C02D6D"/>
    <w:rsid w:val="00C02FA5"/>
    <w:rsid w:val="00C02FBE"/>
    <w:rsid w:val="00C02FE6"/>
    <w:rsid w:val="00C03012"/>
    <w:rsid w:val="00C0303A"/>
    <w:rsid w:val="00C03068"/>
    <w:rsid w:val="00C030C4"/>
    <w:rsid w:val="00C030FA"/>
    <w:rsid w:val="00C0313D"/>
    <w:rsid w:val="00C031DC"/>
    <w:rsid w:val="00C03248"/>
    <w:rsid w:val="00C0328C"/>
    <w:rsid w:val="00C033A1"/>
    <w:rsid w:val="00C033BD"/>
    <w:rsid w:val="00C03425"/>
    <w:rsid w:val="00C03462"/>
    <w:rsid w:val="00C034EC"/>
    <w:rsid w:val="00C0353D"/>
    <w:rsid w:val="00C035DC"/>
    <w:rsid w:val="00C036B5"/>
    <w:rsid w:val="00C036BE"/>
    <w:rsid w:val="00C0374C"/>
    <w:rsid w:val="00C03764"/>
    <w:rsid w:val="00C03828"/>
    <w:rsid w:val="00C03865"/>
    <w:rsid w:val="00C038AA"/>
    <w:rsid w:val="00C038FC"/>
    <w:rsid w:val="00C03917"/>
    <w:rsid w:val="00C03AF8"/>
    <w:rsid w:val="00C03DA0"/>
    <w:rsid w:val="00C03EF8"/>
    <w:rsid w:val="00C03EFD"/>
    <w:rsid w:val="00C0400E"/>
    <w:rsid w:val="00C04098"/>
    <w:rsid w:val="00C042AC"/>
    <w:rsid w:val="00C04308"/>
    <w:rsid w:val="00C0433C"/>
    <w:rsid w:val="00C04341"/>
    <w:rsid w:val="00C043E4"/>
    <w:rsid w:val="00C0440C"/>
    <w:rsid w:val="00C0442B"/>
    <w:rsid w:val="00C04430"/>
    <w:rsid w:val="00C0455F"/>
    <w:rsid w:val="00C0456B"/>
    <w:rsid w:val="00C045A7"/>
    <w:rsid w:val="00C04680"/>
    <w:rsid w:val="00C0471D"/>
    <w:rsid w:val="00C0474B"/>
    <w:rsid w:val="00C048FD"/>
    <w:rsid w:val="00C04A03"/>
    <w:rsid w:val="00C04AB2"/>
    <w:rsid w:val="00C04AD4"/>
    <w:rsid w:val="00C04B77"/>
    <w:rsid w:val="00C04BE5"/>
    <w:rsid w:val="00C04C1B"/>
    <w:rsid w:val="00C04C63"/>
    <w:rsid w:val="00C04E69"/>
    <w:rsid w:val="00C04EE7"/>
    <w:rsid w:val="00C04F41"/>
    <w:rsid w:val="00C05085"/>
    <w:rsid w:val="00C05099"/>
    <w:rsid w:val="00C05172"/>
    <w:rsid w:val="00C051A1"/>
    <w:rsid w:val="00C051A6"/>
    <w:rsid w:val="00C05299"/>
    <w:rsid w:val="00C0529D"/>
    <w:rsid w:val="00C052BB"/>
    <w:rsid w:val="00C05388"/>
    <w:rsid w:val="00C05432"/>
    <w:rsid w:val="00C054A8"/>
    <w:rsid w:val="00C054DC"/>
    <w:rsid w:val="00C05524"/>
    <w:rsid w:val="00C05574"/>
    <w:rsid w:val="00C055AA"/>
    <w:rsid w:val="00C0570F"/>
    <w:rsid w:val="00C05723"/>
    <w:rsid w:val="00C05778"/>
    <w:rsid w:val="00C057C6"/>
    <w:rsid w:val="00C0587F"/>
    <w:rsid w:val="00C05917"/>
    <w:rsid w:val="00C0593F"/>
    <w:rsid w:val="00C05A9B"/>
    <w:rsid w:val="00C05ADF"/>
    <w:rsid w:val="00C05BF1"/>
    <w:rsid w:val="00C05F79"/>
    <w:rsid w:val="00C06063"/>
    <w:rsid w:val="00C0620E"/>
    <w:rsid w:val="00C0624A"/>
    <w:rsid w:val="00C0628F"/>
    <w:rsid w:val="00C062E8"/>
    <w:rsid w:val="00C06304"/>
    <w:rsid w:val="00C063E2"/>
    <w:rsid w:val="00C063EF"/>
    <w:rsid w:val="00C0643E"/>
    <w:rsid w:val="00C06495"/>
    <w:rsid w:val="00C0649B"/>
    <w:rsid w:val="00C064B0"/>
    <w:rsid w:val="00C06514"/>
    <w:rsid w:val="00C065EC"/>
    <w:rsid w:val="00C0671E"/>
    <w:rsid w:val="00C06752"/>
    <w:rsid w:val="00C0679F"/>
    <w:rsid w:val="00C067FE"/>
    <w:rsid w:val="00C06857"/>
    <w:rsid w:val="00C06889"/>
    <w:rsid w:val="00C068A6"/>
    <w:rsid w:val="00C0690C"/>
    <w:rsid w:val="00C06B0A"/>
    <w:rsid w:val="00C06EC1"/>
    <w:rsid w:val="00C07002"/>
    <w:rsid w:val="00C07044"/>
    <w:rsid w:val="00C0705C"/>
    <w:rsid w:val="00C070BB"/>
    <w:rsid w:val="00C070CE"/>
    <w:rsid w:val="00C07144"/>
    <w:rsid w:val="00C07285"/>
    <w:rsid w:val="00C073AF"/>
    <w:rsid w:val="00C073C6"/>
    <w:rsid w:val="00C07442"/>
    <w:rsid w:val="00C0749B"/>
    <w:rsid w:val="00C074E1"/>
    <w:rsid w:val="00C0753A"/>
    <w:rsid w:val="00C075A7"/>
    <w:rsid w:val="00C07732"/>
    <w:rsid w:val="00C07750"/>
    <w:rsid w:val="00C0777A"/>
    <w:rsid w:val="00C0780F"/>
    <w:rsid w:val="00C07948"/>
    <w:rsid w:val="00C07984"/>
    <w:rsid w:val="00C0798A"/>
    <w:rsid w:val="00C079EE"/>
    <w:rsid w:val="00C07A57"/>
    <w:rsid w:val="00C07B68"/>
    <w:rsid w:val="00C07DCA"/>
    <w:rsid w:val="00C07E99"/>
    <w:rsid w:val="00C07F91"/>
    <w:rsid w:val="00C07FC1"/>
    <w:rsid w:val="00C07FD4"/>
    <w:rsid w:val="00C10061"/>
    <w:rsid w:val="00C100BF"/>
    <w:rsid w:val="00C101B0"/>
    <w:rsid w:val="00C1022B"/>
    <w:rsid w:val="00C102CC"/>
    <w:rsid w:val="00C1031A"/>
    <w:rsid w:val="00C10360"/>
    <w:rsid w:val="00C10366"/>
    <w:rsid w:val="00C1043C"/>
    <w:rsid w:val="00C10495"/>
    <w:rsid w:val="00C105AF"/>
    <w:rsid w:val="00C105DC"/>
    <w:rsid w:val="00C1062D"/>
    <w:rsid w:val="00C1071F"/>
    <w:rsid w:val="00C107A9"/>
    <w:rsid w:val="00C107CB"/>
    <w:rsid w:val="00C10824"/>
    <w:rsid w:val="00C1088A"/>
    <w:rsid w:val="00C10AA7"/>
    <w:rsid w:val="00C10B66"/>
    <w:rsid w:val="00C10C3E"/>
    <w:rsid w:val="00C10C5B"/>
    <w:rsid w:val="00C10D9C"/>
    <w:rsid w:val="00C10DDA"/>
    <w:rsid w:val="00C10E02"/>
    <w:rsid w:val="00C10EDB"/>
    <w:rsid w:val="00C10F67"/>
    <w:rsid w:val="00C10FAB"/>
    <w:rsid w:val="00C1100E"/>
    <w:rsid w:val="00C111A1"/>
    <w:rsid w:val="00C112EE"/>
    <w:rsid w:val="00C11324"/>
    <w:rsid w:val="00C114A3"/>
    <w:rsid w:val="00C115AD"/>
    <w:rsid w:val="00C11713"/>
    <w:rsid w:val="00C1174C"/>
    <w:rsid w:val="00C11752"/>
    <w:rsid w:val="00C11777"/>
    <w:rsid w:val="00C11895"/>
    <w:rsid w:val="00C1191B"/>
    <w:rsid w:val="00C11A28"/>
    <w:rsid w:val="00C11CA5"/>
    <w:rsid w:val="00C11CC5"/>
    <w:rsid w:val="00C11F2D"/>
    <w:rsid w:val="00C11F80"/>
    <w:rsid w:val="00C1205B"/>
    <w:rsid w:val="00C12073"/>
    <w:rsid w:val="00C121BC"/>
    <w:rsid w:val="00C12271"/>
    <w:rsid w:val="00C122B4"/>
    <w:rsid w:val="00C12334"/>
    <w:rsid w:val="00C123F4"/>
    <w:rsid w:val="00C12509"/>
    <w:rsid w:val="00C12560"/>
    <w:rsid w:val="00C125C1"/>
    <w:rsid w:val="00C1264B"/>
    <w:rsid w:val="00C1269F"/>
    <w:rsid w:val="00C127DD"/>
    <w:rsid w:val="00C12802"/>
    <w:rsid w:val="00C128D2"/>
    <w:rsid w:val="00C12A8E"/>
    <w:rsid w:val="00C12B43"/>
    <w:rsid w:val="00C12B98"/>
    <w:rsid w:val="00C12BE5"/>
    <w:rsid w:val="00C12C17"/>
    <w:rsid w:val="00C12CA1"/>
    <w:rsid w:val="00C12CB8"/>
    <w:rsid w:val="00C12E63"/>
    <w:rsid w:val="00C12E7F"/>
    <w:rsid w:val="00C12EAC"/>
    <w:rsid w:val="00C13007"/>
    <w:rsid w:val="00C13155"/>
    <w:rsid w:val="00C131B3"/>
    <w:rsid w:val="00C131BB"/>
    <w:rsid w:val="00C131D6"/>
    <w:rsid w:val="00C13203"/>
    <w:rsid w:val="00C1320E"/>
    <w:rsid w:val="00C1324E"/>
    <w:rsid w:val="00C133B6"/>
    <w:rsid w:val="00C1341A"/>
    <w:rsid w:val="00C1346A"/>
    <w:rsid w:val="00C1358D"/>
    <w:rsid w:val="00C135D0"/>
    <w:rsid w:val="00C135DB"/>
    <w:rsid w:val="00C1363D"/>
    <w:rsid w:val="00C13670"/>
    <w:rsid w:val="00C13696"/>
    <w:rsid w:val="00C136DC"/>
    <w:rsid w:val="00C137AA"/>
    <w:rsid w:val="00C138C9"/>
    <w:rsid w:val="00C13935"/>
    <w:rsid w:val="00C139C9"/>
    <w:rsid w:val="00C13B07"/>
    <w:rsid w:val="00C13BEC"/>
    <w:rsid w:val="00C13BF9"/>
    <w:rsid w:val="00C13C7C"/>
    <w:rsid w:val="00C13D4B"/>
    <w:rsid w:val="00C13EF1"/>
    <w:rsid w:val="00C13F0E"/>
    <w:rsid w:val="00C13F69"/>
    <w:rsid w:val="00C14094"/>
    <w:rsid w:val="00C14131"/>
    <w:rsid w:val="00C1418B"/>
    <w:rsid w:val="00C14233"/>
    <w:rsid w:val="00C1438B"/>
    <w:rsid w:val="00C143B9"/>
    <w:rsid w:val="00C143BE"/>
    <w:rsid w:val="00C14446"/>
    <w:rsid w:val="00C14457"/>
    <w:rsid w:val="00C14473"/>
    <w:rsid w:val="00C144A9"/>
    <w:rsid w:val="00C1452A"/>
    <w:rsid w:val="00C147C3"/>
    <w:rsid w:val="00C1483F"/>
    <w:rsid w:val="00C14B46"/>
    <w:rsid w:val="00C14C8B"/>
    <w:rsid w:val="00C14D53"/>
    <w:rsid w:val="00C14E5B"/>
    <w:rsid w:val="00C14EA9"/>
    <w:rsid w:val="00C14F9D"/>
    <w:rsid w:val="00C14FF2"/>
    <w:rsid w:val="00C15079"/>
    <w:rsid w:val="00C151BA"/>
    <w:rsid w:val="00C151EE"/>
    <w:rsid w:val="00C151FC"/>
    <w:rsid w:val="00C1535A"/>
    <w:rsid w:val="00C1540F"/>
    <w:rsid w:val="00C155BF"/>
    <w:rsid w:val="00C1560F"/>
    <w:rsid w:val="00C15764"/>
    <w:rsid w:val="00C157FC"/>
    <w:rsid w:val="00C1587C"/>
    <w:rsid w:val="00C15933"/>
    <w:rsid w:val="00C159C4"/>
    <w:rsid w:val="00C15ACE"/>
    <w:rsid w:val="00C15BA2"/>
    <w:rsid w:val="00C15BCB"/>
    <w:rsid w:val="00C15C0C"/>
    <w:rsid w:val="00C15C25"/>
    <w:rsid w:val="00C15C8E"/>
    <w:rsid w:val="00C15C9E"/>
    <w:rsid w:val="00C15D19"/>
    <w:rsid w:val="00C15D6B"/>
    <w:rsid w:val="00C15F62"/>
    <w:rsid w:val="00C15FA3"/>
    <w:rsid w:val="00C16025"/>
    <w:rsid w:val="00C16064"/>
    <w:rsid w:val="00C1617D"/>
    <w:rsid w:val="00C16366"/>
    <w:rsid w:val="00C16378"/>
    <w:rsid w:val="00C16568"/>
    <w:rsid w:val="00C1658B"/>
    <w:rsid w:val="00C16593"/>
    <w:rsid w:val="00C165A9"/>
    <w:rsid w:val="00C1666C"/>
    <w:rsid w:val="00C1669D"/>
    <w:rsid w:val="00C166AA"/>
    <w:rsid w:val="00C166C1"/>
    <w:rsid w:val="00C167E4"/>
    <w:rsid w:val="00C168C8"/>
    <w:rsid w:val="00C16982"/>
    <w:rsid w:val="00C169A7"/>
    <w:rsid w:val="00C16BA0"/>
    <w:rsid w:val="00C16C1C"/>
    <w:rsid w:val="00C16D1E"/>
    <w:rsid w:val="00C16DA2"/>
    <w:rsid w:val="00C16DC0"/>
    <w:rsid w:val="00C16DD6"/>
    <w:rsid w:val="00C16E29"/>
    <w:rsid w:val="00C17043"/>
    <w:rsid w:val="00C171CF"/>
    <w:rsid w:val="00C171F7"/>
    <w:rsid w:val="00C1723B"/>
    <w:rsid w:val="00C1748B"/>
    <w:rsid w:val="00C174AD"/>
    <w:rsid w:val="00C174E9"/>
    <w:rsid w:val="00C176C2"/>
    <w:rsid w:val="00C17750"/>
    <w:rsid w:val="00C177CB"/>
    <w:rsid w:val="00C177E4"/>
    <w:rsid w:val="00C1781A"/>
    <w:rsid w:val="00C1781C"/>
    <w:rsid w:val="00C17830"/>
    <w:rsid w:val="00C1788C"/>
    <w:rsid w:val="00C1790E"/>
    <w:rsid w:val="00C17973"/>
    <w:rsid w:val="00C17ACA"/>
    <w:rsid w:val="00C17B50"/>
    <w:rsid w:val="00C17B7C"/>
    <w:rsid w:val="00C17C21"/>
    <w:rsid w:val="00C17C4B"/>
    <w:rsid w:val="00C17CA0"/>
    <w:rsid w:val="00C17CAC"/>
    <w:rsid w:val="00C17CE7"/>
    <w:rsid w:val="00C17DB8"/>
    <w:rsid w:val="00C17DF0"/>
    <w:rsid w:val="00C17E7F"/>
    <w:rsid w:val="00C20080"/>
    <w:rsid w:val="00C20116"/>
    <w:rsid w:val="00C201C9"/>
    <w:rsid w:val="00C20242"/>
    <w:rsid w:val="00C2025C"/>
    <w:rsid w:val="00C20273"/>
    <w:rsid w:val="00C20277"/>
    <w:rsid w:val="00C202F1"/>
    <w:rsid w:val="00C20311"/>
    <w:rsid w:val="00C20360"/>
    <w:rsid w:val="00C2042B"/>
    <w:rsid w:val="00C204F5"/>
    <w:rsid w:val="00C205C1"/>
    <w:rsid w:val="00C2067F"/>
    <w:rsid w:val="00C20714"/>
    <w:rsid w:val="00C207C5"/>
    <w:rsid w:val="00C207CB"/>
    <w:rsid w:val="00C2093D"/>
    <w:rsid w:val="00C20A13"/>
    <w:rsid w:val="00C20ABF"/>
    <w:rsid w:val="00C20AE0"/>
    <w:rsid w:val="00C20AFC"/>
    <w:rsid w:val="00C20B87"/>
    <w:rsid w:val="00C20BC3"/>
    <w:rsid w:val="00C20C6C"/>
    <w:rsid w:val="00C20CC9"/>
    <w:rsid w:val="00C20CDA"/>
    <w:rsid w:val="00C20D9D"/>
    <w:rsid w:val="00C20DFD"/>
    <w:rsid w:val="00C210C6"/>
    <w:rsid w:val="00C2112E"/>
    <w:rsid w:val="00C211CA"/>
    <w:rsid w:val="00C2120B"/>
    <w:rsid w:val="00C21288"/>
    <w:rsid w:val="00C21375"/>
    <w:rsid w:val="00C2137F"/>
    <w:rsid w:val="00C215EE"/>
    <w:rsid w:val="00C216FB"/>
    <w:rsid w:val="00C21702"/>
    <w:rsid w:val="00C21710"/>
    <w:rsid w:val="00C21729"/>
    <w:rsid w:val="00C218B8"/>
    <w:rsid w:val="00C21925"/>
    <w:rsid w:val="00C219AE"/>
    <w:rsid w:val="00C219E0"/>
    <w:rsid w:val="00C21A77"/>
    <w:rsid w:val="00C21B1D"/>
    <w:rsid w:val="00C21BCF"/>
    <w:rsid w:val="00C21C6C"/>
    <w:rsid w:val="00C21C8C"/>
    <w:rsid w:val="00C21CFF"/>
    <w:rsid w:val="00C21EF2"/>
    <w:rsid w:val="00C21FA5"/>
    <w:rsid w:val="00C21FE0"/>
    <w:rsid w:val="00C22012"/>
    <w:rsid w:val="00C22085"/>
    <w:rsid w:val="00C2208B"/>
    <w:rsid w:val="00C221C0"/>
    <w:rsid w:val="00C22221"/>
    <w:rsid w:val="00C22274"/>
    <w:rsid w:val="00C2244F"/>
    <w:rsid w:val="00C224B0"/>
    <w:rsid w:val="00C224B6"/>
    <w:rsid w:val="00C22500"/>
    <w:rsid w:val="00C22564"/>
    <w:rsid w:val="00C22627"/>
    <w:rsid w:val="00C22651"/>
    <w:rsid w:val="00C226C4"/>
    <w:rsid w:val="00C226F6"/>
    <w:rsid w:val="00C22700"/>
    <w:rsid w:val="00C22865"/>
    <w:rsid w:val="00C229A7"/>
    <w:rsid w:val="00C22A1A"/>
    <w:rsid w:val="00C22C70"/>
    <w:rsid w:val="00C22C8B"/>
    <w:rsid w:val="00C22D49"/>
    <w:rsid w:val="00C22E45"/>
    <w:rsid w:val="00C22FB0"/>
    <w:rsid w:val="00C22FC1"/>
    <w:rsid w:val="00C23181"/>
    <w:rsid w:val="00C231D7"/>
    <w:rsid w:val="00C234A6"/>
    <w:rsid w:val="00C23539"/>
    <w:rsid w:val="00C2358C"/>
    <w:rsid w:val="00C2361B"/>
    <w:rsid w:val="00C23726"/>
    <w:rsid w:val="00C23751"/>
    <w:rsid w:val="00C23852"/>
    <w:rsid w:val="00C238A4"/>
    <w:rsid w:val="00C2391D"/>
    <w:rsid w:val="00C2396D"/>
    <w:rsid w:val="00C239FA"/>
    <w:rsid w:val="00C23B08"/>
    <w:rsid w:val="00C23B52"/>
    <w:rsid w:val="00C23C08"/>
    <w:rsid w:val="00C23C59"/>
    <w:rsid w:val="00C23C71"/>
    <w:rsid w:val="00C23D2A"/>
    <w:rsid w:val="00C23D79"/>
    <w:rsid w:val="00C23DB9"/>
    <w:rsid w:val="00C23EEF"/>
    <w:rsid w:val="00C23F2C"/>
    <w:rsid w:val="00C23F4B"/>
    <w:rsid w:val="00C23F5C"/>
    <w:rsid w:val="00C23FCF"/>
    <w:rsid w:val="00C23FE9"/>
    <w:rsid w:val="00C2428A"/>
    <w:rsid w:val="00C242A1"/>
    <w:rsid w:val="00C24353"/>
    <w:rsid w:val="00C24409"/>
    <w:rsid w:val="00C244BE"/>
    <w:rsid w:val="00C244F3"/>
    <w:rsid w:val="00C24693"/>
    <w:rsid w:val="00C24915"/>
    <w:rsid w:val="00C24940"/>
    <w:rsid w:val="00C2495D"/>
    <w:rsid w:val="00C249CB"/>
    <w:rsid w:val="00C249F9"/>
    <w:rsid w:val="00C24A6E"/>
    <w:rsid w:val="00C24A95"/>
    <w:rsid w:val="00C24AC5"/>
    <w:rsid w:val="00C24B03"/>
    <w:rsid w:val="00C24B08"/>
    <w:rsid w:val="00C24B3B"/>
    <w:rsid w:val="00C24B70"/>
    <w:rsid w:val="00C24BAF"/>
    <w:rsid w:val="00C24C23"/>
    <w:rsid w:val="00C24C7C"/>
    <w:rsid w:val="00C24CEE"/>
    <w:rsid w:val="00C24D49"/>
    <w:rsid w:val="00C24D50"/>
    <w:rsid w:val="00C24E0B"/>
    <w:rsid w:val="00C24E72"/>
    <w:rsid w:val="00C24EC0"/>
    <w:rsid w:val="00C24ED5"/>
    <w:rsid w:val="00C24EFF"/>
    <w:rsid w:val="00C25054"/>
    <w:rsid w:val="00C250A8"/>
    <w:rsid w:val="00C2513C"/>
    <w:rsid w:val="00C25152"/>
    <w:rsid w:val="00C25277"/>
    <w:rsid w:val="00C2530A"/>
    <w:rsid w:val="00C25424"/>
    <w:rsid w:val="00C254C0"/>
    <w:rsid w:val="00C254DE"/>
    <w:rsid w:val="00C257D0"/>
    <w:rsid w:val="00C25830"/>
    <w:rsid w:val="00C25868"/>
    <w:rsid w:val="00C25884"/>
    <w:rsid w:val="00C258DD"/>
    <w:rsid w:val="00C2594E"/>
    <w:rsid w:val="00C25985"/>
    <w:rsid w:val="00C259E9"/>
    <w:rsid w:val="00C25A16"/>
    <w:rsid w:val="00C25AB2"/>
    <w:rsid w:val="00C25C15"/>
    <w:rsid w:val="00C25C52"/>
    <w:rsid w:val="00C25C68"/>
    <w:rsid w:val="00C25CDF"/>
    <w:rsid w:val="00C25CE0"/>
    <w:rsid w:val="00C25E14"/>
    <w:rsid w:val="00C25EB8"/>
    <w:rsid w:val="00C2604C"/>
    <w:rsid w:val="00C2615A"/>
    <w:rsid w:val="00C2617A"/>
    <w:rsid w:val="00C26201"/>
    <w:rsid w:val="00C26416"/>
    <w:rsid w:val="00C265F5"/>
    <w:rsid w:val="00C2665A"/>
    <w:rsid w:val="00C266D6"/>
    <w:rsid w:val="00C266ED"/>
    <w:rsid w:val="00C267D2"/>
    <w:rsid w:val="00C2689B"/>
    <w:rsid w:val="00C26924"/>
    <w:rsid w:val="00C2694C"/>
    <w:rsid w:val="00C26A2A"/>
    <w:rsid w:val="00C26AD1"/>
    <w:rsid w:val="00C26C06"/>
    <w:rsid w:val="00C26C0C"/>
    <w:rsid w:val="00C26C24"/>
    <w:rsid w:val="00C26C70"/>
    <w:rsid w:val="00C26DBC"/>
    <w:rsid w:val="00C26E1D"/>
    <w:rsid w:val="00C26E5D"/>
    <w:rsid w:val="00C26E63"/>
    <w:rsid w:val="00C26EC0"/>
    <w:rsid w:val="00C26F8F"/>
    <w:rsid w:val="00C26FC1"/>
    <w:rsid w:val="00C27053"/>
    <w:rsid w:val="00C2715C"/>
    <w:rsid w:val="00C271A3"/>
    <w:rsid w:val="00C271D3"/>
    <w:rsid w:val="00C272A0"/>
    <w:rsid w:val="00C27341"/>
    <w:rsid w:val="00C27352"/>
    <w:rsid w:val="00C27445"/>
    <w:rsid w:val="00C27480"/>
    <w:rsid w:val="00C274B0"/>
    <w:rsid w:val="00C274E6"/>
    <w:rsid w:val="00C27508"/>
    <w:rsid w:val="00C27533"/>
    <w:rsid w:val="00C2760E"/>
    <w:rsid w:val="00C27690"/>
    <w:rsid w:val="00C276A7"/>
    <w:rsid w:val="00C276DA"/>
    <w:rsid w:val="00C276FC"/>
    <w:rsid w:val="00C27862"/>
    <w:rsid w:val="00C2788F"/>
    <w:rsid w:val="00C27A10"/>
    <w:rsid w:val="00C27A11"/>
    <w:rsid w:val="00C27A31"/>
    <w:rsid w:val="00C27A51"/>
    <w:rsid w:val="00C27ACC"/>
    <w:rsid w:val="00C27B2D"/>
    <w:rsid w:val="00C27B55"/>
    <w:rsid w:val="00C27B74"/>
    <w:rsid w:val="00C27B90"/>
    <w:rsid w:val="00C27D39"/>
    <w:rsid w:val="00C27D95"/>
    <w:rsid w:val="00C27EA5"/>
    <w:rsid w:val="00C27EFA"/>
    <w:rsid w:val="00C27F01"/>
    <w:rsid w:val="00C27F47"/>
    <w:rsid w:val="00C27F69"/>
    <w:rsid w:val="00C30048"/>
    <w:rsid w:val="00C300B4"/>
    <w:rsid w:val="00C3024E"/>
    <w:rsid w:val="00C302B0"/>
    <w:rsid w:val="00C3032A"/>
    <w:rsid w:val="00C3032E"/>
    <w:rsid w:val="00C30344"/>
    <w:rsid w:val="00C30386"/>
    <w:rsid w:val="00C3038D"/>
    <w:rsid w:val="00C304EE"/>
    <w:rsid w:val="00C305A4"/>
    <w:rsid w:val="00C3071D"/>
    <w:rsid w:val="00C3078E"/>
    <w:rsid w:val="00C308A4"/>
    <w:rsid w:val="00C30AAD"/>
    <w:rsid w:val="00C30B3B"/>
    <w:rsid w:val="00C30B47"/>
    <w:rsid w:val="00C30BFA"/>
    <w:rsid w:val="00C30C72"/>
    <w:rsid w:val="00C30C7A"/>
    <w:rsid w:val="00C30CA2"/>
    <w:rsid w:val="00C30CF7"/>
    <w:rsid w:val="00C30EB8"/>
    <w:rsid w:val="00C30F8A"/>
    <w:rsid w:val="00C30FC0"/>
    <w:rsid w:val="00C31017"/>
    <w:rsid w:val="00C31133"/>
    <w:rsid w:val="00C31243"/>
    <w:rsid w:val="00C3125B"/>
    <w:rsid w:val="00C312D5"/>
    <w:rsid w:val="00C3152B"/>
    <w:rsid w:val="00C3153E"/>
    <w:rsid w:val="00C3171A"/>
    <w:rsid w:val="00C31867"/>
    <w:rsid w:val="00C3194A"/>
    <w:rsid w:val="00C31979"/>
    <w:rsid w:val="00C319C2"/>
    <w:rsid w:val="00C31A6A"/>
    <w:rsid w:val="00C31B45"/>
    <w:rsid w:val="00C31BEF"/>
    <w:rsid w:val="00C31BF4"/>
    <w:rsid w:val="00C31D48"/>
    <w:rsid w:val="00C31D76"/>
    <w:rsid w:val="00C31DAA"/>
    <w:rsid w:val="00C31EFC"/>
    <w:rsid w:val="00C31F5F"/>
    <w:rsid w:val="00C31FAB"/>
    <w:rsid w:val="00C31FC2"/>
    <w:rsid w:val="00C32017"/>
    <w:rsid w:val="00C32054"/>
    <w:rsid w:val="00C32195"/>
    <w:rsid w:val="00C3219C"/>
    <w:rsid w:val="00C32349"/>
    <w:rsid w:val="00C324BA"/>
    <w:rsid w:val="00C32557"/>
    <w:rsid w:val="00C32577"/>
    <w:rsid w:val="00C32667"/>
    <w:rsid w:val="00C327EE"/>
    <w:rsid w:val="00C32842"/>
    <w:rsid w:val="00C328F2"/>
    <w:rsid w:val="00C32991"/>
    <w:rsid w:val="00C32AB8"/>
    <w:rsid w:val="00C32AD8"/>
    <w:rsid w:val="00C32B4C"/>
    <w:rsid w:val="00C32C48"/>
    <w:rsid w:val="00C32D9F"/>
    <w:rsid w:val="00C32DEB"/>
    <w:rsid w:val="00C32F11"/>
    <w:rsid w:val="00C32F19"/>
    <w:rsid w:val="00C32FA9"/>
    <w:rsid w:val="00C330F3"/>
    <w:rsid w:val="00C33124"/>
    <w:rsid w:val="00C33175"/>
    <w:rsid w:val="00C331BC"/>
    <w:rsid w:val="00C331F8"/>
    <w:rsid w:val="00C33209"/>
    <w:rsid w:val="00C3328A"/>
    <w:rsid w:val="00C33331"/>
    <w:rsid w:val="00C33378"/>
    <w:rsid w:val="00C33489"/>
    <w:rsid w:val="00C33552"/>
    <w:rsid w:val="00C3358C"/>
    <w:rsid w:val="00C3358F"/>
    <w:rsid w:val="00C3359C"/>
    <w:rsid w:val="00C33602"/>
    <w:rsid w:val="00C337CE"/>
    <w:rsid w:val="00C33963"/>
    <w:rsid w:val="00C339A8"/>
    <w:rsid w:val="00C33A2A"/>
    <w:rsid w:val="00C33A37"/>
    <w:rsid w:val="00C33B0C"/>
    <w:rsid w:val="00C33BC9"/>
    <w:rsid w:val="00C33C45"/>
    <w:rsid w:val="00C33D55"/>
    <w:rsid w:val="00C33DE6"/>
    <w:rsid w:val="00C33E81"/>
    <w:rsid w:val="00C33EBD"/>
    <w:rsid w:val="00C33F1C"/>
    <w:rsid w:val="00C33F60"/>
    <w:rsid w:val="00C33F7F"/>
    <w:rsid w:val="00C33FD8"/>
    <w:rsid w:val="00C33FF7"/>
    <w:rsid w:val="00C3401B"/>
    <w:rsid w:val="00C34020"/>
    <w:rsid w:val="00C34055"/>
    <w:rsid w:val="00C3418E"/>
    <w:rsid w:val="00C341A7"/>
    <w:rsid w:val="00C341BC"/>
    <w:rsid w:val="00C34322"/>
    <w:rsid w:val="00C3432E"/>
    <w:rsid w:val="00C3436B"/>
    <w:rsid w:val="00C343E9"/>
    <w:rsid w:val="00C343ED"/>
    <w:rsid w:val="00C34538"/>
    <w:rsid w:val="00C3464A"/>
    <w:rsid w:val="00C3469E"/>
    <w:rsid w:val="00C34784"/>
    <w:rsid w:val="00C34798"/>
    <w:rsid w:val="00C34842"/>
    <w:rsid w:val="00C34A8F"/>
    <w:rsid w:val="00C34AFE"/>
    <w:rsid w:val="00C34C44"/>
    <w:rsid w:val="00C34D6E"/>
    <w:rsid w:val="00C34F4B"/>
    <w:rsid w:val="00C350C3"/>
    <w:rsid w:val="00C3513B"/>
    <w:rsid w:val="00C35278"/>
    <w:rsid w:val="00C352CF"/>
    <w:rsid w:val="00C352E1"/>
    <w:rsid w:val="00C35300"/>
    <w:rsid w:val="00C35376"/>
    <w:rsid w:val="00C3551E"/>
    <w:rsid w:val="00C3557C"/>
    <w:rsid w:val="00C35633"/>
    <w:rsid w:val="00C35649"/>
    <w:rsid w:val="00C3575A"/>
    <w:rsid w:val="00C3578D"/>
    <w:rsid w:val="00C35896"/>
    <w:rsid w:val="00C359AF"/>
    <w:rsid w:val="00C359DD"/>
    <w:rsid w:val="00C35A1B"/>
    <w:rsid w:val="00C35A4A"/>
    <w:rsid w:val="00C35A99"/>
    <w:rsid w:val="00C35D70"/>
    <w:rsid w:val="00C35DE8"/>
    <w:rsid w:val="00C35DF4"/>
    <w:rsid w:val="00C35E79"/>
    <w:rsid w:val="00C35ED5"/>
    <w:rsid w:val="00C35F26"/>
    <w:rsid w:val="00C36174"/>
    <w:rsid w:val="00C361D8"/>
    <w:rsid w:val="00C363BE"/>
    <w:rsid w:val="00C36457"/>
    <w:rsid w:val="00C364CC"/>
    <w:rsid w:val="00C36582"/>
    <w:rsid w:val="00C365AE"/>
    <w:rsid w:val="00C365F2"/>
    <w:rsid w:val="00C366BC"/>
    <w:rsid w:val="00C36789"/>
    <w:rsid w:val="00C367A6"/>
    <w:rsid w:val="00C367E9"/>
    <w:rsid w:val="00C36875"/>
    <w:rsid w:val="00C36976"/>
    <w:rsid w:val="00C3697E"/>
    <w:rsid w:val="00C36A18"/>
    <w:rsid w:val="00C36A1F"/>
    <w:rsid w:val="00C36AF4"/>
    <w:rsid w:val="00C36B13"/>
    <w:rsid w:val="00C36B7A"/>
    <w:rsid w:val="00C36C40"/>
    <w:rsid w:val="00C36D24"/>
    <w:rsid w:val="00C36F6C"/>
    <w:rsid w:val="00C37288"/>
    <w:rsid w:val="00C37332"/>
    <w:rsid w:val="00C373CD"/>
    <w:rsid w:val="00C373FB"/>
    <w:rsid w:val="00C374A2"/>
    <w:rsid w:val="00C374B5"/>
    <w:rsid w:val="00C3753A"/>
    <w:rsid w:val="00C37588"/>
    <w:rsid w:val="00C3761F"/>
    <w:rsid w:val="00C376C3"/>
    <w:rsid w:val="00C37852"/>
    <w:rsid w:val="00C378B9"/>
    <w:rsid w:val="00C378C2"/>
    <w:rsid w:val="00C378CE"/>
    <w:rsid w:val="00C379D0"/>
    <w:rsid w:val="00C379FE"/>
    <w:rsid w:val="00C37A12"/>
    <w:rsid w:val="00C37A34"/>
    <w:rsid w:val="00C37A35"/>
    <w:rsid w:val="00C37A4D"/>
    <w:rsid w:val="00C37A6B"/>
    <w:rsid w:val="00C37A8C"/>
    <w:rsid w:val="00C37B19"/>
    <w:rsid w:val="00C37B83"/>
    <w:rsid w:val="00C37BF3"/>
    <w:rsid w:val="00C37C53"/>
    <w:rsid w:val="00C37C6B"/>
    <w:rsid w:val="00C37C8D"/>
    <w:rsid w:val="00C37E01"/>
    <w:rsid w:val="00C37E29"/>
    <w:rsid w:val="00C37E53"/>
    <w:rsid w:val="00C37E8D"/>
    <w:rsid w:val="00C37F1D"/>
    <w:rsid w:val="00C37F21"/>
    <w:rsid w:val="00C37FC7"/>
    <w:rsid w:val="00C400DB"/>
    <w:rsid w:val="00C4012D"/>
    <w:rsid w:val="00C40285"/>
    <w:rsid w:val="00C402F1"/>
    <w:rsid w:val="00C4034E"/>
    <w:rsid w:val="00C4035F"/>
    <w:rsid w:val="00C403DE"/>
    <w:rsid w:val="00C40475"/>
    <w:rsid w:val="00C40508"/>
    <w:rsid w:val="00C405BA"/>
    <w:rsid w:val="00C405C8"/>
    <w:rsid w:val="00C40612"/>
    <w:rsid w:val="00C40699"/>
    <w:rsid w:val="00C406FB"/>
    <w:rsid w:val="00C4095C"/>
    <w:rsid w:val="00C40992"/>
    <w:rsid w:val="00C40A40"/>
    <w:rsid w:val="00C40AA8"/>
    <w:rsid w:val="00C40BA6"/>
    <w:rsid w:val="00C40BC1"/>
    <w:rsid w:val="00C40DD6"/>
    <w:rsid w:val="00C40E86"/>
    <w:rsid w:val="00C40EBA"/>
    <w:rsid w:val="00C40ECA"/>
    <w:rsid w:val="00C410FC"/>
    <w:rsid w:val="00C41153"/>
    <w:rsid w:val="00C4130D"/>
    <w:rsid w:val="00C41314"/>
    <w:rsid w:val="00C4133C"/>
    <w:rsid w:val="00C41341"/>
    <w:rsid w:val="00C4137B"/>
    <w:rsid w:val="00C41400"/>
    <w:rsid w:val="00C41458"/>
    <w:rsid w:val="00C4149B"/>
    <w:rsid w:val="00C41562"/>
    <w:rsid w:val="00C41574"/>
    <w:rsid w:val="00C41664"/>
    <w:rsid w:val="00C416C4"/>
    <w:rsid w:val="00C4176F"/>
    <w:rsid w:val="00C4180C"/>
    <w:rsid w:val="00C41A28"/>
    <w:rsid w:val="00C41A68"/>
    <w:rsid w:val="00C41A78"/>
    <w:rsid w:val="00C41A7D"/>
    <w:rsid w:val="00C41B31"/>
    <w:rsid w:val="00C41BB0"/>
    <w:rsid w:val="00C41C30"/>
    <w:rsid w:val="00C41E6E"/>
    <w:rsid w:val="00C41E83"/>
    <w:rsid w:val="00C41EA5"/>
    <w:rsid w:val="00C41F62"/>
    <w:rsid w:val="00C41F73"/>
    <w:rsid w:val="00C42048"/>
    <w:rsid w:val="00C42096"/>
    <w:rsid w:val="00C420F0"/>
    <w:rsid w:val="00C421E4"/>
    <w:rsid w:val="00C42558"/>
    <w:rsid w:val="00C42595"/>
    <w:rsid w:val="00C42607"/>
    <w:rsid w:val="00C42654"/>
    <w:rsid w:val="00C42732"/>
    <w:rsid w:val="00C42779"/>
    <w:rsid w:val="00C42839"/>
    <w:rsid w:val="00C42924"/>
    <w:rsid w:val="00C42A11"/>
    <w:rsid w:val="00C42B58"/>
    <w:rsid w:val="00C42B97"/>
    <w:rsid w:val="00C42C1F"/>
    <w:rsid w:val="00C42D18"/>
    <w:rsid w:val="00C42DFD"/>
    <w:rsid w:val="00C42F1F"/>
    <w:rsid w:val="00C42F37"/>
    <w:rsid w:val="00C42F80"/>
    <w:rsid w:val="00C43004"/>
    <w:rsid w:val="00C4308D"/>
    <w:rsid w:val="00C4320B"/>
    <w:rsid w:val="00C432B9"/>
    <w:rsid w:val="00C433AA"/>
    <w:rsid w:val="00C4351D"/>
    <w:rsid w:val="00C435BC"/>
    <w:rsid w:val="00C43630"/>
    <w:rsid w:val="00C43682"/>
    <w:rsid w:val="00C43684"/>
    <w:rsid w:val="00C43724"/>
    <w:rsid w:val="00C4378D"/>
    <w:rsid w:val="00C43B33"/>
    <w:rsid w:val="00C43B42"/>
    <w:rsid w:val="00C43C38"/>
    <w:rsid w:val="00C43C77"/>
    <w:rsid w:val="00C43D30"/>
    <w:rsid w:val="00C43D56"/>
    <w:rsid w:val="00C43E1B"/>
    <w:rsid w:val="00C43E72"/>
    <w:rsid w:val="00C43F68"/>
    <w:rsid w:val="00C44032"/>
    <w:rsid w:val="00C44036"/>
    <w:rsid w:val="00C4408A"/>
    <w:rsid w:val="00C440D1"/>
    <w:rsid w:val="00C441BF"/>
    <w:rsid w:val="00C441C9"/>
    <w:rsid w:val="00C4423D"/>
    <w:rsid w:val="00C44345"/>
    <w:rsid w:val="00C44372"/>
    <w:rsid w:val="00C44387"/>
    <w:rsid w:val="00C443F7"/>
    <w:rsid w:val="00C4441A"/>
    <w:rsid w:val="00C44515"/>
    <w:rsid w:val="00C4453C"/>
    <w:rsid w:val="00C446AD"/>
    <w:rsid w:val="00C4478F"/>
    <w:rsid w:val="00C447A0"/>
    <w:rsid w:val="00C447B5"/>
    <w:rsid w:val="00C448FE"/>
    <w:rsid w:val="00C44A43"/>
    <w:rsid w:val="00C44B47"/>
    <w:rsid w:val="00C44BA2"/>
    <w:rsid w:val="00C44BA9"/>
    <w:rsid w:val="00C44E37"/>
    <w:rsid w:val="00C45112"/>
    <w:rsid w:val="00C45168"/>
    <w:rsid w:val="00C451C2"/>
    <w:rsid w:val="00C45297"/>
    <w:rsid w:val="00C4531F"/>
    <w:rsid w:val="00C453CE"/>
    <w:rsid w:val="00C45448"/>
    <w:rsid w:val="00C456E5"/>
    <w:rsid w:val="00C4574B"/>
    <w:rsid w:val="00C457DA"/>
    <w:rsid w:val="00C457ED"/>
    <w:rsid w:val="00C4585C"/>
    <w:rsid w:val="00C4587E"/>
    <w:rsid w:val="00C45A9E"/>
    <w:rsid w:val="00C45B25"/>
    <w:rsid w:val="00C45B88"/>
    <w:rsid w:val="00C45C21"/>
    <w:rsid w:val="00C45C43"/>
    <w:rsid w:val="00C45D48"/>
    <w:rsid w:val="00C45D4C"/>
    <w:rsid w:val="00C45D82"/>
    <w:rsid w:val="00C45D90"/>
    <w:rsid w:val="00C46067"/>
    <w:rsid w:val="00C4609A"/>
    <w:rsid w:val="00C460D4"/>
    <w:rsid w:val="00C4610D"/>
    <w:rsid w:val="00C462B1"/>
    <w:rsid w:val="00C462BE"/>
    <w:rsid w:val="00C463CB"/>
    <w:rsid w:val="00C46495"/>
    <w:rsid w:val="00C4650E"/>
    <w:rsid w:val="00C46550"/>
    <w:rsid w:val="00C46554"/>
    <w:rsid w:val="00C4655F"/>
    <w:rsid w:val="00C46594"/>
    <w:rsid w:val="00C465AF"/>
    <w:rsid w:val="00C4669C"/>
    <w:rsid w:val="00C4673E"/>
    <w:rsid w:val="00C467D1"/>
    <w:rsid w:val="00C467DA"/>
    <w:rsid w:val="00C468F7"/>
    <w:rsid w:val="00C46907"/>
    <w:rsid w:val="00C46918"/>
    <w:rsid w:val="00C46921"/>
    <w:rsid w:val="00C469E9"/>
    <w:rsid w:val="00C46A84"/>
    <w:rsid w:val="00C46CFC"/>
    <w:rsid w:val="00C46D2E"/>
    <w:rsid w:val="00C46DF9"/>
    <w:rsid w:val="00C46FA0"/>
    <w:rsid w:val="00C47007"/>
    <w:rsid w:val="00C47016"/>
    <w:rsid w:val="00C47020"/>
    <w:rsid w:val="00C4702F"/>
    <w:rsid w:val="00C4704C"/>
    <w:rsid w:val="00C4707B"/>
    <w:rsid w:val="00C470AA"/>
    <w:rsid w:val="00C471DA"/>
    <w:rsid w:val="00C47283"/>
    <w:rsid w:val="00C47296"/>
    <w:rsid w:val="00C4736C"/>
    <w:rsid w:val="00C474D4"/>
    <w:rsid w:val="00C474E4"/>
    <w:rsid w:val="00C476B1"/>
    <w:rsid w:val="00C47707"/>
    <w:rsid w:val="00C47748"/>
    <w:rsid w:val="00C47762"/>
    <w:rsid w:val="00C47767"/>
    <w:rsid w:val="00C477BA"/>
    <w:rsid w:val="00C47A84"/>
    <w:rsid w:val="00C47B0C"/>
    <w:rsid w:val="00C47C09"/>
    <w:rsid w:val="00C47C1A"/>
    <w:rsid w:val="00C47C36"/>
    <w:rsid w:val="00C47C48"/>
    <w:rsid w:val="00C47E03"/>
    <w:rsid w:val="00C47E15"/>
    <w:rsid w:val="00C47E2D"/>
    <w:rsid w:val="00C47EF2"/>
    <w:rsid w:val="00C47F3A"/>
    <w:rsid w:val="00C47F3F"/>
    <w:rsid w:val="00C47F46"/>
    <w:rsid w:val="00C47F5A"/>
    <w:rsid w:val="00C50028"/>
    <w:rsid w:val="00C5006E"/>
    <w:rsid w:val="00C5010D"/>
    <w:rsid w:val="00C5014F"/>
    <w:rsid w:val="00C5049C"/>
    <w:rsid w:val="00C5050A"/>
    <w:rsid w:val="00C50564"/>
    <w:rsid w:val="00C5064A"/>
    <w:rsid w:val="00C50652"/>
    <w:rsid w:val="00C5080C"/>
    <w:rsid w:val="00C508DD"/>
    <w:rsid w:val="00C509FA"/>
    <w:rsid w:val="00C50A03"/>
    <w:rsid w:val="00C50A50"/>
    <w:rsid w:val="00C50B2B"/>
    <w:rsid w:val="00C50B4F"/>
    <w:rsid w:val="00C50B70"/>
    <w:rsid w:val="00C50C10"/>
    <w:rsid w:val="00C50CBB"/>
    <w:rsid w:val="00C50CDC"/>
    <w:rsid w:val="00C50D9E"/>
    <w:rsid w:val="00C50DEB"/>
    <w:rsid w:val="00C50F71"/>
    <w:rsid w:val="00C50FCF"/>
    <w:rsid w:val="00C50FED"/>
    <w:rsid w:val="00C51064"/>
    <w:rsid w:val="00C5108E"/>
    <w:rsid w:val="00C51104"/>
    <w:rsid w:val="00C5110A"/>
    <w:rsid w:val="00C5121B"/>
    <w:rsid w:val="00C5130B"/>
    <w:rsid w:val="00C5138C"/>
    <w:rsid w:val="00C513EA"/>
    <w:rsid w:val="00C51485"/>
    <w:rsid w:val="00C514F2"/>
    <w:rsid w:val="00C51595"/>
    <w:rsid w:val="00C515A5"/>
    <w:rsid w:val="00C515AD"/>
    <w:rsid w:val="00C51686"/>
    <w:rsid w:val="00C51699"/>
    <w:rsid w:val="00C518A2"/>
    <w:rsid w:val="00C5197F"/>
    <w:rsid w:val="00C51A14"/>
    <w:rsid w:val="00C51A34"/>
    <w:rsid w:val="00C51AF2"/>
    <w:rsid w:val="00C51AF6"/>
    <w:rsid w:val="00C51B4C"/>
    <w:rsid w:val="00C51B5B"/>
    <w:rsid w:val="00C51BC4"/>
    <w:rsid w:val="00C51C7A"/>
    <w:rsid w:val="00C51D82"/>
    <w:rsid w:val="00C51E00"/>
    <w:rsid w:val="00C51E8A"/>
    <w:rsid w:val="00C51E94"/>
    <w:rsid w:val="00C51E9E"/>
    <w:rsid w:val="00C51EAF"/>
    <w:rsid w:val="00C51F04"/>
    <w:rsid w:val="00C51F1E"/>
    <w:rsid w:val="00C51FA4"/>
    <w:rsid w:val="00C520C0"/>
    <w:rsid w:val="00C52109"/>
    <w:rsid w:val="00C52119"/>
    <w:rsid w:val="00C52165"/>
    <w:rsid w:val="00C521E4"/>
    <w:rsid w:val="00C52201"/>
    <w:rsid w:val="00C52213"/>
    <w:rsid w:val="00C522CB"/>
    <w:rsid w:val="00C5239F"/>
    <w:rsid w:val="00C52432"/>
    <w:rsid w:val="00C5261F"/>
    <w:rsid w:val="00C5263A"/>
    <w:rsid w:val="00C526F3"/>
    <w:rsid w:val="00C5276C"/>
    <w:rsid w:val="00C528F8"/>
    <w:rsid w:val="00C52966"/>
    <w:rsid w:val="00C52B12"/>
    <w:rsid w:val="00C52BDA"/>
    <w:rsid w:val="00C52CC2"/>
    <w:rsid w:val="00C52DD9"/>
    <w:rsid w:val="00C52DEE"/>
    <w:rsid w:val="00C52E29"/>
    <w:rsid w:val="00C52EB7"/>
    <w:rsid w:val="00C530A8"/>
    <w:rsid w:val="00C530BC"/>
    <w:rsid w:val="00C53350"/>
    <w:rsid w:val="00C535CC"/>
    <w:rsid w:val="00C535F5"/>
    <w:rsid w:val="00C53653"/>
    <w:rsid w:val="00C53681"/>
    <w:rsid w:val="00C536C9"/>
    <w:rsid w:val="00C537AC"/>
    <w:rsid w:val="00C5385F"/>
    <w:rsid w:val="00C538B6"/>
    <w:rsid w:val="00C5391D"/>
    <w:rsid w:val="00C5394B"/>
    <w:rsid w:val="00C539FC"/>
    <w:rsid w:val="00C53C3E"/>
    <w:rsid w:val="00C53C95"/>
    <w:rsid w:val="00C53CBA"/>
    <w:rsid w:val="00C53DD3"/>
    <w:rsid w:val="00C53F60"/>
    <w:rsid w:val="00C5400F"/>
    <w:rsid w:val="00C54406"/>
    <w:rsid w:val="00C54449"/>
    <w:rsid w:val="00C5445F"/>
    <w:rsid w:val="00C54489"/>
    <w:rsid w:val="00C5461A"/>
    <w:rsid w:val="00C54681"/>
    <w:rsid w:val="00C54686"/>
    <w:rsid w:val="00C5469E"/>
    <w:rsid w:val="00C546B4"/>
    <w:rsid w:val="00C54715"/>
    <w:rsid w:val="00C547B6"/>
    <w:rsid w:val="00C5480F"/>
    <w:rsid w:val="00C5481A"/>
    <w:rsid w:val="00C54878"/>
    <w:rsid w:val="00C548CB"/>
    <w:rsid w:val="00C54AE9"/>
    <w:rsid w:val="00C54C15"/>
    <w:rsid w:val="00C54C9E"/>
    <w:rsid w:val="00C54CEC"/>
    <w:rsid w:val="00C54D82"/>
    <w:rsid w:val="00C54E3C"/>
    <w:rsid w:val="00C54FF2"/>
    <w:rsid w:val="00C55013"/>
    <w:rsid w:val="00C55044"/>
    <w:rsid w:val="00C55142"/>
    <w:rsid w:val="00C551F2"/>
    <w:rsid w:val="00C55296"/>
    <w:rsid w:val="00C55342"/>
    <w:rsid w:val="00C5540F"/>
    <w:rsid w:val="00C5542B"/>
    <w:rsid w:val="00C55452"/>
    <w:rsid w:val="00C554F1"/>
    <w:rsid w:val="00C55528"/>
    <w:rsid w:val="00C555DD"/>
    <w:rsid w:val="00C5565D"/>
    <w:rsid w:val="00C55661"/>
    <w:rsid w:val="00C5573E"/>
    <w:rsid w:val="00C55824"/>
    <w:rsid w:val="00C5584F"/>
    <w:rsid w:val="00C5585F"/>
    <w:rsid w:val="00C55893"/>
    <w:rsid w:val="00C558B4"/>
    <w:rsid w:val="00C558D4"/>
    <w:rsid w:val="00C5590B"/>
    <w:rsid w:val="00C55979"/>
    <w:rsid w:val="00C55986"/>
    <w:rsid w:val="00C55AE1"/>
    <w:rsid w:val="00C55B72"/>
    <w:rsid w:val="00C55BE4"/>
    <w:rsid w:val="00C55C7F"/>
    <w:rsid w:val="00C55CC7"/>
    <w:rsid w:val="00C55E80"/>
    <w:rsid w:val="00C55E88"/>
    <w:rsid w:val="00C55E9D"/>
    <w:rsid w:val="00C55F69"/>
    <w:rsid w:val="00C55FAD"/>
    <w:rsid w:val="00C55FD4"/>
    <w:rsid w:val="00C56012"/>
    <w:rsid w:val="00C56069"/>
    <w:rsid w:val="00C5608D"/>
    <w:rsid w:val="00C5612A"/>
    <w:rsid w:val="00C56148"/>
    <w:rsid w:val="00C561F7"/>
    <w:rsid w:val="00C5623F"/>
    <w:rsid w:val="00C562AE"/>
    <w:rsid w:val="00C562CC"/>
    <w:rsid w:val="00C56412"/>
    <w:rsid w:val="00C564F7"/>
    <w:rsid w:val="00C565AF"/>
    <w:rsid w:val="00C565B5"/>
    <w:rsid w:val="00C56767"/>
    <w:rsid w:val="00C567B4"/>
    <w:rsid w:val="00C56803"/>
    <w:rsid w:val="00C568CF"/>
    <w:rsid w:val="00C569CC"/>
    <w:rsid w:val="00C56A44"/>
    <w:rsid w:val="00C56D49"/>
    <w:rsid w:val="00C56E12"/>
    <w:rsid w:val="00C56E3C"/>
    <w:rsid w:val="00C56E5C"/>
    <w:rsid w:val="00C56FAE"/>
    <w:rsid w:val="00C57046"/>
    <w:rsid w:val="00C57061"/>
    <w:rsid w:val="00C5706F"/>
    <w:rsid w:val="00C5709B"/>
    <w:rsid w:val="00C57374"/>
    <w:rsid w:val="00C573E0"/>
    <w:rsid w:val="00C57421"/>
    <w:rsid w:val="00C57487"/>
    <w:rsid w:val="00C5750D"/>
    <w:rsid w:val="00C57551"/>
    <w:rsid w:val="00C57592"/>
    <w:rsid w:val="00C57635"/>
    <w:rsid w:val="00C5764D"/>
    <w:rsid w:val="00C5766F"/>
    <w:rsid w:val="00C576B6"/>
    <w:rsid w:val="00C576EA"/>
    <w:rsid w:val="00C5779B"/>
    <w:rsid w:val="00C577AD"/>
    <w:rsid w:val="00C57956"/>
    <w:rsid w:val="00C57966"/>
    <w:rsid w:val="00C57979"/>
    <w:rsid w:val="00C579D0"/>
    <w:rsid w:val="00C579FB"/>
    <w:rsid w:val="00C57AAC"/>
    <w:rsid w:val="00C57AE2"/>
    <w:rsid w:val="00C57B00"/>
    <w:rsid w:val="00C57B90"/>
    <w:rsid w:val="00C57C17"/>
    <w:rsid w:val="00C57C4B"/>
    <w:rsid w:val="00C57C9C"/>
    <w:rsid w:val="00C57DB1"/>
    <w:rsid w:val="00C57DDB"/>
    <w:rsid w:val="00C57DF8"/>
    <w:rsid w:val="00C57E03"/>
    <w:rsid w:val="00C57F2C"/>
    <w:rsid w:val="00C57F43"/>
    <w:rsid w:val="00C57F66"/>
    <w:rsid w:val="00C57FD5"/>
    <w:rsid w:val="00C60060"/>
    <w:rsid w:val="00C600F5"/>
    <w:rsid w:val="00C60116"/>
    <w:rsid w:val="00C60214"/>
    <w:rsid w:val="00C60290"/>
    <w:rsid w:val="00C603A6"/>
    <w:rsid w:val="00C604FA"/>
    <w:rsid w:val="00C60512"/>
    <w:rsid w:val="00C6052A"/>
    <w:rsid w:val="00C606D1"/>
    <w:rsid w:val="00C60724"/>
    <w:rsid w:val="00C607FE"/>
    <w:rsid w:val="00C60945"/>
    <w:rsid w:val="00C6098B"/>
    <w:rsid w:val="00C60A22"/>
    <w:rsid w:val="00C60A2C"/>
    <w:rsid w:val="00C60BD1"/>
    <w:rsid w:val="00C60C0A"/>
    <w:rsid w:val="00C60C48"/>
    <w:rsid w:val="00C60DA8"/>
    <w:rsid w:val="00C60DCD"/>
    <w:rsid w:val="00C60F17"/>
    <w:rsid w:val="00C60F93"/>
    <w:rsid w:val="00C60FE6"/>
    <w:rsid w:val="00C61028"/>
    <w:rsid w:val="00C61069"/>
    <w:rsid w:val="00C61100"/>
    <w:rsid w:val="00C61166"/>
    <w:rsid w:val="00C611CB"/>
    <w:rsid w:val="00C612CC"/>
    <w:rsid w:val="00C612E9"/>
    <w:rsid w:val="00C61479"/>
    <w:rsid w:val="00C614FB"/>
    <w:rsid w:val="00C6152C"/>
    <w:rsid w:val="00C61545"/>
    <w:rsid w:val="00C61765"/>
    <w:rsid w:val="00C61774"/>
    <w:rsid w:val="00C617E2"/>
    <w:rsid w:val="00C617E8"/>
    <w:rsid w:val="00C6182A"/>
    <w:rsid w:val="00C61934"/>
    <w:rsid w:val="00C61989"/>
    <w:rsid w:val="00C61B0B"/>
    <w:rsid w:val="00C61BEC"/>
    <w:rsid w:val="00C61C60"/>
    <w:rsid w:val="00C61C67"/>
    <w:rsid w:val="00C61CDD"/>
    <w:rsid w:val="00C61D33"/>
    <w:rsid w:val="00C61D4E"/>
    <w:rsid w:val="00C61EA4"/>
    <w:rsid w:val="00C62087"/>
    <w:rsid w:val="00C62158"/>
    <w:rsid w:val="00C6219B"/>
    <w:rsid w:val="00C621A8"/>
    <w:rsid w:val="00C622D0"/>
    <w:rsid w:val="00C6251D"/>
    <w:rsid w:val="00C625BC"/>
    <w:rsid w:val="00C6266E"/>
    <w:rsid w:val="00C626DA"/>
    <w:rsid w:val="00C6272C"/>
    <w:rsid w:val="00C6274E"/>
    <w:rsid w:val="00C62764"/>
    <w:rsid w:val="00C6284E"/>
    <w:rsid w:val="00C62972"/>
    <w:rsid w:val="00C629AE"/>
    <w:rsid w:val="00C629C9"/>
    <w:rsid w:val="00C62A84"/>
    <w:rsid w:val="00C62ACC"/>
    <w:rsid w:val="00C62ADE"/>
    <w:rsid w:val="00C62BD1"/>
    <w:rsid w:val="00C62DC3"/>
    <w:rsid w:val="00C62E05"/>
    <w:rsid w:val="00C62ECE"/>
    <w:rsid w:val="00C62EF1"/>
    <w:rsid w:val="00C62F12"/>
    <w:rsid w:val="00C62FC1"/>
    <w:rsid w:val="00C63009"/>
    <w:rsid w:val="00C6320D"/>
    <w:rsid w:val="00C63237"/>
    <w:rsid w:val="00C6339F"/>
    <w:rsid w:val="00C63486"/>
    <w:rsid w:val="00C63497"/>
    <w:rsid w:val="00C6349B"/>
    <w:rsid w:val="00C634F2"/>
    <w:rsid w:val="00C635C9"/>
    <w:rsid w:val="00C635E5"/>
    <w:rsid w:val="00C636C9"/>
    <w:rsid w:val="00C636DD"/>
    <w:rsid w:val="00C6370D"/>
    <w:rsid w:val="00C63787"/>
    <w:rsid w:val="00C637AB"/>
    <w:rsid w:val="00C63815"/>
    <w:rsid w:val="00C6381F"/>
    <w:rsid w:val="00C63862"/>
    <w:rsid w:val="00C63977"/>
    <w:rsid w:val="00C63A98"/>
    <w:rsid w:val="00C63AD1"/>
    <w:rsid w:val="00C63C7F"/>
    <w:rsid w:val="00C63CCD"/>
    <w:rsid w:val="00C63D9E"/>
    <w:rsid w:val="00C63E05"/>
    <w:rsid w:val="00C63EAD"/>
    <w:rsid w:val="00C63ECB"/>
    <w:rsid w:val="00C63EF1"/>
    <w:rsid w:val="00C63F4B"/>
    <w:rsid w:val="00C63F7E"/>
    <w:rsid w:val="00C640F0"/>
    <w:rsid w:val="00C64116"/>
    <w:rsid w:val="00C64118"/>
    <w:rsid w:val="00C64229"/>
    <w:rsid w:val="00C6435A"/>
    <w:rsid w:val="00C6435E"/>
    <w:rsid w:val="00C643DD"/>
    <w:rsid w:val="00C64448"/>
    <w:rsid w:val="00C64596"/>
    <w:rsid w:val="00C646BD"/>
    <w:rsid w:val="00C64728"/>
    <w:rsid w:val="00C64785"/>
    <w:rsid w:val="00C64849"/>
    <w:rsid w:val="00C64919"/>
    <w:rsid w:val="00C64933"/>
    <w:rsid w:val="00C64B99"/>
    <w:rsid w:val="00C64C39"/>
    <w:rsid w:val="00C64CA7"/>
    <w:rsid w:val="00C64E0C"/>
    <w:rsid w:val="00C64E19"/>
    <w:rsid w:val="00C64E3A"/>
    <w:rsid w:val="00C64E49"/>
    <w:rsid w:val="00C64E70"/>
    <w:rsid w:val="00C64F17"/>
    <w:rsid w:val="00C64FC9"/>
    <w:rsid w:val="00C65032"/>
    <w:rsid w:val="00C650A6"/>
    <w:rsid w:val="00C651FE"/>
    <w:rsid w:val="00C6522A"/>
    <w:rsid w:val="00C65242"/>
    <w:rsid w:val="00C652C7"/>
    <w:rsid w:val="00C65350"/>
    <w:rsid w:val="00C653B8"/>
    <w:rsid w:val="00C653DD"/>
    <w:rsid w:val="00C65463"/>
    <w:rsid w:val="00C65525"/>
    <w:rsid w:val="00C655A3"/>
    <w:rsid w:val="00C655E9"/>
    <w:rsid w:val="00C65686"/>
    <w:rsid w:val="00C656B3"/>
    <w:rsid w:val="00C65701"/>
    <w:rsid w:val="00C6578A"/>
    <w:rsid w:val="00C657D8"/>
    <w:rsid w:val="00C6584D"/>
    <w:rsid w:val="00C6586F"/>
    <w:rsid w:val="00C65918"/>
    <w:rsid w:val="00C65936"/>
    <w:rsid w:val="00C65A5E"/>
    <w:rsid w:val="00C65A63"/>
    <w:rsid w:val="00C65B29"/>
    <w:rsid w:val="00C65D14"/>
    <w:rsid w:val="00C65EEF"/>
    <w:rsid w:val="00C65F58"/>
    <w:rsid w:val="00C66007"/>
    <w:rsid w:val="00C6604C"/>
    <w:rsid w:val="00C6605A"/>
    <w:rsid w:val="00C66060"/>
    <w:rsid w:val="00C66066"/>
    <w:rsid w:val="00C6606E"/>
    <w:rsid w:val="00C66259"/>
    <w:rsid w:val="00C66358"/>
    <w:rsid w:val="00C663E9"/>
    <w:rsid w:val="00C665CB"/>
    <w:rsid w:val="00C665D7"/>
    <w:rsid w:val="00C666A9"/>
    <w:rsid w:val="00C668E4"/>
    <w:rsid w:val="00C66996"/>
    <w:rsid w:val="00C66A29"/>
    <w:rsid w:val="00C66A2B"/>
    <w:rsid w:val="00C66A60"/>
    <w:rsid w:val="00C66B17"/>
    <w:rsid w:val="00C66B28"/>
    <w:rsid w:val="00C66BA4"/>
    <w:rsid w:val="00C66C13"/>
    <w:rsid w:val="00C66D55"/>
    <w:rsid w:val="00C66E1C"/>
    <w:rsid w:val="00C66F66"/>
    <w:rsid w:val="00C66F84"/>
    <w:rsid w:val="00C671A1"/>
    <w:rsid w:val="00C67239"/>
    <w:rsid w:val="00C6727E"/>
    <w:rsid w:val="00C67391"/>
    <w:rsid w:val="00C6741E"/>
    <w:rsid w:val="00C67449"/>
    <w:rsid w:val="00C674AE"/>
    <w:rsid w:val="00C674E5"/>
    <w:rsid w:val="00C674FD"/>
    <w:rsid w:val="00C67570"/>
    <w:rsid w:val="00C6766A"/>
    <w:rsid w:val="00C676E8"/>
    <w:rsid w:val="00C67823"/>
    <w:rsid w:val="00C67835"/>
    <w:rsid w:val="00C67842"/>
    <w:rsid w:val="00C67874"/>
    <w:rsid w:val="00C678BB"/>
    <w:rsid w:val="00C6794D"/>
    <w:rsid w:val="00C67995"/>
    <w:rsid w:val="00C67A8F"/>
    <w:rsid w:val="00C67B06"/>
    <w:rsid w:val="00C67BE5"/>
    <w:rsid w:val="00C67C4B"/>
    <w:rsid w:val="00C67DA5"/>
    <w:rsid w:val="00C67DB7"/>
    <w:rsid w:val="00C67E10"/>
    <w:rsid w:val="00C67EAD"/>
    <w:rsid w:val="00C67F00"/>
    <w:rsid w:val="00C67F08"/>
    <w:rsid w:val="00C70049"/>
    <w:rsid w:val="00C7014E"/>
    <w:rsid w:val="00C701B7"/>
    <w:rsid w:val="00C701F3"/>
    <w:rsid w:val="00C70300"/>
    <w:rsid w:val="00C70330"/>
    <w:rsid w:val="00C7040C"/>
    <w:rsid w:val="00C7041B"/>
    <w:rsid w:val="00C70449"/>
    <w:rsid w:val="00C70578"/>
    <w:rsid w:val="00C707CE"/>
    <w:rsid w:val="00C7092C"/>
    <w:rsid w:val="00C70938"/>
    <w:rsid w:val="00C70A68"/>
    <w:rsid w:val="00C70B20"/>
    <w:rsid w:val="00C70B2B"/>
    <w:rsid w:val="00C70B2D"/>
    <w:rsid w:val="00C70BDE"/>
    <w:rsid w:val="00C70C28"/>
    <w:rsid w:val="00C70DA9"/>
    <w:rsid w:val="00C70DDF"/>
    <w:rsid w:val="00C70E95"/>
    <w:rsid w:val="00C70F2D"/>
    <w:rsid w:val="00C7108F"/>
    <w:rsid w:val="00C71146"/>
    <w:rsid w:val="00C71151"/>
    <w:rsid w:val="00C711F8"/>
    <w:rsid w:val="00C712B6"/>
    <w:rsid w:val="00C714CE"/>
    <w:rsid w:val="00C714F6"/>
    <w:rsid w:val="00C7153B"/>
    <w:rsid w:val="00C715B0"/>
    <w:rsid w:val="00C7160D"/>
    <w:rsid w:val="00C716C9"/>
    <w:rsid w:val="00C71770"/>
    <w:rsid w:val="00C717DC"/>
    <w:rsid w:val="00C71883"/>
    <w:rsid w:val="00C719EC"/>
    <w:rsid w:val="00C71AC6"/>
    <w:rsid w:val="00C71AE3"/>
    <w:rsid w:val="00C71AF9"/>
    <w:rsid w:val="00C71BE0"/>
    <w:rsid w:val="00C71C56"/>
    <w:rsid w:val="00C71E7A"/>
    <w:rsid w:val="00C71E82"/>
    <w:rsid w:val="00C71F41"/>
    <w:rsid w:val="00C71FAA"/>
    <w:rsid w:val="00C71FB1"/>
    <w:rsid w:val="00C7203C"/>
    <w:rsid w:val="00C7203F"/>
    <w:rsid w:val="00C720AF"/>
    <w:rsid w:val="00C72392"/>
    <w:rsid w:val="00C7244B"/>
    <w:rsid w:val="00C7248D"/>
    <w:rsid w:val="00C72515"/>
    <w:rsid w:val="00C72573"/>
    <w:rsid w:val="00C729BF"/>
    <w:rsid w:val="00C729C6"/>
    <w:rsid w:val="00C72AC1"/>
    <w:rsid w:val="00C72AEC"/>
    <w:rsid w:val="00C72BC4"/>
    <w:rsid w:val="00C72C0A"/>
    <w:rsid w:val="00C72D6B"/>
    <w:rsid w:val="00C72F58"/>
    <w:rsid w:val="00C7302A"/>
    <w:rsid w:val="00C73062"/>
    <w:rsid w:val="00C7309A"/>
    <w:rsid w:val="00C730BA"/>
    <w:rsid w:val="00C730F3"/>
    <w:rsid w:val="00C73416"/>
    <w:rsid w:val="00C73579"/>
    <w:rsid w:val="00C735A6"/>
    <w:rsid w:val="00C73767"/>
    <w:rsid w:val="00C73779"/>
    <w:rsid w:val="00C73786"/>
    <w:rsid w:val="00C73796"/>
    <w:rsid w:val="00C737DA"/>
    <w:rsid w:val="00C73820"/>
    <w:rsid w:val="00C73877"/>
    <w:rsid w:val="00C7388B"/>
    <w:rsid w:val="00C738A6"/>
    <w:rsid w:val="00C738EA"/>
    <w:rsid w:val="00C73924"/>
    <w:rsid w:val="00C73979"/>
    <w:rsid w:val="00C73AB2"/>
    <w:rsid w:val="00C73B2B"/>
    <w:rsid w:val="00C73C03"/>
    <w:rsid w:val="00C73C64"/>
    <w:rsid w:val="00C73C97"/>
    <w:rsid w:val="00C73D91"/>
    <w:rsid w:val="00C73DFB"/>
    <w:rsid w:val="00C73E6C"/>
    <w:rsid w:val="00C73E81"/>
    <w:rsid w:val="00C73FCD"/>
    <w:rsid w:val="00C740AA"/>
    <w:rsid w:val="00C74196"/>
    <w:rsid w:val="00C741A7"/>
    <w:rsid w:val="00C7422B"/>
    <w:rsid w:val="00C7425F"/>
    <w:rsid w:val="00C742AE"/>
    <w:rsid w:val="00C74359"/>
    <w:rsid w:val="00C74409"/>
    <w:rsid w:val="00C74422"/>
    <w:rsid w:val="00C744CC"/>
    <w:rsid w:val="00C74712"/>
    <w:rsid w:val="00C7471D"/>
    <w:rsid w:val="00C74774"/>
    <w:rsid w:val="00C74865"/>
    <w:rsid w:val="00C74AA7"/>
    <w:rsid w:val="00C74AC4"/>
    <w:rsid w:val="00C74C23"/>
    <w:rsid w:val="00C74CD7"/>
    <w:rsid w:val="00C74DA4"/>
    <w:rsid w:val="00C74DBE"/>
    <w:rsid w:val="00C74DFA"/>
    <w:rsid w:val="00C74E1A"/>
    <w:rsid w:val="00C74EE4"/>
    <w:rsid w:val="00C74F3B"/>
    <w:rsid w:val="00C750A1"/>
    <w:rsid w:val="00C750A2"/>
    <w:rsid w:val="00C752A1"/>
    <w:rsid w:val="00C752B3"/>
    <w:rsid w:val="00C7532D"/>
    <w:rsid w:val="00C753B1"/>
    <w:rsid w:val="00C75476"/>
    <w:rsid w:val="00C75533"/>
    <w:rsid w:val="00C7561C"/>
    <w:rsid w:val="00C75631"/>
    <w:rsid w:val="00C758AF"/>
    <w:rsid w:val="00C7591A"/>
    <w:rsid w:val="00C75935"/>
    <w:rsid w:val="00C75AF2"/>
    <w:rsid w:val="00C75BE3"/>
    <w:rsid w:val="00C75CD3"/>
    <w:rsid w:val="00C75CDA"/>
    <w:rsid w:val="00C75CE4"/>
    <w:rsid w:val="00C75CE8"/>
    <w:rsid w:val="00C75E7F"/>
    <w:rsid w:val="00C75FFC"/>
    <w:rsid w:val="00C760B6"/>
    <w:rsid w:val="00C7612A"/>
    <w:rsid w:val="00C76178"/>
    <w:rsid w:val="00C76253"/>
    <w:rsid w:val="00C76261"/>
    <w:rsid w:val="00C76382"/>
    <w:rsid w:val="00C76465"/>
    <w:rsid w:val="00C76482"/>
    <w:rsid w:val="00C764DD"/>
    <w:rsid w:val="00C7659A"/>
    <w:rsid w:val="00C765DC"/>
    <w:rsid w:val="00C765F5"/>
    <w:rsid w:val="00C7660B"/>
    <w:rsid w:val="00C7666E"/>
    <w:rsid w:val="00C7675D"/>
    <w:rsid w:val="00C7678D"/>
    <w:rsid w:val="00C76950"/>
    <w:rsid w:val="00C769E7"/>
    <w:rsid w:val="00C769FE"/>
    <w:rsid w:val="00C76EC9"/>
    <w:rsid w:val="00C76F18"/>
    <w:rsid w:val="00C76F41"/>
    <w:rsid w:val="00C76FD0"/>
    <w:rsid w:val="00C770F8"/>
    <w:rsid w:val="00C77117"/>
    <w:rsid w:val="00C772C0"/>
    <w:rsid w:val="00C772C7"/>
    <w:rsid w:val="00C772F2"/>
    <w:rsid w:val="00C772FA"/>
    <w:rsid w:val="00C77330"/>
    <w:rsid w:val="00C774B8"/>
    <w:rsid w:val="00C7750E"/>
    <w:rsid w:val="00C77528"/>
    <w:rsid w:val="00C7761C"/>
    <w:rsid w:val="00C7765F"/>
    <w:rsid w:val="00C77662"/>
    <w:rsid w:val="00C77803"/>
    <w:rsid w:val="00C77869"/>
    <w:rsid w:val="00C77C0A"/>
    <w:rsid w:val="00C77CA0"/>
    <w:rsid w:val="00C77D09"/>
    <w:rsid w:val="00C77DB7"/>
    <w:rsid w:val="00C77E55"/>
    <w:rsid w:val="00C77E5C"/>
    <w:rsid w:val="00C77E82"/>
    <w:rsid w:val="00C77F08"/>
    <w:rsid w:val="00C77F26"/>
    <w:rsid w:val="00C77FC8"/>
    <w:rsid w:val="00C80001"/>
    <w:rsid w:val="00C80004"/>
    <w:rsid w:val="00C800B6"/>
    <w:rsid w:val="00C80171"/>
    <w:rsid w:val="00C802D7"/>
    <w:rsid w:val="00C8045A"/>
    <w:rsid w:val="00C804F1"/>
    <w:rsid w:val="00C8051E"/>
    <w:rsid w:val="00C80549"/>
    <w:rsid w:val="00C805E8"/>
    <w:rsid w:val="00C806B1"/>
    <w:rsid w:val="00C80707"/>
    <w:rsid w:val="00C8073B"/>
    <w:rsid w:val="00C80755"/>
    <w:rsid w:val="00C807F9"/>
    <w:rsid w:val="00C808FE"/>
    <w:rsid w:val="00C80908"/>
    <w:rsid w:val="00C80A34"/>
    <w:rsid w:val="00C80C25"/>
    <w:rsid w:val="00C80C9B"/>
    <w:rsid w:val="00C80CA0"/>
    <w:rsid w:val="00C80CC1"/>
    <w:rsid w:val="00C80D12"/>
    <w:rsid w:val="00C80D2A"/>
    <w:rsid w:val="00C80DF1"/>
    <w:rsid w:val="00C80F3C"/>
    <w:rsid w:val="00C80F69"/>
    <w:rsid w:val="00C810EB"/>
    <w:rsid w:val="00C811F7"/>
    <w:rsid w:val="00C81325"/>
    <w:rsid w:val="00C8150A"/>
    <w:rsid w:val="00C815FF"/>
    <w:rsid w:val="00C8169E"/>
    <w:rsid w:val="00C816A8"/>
    <w:rsid w:val="00C817D6"/>
    <w:rsid w:val="00C81C1C"/>
    <w:rsid w:val="00C81DC4"/>
    <w:rsid w:val="00C81E00"/>
    <w:rsid w:val="00C81E6E"/>
    <w:rsid w:val="00C81E8A"/>
    <w:rsid w:val="00C820C0"/>
    <w:rsid w:val="00C820E8"/>
    <w:rsid w:val="00C82112"/>
    <w:rsid w:val="00C82171"/>
    <w:rsid w:val="00C82188"/>
    <w:rsid w:val="00C823A9"/>
    <w:rsid w:val="00C823CD"/>
    <w:rsid w:val="00C82517"/>
    <w:rsid w:val="00C8259D"/>
    <w:rsid w:val="00C825D1"/>
    <w:rsid w:val="00C825F6"/>
    <w:rsid w:val="00C82776"/>
    <w:rsid w:val="00C82807"/>
    <w:rsid w:val="00C8282E"/>
    <w:rsid w:val="00C8289F"/>
    <w:rsid w:val="00C82912"/>
    <w:rsid w:val="00C82928"/>
    <w:rsid w:val="00C829A9"/>
    <w:rsid w:val="00C82ADB"/>
    <w:rsid w:val="00C82B2F"/>
    <w:rsid w:val="00C82C05"/>
    <w:rsid w:val="00C82D7A"/>
    <w:rsid w:val="00C82D91"/>
    <w:rsid w:val="00C82DE1"/>
    <w:rsid w:val="00C82DED"/>
    <w:rsid w:val="00C82E19"/>
    <w:rsid w:val="00C82EB9"/>
    <w:rsid w:val="00C82EE7"/>
    <w:rsid w:val="00C82FFB"/>
    <w:rsid w:val="00C83082"/>
    <w:rsid w:val="00C8312D"/>
    <w:rsid w:val="00C83247"/>
    <w:rsid w:val="00C83330"/>
    <w:rsid w:val="00C8339B"/>
    <w:rsid w:val="00C83425"/>
    <w:rsid w:val="00C83469"/>
    <w:rsid w:val="00C835B2"/>
    <w:rsid w:val="00C83618"/>
    <w:rsid w:val="00C836FB"/>
    <w:rsid w:val="00C83729"/>
    <w:rsid w:val="00C83795"/>
    <w:rsid w:val="00C8382E"/>
    <w:rsid w:val="00C838FF"/>
    <w:rsid w:val="00C839A4"/>
    <w:rsid w:val="00C839A8"/>
    <w:rsid w:val="00C83A5E"/>
    <w:rsid w:val="00C83AA2"/>
    <w:rsid w:val="00C83C2D"/>
    <w:rsid w:val="00C83C81"/>
    <w:rsid w:val="00C83D51"/>
    <w:rsid w:val="00C83DE4"/>
    <w:rsid w:val="00C83DFD"/>
    <w:rsid w:val="00C83E5D"/>
    <w:rsid w:val="00C83E8B"/>
    <w:rsid w:val="00C83ED8"/>
    <w:rsid w:val="00C83EDE"/>
    <w:rsid w:val="00C83EFC"/>
    <w:rsid w:val="00C84029"/>
    <w:rsid w:val="00C84074"/>
    <w:rsid w:val="00C84082"/>
    <w:rsid w:val="00C84095"/>
    <w:rsid w:val="00C840FC"/>
    <w:rsid w:val="00C84116"/>
    <w:rsid w:val="00C84118"/>
    <w:rsid w:val="00C84191"/>
    <w:rsid w:val="00C841C0"/>
    <w:rsid w:val="00C84211"/>
    <w:rsid w:val="00C84372"/>
    <w:rsid w:val="00C843FE"/>
    <w:rsid w:val="00C8450F"/>
    <w:rsid w:val="00C8458C"/>
    <w:rsid w:val="00C845C7"/>
    <w:rsid w:val="00C84636"/>
    <w:rsid w:val="00C8474B"/>
    <w:rsid w:val="00C8483C"/>
    <w:rsid w:val="00C848DA"/>
    <w:rsid w:val="00C848E1"/>
    <w:rsid w:val="00C84936"/>
    <w:rsid w:val="00C84985"/>
    <w:rsid w:val="00C849DA"/>
    <w:rsid w:val="00C84A6E"/>
    <w:rsid w:val="00C84ACB"/>
    <w:rsid w:val="00C84B2D"/>
    <w:rsid w:val="00C84D61"/>
    <w:rsid w:val="00C84DB3"/>
    <w:rsid w:val="00C84DC4"/>
    <w:rsid w:val="00C84F37"/>
    <w:rsid w:val="00C84FE3"/>
    <w:rsid w:val="00C85017"/>
    <w:rsid w:val="00C8503F"/>
    <w:rsid w:val="00C850A9"/>
    <w:rsid w:val="00C85179"/>
    <w:rsid w:val="00C851DA"/>
    <w:rsid w:val="00C8525D"/>
    <w:rsid w:val="00C853B9"/>
    <w:rsid w:val="00C853DA"/>
    <w:rsid w:val="00C85470"/>
    <w:rsid w:val="00C85485"/>
    <w:rsid w:val="00C85562"/>
    <w:rsid w:val="00C8557F"/>
    <w:rsid w:val="00C8558B"/>
    <w:rsid w:val="00C8558E"/>
    <w:rsid w:val="00C85658"/>
    <w:rsid w:val="00C8569A"/>
    <w:rsid w:val="00C85720"/>
    <w:rsid w:val="00C85730"/>
    <w:rsid w:val="00C85776"/>
    <w:rsid w:val="00C85795"/>
    <w:rsid w:val="00C857B9"/>
    <w:rsid w:val="00C85818"/>
    <w:rsid w:val="00C8599A"/>
    <w:rsid w:val="00C85A60"/>
    <w:rsid w:val="00C85A92"/>
    <w:rsid w:val="00C85AEA"/>
    <w:rsid w:val="00C85B20"/>
    <w:rsid w:val="00C85B4C"/>
    <w:rsid w:val="00C85B8F"/>
    <w:rsid w:val="00C85B97"/>
    <w:rsid w:val="00C85BC3"/>
    <w:rsid w:val="00C85BCE"/>
    <w:rsid w:val="00C85BE3"/>
    <w:rsid w:val="00C85C1A"/>
    <w:rsid w:val="00C85ED3"/>
    <w:rsid w:val="00C8600C"/>
    <w:rsid w:val="00C860A3"/>
    <w:rsid w:val="00C8612C"/>
    <w:rsid w:val="00C861B2"/>
    <w:rsid w:val="00C86380"/>
    <w:rsid w:val="00C8652A"/>
    <w:rsid w:val="00C8654C"/>
    <w:rsid w:val="00C865AD"/>
    <w:rsid w:val="00C865E8"/>
    <w:rsid w:val="00C8694D"/>
    <w:rsid w:val="00C86A57"/>
    <w:rsid w:val="00C86A77"/>
    <w:rsid w:val="00C86B38"/>
    <w:rsid w:val="00C86BE6"/>
    <w:rsid w:val="00C86D10"/>
    <w:rsid w:val="00C87081"/>
    <w:rsid w:val="00C87088"/>
    <w:rsid w:val="00C87212"/>
    <w:rsid w:val="00C873CC"/>
    <w:rsid w:val="00C87410"/>
    <w:rsid w:val="00C87453"/>
    <w:rsid w:val="00C874AE"/>
    <w:rsid w:val="00C87568"/>
    <w:rsid w:val="00C87574"/>
    <w:rsid w:val="00C87693"/>
    <w:rsid w:val="00C8770C"/>
    <w:rsid w:val="00C87775"/>
    <w:rsid w:val="00C87789"/>
    <w:rsid w:val="00C877CD"/>
    <w:rsid w:val="00C8787C"/>
    <w:rsid w:val="00C87890"/>
    <w:rsid w:val="00C8789F"/>
    <w:rsid w:val="00C8799F"/>
    <w:rsid w:val="00C879E7"/>
    <w:rsid w:val="00C87AC2"/>
    <w:rsid w:val="00C87C19"/>
    <w:rsid w:val="00C87C9E"/>
    <w:rsid w:val="00C87E5E"/>
    <w:rsid w:val="00C87EA8"/>
    <w:rsid w:val="00C87EF0"/>
    <w:rsid w:val="00C87F98"/>
    <w:rsid w:val="00C87FD8"/>
    <w:rsid w:val="00C90026"/>
    <w:rsid w:val="00C90098"/>
    <w:rsid w:val="00C900B3"/>
    <w:rsid w:val="00C9020B"/>
    <w:rsid w:val="00C90230"/>
    <w:rsid w:val="00C90355"/>
    <w:rsid w:val="00C904B0"/>
    <w:rsid w:val="00C90792"/>
    <w:rsid w:val="00C907FA"/>
    <w:rsid w:val="00C90864"/>
    <w:rsid w:val="00C90874"/>
    <w:rsid w:val="00C9088A"/>
    <w:rsid w:val="00C908E9"/>
    <w:rsid w:val="00C909F4"/>
    <w:rsid w:val="00C90A0A"/>
    <w:rsid w:val="00C90A52"/>
    <w:rsid w:val="00C90B57"/>
    <w:rsid w:val="00C90CAC"/>
    <w:rsid w:val="00C90D2B"/>
    <w:rsid w:val="00C90DAE"/>
    <w:rsid w:val="00C90E1B"/>
    <w:rsid w:val="00C90E46"/>
    <w:rsid w:val="00C90EB7"/>
    <w:rsid w:val="00C90F02"/>
    <w:rsid w:val="00C90F80"/>
    <w:rsid w:val="00C90FA3"/>
    <w:rsid w:val="00C90FFE"/>
    <w:rsid w:val="00C91030"/>
    <w:rsid w:val="00C91123"/>
    <w:rsid w:val="00C9120F"/>
    <w:rsid w:val="00C91239"/>
    <w:rsid w:val="00C912B3"/>
    <w:rsid w:val="00C912DF"/>
    <w:rsid w:val="00C9137F"/>
    <w:rsid w:val="00C913AB"/>
    <w:rsid w:val="00C91434"/>
    <w:rsid w:val="00C91459"/>
    <w:rsid w:val="00C914BE"/>
    <w:rsid w:val="00C91589"/>
    <w:rsid w:val="00C9159E"/>
    <w:rsid w:val="00C91655"/>
    <w:rsid w:val="00C91674"/>
    <w:rsid w:val="00C917AD"/>
    <w:rsid w:val="00C917D9"/>
    <w:rsid w:val="00C917DC"/>
    <w:rsid w:val="00C9180D"/>
    <w:rsid w:val="00C918E4"/>
    <w:rsid w:val="00C9194D"/>
    <w:rsid w:val="00C91B4F"/>
    <w:rsid w:val="00C91B7C"/>
    <w:rsid w:val="00C91C15"/>
    <w:rsid w:val="00C91C7C"/>
    <w:rsid w:val="00C91CFF"/>
    <w:rsid w:val="00C91D2E"/>
    <w:rsid w:val="00C91E50"/>
    <w:rsid w:val="00C91FB1"/>
    <w:rsid w:val="00C92036"/>
    <w:rsid w:val="00C9203F"/>
    <w:rsid w:val="00C9208B"/>
    <w:rsid w:val="00C92286"/>
    <w:rsid w:val="00C92299"/>
    <w:rsid w:val="00C922B6"/>
    <w:rsid w:val="00C923A6"/>
    <w:rsid w:val="00C923C9"/>
    <w:rsid w:val="00C92448"/>
    <w:rsid w:val="00C9253B"/>
    <w:rsid w:val="00C925B4"/>
    <w:rsid w:val="00C92619"/>
    <w:rsid w:val="00C92635"/>
    <w:rsid w:val="00C926AE"/>
    <w:rsid w:val="00C926B2"/>
    <w:rsid w:val="00C928DD"/>
    <w:rsid w:val="00C9298C"/>
    <w:rsid w:val="00C9298F"/>
    <w:rsid w:val="00C929F7"/>
    <w:rsid w:val="00C92B56"/>
    <w:rsid w:val="00C92C6F"/>
    <w:rsid w:val="00C92D3E"/>
    <w:rsid w:val="00C92DE9"/>
    <w:rsid w:val="00C92E0C"/>
    <w:rsid w:val="00C92E87"/>
    <w:rsid w:val="00C92F6D"/>
    <w:rsid w:val="00C92FD9"/>
    <w:rsid w:val="00C9302C"/>
    <w:rsid w:val="00C93128"/>
    <w:rsid w:val="00C9314B"/>
    <w:rsid w:val="00C9316D"/>
    <w:rsid w:val="00C931C9"/>
    <w:rsid w:val="00C9328C"/>
    <w:rsid w:val="00C932FB"/>
    <w:rsid w:val="00C93485"/>
    <w:rsid w:val="00C9350E"/>
    <w:rsid w:val="00C9357A"/>
    <w:rsid w:val="00C936FB"/>
    <w:rsid w:val="00C93743"/>
    <w:rsid w:val="00C938B6"/>
    <w:rsid w:val="00C938E3"/>
    <w:rsid w:val="00C939A6"/>
    <w:rsid w:val="00C93A66"/>
    <w:rsid w:val="00C93B12"/>
    <w:rsid w:val="00C93B2F"/>
    <w:rsid w:val="00C93BC8"/>
    <w:rsid w:val="00C93C57"/>
    <w:rsid w:val="00C93C76"/>
    <w:rsid w:val="00C93CFD"/>
    <w:rsid w:val="00C93DA2"/>
    <w:rsid w:val="00C93E39"/>
    <w:rsid w:val="00C93F5F"/>
    <w:rsid w:val="00C942B0"/>
    <w:rsid w:val="00C94331"/>
    <w:rsid w:val="00C94389"/>
    <w:rsid w:val="00C94586"/>
    <w:rsid w:val="00C9463C"/>
    <w:rsid w:val="00C94664"/>
    <w:rsid w:val="00C94692"/>
    <w:rsid w:val="00C946A4"/>
    <w:rsid w:val="00C9488C"/>
    <w:rsid w:val="00C948B4"/>
    <w:rsid w:val="00C94965"/>
    <w:rsid w:val="00C949A4"/>
    <w:rsid w:val="00C949B7"/>
    <w:rsid w:val="00C949D5"/>
    <w:rsid w:val="00C949E6"/>
    <w:rsid w:val="00C94BDC"/>
    <w:rsid w:val="00C94CA0"/>
    <w:rsid w:val="00C94D16"/>
    <w:rsid w:val="00C94E4F"/>
    <w:rsid w:val="00C94E78"/>
    <w:rsid w:val="00C94EDF"/>
    <w:rsid w:val="00C94FBE"/>
    <w:rsid w:val="00C9506A"/>
    <w:rsid w:val="00C95090"/>
    <w:rsid w:val="00C95110"/>
    <w:rsid w:val="00C951E0"/>
    <w:rsid w:val="00C95217"/>
    <w:rsid w:val="00C95259"/>
    <w:rsid w:val="00C95276"/>
    <w:rsid w:val="00C95335"/>
    <w:rsid w:val="00C953D8"/>
    <w:rsid w:val="00C95553"/>
    <w:rsid w:val="00C955A0"/>
    <w:rsid w:val="00C955A8"/>
    <w:rsid w:val="00C95708"/>
    <w:rsid w:val="00C95788"/>
    <w:rsid w:val="00C957F2"/>
    <w:rsid w:val="00C95844"/>
    <w:rsid w:val="00C95849"/>
    <w:rsid w:val="00C95853"/>
    <w:rsid w:val="00C958CC"/>
    <w:rsid w:val="00C9590E"/>
    <w:rsid w:val="00C95931"/>
    <w:rsid w:val="00C959B9"/>
    <w:rsid w:val="00C959C6"/>
    <w:rsid w:val="00C95A48"/>
    <w:rsid w:val="00C95A4F"/>
    <w:rsid w:val="00C95E30"/>
    <w:rsid w:val="00C95E68"/>
    <w:rsid w:val="00C95EF2"/>
    <w:rsid w:val="00C95FCE"/>
    <w:rsid w:val="00C96131"/>
    <w:rsid w:val="00C9614F"/>
    <w:rsid w:val="00C961C3"/>
    <w:rsid w:val="00C961ED"/>
    <w:rsid w:val="00C962E0"/>
    <w:rsid w:val="00C96412"/>
    <w:rsid w:val="00C96415"/>
    <w:rsid w:val="00C96486"/>
    <w:rsid w:val="00C96543"/>
    <w:rsid w:val="00C96593"/>
    <w:rsid w:val="00C965A4"/>
    <w:rsid w:val="00C9660D"/>
    <w:rsid w:val="00C96611"/>
    <w:rsid w:val="00C96620"/>
    <w:rsid w:val="00C9664E"/>
    <w:rsid w:val="00C966B0"/>
    <w:rsid w:val="00C967FC"/>
    <w:rsid w:val="00C9681D"/>
    <w:rsid w:val="00C96917"/>
    <w:rsid w:val="00C96A4E"/>
    <w:rsid w:val="00C96B28"/>
    <w:rsid w:val="00C96E3A"/>
    <w:rsid w:val="00C96E3E"/>
    <w:rsid w:val="00C96ECA"/>
    <w:rsid w:val="00C96F68"/>
    <w:rsid w:val="00C96FCC"/>
    <w:rsid w:val="00C97195"/>
    <w:rsid w:val="00C971B1"/>
    <w:rsid w:val="00C971CD"/>
    <w:rsid w:val="00C97202"/>
    <w:rsid w:val="00C97285"/>
    <w:rsid w:val="00C972B3"/>
    <w:rsid w:val="00C9731B"/>
    <w:rsid w:val="00C97360"/>
    <w:rsid w:val="00C974AF"/>
    <w:rsid w:val="00C974FB"/>
    <w:rsid w:val="00C97540"/>
    <w:rsid w:val="00C97544"/>
    <w:rsid w:val="00C97546"/>
    <w:rsid w:val="00C97583"/>
    <w:rsid w:val="00C977DF"/>
    <w:rsid w:val="00C9784D"/>
    <w:rsid w:val="00C9792B"/>
    <w:rsid w:val="00C97983"/>
    <w:rsid w:val="00C97B32"/>
    <w:rsid w:val="00C97B65"/>
    <w:rsid w:val="00C97C14"/>
    <w:rsid w:val="00C97C42"/>
    <w:rsid w:val="00C97C84"/>
    <w:rsid w:val="00C97C87"/>
    <w:rsid w:val="00C97D23"/>
    <w:rsid w:val="00C97F12"/>
    <w:rsid w:val="00C97FF1"/>
    <w:rsid w:val="00CA004B"/>
    <w:rsid w:val="00CA0119"/>
    <w:rsid w:val="00CA0124"/>
    <w:rsid w:val="00CA0129"/>
    <w:rsid w:val="00CA0378"/>
    <w:rsid w:val="00CA0399"/>
    <w:rsid w:val="00CA03CF"/>
    <w:rsid w:val="00CA04FE"/>
    <w:rsid w:val="00CA057D"/>
    <w:rsid w:val="00CA05CA"/>
    <w:rsid w:val="00CA069C"/>
    <w:rsid w:val="00CA07CF"/>
    <w:rsid w:val="00CA08D5"/>
    <w:rsid w:val="00CA08EF"/>
    <w:rsid w:val="00CA09C0"/>
    <w:rsid w:val="00CA0A7F"/>
    <w:rsid w:val="00CA0A8D"/>
    <w:rsid w:val="00CA0AAC"/>
    <w:rsid w:val="00CA0BB7"/>
    <w:rsid w:val="00CA0D2A"/>
    <w:rsid w:val="00CA0D47"/>
    <w:rsid w:val="00CA0EC5"/>
    <w:rsid w:val="00CA0F61"/>
    <w:rsid w:val="00CA0FB4"/>
    <w:rsid w:val="00CA11AC"/>
    <w:rsid w:val="00CA11CE"/>
    <w:rsid w:val="00CA11FE"/>
    <w:rsid w:val="00CA1244"/>
    <w:rsid w:val="00CA130D"/>
    <w:rsid w:val="00CA139B"/>
    <w:rsid w:val="00CA13A4"/>
    <w:rsid w:val="00CA13E9"/>
    <w:rsid w:val="00CA14B6"/>
    <w:rsid w:val="00CA154A"/>
    <w:rsid w:val="00CA15C0"/>
    <w:rsid w:val="00CA16A4"/>
    <w:rsid w:val="00CA1711"/>
    <w:rsid w:val="00CA17D3"/>
    <w:rsid w:val="00CA18FA"/>
    <w:rsid w:val="00CA1ABD"/>
    <w:rsid w:val="00CA1C0A"/>
    <w:rsid w:val="00CA1C78"/>
    <w:rsid w:val="00CA1D5A"/>
    <w:rsid w:val="00CA1EB9"/>
    <w:rsid w:val="00CA1EBD"/>
    <w:rsid w:val="00CA2044"/>
    <w:rsid w:val="00CA2105"/>
    <w:rsid w:val="00CA2122"/>
    <w:rsid w:val="00CA228B"/>
    <w:rsid w:val="00CA22FD"/>
    <w:rsid w:val="00CA234F"/>
    <w:rsid w:val="00CA23E8"/>
    <w:rsid w:val="00CA246B"/>
    <w:rsid w:val="00CA2471"/>
    <w:rsid w:val="00CA2478"/>
    <w:rsid w:val="00CA24FE"/>
    <w:rsid w:val="00CA2521"/>
    <w:rsid w:val="00CA2641"/>
    <w:rsid w:val="00CA266E"/>
    <w:rsid w:val="00CA274F"/>
    <w:rsid w:val="00CA2807"/>
    <w:rsid w:val="00CA28C3"/>
    <w:rsid w:val="00CA2963"/>
    <w:rsid w:val="00CA29CB"/>
    <w:rsid w:val="00CA29EC"/>
    <w:rsid w:val="00CA2A59"/>
    <w:rsid w:val="00CA2C78"/>
    <w:rsid w:val="00CA2C93"/>
    <w:rsid w:val="00CA2CE5"/>
    <w:rsid w:val="00CA2DF1"/>
    <w:rsid w:val="00CA2E3B"/>
    <w:rsid w:val="00CA2E75"/>
    <w:rsid w:val="00CA2F71"/>
    <w:rsid w:val="00CA2F85"/>
    <w:rsid w:val="00CA2FE1"/>
    <w:rsid w:val="00CA309E"/>
    <w:rsid w:val="00CA30AF"/>
    <w:rsid w:val="00CA3183"/>
    <w:rsid w:val="00CA31B9"/>
    <w:rsid w:val="00CA325A"/>
    <w:rsid w:val="00CA3269"/>
    <w:rsid w:val="00CA3270"/>
    <w:rsid w:val="00CA32DF"/>
    <w:rsid w:val="00CA34C8"/>
    <w:rsid w:val="00CA353F"/>
    <w:rsid w:val="00CA361E"/>
    <w:rsid w:val="00CA3652"/>
    <w:rsid w:val="00CA3678"/>
    <w:rsid w:val="00CA374A"/>
    <w:rsid w:val="00CA389B"/>
    <w:rsid w:val="00CA38FE"/>
    <w:rsid w:val="00CA3A27"/>
    <w:rsid w:val="00CA3A3F"/>
    <w:rsid w:val="00CA3A4D"/>
    <w:rsid w:val="00CA3AB3"/>
    <w:rsid w:val="00CA3AD3"/>
    <w:rsid w:val="00CA3C73"/>
    <w:rsid w:val="00CA3CEE"/>
    <w:rsid w:val="00CA3D4E"/>
    <w:rsid w:val="00CA3DD0"/>
    <w:rsid w:val="00CA3E9A"/>
    <w:rsid w:val="00CA3E9C"/>
    <w:rsid w:val="00CA3F7A"/>
    <w:rsid w:val="00CA3FBB"/>
    <w:rsid w:val="00CA400F"/>
    <w:rsid w:val="00CA406D"/>
    <w:rsid w:val="00CA40CC"/>
    <w:rsid w:val="00CA40D9"/>
    <w:rsid w:val="00CA40DD"/>
    <w:rsid w:val="00CA4105"/>
    <w:rsid w:val="00CA416D"/>
    <w:rsid w:val="00CA4172"/>
    <w:rsid w:val="00CA41A9"/>
    <w:rsid w:val="00CA41E9"/>
    <w:rsid w:val="00CA42B1"/>
    <w:rsid w:val="00CA43A0"/>
    <w:rsid w:val="00CA43C3"/>
    <w:rsid w:val="00CA4431"/>
    <w:rsid w:val="00CA45F9"/>
    <w:rsid w:val="00CA4683"/>
    <w:rsid w:val="00CA46BF"/>
    <w:rsid w:val="00CA4716"/>
    <w:rsid w:val="00CA48F1"/>
    <w:rsid w:val="00CA4958"/>
    <w:rsid w:val="00CA4980"/>
    <w:rsid w:val="00CA4A4E"/>
    <w:rsid w:val="00CA4BC6"/>
    <w:rsid w:val="00CA4C6D"/>
    <w:rsid w:val="00CA4D38"/>
    <w:rsid w:val="00CA4D57"/>
    <w:rsid w:val="00CA4D7B"/>
    <w:rsid w:val="00CA4E71"/>
    <w:rsid w:val="00CA4EA7"/>
    <w:rsid w:val="00CA5097"/>
    <w:rsid w:val="00CA50F1"/>
    <w:rsid w:val="00CA5130"/>
    <w:rsid w:val="00CA51E5"/>
    <w:rsid w:val="00CA52EC"/>
    <w:rsid w:val="00CA52EF"/>
    <w:rsid w:val="00CA538F"/>
    <w:rsid w:val="00CA53E6"/>
    <w:rsid w:val="00CA5644"/>
    <w:rsid w:val="00CA5654"/>
    <w:rsid w:val="00CA571A"/>
    <w:rsid w:val="00CA57C5"/>
    <w:rsid w:val="00CA57D5"/>
    <w:rsid w:val="00CA5816"/>
    <w:rsid w:val="00CA5953"/>
    <w:rsid w:val="00CA5A01"/>
    <w:rsid w:val="00CA5A71"/>
    <w:rsid w:val="00CA5AC6"/>
    <w:rsid w:val="00CA5AFB"/>
    <w:rsid w:val="00CA5B0E"/>
    <w:rsid w:val="00CA5BD5"/>
    <w:rsid w:val="00CA5D5F"/>
    <w:rsid w:val="00CA5D6E"/>
    <w:rsid w:val="00CA5D83"/>
    <w:rsid w:val="00CA5DA2"/>
    <w:rsid w:val="00CA5E01"/>
    <w:rsid w:val="00CA5E9C"/>
    <w:rsid w:val="00CA5F06"/>
    <w:rsid w:val="00CA5F31"/>
    <w:rsid w:val="00CA5F3D"/>
    <w:rsid w:val="00CA6039"/>
    <w:rsid w:val="00CA604A"/>
    <w:rsid w:val="00CA6084"/>
    <w:rsid w:val="00CA6098"/>
    <w:rsid w:val="00CA60B1"/>
    <w:rsid w:val="00CA61B9"/>
    <w:rsid w:val="00CA6251"/>
    <w:rsid w:val="00CA62F2"/>
    <w:rsid w:val="00CA64E4"/>
    <w:rsid w:val="00CA6562"/>
    <w:rsid w:val="00CA65C1"/>
    <w:rsid w:val="00CA65DC"/>
    <w:rsid w:val="00CA6671"/>
    <w:rsid w:val="00CA677F"/>
    <w:rsid w:val="00CA6840"/>
    <w:rsid w:val="00CA690D"/>
    <w:rsid w:val="00CA6912"/>
    <w:rsid w:val="00CA6AA2"/>
    <w:rsid w:val="00CA6B9F"/>
    <w:rsid w:val="00CA6CB3"/>
    <w:rsid w:val="00CA6CB5"/>
    <w:rsid w:val="00CA6CCF"/>
    <w:rsid w:val="00CA6CF6"/>
    <w:rsid w:val="00CA6D47"/>
    <w:rsid w:val="00CA6D76"/>
    <w:rsid w:val="00CA6E95"/>
    <w:rsid w:val="00CA6F00"/>
    <w:rsid w:val="00CA6F63"/>
    <w:rsid w:val="00CA6FAD"/>
    <w:rsid w:val="00CA7071"/>
    <w:rsid w:val="00CA70BB"/>
    <w:rsid w:val="00CA7105"/>
    <w:rsid w:val="00CA7197"/>
    <w:rsid w:val="00CA719F"/>
    <w:rsid w:val="00CA72C3"/>
    <w:rsid w:val="00CA731D"/>
    <w:rsid w:val="00CA7359"/>
    <w:rsid w:val="00CA7381"/>
    <w:rsid w:val="00CA7410"/>
    <w:rsid w:val="00CA7497"/>
    <w:rsid w:val="00CA74AB"/>
    <w:rsid w:val="00CA74C0"/>
    <w:rsid w:val="00CA74D4"/>
    <w:rsid w:val="00CA7541"/>
    <w:rsid w:val="00CA768B"/>
    <w:rsid w:val="00CA77AE"/>
    <w:rsid w:val="00CA7846"/>
    <w:rsid w:val="00CA78F1"/>
    <w:rsid w:val="00CA79CD"/>
    <w:rsid w:val="00CA7A66"/>
    <w:rsid w:val="00CA7B48"/>
    <w:rsid w:val="00CA7B96"/>
    <w:rsid w:val="00CA7BDD"/>
    <w:rsid w:val="00CA7C18"/>
    <w:rsid w:val="00CA7C96"/>
    <w:rsid w:val="00CA7C9C"/>
    <w:rsid w:val="00CA7D02"/>
    <w:rsid w:val="00CA7D96"/>
    <w:rsid w:val="00CA7DB5"/>
    <w:rsid w:val="00CA7E36"/>
    <w:rsid w:val="00CA7EE0"/>
    <w:rsid w:val="00CA7F5D"/>
    <w:rsid w:val="00CA7F63"/>
    <w:rsid w:val="00CA7F7A"/>
    <w:rsid w:val="00CB005E"/>
    <w:rsid w:val="00CB0178"/>
    <w:rsid w:val="00CB01CB"/>
    <w:rsid w:val="00CB029D"/>
    <w:rsid w:val="00CB0325"/>
    <w:rsid w:val="00CB0351"/>
    <w:rsid w:val="00CB04FB"/>
    <w:rsid w:val="00CB0586"/>
    <w:rsid w:val="00CB05DB"/>
    <w:rsid w:val="00CB06D4"/>
    <w:rsid w:val="00CB0764"/>
    <w:rsid w:val="00CB07FD"/>
    <w:rsid w:val="00CB0813"/>
    <w:rsid w:val="00CB0872"/>
    <w:rsid w:val="00CB094D"/>
    <w:rsid w:val="00CB0954"/>
    <w:rsid w:val="00CB0AB1"/>
    <w:rsid w:val="00CB0B9E"/>
    <w:rsid w:val="00CB0CD2"/>
    <w:rsid w:val="00CB0CD5"/>
    <w:rsid w:val="00CB0D2A"/>
    <w:rsid w:val="00CB0D71"/>
    <w:rsid w:val="00CB0E8F"/>
    <w:rsid w:val="00CB0F12"/>
    <w:rsid w:val="00CB0F15"/>
    <w:rsid w:val="00CB0F7F"/>
    <w:rsid w:val="00CB118A"/>
    <w:rsid w:val="00CB128A"/>
    <w:rsid w:val="00CB1315"/>
    <w:rsid w:val="00CB142F"/>
    <w:rsid w:val="00CB1488"/>
    <w:rsid w:val="00CB1583"/>
    <w:rsid w:val="00CB161C"/>
    <w:rsid w:val="00CB164D"/>
    <w:rsid w:val="00CB16A3"/>
    <w:rsid w:val="00CB1742"/>
    <w:rsid w:val="00CB175F"/>
    <w:rsid w:val="00CB1908"/>
    <w:rsid w:val="00CB1949"/>
    <w:rsid w:val="00CB19A6"/>
    <w:rsid w:val="00CB1A58"/>
    <w:rsid w:val="00CB1A8C"/>
    <w:rsid w:val="00CB1AC3"/>
    <w:rsid w:val="00CB1AE1"/>
    <w:rsid w:val="00CB1AFC"/>
    <w:rsid w:val="00CB1C13"/>
    <w:rsid w:val="00CB1C26"/>
    <w:rsid w:val="00CB1C71"/>
    <w:rsid w:val="00CB1C9D"/>
    <w:rsid w:val="00CB1CE8"/>
    <w:rsid w:val="00CB1DD4"/>
    <w:rsid w:val="00CB1DD7"/>
    <w:rsid w:val="00CB1EDF"/>
    <w:rsid w:val="00CB20A3"/>
    <w:rsid w:val="00CB21FC"/>
    <w:rsid w:val="00CB22ED"/>
    <w:rsid w:val="00CB231D"/>
    <w:rsid w:val="00CB2385"/>
    <w:rsid w:val="00CB2507"/>
    <w:rsid w:val="00CB25B1"/>
    <w:rsid w:val="00CB2660"/>
    <w:rsid w:val="00CB28B4"/>
    <w:rsid w:val="00CB2941"/>
    <w:rsid w:val="00CB29A8"/>
    <w:rsid w:val="00CB29E1"/>
    <w:rsid w:val="00CB29F0"/>
    <w:rsid w:val="00CB29FC"/>
    <w:rsid w:val="00CB2A1D"/>
    <w:rsid w:val="00CB2A36"/>
    <w:rsid w:val="00CB2B99"/>
    <w:rsid w:val="00CB2C35"/>
    <w:rsid w:val="00CB2D79"/>
    <w:rsid w:val="00CB2DCB"/>
    <w:rsid w:val="00CB2E70"/>
    <w:rsid w:val="00CB2E7C"/>
    <w:rsid w:val="00CB2E94"/>
    <w:rsid w:val="00CB2EE3"/>
    <w:rsid w:val="00CB2F72"/>
    <w:rsid w:val="00CB2F8E"/>
    <w:rsid w:val="00CB2FBB"/>
    <w:rsid w:val="00CB30B7"/>
    <w:rsid w:val="00CB32A1"/>
    <w:rsid w:val="00CB32E5"/>
    <w:rsid w:val="00CB3545"/>
    <w:rsid w:val="00CB3652"/>
    <w:rsid w:val="00CB36CA"/>
    <w:rsid w:val="00CB372D"/>
    <w:rsid w:val="00CB37AE"/>
    <w:rsid w:val="00CB37DF"/>
    <w:rsid w:val="00CB398F"/>
    <w:rsid w:val="00CB3A3C"/>
    <w:rsid w:val="00CB3A83"/>
    <w:rsid w:val="00CB3A8B"/>
    <w:rsid w:val="00CB3AA2"/>
    <w:rsid w:val="00CB3C37"/>
    <w:rsid w:val="00CB3E28"/>
    <w:rsid w:val="00CB3EA3"/>
    <w:rsid w:val="00CB3F5F"/>
    <w:rsid w:val="00CB3FAD"/>
    <w:rsid w:val="00CB3FFE"/>
    <w:rsid w:val="00CB406E"/>
    <w:rsid w:val="00CB40FE"/>
    <w:rsid w:val="00CB41DB"/>
    <w:rsid w:val="00CB422E"/>
    <w:rsid w:val="00CB4317"/>
    <w:rsid w:val="00CB4396"/>
    <w:rsid w:val="00CB444D"/>
    <w:rsid w:val="00CB450E"/>
    <w:rsid w:val="00CB4565"/>
    <w:rsid w:val="00CB4575"/>
    <w:rsid w:val="00CB457B"/>
    <w:rsid w:val="00CB4702"/>
    <w:rsid w:val="00CB4732"/>
    <w:rsid w:val="00CB474B"/>
    <w:rsid w:val="00CB4757"/>
    <w:rsid w:val="00CB4781"/>
    <w:rsid w:val="00CB482B"/>
    <w:rsid w:val="00CB4846"/>
    <w:rsid w:val="00CB48A8"/>
    <w:rsid w:val="00CB48B3"/>
    <w:rsid w:val="00CB4A33"/>
    <w:rsid w:val="00CB4AB8"/>
    <w:rsid w:val="00CB4B0B"/>
    <w:rsid w:val="00CB4B9E"/>
    <w:rsid w:val="00CB4BA0"/>
    <w:rsid w:val="00CB4BAB"/>
    <w:rsid w:val="00CB4BC3"/>
    <w:rsid w:val="00CB4C79"/>
    <w:rsid w:val="00CB4CB6"/>
    <w:rsid w:val="00CB4CBB"/>
    <w:rsid w:val="00CB4D5B"/>
    <w:rsid w:val="00CB4E56"/>
    <w:rsid w:val="00CB4FF3"/>
    <w:rsid w:val="00CB5176"/>
    <w:rsid w:val="00CB5246"/>
    <w:rsid w:val="00CB526A"/>
    <w:rsid w:val="00CB52AC"/>
    <w:rsid w:val="00CB5323"/>
    <w:rsid w:val="00CB5406"/>
    <w:rsid w:val="00CB543C"/>
    <w:rsid w:val="00CB5566"/>
    <w:rsid w:val="00CB55FE"/>
    <w:rsid w:val="00CB56B9"/>
    <w:rsid w:val="00CB5773"/>
    <w:rsid w:val="00CB57FA"/>
    <w:rsid w:val="00CB5890"/>
    <w:rsid w:val="00CB58E3"/>
    <w:rsid w:val="00CB58F8"/>
    <w:rsid w:val="00CB59CC"/>
    <w:rsid w:val="00CB5B9D"/>
    <w:rsid w:val="00CB5C79"/>
    <w:rsid w:val="00CB5C81"/>
    <w:rsid w:val="00CB5C9F"/>
    <w:rsid w:val="00CB5D88"/>
    <w:rsid w:val="00CB5EA7"/>
    <w:rsid w:val="00CB5F2E"/>
    <w:rsid w:val="00CB6001"/>
    <w:rsid w:val="00CB6099"/>
    <w:rsid w:val="00CB60DC"/>
    <w:rsid w:val="00CB6133"/>
    <w:rsid w:val="00CB6150"/>
    <w:rsid w:val="00CB6292"/>
    <w:rsid w:val="00CB631E"/>
    <w:rsid w:val="00CB6431"/>
    <w:rsid w:val="00CB64E3"/>
    <w:rsid w:val="00CB6508"/>
    <w:rsid w:val="00CB6532"/>
    <w:rsid w:val="00CB65F7"/>
    <w:rsid w:val="00CB6626"/>
    <w:rsid w:val="00CB6675"/>
    <w:rsid w:val="00CB676D"/>
    <w:rsid w:val="00CB68E5"/>
    <w:rsid w:val="00CB6951"/>
    <w:rsid w:val="00CB6A98"/>
    <w:rsid w:val="00CB6AFE"/>
    <w:rsid w:val="00CB6C1D"/>
    <w:rsid w:val="00CB6C90"/>
    <w:rsid w:val="00CB6D72"/>
    <w:rsid w:val="00CB6DCE"/>
    <w:rsid w:val="00CB6E86"/>
    <w:rsid w:val="00CB6F3D"/>
    <w:rsid w:val="00CB6FFF"/>
    <w:rsid w:val="00CB70BD"/>
    <w:rsid w:val="00CB7224"/>
    <w:rsid w:val="00CB72C8"/>
    <w:rsid w:val="00CB72EB"/>
    <w:rsid w:val="00CB7389"/>
    <w:rsid w:val="00CB73A6"/>
    <w:rsid w:val="00CB73B6"/>
    <w:rsid w:val="00CB746E"/>
    <w:rsid w:val="00CB74D1"/>
    <w:rsid w:val="00CB74E5"/>
    <w:rsid w:val="00CB7529"/>
    <w:rsid w:val="00CB7639"/>
    <w:rsid w:val="00CB7699"/>
    <w:rsid w:val="00CB76B8"/>
    <w:rsid w:val="00CB7784"/>
    <w:rsid w:val="00CB7892"/>
    <w:rsid w:val="00CB7A0A"/>
    <w:rsid w:val="00CB7A30"/>
    <w:rsid w:val="00CB7A38"/>
    <w:rsid w:val="00CB7AC8"/>
    <w:rsid w:val="00CB7B02"/>
    <w:rsid w:val="00CB7D3A"/>
    <w:rsid w:val="00CB7E34"/>
    <w:rsid w:val="00CB7EA4"/>
    <w:rsid w:val="00CB7EF3"/>
    <w:rsid w:val="00CB7F3F"/>
    <w:rsid w:val="00CC02D1"/>
    <w:rsid w:val="00CC0400"/>
    <w:rsid w:val="00CC0595"/>
    <w:rsid w:val="00CC064F"/>
    <w:rsid w:val="00CC070A"/>
    <w:rsid w:val="00CC072D"/>
    <w:rsid w:val="00CC07B3"/>
    <w:rsid w:val="00CC07F8"/>
    <w:rsid w:val="00CC08DB"/>
    <w:rsid w:val="00CC092A"/>
    <w:rsid w:val="00CC0938"/>
    <w:rsid w:val="00CC09B9"/>
    <w:rsid w:val="00CC0A84"/>
    <w:rsid w:val="00CC0ABE"/>
    <w:rsid w:val="00CC0BAF"/>
    <w:rsid w:val="00CC0C34"/>
    <w:rsid w:val="00CC0C54"/>
    <w:rsid w:val="00CC0D3D"/>
    <w:rsid w:val="00CC0D5E"/>
    <w:rsid w:val="00CC0D97"/>
    <w:rsid w:val="00CC0DE2"/>
    <w:rsid w:val="00CC0E49"/>
    <w:rsid w:val="00CC1078"/>
    <w:rsid w:val="00CC11E9"/>
    <w:rsid w:val="00CC11F1"/>
    <w:rsid w:val="00CC120B"/>
    <w:rsid w:val="00CC129E"/>
    <w:rsid w:val="00CC130F"/>
    <w:rsid w:val="00CC1365"/>
    <w:rsid w:val="00CC14E3"/>
    <w:rsid w:val="00CC150B"/>
    <w:rsid w:val="00CC1575"/>
    <w:rsid w:val="00CC15D0"/>
    <w:rsid w:val="00CC15EC"/>
    <w:rsid w:val="00CC1670"/>
    <w:rsid w:val="00CC16CB"/>
    <w:rsid w:val="00CC16E5"/>
    <w:rsid w:val="00CC181A"/>
    <w:rsid w:val="00CC1943"/>
    <w:rsid w:val="00CC1993"/>
    <w:rsid w:val="00CC19A4"/>
    <w:rsid w:val="00CC19AC"/>
    <w:rsid w:val="00CC1A6E"/>
    <w:rsid w:val="00CC1AA4"/>
    <w:rsid w:val="00CC1AB0"/>
    <w:rsid w:val="00CC1B4D"/>
    <w:rsid w:val="00CC1BDD"/>
    <w:rsid w:val="00CC1BED"/>
    <w:rsid w:val="00CC1C31"/>
    <w:rsid w:val="00CC1C3C"/>
    <w:rsid w:val="00CC1C69"/>
    <w:rsid w:val="00CC1C97"/>
    <w:rsid w:val="00CC1CC3"/>
    <w:rsid w:val="00CC1D43"/>
    <w:rsid w:val="00CC1DFD"/>
    <w:rsid w:val="00CC1EBA"/>
    <w:rsid w:val="00CC1F08"/>
    <w:rsid w:val="00CC1FD8"/>
    <w:rsid w:val="00CC2012"/>
    <w:rsid w:val="00CC205B"/>
    <w:rsid w:val="00CC2071"/>
    <w:rsid w:val="00CC2087"/>
    <w:rsid w:val="00CC208E"/>
    <w:rsid w:val="00CC2117"/>
    <w:rsid w:val="00CC2290"/>
    <w:rsid w:val="00CC22D3"/>
    <w:rsid w:val="00CC2310"/>
    <w:rsid w:val="00CC232E"/>
    <w:rsid w:val="00CC23B0"/>
    <w:rsid w:val="00CC2461"/>
    <w:rsid w:val="00CC2495"/>
    <w:rsid w:val="00CC24AD"/>
    <w:rsid w:val="00CC24E4"/>
    <w:rsid w:val="00CC251A"/>
    <w:rsid w:val="00CC252F"/>
    <w:rsid w:val="00CC255E"/>
    <w:rsid w:val="00CC277B"/>
    <w:rsid w:val="00CC2819"/>
    <w:rsid w:val="00CC287C"/>
    <w:rsid w:val="00CC28B6"/>
    <w:rsid w:val="00CC2912"/>
    <w:rsid w:val="00CC2937"/>
    <w:rsid w:val="00CC2979"/>
    <w:rsid w:val="00CC29C5"/>
    <w:rsid w:val="00CC2A6D"/>
    <w:rsid w:val="00CC2B23"/>
    <w:rsid w:val="00CC2B4A"/>
    <w:rsid w:val="00CC2BCA"/>
    <w:rsid w:val="00CC2CC6"/>
    <w:rsid w:val="00CC2D18"/>
    <w:rsid w:val="00CC2D2F"/>
    <w:rsid w:val="00CC2D85"/>
    <w:rsid w:val="00CC2DA1"/>
    <w:rsid w:val="00CC2E09"/>
    <w:rsid w:val="00CC2E71"/>
    <w:rsid w:val="00CC2E91"/>
    <w:rsid w:val="00CC2F8A"/>
    <w:rsid w:val="00CC2FB3"/>
    <w:rsid w:val="00CC308C"/>
    <w:rsid w:val="00CC309F"/>
    <w:rsid w:val="00CC3187"/>
    <w:rsid w:val="00CC3200"/>
    <w:rsid w:val="00CC3216"/>
    <w:rsid w:val="00CC3319"/>
    <w:rsid w:val="00CC3479"/>
    <w:rsid w:val="00CC34BB"/>
    <w:rsid w:val="00CC35CE"/>
    <w:rsid w:val="00CC3662"/>
    <w:rsid w:val="00CC3675"/>
    <w:rsid w:val="00CC372D"/>
    <w:rsid w:val="00CC37C5"/>
    <w:rsid w:val="00CC3810"/>
    <w:rsid w:val="00CC3833"/>
    <w:rsid w:val="00CC387B"/>
    <w:rsid w:val="00CC38BC"/>
    <w:rsid w:val="00CC39D7"/>
    <w:rsid w:val="00CC3AAE"/>
    <w:rsid w:val="00CC3B43"/>
    <w:rsid w:val="00CC3D06"/>
    <w:rsid w:val="00CC3D4C"/>
    <w:rsid w:val="00CC3D9E"/>
    <w:rsid w:val="00CC3FA6"/>
    <w:rsid w:val="00CC400A"/>
    <w:rsid w:val="00CC415A"/>
    <w:rsid w:val="00CC417E"/>
    <w:rsid w:val="00CC419B"/>
    <w:rsid w:val="00CC41A9"/>
    <w:rsid w:val="00CC41D9"/>
    <w:rsid w:val="00CC4278"/>
    <w:rsid w:val="00CC427A"/>
    <w:rsid w:val="00CC436E"/>
    <w:rsid w:val="00CC4398"/>
    <w:rsid w:val="00CC4407"/>
    <w:rsid w:val="00CC450B"/>
    <w:rsid w:val="00CC4514"/>
    <w:rsid w:val="00CC4624"/>
    <w:rsid w:val="00CC4645"/>
    <w:rsid w:val="00CC49F4"/>
    <w:rsid w:val="00CC4A08"/>
    <w:rsid w:val="00CC4A10"/>
    <w:rsid w:val="00CC4A13"/>
    <w:rsid w:val="00CC4A6C"/>
    <w:rsid w:val="00CC4B7F"/>
    <w:rsid w:val="00CC4BCD"/>
    <w:rsid w:val="00CC4BEF"/>
    <w:rsid w:val="00CC4C05"/>
    <w:rsid w:val="00CC4C35"/>
    <w:rsid w:val="00CC4C96"/>
    <w:rsid w:val="00CC4CF4"/>
    <w:rsid w:val="00CC4E4D"/>
    <w:rsid w:val="00CC5000"/>
    <w:rsid w:val="00CC50EA"/>
    <w:rsid w:val="00CC51A1"/>
    <w:rsid w:val="00CC5213"/>
    <w:rsid w:val="00CC524E"/>
    <w:rsid w:val="00CC5253"/>
    <w:rsid w:val="00CC5314"/>
    <w:rsid w:val="00CC5342"/>
    <w:rsid w:val="00CC545E"/>
    <w:rsid w:val="00CC54A5"/>
    <w:rsid w:val="00CC54D1"/>
    <w:rsid w:val="00CC54E7"/>
    <w:rsid w:val="00CC550A"/>
    <w:rsid w:val="00CC57FD"/>
    <w:rsid w:val="00CC580E"/>
    <w:rsid w:val="00CC581D"/>
    <w:rsid w:val="00CC5830"/>
    <w:rsid w:val="00CC58B6"/>
    <w:rsid w:val="00CC5937"/>
    <w:rsid w:val="00CC5DF5"/>
    <w:rsid w:val="00CC60AB"/>
    <w:rsid w:val="00CC6102"/>
    <w:rsid w:val="00CC6112"/>
    <w:rsid w:val="00CC6176"/>
    <w:rsid w:val="00CC626E"/>
    <w:rsid w:val="00CC6291"/>
    <w:rsid w:val="00CC6294"/>
    <w:rsid w:val="00CC63CA"/>
    <w:rsid w:val="00CC63D5"/>
    <w:rsid w:val="00CC6522"/>
    <w:rsid w:val="00CC6627"/>
    <w:rsid w:val="00CC665F"/>
    <w:rsid w:val="00CC66B4"/>
    <w:rsid w:val="00CC66E4"/>
    <w:rsid w:val="00CC6720"/>
    <w:rsid w:val="00CC6767"/>
    <w:rsid w:val="00CC690D"/>
    <w:rsid w:val="00CC69E1"/>
    <w:rsid w:val="00CC6A18"/>
    <w:rsid w:val="00CC6A5E"/>
    <w:rsid w:val="00CC6ACD"/>
    <w:rsid w:val="00CC6AF6"/>
    <w:rsid w:val="00CC6B1A"/>
    <w:rsid w:val="00CC6BF8"/>
    <w:rsid w:val="00CC6C07"/>
    <w:rsid w:val="00CC6E7F"/>
    <w:rsid w:val="00CC6E90"/>
    <w:rsid w:val="00CC6F07"/>
    <w:rsid w:val="00CC6F93"/>
    <w:rsid w:val="00CC7002"/>
    <w:rsid w:val="00CC7052"/>
    <w:rsid w:val="00CC7087"/>
    <w:rsid w:val="00CC70B9"/>
    <w:rsid w:val="00CC72F2"/>
    <w:rsid w:val="00CC730A"/>
    <w:rsid w:val="00CC73A4"/>
    <w:rsid w:val="00CC7413"/>
    <w:rsid w:val="00CC7639"/>
    <w:rsid w:val="00CC763E"/>
    <w:rsid w:val="00CC7700"/>
    <w:rsid w:val="00CC77F7"/>
    <w:rsid w:val="00CC7832"/>
    <w:rsid w:val="00CC7883"/>
    <w:rsid w:val="00CC78B3"/>
    <w:rsid w:val="00CC7A0D"/>
    <w:rsid w:val="00CC7A5B"/>
    <w:rsid w:val="00CC7AE0"/>
    <w:rsid w:val="00CC7CAD"/>
    <w:rsid w:val="00CC7E52"/>
    <w:rsid w:val="00CC7E55"/>
    <w:rsid w:val="00CC7F07"/>
    <w:rsid w:val="00CC7F9E"/>
    <w:rsid w:val="00CC7FA0"/>
    <w:rsid w:val="00CC7FE3"/>
    <w:rsid w:val="00CD000D"/>
    <w:rsid w:val="00CD0163"/>
    <w:rsid w:val="00CD01CD"/>
    <w:rsid w:val="00CD0387"/>
    <w:rsid w:val="00CD041F"/>
    <w:rsid w:val="00CD0444"/>
    <w:rsid w:val="00CD04F4"/>
    <w:rsid w:val="00CD051E"/>
    <w:rsid w:val="00CD052A"/>
    <w:rsid w:val="00CD0559"/>
    <w:rsid w:val="00CD0569"/>
    <w:rsid w:val="00CD0593"/>
    <w:rsid w:val="00CD05B7"/>
    <w:rsid w:val="00CD080A"/>
    <w:rsid w:val="00CD083C"/>
    <w:rsid w:val="00CD08B4"/>
    <w:rsid w:val="00CD0932"/>
    <w:rsid w:val="00CD09D1"/>
    <w:rsid w:val="00CD0A10"/>
    <w:rsid w:val="00CD0A39"/>
    <w:rsid w:val="00CD0B9A"/>
    <w:rsid w:val="00CD0BE0"/>
    <w:rsid w:val="00CD0C21"/>
    <w:rsid w:val="00CD0C2A"/>
    <w:rsid w:val="00CD0C4E"/>
    <w:rsid w:val="00CD0C91"/>
    <w:rsid w:val="00CD0CC0"/>
    <w:rsid w:val="00CD0D34"/>
    <w:rsid w:val="00CD0DCA"/>
    <w:rsid w:val="00CD0F00"/>
    <w:rsid w:val="00CD0F18"/>
    <w:rsid w:val="00CD10AB"/>
    <w:rsid w:val="00CD1140"/>
    <w:rsid w:val="00CD11C8"/>
    <w:rsid w:val="00CD11D0"/>
    <w:rsid w:val="00CD11E5"/>
    <w:rsid w:val="00CD122C"/>
    <w:rsid w:val="00CD13BD"/>
    <w:rsid w:val="00CD1462"/>
    <w:rsid w:val="00CD155A"/>
    <w:rsid w:val="00CD157C"/>
    <w:rsid w:val="00CD1626"/>
    <w:rsid w:val="00CD16CD"/>
    <w:rsid w:val="00CD17AE"/>
    <w:rsid w:val="00CD17C7"/>
    <w:rsid w:val="00CD197D"/>
    <w:rsid w:val="00CD19EE"/>
    <w:rsid w:val="00CD1A26"/>
    <w:rsid w:val="00CD1A3B"/>
    <w:rsid w:val="00CD1B1B"/>
    <w:rsid w:val="00CD1C29"/>
    <w:rsid w:val="00CD1C37"/>
    <w:rsid w:val="00CD1CE5"/>
    <w:rsid w:val="00CD1E91"/>
    <w:rsid w:val="00CD1ED3"/>
    <w:rsid w:val="00CD2053"/>
    <w:rsid w:val="00CD213E"/>
    <w:rsid w:val="00CD2182"/>
    <w:rsid w:val="00CD21D8"/>
    <w:rsid w:val="00CD2205"/>
    <w:rsid w:val="00CD241E"/>
    <w:rsid w:val="00CD2430"/>
    <w:rsid w:val="00CD2468"/>
    <w:rsid w:val="00CD2535"/>
    <w:rsid w:val="00CD253C"/>
    <w:rsid w:val="00CD25C0"/>
    <w:rsid w:val="00CD25C9"/>
    <w:rsid w:val="00CD25F1"/>
    <w:rsid w:val="00CD269B"/>
    <w:rsid w:val="00CD2722"/>
    <w:rsid w:val="00CD2727"/>
    <w:rsid w:val="00CD278D"/>
    <w:rsid w:val="00CD29FF"/>
    <w:rsid w:val="00CD2A13"/>
    <w:rsid w:val="00CD2A3E"/>
    <w:rsid w:val="00CD2B6F"/>
    <w:rsid w:val="00CD2B90"/>
    <w:rsid w:val="00CD2BBD"/>
    <w:rsid w:val="00CD2BFE"/>
    <w:rsid w:val="00CD2C70"/>
    <w:rsid w:val="00CD2C76"/>
    <w:rsid w:val="00CD2CF8"/>
    <w:rsid w:val="00CD2D54"/>
    <w:rsid w:val="00CD2D71"/>
    <w:rsid w:val="00CD2E1A"/>
    <w:rsid w:val="00CD2EB2"/>
    <w:rsid w:val="00CD2F59"/>
    <w:rsid w:val="00CD2FF8"/>
    <w:rsid w:val="00CD30C9"/>
    <w:rsid w:val="00CD318A"/>
    <w:rsid w:val="00CD31D1"/>
    <w:rsid w:val="00CD31EF"/>
    <w:rsid w:val="00CD3303"/>
    <w:rsid w:val="00CD333E"/>
    <w:rsid w:val="00CD342A"/>
    <w:rsid w:val="00CD34D9"/>
    <w:rsid w:val="00CD353A"/>
    <w:rsid w:val="00CD3562"/>
    <w:rsid w:val="00CD362A"/>
    <w:rsid w:val="00CD36D0"/>
    <w:rsid w:val="00CD36FB"/>
    <w:rsid w:val="00CD37BD"/>
    <w:rsid w:val="00CD38BB"/>
    <w:rsid w:val="00CD3925"/>
    <w:rsid w:val="00CD3A4C"/>
    <w:rsid w:val="00CD3A4F"/>
    <w:rsid w:val="00CD3ADB"/>
    <w:rsid w:val="00CD3AFD"/>
    <w:rsid w:val="00CD3B6A"/>
    <w:rsid w:val="00CD3BE9"/>
    <w:rsid w:val="00CD3BEE"/>
    <w:rsid w:val="00CD3D8E"/>
    <w:rsid w:val="00CD3EA0"/>
    <w:rsid w:val="00CD3F09"/>
    <w:rsid w:val="00CD3F13"/>
    <w:rsid w:val="00CD4063"/>
    <w:rsid w:val="00CD430F"/>
    <w:rsid w:val="00CD43AA"/>
    <w:rsid w:val="00CD43C9"/>
    <w:rsid w:val="00CD447F"/>
    <w:rsid w:val="00CD450D"/>
    <w:rsid w:val="00CD45C9"/>
    <w:rsid w:val="00CD45F6"/>
    <w:rsid w:val="00CD484F"/>
    <w:rsid w:val="00CD4894"/>
    <w:rsid w:val="00CD48AF"/>
    <w:rsid w:val="00CD4959"/>
    <w:rsid w:val="00CD4A41"/>
    <w:rsid w:val="00CD4BED"/>
    <w:rsid w:val="00CD4C69"/>
    <w:rsid w:val="00CD4CFB"/>
    <w:rsid w:val="00CD4D95"/>
    <w:rsid w:val="00CD4DAD"/>
    <w:rsid w:val="00CD4DFF"/>
    <w:rsid w:val="00CD4E40"/>
    <w:rsid w:val="00CD4E85"/>
    <w:rsid w:val="00CD4E8F"/>
    <w:rsid w:val="00CD4F69"/>
    <w:rsid w:val="00CD5018"/>
    <w:rsid w:val="00CD5035"/>
    <w:rsid w:val="00CD5045"/>
    <w:rsid w:val="00CD51DB"/>
    <w:rsid w:val="00CD51E3"/>
    <w:rsid w:val="00CD5226"/>
    <w:rsid w:val="00CD523F"/>
    <w:rsid w:val="00CD537B"/>
    <w:rsid w:val="00CD54AC"/>
    <w:rsid w:val="00CD54FD"/>
    <w:rsid w:val="00CD5502"/>
    <w:rsid w:val="00CD55CD"/>
    <w:rsid w:val="00CD5678"/>
    <w:rsid w:val="00CD56EC"/>
    <w:rsid w:val="00CD56FD"/>
    <w:rsid w:val="00CD571F"/>
    <w:rsid w:val="00CD5745"/>
    <w:rsid w:val="00CD58BD"/>
    <w:rsid w:val="00CD594B"/>
    <w:rsid w:val="00CD59CC"/>
    <w:rsid w:val="00CD5A74"/>
    <w:rsid w:val="00CD5A9A"/>
    <w:rsid w:val="00CD5B18"/>
    <w:rsid w:val="00CD5BEA"/>
    <w:rsid w:val="00CD5C31"/>
    <w:rsid w:val="00CD5C71"/>
    <w:rsid w:val="00CD5C92"/>
    <w:rsid w:val="00CD5CE5"/>
    <w:rsid w:val="00CD5D24"/>
    <w:rsid w:val="00CD5D55"/>
    <w:rsid w:val="00CD5D5C"/>
    <w:rsid w:val="00CD5D92"/>
    <w:rsid w:val="00CD5E5E"/>
    <w:rsid w:val="00CD5EF5"/>
    <w:rsid w:val="00CD5F1E"/>
    <w:rsid w:val="00CD60D6"/>
    <w:rsid w:val="00CD61B9"/>
    <w:rsid w:val="00CD61C4"/>
    <w:rsid w:val="00CD6210"/>
    <w:rsid w:val="00CD624B"/>
    <w:rsid w:val="00CD6288"/>
    <w:rsid w:val="00CD62F6"/>
    <w:rsid w:val="00CD6400"/>
    <w:rsid w:val="00CD6443"/>
    <w:rsid w:val="00CD6492"/>
    <w:rsid w:val="00CD6516"/>
    <w:rsid w:val="00CD6554"/>
    <w:rsid w:val="00CD66A3"/>
    <w:rsid w:val="00CD6757"/>
    <w:rsid w:val="00CD675D"/>
    <w:rsid w:val="00CD67A1"/>
    <w:rsid w:val="00CD6804"/>
    <w:rsid w:val="00CD6971"/>
    <w:rsid w:val="00CD6AAF"/>
    <w:rsid w:val="00CD6AFD"/>
    <w:rsid w:val="00CD6B21"/>
    <w:rsid w:val="00CD6CFE"/>
    <w:rsid w:val="00CD6D60"/>
    <w:rsid w:val="00CD6D67"/>
    <w:rsid w:val="00CD6F92"/>
    <w:rsid w:val="00CD7075"/>
    <w:rsid w:val="00CD7223"/>
    <w:rsid w:val="00CD74A2"/>
    <w:rsid w:val="00CD76F5"/>
    <w:rsid w:val="00CD772D"/>
    <w:rsid w:val="00CD779A"/>
    <w:rsid w:val="00CD77D1"/>
    <w:rsid w:val="00CD77DB"/>
    <w:rsid w:val="00CD781C"/>
    <w:rsid w:val="00CD7826"/>
    <w:rsid w:val="00CD783A"/>
    <w:rsid w:val="00CD7887"/>
    <w:rsid w:val="00CD7999"/>
    <w:rsid w:val="00CD7A01"/>
    <w:rsid w:val="00CD7A34"/>
    <w:rsid w:val="00CD7B83"/>
    <w:rsid w:val="00CD7D06"/>
    <w:rsid w:val="00CD7F81"/>
    <w:rsid w:val="00CD7F9F"/>
    <w:rsid w:val="00CE001A"/>
    <w:rsid w:val="00CE0077"/>
    <w:rsid w:val="00CE00AF"/>
    <w:rsid w:val="00CE030F"/>
    <w:rsid w:val="00CE04A1"/>
    <w:rsid w:val="00CE058D"/>
    <w:rsid w:val="00CE0610"/>
    <w:rsid w:val="00CE0634"/>
    <w:rsid w:val="00CE06A6"/>
    <w:rsid w:val="00CE06B3"/>
    <w:rsid w:val="00CE06F8"/>
    <w:rsid w:val="00CE0729"/>
    <w:rsid w:val="00CE0785"/>
    <w:rsid w:val="00CE07C9"/>
    <w:rsid w:val="00CE0807"/>
    <w:rsid w:val="00CE082A"/>
    <w:rsid w:val="00CE08B3"/>
    <w:rsid w:val="00CE0945"/>
    <w:rsid w:val="00CE094B"/>
    <w:rsid w:val="00CE09AC"/>
    <w:rsid w:val="00CE09F7"/>
    <w:rsid w:val="00CE0B5E"/>
    <w:rsid w:val="00CE0C48"/>
    <w:rsid w:val="00CE0C62"/>
    <w:rsid w:val="00CE0CFE"/>
    <w:rsid w:val="00CE0D09"/>
    <w:rsid w:val="00CE0E2B"/>
    <w:rsid w:val="00CE0E66"/>
    <w:rsid w:val="00CE0F78"/>
    <w:rsid w:val="00CE0FC0"/>
    <w:rsid w:val="00CE0FDA"/>
    <w:rsid w:val="00CE1063"/>
    <w:rsid w:val="00CE10A5"/>
    <w:rsid w:val="00CE10DF"/>
    <w:rsid w:val="00CE1101"/>
    <w:rsid w:val="00CE113A"/>
    <w:rsid w:val="00CE119A"/>
    <w:rsid w:val="00CE11ED"/>
    <w:rsid w:val="00CE133A"/>
    <w:rsid w:val="00CE1436"/>
    <w:rsid w:val="00CE148E"/>
    <w:rsid w:val="00CE1496"/>
    <w:rsid w:val="00CE149F"/>
    <w:rsid w:val="00CE150B"/>
    <w:rsid w:val="00CE1588"/>
    <w:rsid w:val="00CE1698"/>
    <w:rsid w:val="00CE1785"/>
    <w:rsid w:val="00CE17B6"/>
    <w:rsid w:val="00CE18BE"/>
    <w:rsid w:val="00CE19E4"/>
    <w:rsid w:val="00CE1A10"/>
    <w:rsid w:val="00CE1B71"/>
    <w:rsid w:val="00CE1CBD"/>
    <w:rsid w:val="00CE1E04"/>
    <w:rsid w:val="00CE1E5E"/>
    <w:rsid w:val="00CE1FB1"/>
    <w:rsid w:val="00CE1FB4"/>
    <w:rsid w:val="00CE2097"/>
    <w:rsid w:val="00CE20BB"/>
    <w:rsid w:val="00CE2323"/>
    <w:rsid w:val="00CE2355"/>
    <w:rsid w:val="00CE238F"/>
    <w:rsid w:val="00CE23EE"/>
    <w:rsid w:val="00CE245C"/>
    <w:rsid w:val="00CE248B"/>
    <w:rsid w:val="00CE252F"/>
    <w:rsid w:val="00CE256F"/>
    <w:rsid w:val="00CE2574"/>
    <w:rsid w:val="00CE26B3"/>
    <w:rsid w:val="00CE26C1"/>
    <w:rsid w:val="00CE2721"/>
    <w:rsid w:val="00CE2723"/>
    <w:rsid w:val="00CE276A"/>
    <w:rsid w:val="00CE2856"/>
    <w:rsid w:val="00CE285A"/>
    <w:rsid w:val="00CE2865"/>
    <w:rsid w:val="00CE28A1"/>
    <w:rsid w:val="00CE29B9"/>
    <w:rsid w:val="00CE29DC"/>
    <w:rsid w:val="00CE2A05"/>
    <w:rsid w:val="00CE2A29"/>
    <w:rsid w:val="00CE2AE3"/>
    <w:rsid w:val="00CE2D8A"/>
    <w:rsid w:val="00CE2DED"/>
    <w:rsid w:val="00CE2DFC"/>
    <w:rsid w:val="00CE2EF1"/>
    <w:rsid w:val="00CE2F14"/>
    <w:rsid w:val="00CE3072"/>
    <w:rsid w:val="00CE30B1"/>
    <w:rsid w:val="00CE30DA"/>
    <w:rsid w:val="00CE3119"/>
    <w:rsid w:val="00CE315B"/>
    <w:rsid w:val="00CE329C"/>
    <w:rsid w:val="00CE32C3"/>
    <w:rsid w:val="00CE330F"/>
    <w:rsid w:val="00CE3352"/>
    <w:rsid w:val="00CE33B9"/>
    <w:rsid w:val="00CE33E9"/>
    <w:rsid w:val="00CE345B"/>
    <w:rsid w:val="00CE348F"/>
    <w:rsid w:val="00CE35DE"/>
    <w:rsid w:val="00CE364A"/>
    <w:rsid w:val="00CE365E"/>
    <w:rsid w:val="00CE3660"/>
    <w:rsid w:val="00CE36C6"/>
    <w:rsid w:val="00CE36E0"/>
    <w:rsid w:val="00CE3715"/>
    <w:rsid w:val="00CE3753"/>
    <w:rsid w:val="00CE3918"/>
    <w:rsid w:val="00CE3972"/>
    <w:rsid w:val="00CE3A0C"/>
    <w:rsid w:val="00CE3ABD"/>
    <w:rsid w:val="00CE3AE1"/>
    <w:rsid w:val="00CE3B70"/>
    <w:rsid w:val="00CE3C29"/>
    <w:rsid w:val="00CE3C71"/>
    <w:rsid w:val="00CE3D17"/>
    <w:rsid w:val="00CE3D29"/>
    <w:rsid w:val="00CE3F69"/>
    <w:rsid w:val="00CE4172"/>
    <w:rsid w:val="00CE4226"/>
    <w:rsid w:val="00CE4276"/>
    <w:rsid w:val="00CE4355"/>
    <w:rsid w:val="00CE4411"/>
    <w:rsid w:val="00CE445A"/>
    <w:rsid w:val="00CE44BA"/>
    <w:rsid w:val="00CE452E"/>
    <w:rsid w:val="00CE4551"/>
    <w:rsid w:val="00CE45A1"/>
    <w:rsid w:val="00CE468F"/>
    <w:rsid w:val="00CE46C5"/>
    <w:rsid w:val="00CE4726"/>
    <w:rsid w:val="00CE473F"/>
    <w:rsid w:val="00CE47A8"/>
    <w:rsid w:val="00CE48DF"/>
    <w:rsid w:val="00CE49AE"/>
    <w:rsid w:val="00CE4A27"/>
    <w:rsid w:val="00CE4AA0"/>
    <w:rsid w:val="00CE4BCA"/>
    <w:rsid w:val="00CE4BED"/>
    <w:rsid w:val="00CE4D09"/>
    <w:rsid w:val="00CE4D91"/>
    <w:rsid w:val="00CE4F7C"/>
    <w:rsid w:val="00CE508C"/>
    <w:rsid w:val="00CE5169"/>
    <w:rsid w:val="00CE5189"/>
    <w:rsid w:val="00CE51C1"/>
    <w:rsid w:val="00CE5291"/>
    <w:rsid w:val="00CE5319"/>
    <w:rsid w:val="00CE5341"/>
    <w:rsid w:val="00CE53F7"/>
    <w:rsid w:val="00CE543A"/>
    <w:rsid w:val="00CE543E"/>
    <w:rsid w:val="00CE547B"/>
    <w:rsid w:val="00CE5494"/>
    <w:rsid w:val="00CE5656"/>
    <w:rsid w:val="00CE5663"/>
    <w:rsid w:val="00CE56EF"/>
    <w:rsid w:val="00CE57B2"/>
    <w:rsid w:val="00CE57E3"/>
    <w:rsid w:val="00CE5843"/>
    <w:rsid w:val="00CE585A"/>
    <w:rsid w:val="00CE58B0"/>
    <w:rsid w:val="00CE599D"/>
    <w:rsid w:val="00CE59F3"/>
    <w:rsid w:val="00CE59FE"/>
    <w:rsid w:val="00CE5A5E"/>
    <w:rsid w:val="00CE5B1B"/>
    <w:rsid w:val="00CE5B9B"/>
    <w:rsid w:val="00CE5D11"/>
    <w:rsid w:val="00CE5EB2"/>
    <w:rsid w:val="00CE5F57"/>
    <w:rsid w:val="00CE5FB5"/>
    <w:rsid w:val="00CE5FD1"/>
    <w:rsid w:val="00CE6008"/>
    <w:rsid w:val="00CE60B9"/>
    <w:rsid w:val="00CE6173"/>
    <w:rsid w:val="00CE626C"/>
    <w:rsid w:val="00CE6315"/>
    <w:rsid w:val="00CE639D"/>
    <w:rsid w:val="00CE648E"/>
    <w:rsid w:val="00CE66A7"/>
    <w:rsid w:val="00CE6780"/>
    <w:rsid w:val="00CE67A2"/>
    <w:rsid w:val="00CE67ED"/>
    <w:rsid w:val="00CE67F0"/>
    <w:rsid w:val="00CE6837"/>
    <w:rsid w:val="00CE68FC"/>
    <w:rsid w:val="00CE6939"/>
    <w:rsid w:val="00CE69DF"/>
    <w:rsid w:val="00CE6A4A"/>
    <w:rsid w:val="00CE6B79"/>
    <w:rsid w:val="00CE6C6A"/>
    <w:rsid w:val="00CE6D39"/>
    <w:rsid w:val="00CE6DF6"/>
    <w:rsid w:val="00CE6E09"/>
    <w:rsid w:val="00CE6E63"/>
    <w:rsid w:val="00CE6E7E"/>
    <w:rsid w:val="00CE6E8C"/>
    <w:rsid w:val="00CE706D"/>
    <w:rsid w:val="00CE71BD"/>
    <w:rsid w:val="00CE720F"/>
    <w:rsid w:val="00CE7348"/>
    <w:rsid w:val="00CE750B"/>
    <w:rsid w:val="00CE7536"/>
    <w:rsid w:val="00CE7560"/>
    <w:rsid w:val="00CE7ACD"/>
    <w:rsid w:val="00CE7B1C"/>
    <w:rsid w:val="00CE7BD6"/>
    <w:rsid w:val="00CE7CE4"/>
    <w:rsid w:val="00CE7F54"/>
    <w:rsid w:val="00CE7F68"/>
    <w:rsid w:val="00CE7F69"/>
    <w:rsid w:val="00CE7FEF"/>
    <w:rsid w:val="00CF0164"/>
    <w:rsid w:val="00CF0313"/>
    <w:rsid w:val="00CF0342"/>
    <w:rsid w:val="00CF0350"/>
    <w:rsid w:val="00CF0896"/>
    <w:rsid w:val="00CF0A30"/>
    <w:rsid w:val="00CF0A8B"/>
    <w:rsid w:val="00CF0ACD"/>
    <w:rsid w:val="00CF0B39"/>
    <w:rsid w:val="00CF0BC2"/>
    <w:rsid w:val="00CF0C7A"/>
    <w:rsid w:val="00CF0D9E"/>
    <w:rsid w:val="00CF0F09"/>
    <w:rsid w:val="00CF0F34"/>
    <w:rsid w:val="00CF1004"/>
    <w:rsid w:val="00CF11C7"/>
    <w:rsid w:val="00CF127E"/>
    <w:rsid w:val="00CF1280"/>
    <w:rsid w:val="00CF1295"/>
    <w:rsid w:val="00CF12A9"/>
    <w:rsid w:val="00CF135D"/>
    <w:rsid w:val="00CF145F"/>
    <w:rsid w:val="00CF14CE"/>
    <w:rsid w:val="00CF159B"/>
    <w:rsid w:val="00CF15B4"/>
    <w:rsid w:val="00CF1602"/>
    <w:rsid w:val="00CF16C9"/>
    <w:rsid w:val="00CF17AB"/>
    <w:rsid w:val="00CF1849"/>
    <w:rsid w:val="00CF1975"/>
    <w:rsid w:val="00CF19C1"/>
    <w:rsid w:val="00CF1A97"/>
    <w:rsid w:val="00CF1AD9"/>
    <w:rsid w:val="00CF1AE8"/>
    <w:rsid w:val="00CF1BA1"/>
    <w:rsid w:val="00CF1C46"/>
    <w:rsid w:val="00CF1D4B"/>
    <w:rsid w:val="00CF1D99"/>
    <w:rsid w:val="00CF1DBB"/>
    <w:rsid w:val="00CF1F65"/>
    <w:rsid w:val="00CF1F71"/>
    <w:rsid w:val="00CF1FA0"/>
    <w:rsid w:val="00CF216A"/>
    <w:rsid w:val="00CF2179"/>
    <w:rsid w:val="00CF220A"/>
    <w:rsid w:val="00CF220C"/>
    <w:rsid w:val="00CF2272"/>
    <w:rsid w:val="00CF230E"/>
    <w:rsid w:val="00CF2316"/>
    <w:rsid w:val="00CF233C"/>
    <w:rsid w:val="00CF2417"/>
    <w:rsid w:val="00CF2493"/>
    <w:rsid w:val="00CF2558"/>
    <w:rsid w:val="00CF2689"/>
    <w:rsid w:val="00CF2745"/>
    <w:rsid w:val="00CF274C"/>
    <w:rsid w:val="00CF278F"/>
    <w:rsid w:val="00CF27CD"/>
    <w:rsid w:val="00CF2805"/>
    <w:rsid w:val="00CF2877"/>
    <w:rsid w:val="00CF29AB"/>
    <w:rsid w:val="00CF2A3C"/>
    <w:rsid w:val="00CF2ACB"/>
    <w:rsid w:val="00CF2B35"/>
    <w:rsid w:val="00CF2B85"/>
    <w:rsid w:val="00CF2C75"/>
    <w:rsid w:val="00CF2D49"/>
    <w:rsid w:val="00CF2E57"/>
    <w:rsid w:val="00CF2E70"/>
    <w:rsid w:val="00CF2E9F"/>
    <w:rsid w:val="00CF2F31"/>
    <w:rsid w:val="00CF2F60"/>
    <w:rsid w:val="00CF2F90"/>
    <w:rsid w:val="00CF2FAC"/>
    <w:rsid w:val="00CF2FB7"/>
    <w:rsid w:val="00CF2FC2"/>
    <w:rsid w:val="00CF3031"/>
    <w:rsid w:val="00CF3295"/>
    <w:rsid w:val="00CF32CA"/>
    <w:rsid w:val="00CF32EC"/>
    <w:rsid w:val="00CF3559"/>
    <w:rsid w:val="00CF3658"/>
    <w:rsid w:val="00CF3659"/>
    <w:rsid w:val="00CF36FB"/>
    <w:rsid w:val="00CF3795"/>
    <w:rsid w:val="00CF37A0"/>
    <w:rsid w:val="00CF37F4"/>
    <w:rsid w:val="00CF3809"/>
    <w:rsid w:val="00CF384B"/>
    <w:rsid w:val="00CF39F4"/>
    <w:rsid w:val="00CF3A54"/>
    <w:rsid w:val="00CF3A9A"/>
    <w:rsid w:val="00CF3ACE"/>
    <w:rsid w:val="00CF3B16"/>
    <w:rsid w:val="00CF3B43"/>
    <w:rsid w:val="00CF3B84"/>
    <w:rsid w:val="00CF3BF4"/>
    <w:rsid w:val="00CF3C0C"/>
    <w:rsid w:val="00CF3C25"/>
    <w:rsid w:val="00CF3C6D"/>
    <w:rsid w:val="00CF3CEF"/>
    <w:rsid w:val="00CF3D26"/>
    <w:rsid w:val="00CF3D96"/>
    <w:rsid w:val="00CF3E40"/>
    <w:rsid w:val="00CF3E96"/>
    <w:rsid w:val="00CF3F05"/>
    <w:rsid w:val="00CF40EF"/>
    <w:rsid w:val="00CF41FA"/>
    <w:rsid w:val="00CF436F"/>
    <w:rsid w:val="00CF43AE"/>
    <w:rsid w:val="00CF44A4"/>
    <w:rsid w:val="00CF44F2"/>
    <w:rsid w:val="00CF4632"/>
    <w:rsid w:val="00CF488A"/>
    <w:rsid w:val="00CF49BA"/>
    <w:rsid w:val="00CF49D1"/>
    <w:rsid w:val="00CF4A03"/>
    <w:rsid w:val="00CF4A33"/>
    <w:rsid w:val="00CF4ACA"/>
    <w:rsid w:val="00CF4AD0"/>
    <w:rsid w:val="00CF4B90"/>
    <w:rsid w:val="00CF4DCE"/>
    <w:rsid w:val="00CF4DF2"/>
    <w:rsid w:val="00CF4F6E"/>
    <w:rsid w:val="00CF4F91"/>
    <w:rsid w:val="00CF505A"/>
    <w:rsid w:val="00CF5061"/>
    <w:rsid w:val="00CF509C"/>
    <w:rsid w:val="00CF50DE"/>
    <w:rsid w:val="00CF5131"/>
    <w:rsid w:val="00CF520C"/>
    <w:rsid w:val="00CF5221"/>
    <w:rsid w:val="00CF5370"/>
    <w:rsid w:val="00CF53E3"/>
    <w:rsid w:val="00CF5470"/>
    <w:rsid w:val="00CF54CF"/>
    <w:rsid w:val="00CF553F"/>
    <w:rsid w:val="00CF5560"/>
    <w:rsid w:val="00CF55C9"/>
    <w:rsid w:val="00CF55E5"/>
    <w:rsid w:val="00CF5647"/>
    <w:rsid w:val="00CF5744"/>
    <w:rsid w:val="00CF57DF"/>
    <w:rsid w:val="00CF57FF"/>
    <w:rsid w:val="00CF58BE"/>
    <w:rsid w:val="00CF5AB2"/>
    <w:rsid w:val="00CF5B64"/>
    <w:rsid w:val="00CF5C18"/>
    <w:rsid w:val="00CF5C73"/>
    <w:rsid w:val="00CF5CBD"/>
    <w:rsid w:val="00CF5D22"/>
    <w:rsid w:val="00CF5D46"/>
    <w:rsid w:val="00CF5E50"/>
    <w:rsid w:val="00CF5F77"/>
    <w:rsid w:val="00CF5F9D"/>
    <w:rsid w:val="00CF5FDD"/>
    <w:rsid w:val="00CF6092"/>
    <w:rsid w:val="00CF60D3"/>
    <w:rsid w:val="00CF61E4"/>
    <w:rsid w:val="00CF61F9"/>
    <w:rsid w:val="00CF622F"/>
    <w:rsid w:val="00CF62C4"/>
    <w:rsid w:val="00CF62C5"/>
    <w:rsid w:val="00CF6371"/>
    <w:rsid w:val="00CF63F2"/>
    <w:rsid w:val="00CF643C"/>
    <w:rsid w:val="00CF6444"/>
    <w:rsid w:val="00CF6448"/>
    <w:rsid w:val="00CF6508"/>
    <w:rsid w:val="00CF661A"/>
    <w:rsid w:val="00CF672B"/>
    <w:rsid w:val="00CF682D"/>
    <w:rsid w:val="00CF6AE4"/>
    <w:rsid w:val="00CF6B55"/>
    <w:rsid w:val="00CF6B77"/>
    <w:rsid w:val="00CF6C12"/>
    <w:rsid w:val="00CF6D88"/>
    <w:rsid w:val="00CF6DAA"/>
    <w:rsid w:val="00CF6E0A"/>
    <w:rsid w:val="00CF6E12"/>
    <w:rsid w:val="00CF6E3B"/>
    <w:rsid w:val="00CF6FED"/>
    <w:rsid w:val="00CF7179"/>
    <w:rsid w:val="00CF71C4"/>
    <w:rsid w:val="00CF740D"/>
    <w:rsid w:val="00CF74A4"/>
    <w:rsid w:val="00CF74DC"/>
    <w:rsid w:val="00CF758E"/>
    <w:rsid w:val="00CF7645"/>
    <w:rsid w:val="00CF764F"/>
    <w:rsid w:val="00CF7693"/>
    <w:rsid w:val="00CF7705"/>
    <w:rsid w:val="00CF7790"/>
    <w:rsid w:val="00CF7794"/>
    <w:rsid w:val="00CF7814"/>
    <w:rsid w:val="00CF787F"/>
    <w:rsid w:val="00CF79A1"/>
    <w:rsid w:val="00CF79B8"/>
    <w:rsid w:val="00CF7AC2"/>
    <w:rsid w:val="00CF7BC3"/>
    <w:rsid w:val="00CF7BE8"/>
    <w:rsid w:val="00CF7BFA"/>
    <w:rsid w:val="00CF7CDD"/>
    <w:rsid w:val="00CF7CF1"/>
    <w:rsid w:val="00CF7E92"/>
    <w:rsid w:val="00CF7FA5"/>
    <w:rsid w:val="00D000B7"/>
    <w:rsid w:val="00D001A2"/>
    <w:rsid w:val="00D001D1"/>
    <w:rsid w:val="00D00241"/>
    <w:rsid w:val="00D0024E"/>
    <w:rsid w:val="00D002E7"/>
    <w:rsid w:val="00D003AF"/>
    <w:rsid w:val="00D00449"/>
    <w:rsid w:val="00D00510"/>
    <w:rsid w:val="00D0057C"/>
    <w:rsid w:val="00D005F8"/>
    <w:rsid w:val="00D00607"/>
    <w:rsid w:val="00D0060B"/>
    <w:rsid w:val="00D00634"/>
    <w:rsid w:val="00D006AF"/>
    <w:rsid w:val="00D00748"/>
    <w:rsid w:val="00D00758"/>
    <w:rsid w:val="00D0075A"/>
    <w:rsid w:val="00D00804"/>
    <w:rsid w:val="00D00905"/>
    <w:rsid w:val="00D009CB"/>
    <w:rsid w:val="00D009EC"/>
    <w:rsid w:val="00D00A25"/>
    <w:rsid w:val="00D00A6D"/>
    <w:rsid w:val="00D00AC5"/>
    <w:rsid w:val="00D00C5D"/>
    <w:rsid w:val="00D00D02"/>
    <w:rsid w:val="00D00D66"/>
    <w:rsid w:val="00D00FBD"/>
    <w:rsid w:val="00D0108D"/>
    <w:rsid w:val="00D010AA"/>
    <w:rsid w:val="00D0121F"/>
    <w:rsid w:val="00D01328"/>
    <w:rsid w:val="00D01388"/>
    <w:rsid w:val="00D014FE"/>
    <w:rsid w:val="00D01549"/>
    <w:rsid w:val="00D015B7"/>
    <w:rsid w:val="00D01625"/>
    <w:rsid w:val="00D01633"/>
    <w:rsid w:val="00D016BE"/>
    <w:rsid w:val="00D0172E"/>
    <w:rsid w:val="00D0173B"/>
    <w:rsid w:val="00D01779"/>
    <w:rsid w:val="00D01790"/>
    <w:rsid w:val="00D01842"/>
    <w:rsid w:val="00D01920"/>
    <w:rsid w:val="00D01951"/>
    <w:rsid w:val="00D01A0F"/>
    <w:rsid w:val="00D01A9F"/>
    <w:rsid w:val="00D01AC4"/>
    <w:rsid w:val="00D01C33"/>
    <w:rsid w:val="00D01D37"/>
    <w:rsid w:val="00D01DB3"/>
    <w:rsid w:val="00D01ECD"/>
    <w:rsid w:val="00D01ED3"/>
    <w:rsid w:val="00D01EF5"/>
    <w:rsid w:val="00D01FD3"/>
    <w:rsid w:val="00D0207B"/>
    <w:rsid w:val="00D020DF"/>
    <w:rsid w:val="00D02110"/>
    <w:rsid w:val="00D0216F"/>
    <w:rsid w:val="00D0223E"/>
    <w:rsid w:val="00D02350"/>
    <w:rsid w:val="00D02395"/>
    <w:rsid w:val="00D0240B"/>
    <w:rsid w:val="00D024AA"/>
    <w:rsid w:val="00D024E3"/>
    <w:rsid w:val="00D02651"/>
    <w:rsid w:val="00D02673"/>
    <w:rsid w:val="00D026F7"/>
    <w:rsid w:val="00D0270B"/>
    <w:rsid w:val="00D02725"/>
    <w:rsid w:val="00D0272A"/>
    <w:rsid w:val="00D027EF"/>
    <w:rsid w:val="00D0283F"/>
    <w:rsid w:val="00D0285C"/>
    <w:rsid w:val="00D02B04"/>
    <w:rsid w:val="00D02B13"/>
    <w:rsid w:val="00D02E5D"/>
    <w:rsid w:val="00D02EEC"/>
    <w:rsid w:val="00D02EF9"/>
    <w:rsid w:val="00D02F3C"/>
    <w:rsid w:val="00D02F68"/>
    <w:rsid w:val="00D02FF2"/>
    <w:rsid w:val="00D03010"/>
    <w:rsid w:val="00D0310F"/>
    <w:rsid w:val="00D031BC"/>
    <w:rsid w:val="00D031F4"/>
    <w:rsid w:val="00D03278"/>
    <w:rsid w:val="00D033AB"/>
    <w:rsid w:val="00D033B2"/>
    <w:rsid w:val="00D0359A"/>
    <w:rsid w:val="00D0361C"/>
    <w:rsid w:val="00D03655"/>
    <w:rsid w:val="00D0368B"/>
    <w:rsid w:val="00D037A7"/>
    <w:rsid w:val="00D037B6"/>
    <w:rsid w:val="00D03A30"/>
    <w:rsid w:val="00D03AF9"/>
    <w:rsid w:val="00D03B0F"/>
    <w:rsid w:val="00D03B8C"/>
    <w:rsid w:val="00D03BB2"/>
    <w:rsid w:val="00D03C05"/>
    <w:rsid w:val="00D03DAC"/>
    <w:rsid w:val="00D03DF2"/>
    <w:rsid w:val="00D03EC1"/>
    <w:rsid w:val="00D03F7D"/>
    <w:rsid w:val="00D03FC3"/>
    <w:rsid w:val="00D0403B"/>
    <w:rsid w:val="00D04090"/>
    <w:rsid w:val="00D040B4"/>
    <w:rsid w:val="00D04109"/>
    <w:rsid w:val="00D04196"/>
    <w:rsid w:val="00D041DC"/>
    <w:rsid w:val="00D042D3"/>
    <w:rsid w:val="00D04439"/>
    <w:rsid w:val="00D045B1"/>
    <w:rsid w:val="00D045F7"/>
    <w:rsid w:val="00D04606"/>
    <w:rsid w:val="00D04615"/>
    <w:rsid w:val="00D046B9"/>
    <w:rsid w:val="00D04730"/>
    <w:rsid w:val="00D0474D"/>
    <w:rsid w:val="00D04799"/>
    <w:rsid w:val="00D047DC"/>
    <w:rsid w:val="00D0492B"/>
    <w:rsid w:val="00D04979"/>
    <w:rsid w:val="00D04987"/>
    <w:rsid w:val="00D049B4"/>
    <w:rsid w:val="00D049BA"/>
    <w:rsid w:val="00D04A06"/>
    <w:rsid w:val="00D04A38"/>
    <w:rsid w:val="00D04B08"/>
    <w:rsid w:val="00D04B4B"/>
    <w:rsid w:val="00D04B73"/>
    <w:rsid w:val="00D04B8B"/>
    <w:rsid w:val="00D04BA2"/>
    <w:rsid w:val="00D04CAD"/>
    <w:rsid w:val="00D04CD4"/>
    <w:rsid w:val="00D04DC7"/>
    <w:rsid w:val="00D04EAC"/>
    <w:rsid w:val="00D04F86"/>
    <w:rsid w:val="00D05028"/>
    <w:rsid w:val="00D05111"/>
    <w:rsid w:val="00D051B0"/>
    <w:rsid w:val="00D05200"/>
    <w:rsid w:val="00D05226"/>
    <w:rsid w:val="00D0523E"/>
    <w:rsid w:val="00D05355"/>
    <w:rsid w:val="00D053DD"/>
    <w:rsid w:val="00D05469"/>
    <w:rsid w:val="00D05555"/>
    <w:rsid w:val="00D055E2"/>
    <w:rsid w:val="00D0561C"/>
    <w:rsid w:val="00D056CE"/>
    <w:rsid w:val="00D056D1"/>
    <w:rsid w:val="00D058CC"/>
    <w:rsid w:val="00D058D8"/>
    <w:rsid w:val="00D05975"/>
    <w:rsid w:val="00D05CCE"/>
    <w:rsid w:val="00D05CD8"/>
    <w:rsid w:val="00D064BB"/>
    <w:rsid w:val="00D06554"/>
    <w:rsid w:val="00D065F0"/>
    <w:rsid w:val="00D065FD"/>
    <w:rsid w:val="00D0673A"/>
    <w:rsid w:val="00D06791"/>
    <w:rsid w:val="00D068E4"/>
    <w:rsid w:val="00D06AA0"/>
    <w:rsid w:val="00D06C71"/>
    <w:rsid w:val="00D06CCE"/>
    <w:rsid w:val="00D06CDE"/>
    <w:rsid w:val="00D06D8E"/>
    <w:rsid w:val="00D06E48"/>
    <w:rsid w:val="00D070DB"/>
    <w:rsid w:val="00D0715E"/>
    <w:rsid w:val="00D07369"/>
    <w:rsid w:val="00D073DD"/>
    <w:rsid w:val="00D07433"/>
    <w:rsid w:val="00D0748B"/>
    <w:rsid w:val="00D0749D"/>
    <w:rsid w:val="00D074A9"/>
    <w:rsid w:val="00D074B9"/>
    <w:rsid w:val="00D07508"/>
    <w:rsid w:val="00D07593"/>
    <w:rsid w:val="00D075C7"/>
    <w:rsid w:val="00D07606"/>
    <w:rsid w:val="00D07664"/>
    <w:rsid w:val="00D07727"/>
    <w:rsid w:val="00D078B8"/>
    <w:rsid w:val="00D07B21"/>
    <w:rsid w:val="00D07BA0"/>
    <w:rsid w:val="00D07C29"/>
    <w:rsid w:val="00D07C91"/>
    <w:rsid w:val="00D07CEA"/>
    <w:rsid w:val="00D07D01"/>
    <w:rsid w:val="00D07D19"/>
    <w:rsid w:val="00D07E12"/>
    <w:rsid w:val="00D07E6E"/>
    <w:rsid w:val="00D07E6F"/>
    <w:rsid w:val="00D07EAB"/>
    <w:rsid w:val="00D07F4A"/>
    <w:rsid w:val="00D07FF0"/>
    <w:rsid w:val="00D10013"/>
    <w:rsid w:val="00D10094"/>
    <w:rsid w:val="00D100C3"/>
    <w:rsid w:val="00D10230"/>
    <w:rsid w:val="00D103D0"/>
    <w:rsid w:val="00D106A9"/>
    <w:rsid w:val="00D106C7"/>
    <w:rsid w:val="00D1073D"/>
    <w:rsid w:val="00D1077F"/>
    <w:rsid w:val="00D10864"/>
    <w:rsid w:val="00D10956"/>
    <w:rsid w:val="00D109EF"/>
    <w:rsid w:val="00D10A51"/>
    <w:rsid w:val="00D10B62"/>
    <w:rsid w:val="00D10C08"/>
    <w:rsid w:val="00D10C0A"/>
    <w:rsid w:val="00D10C8C"/>
    <w:rsid w:val="00D10C9B"/>
    <w:rsid w:val="00D10DC1"/>
    <w:rsid w:val="00D10DC8"/>
    <w:rsid w:val="00D10DE4"/>
    <w:rsid w:val="00D10E27"/>
    <w:rsid w:val="00D10E53"/>
    <w:rsid w:val="00D10E6E"/>
    <w:rsid w:val="00D10E92"/>
    <w:rsid w:val="00D10F41"/>
    <w:rsid w:val="00D10F73"/>
    <w:rsid w:val="00D1100C"/>
    <w:rsid w:val="00D111E2"/>
    <w:rsid w:val="00D11208"/>
    <w:rsid w:val="00D11304"/>
    <w:rsid w:val="00D11341"/>
    <w:rsid w:val="00D11360"/>
    <w:rsid w:val="00D11489"/>
    <w:rsid w:val="00D11602"/>
    <w:rsid w:val="00D1178F"/>
    <w:rsid w:val="00D117DC"/>
    <w:rsid w:val="00D1193B"/>
    <w:rsid w:val="00D1195F"/>
    <w:rsid w:val="00D119BE"/>
    <w:rsid w:val="00D119BF"/>
    <w:rsid w:val="00D119CF"/>
    <w:rsid w:val="00D11B2D"/>
    <w:rsid w:val="00D11BCB"/>
    <w:rsid w:val="00D11BFF"/>
    <w:rsid w:val="00D11C13"/>
    <w:rsid w:val="00D11CF4"/>
    <w:rsid w:val="00D11D79"/>
    <w:rsid w:val="00D11F8B"/>
    <w:rsid w:val="00D1211A"/>
    <w:rsid w:val="00D121C9"/>
    <w:rsid w:val="00D1220D"/>
    <w:rsid w:val="00D12377"/>
    <w:rsid w:val="00D123B6"/>
    <w:rsid w:val="00D124BE"/>
    <w:rsid w:val="00D124D8"/>
    <w:rsid w:val="00D1263B"/>
    <w:rsid w:val="00D12772"/>
    <w:rsid w:val="00D127FA"/>
    <w:rsid w:val="00D1284D"/>
    <w:rsid w:val="00D128FF"/>
    <w:rsid w:val="00D1299A"/>
    <w:rsid w:val="00D12B5D"/>
    <w:rsid w:val="00D12C14"/>
    <w:rsid w:val="00D12C44"/>
    <w:rsid w:val="00D12C92"/>
    <w:rsid w:val="00D12DB5"/>
    <w:rsid w:val="00D12DF6"/>
    <w:rsid w:val="00D12E1E"/>
    <w:rsid w:val="00D12E51"/>
    <w:rsid w:val="00D12EE2"/>
    <w:rsid w:val="00D12FF1"/>
    <w:rsid w:val="00D1302F"/>
    <w:rsid w:val="00D130B8"/>
    <w:rsid w:val="00D13202"/>
    <w:rsid w:val="00D13303"/>
    <w:rsid w:val="00D13340"/>
    <w:rsid w:val="00D13417"/>
    <w:rsid w:val="00D1342A"/>
    <w:rsid w:val="00D1364A"/>
    <w:rsid w:val="00D1369B"/>
    <w:rsid w:val="00D136A3"/>
    <w:rsid w:val="00D13797"/>
    <w:rsid w:val="00D13859"/>
    <w:rsid w:val="00D138FB"/>
    <w:rsid w:val="00D13936"/>
    <w:rsid w:val="00D13AE9"/>
    <w:rsid w:val="00D13BEF"/>
    <w:rsid w:val="00D13C4A"/>
    <w:rsid w:val="00D13C7E"/>
    <w:rsid w:val="00D13E55"/>
    <w:rsid w:val="00D13EAA"/>
    <w:rsid w:val="00D13ED0"/>
    <w:rsid w:val="00D13EF2"/>
    <w:rsid w:val="00D13F1F"/>
    <w:rsid w:val="00D13F7E"/>
    <w:rsid w:val="00D13FDC"/>
    <w:rsid w:val="00D14165"/>
    <w:rsid w:val="00D141DF"/>
    <w:rsid w:val="00D14211"/>
    <w:rsid w:val="00D144EE"/>
    <w:rsid w:val="00D144F3"/>
    <w:rsid w:val="00D14515"/>
    <w:rsid w:val="00D145A9"/>
    <w:rsid w:val="00D146E0"/>
    <w:rsid w:val="00D147D4"/>
    <w:rsid w:val="00D1488D"/>
    <w:rsid w:val="00D148BE"/>
    <w:rsid w:val="00D148F6"/>
    <w:rsid w:val="00D14983"/>
    <w:rsid w:val="00D14A1F"/>
    <w:rsid w:val="00D14AAA"/>
    <w:rsid w:val="00D14ABE"/>
    <w:rsid w:val="00D14B0B"/>
    <w:rsid w:val="00D14B1A"/>
    <w:rsid w:val="00D14B55"/>
    <w:rsid w:val="00D14C31"/>
    <w:rsid w:val="00D14C89"/>
    <w:rsid w:val="00D14C91"/>
    <w:rsid w:val="00D14DDA"/>
    <w:rsid w:val="00D14E37"/>
    <w:rsid w:val="00D14E67"/>
    <w:rsid w:val="00D14FEB"/>
    <w:rsid w:val="00D14FEC"/>
    <w:rsid w:val="00D1504A"/>
    <w:rsid w:val="00D150A7"/>
    <w:rsid w:val="00D15130"/>
    <w:rsid w:val="00D151D6"/>
    <w:rsid w:val="00D152BD"/>
    <w:rsid w:val="00D152C9"/>
    <w:rsid w:val="00D15339"/>
    <w:rsid w:val="00D155A5"/>
    <w:rsid w:val="00D155F2"/>
    <w:rsid w:val="00D156D1"/>
    <w:rsid w:val="00D15715"/>
    <w:rsid w:val="00D1574E"/>
    <w:rsid w:val="00D15777"/>
    <w:rsid w:val="00D157CF"/>
    <w:rsid w:val="00D157EB"/>
    <w:rsid w:val="00D15801"/>
    <w:rsid w:val="00D15A6D"/>
    <w:rsid w:val="00D15ACB"/>
    <w:rsid w:val="00D15BCE"/>
    <w:rsid w:val="00D15C27"/>
    <w:rsid w:val="00D15CD8"/>
    <w:rsid w:val="00D15E18"/>
    <w:rsid w:val="00D15E2E"/>
    <w:rsid w:val="00D15E3D"/>
    <w:rsid w:val="00D15E5E"/>
    <w:rsid w:val="00D15F0D"/>
    <w:rsid w:val="00D15F89"/>
    <w:rsid w:val="00D16045"/>
    <w:rsid w:val="00D16060"/>
    <w:rsid w:val="00D1617C"/>
    <w:rsid w:val="00D16207"/>
    <w:rsid w:val="00D1635A"/>
    <w:rsid w:val="00D1638A"/>
    <w:rsid w:val="00D163CE"/>
    <w:rsid w:val="00D16482"/>
    <w:rsid w:val="00D165E6"/>
    <w:rsid w:val="00D16641"/>
    <w:rsid w:val="00D16685"/>
    <w:rsid w:val="00D16687"/>
    <w:rsid w:val="00D167FA"/>
    <w:rsid w:val="00D1680B"/>
    <w:rsid w:val="00D1687B"/>
    <w:rsid w:val="00D169CD"/>
    <w:rsid w:val="00D16A19"/>
    <w:rsid w:val="00D16A1C"/>
    <w:rsid w:val="00D16AA7"/>
    <w:rsid w:val="00D16ABB"/>
    <w:rsid w:val="00D16B92"/>
    <w:rsid w:val="00D16D0C"/>
    <w:rsid w:val="00D16E48"/>
    <w:rsid w:val="00D16EA0"/>
    <w:rsid w:val="00D16EFF"/>
    <w:rsid w:val="00D16FF9"/>
    <w:rsid w:val="00D17015"/>
    <w:rsid w:val="00D170CA"/>
    <w:rsid w:val="00D171F6"/>
    <w:rsid w:val="00D17251"/>
    <w:rsid w:val="00D172B0"/>
    <w:rsid w:val="00D172EB"/>
    <w:rsid w:val="00D17346"/>
    <w:rsid w:val="00D17356"/>
    <w:rsid w:val="00D1746D"/>
    <w:rsid w:val="00D17576"/>
    <w:rsid w:val="00D1757C"/>
    <w:rsid w:val="00D1760B"/>
    <w:rsid w:val="00D1761E"/>
    <w:rsid w:val="00D1763C"/>
    <w:rsid w:val="00D17695"/>
    <w:rsid w:val="00D1770A"/>
    <w:rsid w:val="00D17739"/>
    <w:rsid w:val="00D1774C"/>
    <w:rsid w:val="00D177F6"/>
    <w:rsid w:val="00D17997"/>
    <w:rsid w:val="00D17A14"/>
    <w:rsid w:val="00D17A33"/>
    <w:rsid w:val="00D17A39"/>
    <w:rsid w:val="00D17AD0"/>
    <w:rsid w:val="00D17AD2"/>
    <w:rsid w:val="00D17B67"/>
    <w:rsid w:val="00D17BA4"/>
    <w:rsid w:val="00D17BED"/>
    <w:rsid w:val="00D17BFA"/>
    <w:rsid w:val="00D17D5A"/>
    <w:rsid w:val="00D17D65"/>
    <w:rsid w:val="00D17D81"/>
    <w:rsid w:val="00D17D83"/>
    <w:rsid w:val="00D17DD8"/>
    <w:rsid w:val="00D17F44"/>
    <w:rsid w:val="00D17FBE"/>
    <w:rsid w:val="00D17FD7"/>
    <w:rsid w:val="00D20010"/>
    <w:rsid w:val="00D20022"/>
    <w:rsid w:val="00D20060"/>
    <w:rsid w:val="00D201FF"/>
    <w:rsid w:val="00D2026D"/>
    <w:rsid w:val="00D202F7"/>
    <w:rsid w:val="00D2030D"/>
    <w:rsid w:val="00D20322"/>
    <w:rsid w:val="00D20385"/>
    <w:rsid w:val="00D203E5"/>
    <w:rsid w:val="00D20409"/>
    <w:rsid w:val="00D20440"/>
    <w:rsid w:val="00D204D5"/>
    <w:rsid w:val="00D20568"/>
    <w:rsid w:val="00D2058E"/>
    <w:rsid w:val="00D205CF"/>
    <w:rsid w:val="00D20622"/>
    <w:rsid w:val="00D2062C"/>
    <w:rsid w:val="00D20636"/>
    <w:rsid w:val="00D206B9"/>
    <w:rsid w:val="00D20A38"/>
    <w:rsid w:val="00D20B3F"/>
    <w:rsid w:val="00D20C83"/>
    <w:rsid w:val="00D20CD9"/>
    <w:rsid w:val="00D20DAD"/>
    <w:rsid w:val="00D20DAE"/>
    <w:rsid w:val="00D20E6C"/>
    <w:rsid w:val="00D20EAB"/>
    <w:rsid w:val="00D20FAA"/>
    <w:rsid w:val="00D21016"/>
    <w:rsid w:val="00D2110F"/>
    <w:rsid w:val="00D21117"/>
    <w:rsid w:val="00D21197"/>
    <w:rsid w:val="00D211EA"/>
    <w:rsid w:val="00D21215"/>
    <w:rsid w:val="00D21266"/>
    <w:rsid w:val="00D21297"/>
    <w:rsid w:val="00D213A1"/>
    <w:rsid w:val="00D2140B"/>
    <w:rsid w:val="00D2142C"/>
    <w:rsid w:val="00D21454"/>
    <w:rsid w:val="00D216AB"/>
    <w:rsid w:val="00D2171A"/>
    <w:rsid w:val="00D21844"/>
    <w:rsid w:val="00D2185D"/>
    <w:rsid w:val="00D21985"/>
    <w:rsid w:val="00D219B4"/>
    <w:rsid w:val="00D21A29"/>
    <w:rsid w:val="00D21AB9"/>
    <w:rsid w:val="00D21B04"/>
    <w:rsid w:val="00D21B05"/>
    <w:rsid w:val="00D21B8D"/>
    <w:rsid w:val="00D21BC7"/>
    <w:rsid w:val="00D21BF1"/>
    <w:rsid w:val="00D21C3F"/>
    <w:rsid w:val="00D21C72"/>
    <w:rsid w:val="00D21CCE"/>
    <w:rsid w:val="00D21D41"/>
    <w:rsid w:val="00D21D87"/>
    <w:rsid w:val="00D21DF9"/>
    <w:rsid w:val="00D2203E"/>
    <w:rsid w:val="00D2205B"/>
    <w:rsid w:val="00D220BB"/>
    <w:rsid w:val="00D2213F"/>
    <w:rsid w:val="00D22156"/>
    <w:rsid w:val="00D22197"/>
    <w:rsid w:val="00D221C7"/>
    <w:rsid w:val="00D22212"/>
    <w:rsid w:val="00D2222F"/>
    <w:rsid w:val="00D2229B"/>
    <w:rsid w:val="00D2232E"/>
    <w:rsid w:val="00D22353"/>
    <w:rsid w:val="00D22391"/>
    <w:rsid w:val="00D223A8"/>
    <w:rsid w:val="00D22401"/>
    <w:rsid w:val="00D22464"/>
    <w:rsid w:val="00D22545"/>
    <w:rsid w:val="00D22566"/>
    <w:rsid w:val="00D22588"/>
    <w:rsid w:val="00D22729"/>
    <w:rsid w:val="00D22753"/>
    <w:rsid w:val="00D2289A"/>
    <w:rsid w:val="00D22AFD"/>
    <w:rsid w:val="00D22B14"/>
    <w:rsid w:val="00D22B53"/>
    <w:rsid w:val="00D22B64"/>
    <w:rsid w:val="00D22C4F"/>
    <w:rsid w:val="00D22D48"/>
    <w:rsid w:val="00D22D69"/>
    <w:rsid w:val="00D22DA1"/>
    <w:rsid w:val="00D22E68"/>
    <w:rsid w:val="00D22EEF"/>
    <w:rsid w:val="00D22FB3"/>
    <w:rsid w:val="00D23303"/>
    <w:rsid w:val="00D23331"/>
    <w:rsid w:val="00D234F0"/>
    <w:rsid w:val="00D23620"/>
    <w:rsid w:val="00D238B9"/>
    <w:rsid w:val="00D239E2"/>
    <w:rsid w:val="00D23B5D"/>
    <w:rsid w:val="00D23DE9"/>
    <w:rsid w:val="00D23DFF"/>
    <w:rsid w:val="00D23E9C"/>
    <w:rsid w:val="00D23EA9"/>
    <w:rsid w:val="00D23F03"/>
    <w:rsid w:val="00D23F0D"/>
    <w:rsid w:val="00D23F76"/>
    <w:rsid w:val="00D24016"/>
    <w:rsid w:val="00D2418B"/>
    <w:rsid w:val="00D241D9"/>
    <w:rsid w:val="00D241DA"/>
    <w:rsid w:val="00D242C5"/>
    <w:rsid w:val="00D242F0"/>
    <w:rsid w:val="00D24381"/>
    <w:rsid w:val="00D243D7"/>
    <w:rsid w:val="00D243DB"/>
    <w:rsid w:val="00D243E9"/>
    <w:rsid w:val="00D24496"/>
    <w:rsid w:val="00D2449C"/>
    <w:rsid w:val="00D24566"/>
    <w:rsid w:val="00D2458B"/>
    <w:rsid w:val="00D2467C"/>
    <w:rsid w:val="00D247AB"/>
    <w:rsid w:val="00D24832"/>
    <w:rsid w:val="00D248AD"/>
    <w:rsid w:val="00D24B13"/>
    <w:rsid w:val="00D24BF7"/>
    <w:rsid w:val="00D24C2C"/>
    <w:rsid w:val="00D24C37"/>
    <w:rsid w:val="00D24D29"/>
    <w:rsid w:val="00D24D53"/>
    <w:rsid w:val="00D24D72"/>
    <w:rsid w:val="00D24F57"/>
    <w:rsid w:val="00D250A7"/>
    <w:rsid w:val="00D25234"/>
    <w:rsid w:val="00D25340"/>
    <w:rsid w:val="00D25380"/>
    <w:rsid w:val="00D25383"/>
    <w:rsid w:val="00D253E0"/>
    <w:rsid w:val="00D2565C"/>
    <w:rsid w:val="00D25663"/>
    <w:rsid w:val="00D256CA"/>
    <w:rsid w:val="00D2584B"/>
    <w:rsid w:val="00D2588E"/>
    <w:rsid w:val="00D258CF"/>
    <w:rsid w:val="00D25918"/>
    <w:rsid w:val="00D2592A"/>
    <w:rsid w:val="00D2593C"/>
    <w:rsid w:val="00D259C8"/>
    <w:rsid w:val="00D25A0A"/>
    <w:rsid w:val="00D25A25"/>
    <w:rsid w:val="00D25BA2"/>
    <w:rsid w:val="00D25BB5"/>
    <w:rsid w:val="00D25CC9"/>
    <w:rsid w:val="00D25CEA"/>
    <w:rsid w:val="00D25DFB"/>
    <w:rsid w:val="00D25E06"/>
    <w:rsid w:val="00D25E18"/>
    <w:rsid w:val="00D25EE4"/>
    <w:rsid w:val="00D25F27"/>
    <w:rsid w:val="00D26037"/>
    <w:rsid w:val="00D26077"/>
    <w:rsid w:val="00D260D3"/>
    <w:rsid w:val="00D26148"/>
    <w:rsid w:val="00D26362"/>
    <w:rsid w:val="00D2639B"/>
    <w:rsid w:val="00D263C4"/>
    <w:rsid w:val="00D26421"/>
    <w:rsid w:val="00D2646E"/>
    <w:rsid w:val="00D265EB"/>
    <w:rsid w:val="00D2665C"/>
    <w:rsid w:val="00D2670B"/>
    <w:rsid w:val="00D2673B"/>
    <w:rsid w:val="00D2678C"/>
    <w:rsid w:val="00D2681E"/>
    <w:rsid w:val="00D268FD"/>
    <w:rsid w:val="00D26988"/>
    <w:rsid w:val="00D26A37"/>
    <w:rsid w:val="00D26AA7"/>
    <w:rsid w:val="00D26ACF"/>
    <w:rsid w:val="00D26AD0"/>
    <w:rsid w:val="00D26B90"/>
    <w:rsid w:val="00D26C42"/>
    <w:rsid w:val="00D26C6B"/>
    <w:rsid w:val="00D26D0F"/>
    <w:rsid w:val="00D26D24"/>
    <w:rsid w:val="00D26FE0"/>
    <w:rsid w:val="00D27016"/>
    <w:rsid w:val="00D272D5"/>
    <w:rsid w:val="00D272DB"/>
    <w:rsid w:val="00D27366"/>
    <w:rsid w:val="00D2737A"/>
    <w:rsid w:val="00D27387"/>
    <w:rsid w:val="00D2738F"/>
    <w:rsid w:val="00D2740D"/>
    <w:rsid w:val="00D275CE"/>
    <w:rsid w:val="00D27616"/>
    <w:rsid w:val="00D2767E"/>
    <w:rsid w:val="00D2776D"/>
    <w:rsid w:val="00D27777"/>
    <w:rsid w:val="00D27784"/>
    <w:rsid w:val="00D277CA"/>
    <w:rsid w:val="00D277F9"/>
    <w:rsid w:val="00D27B9F"/>
    <w:rsid w:val="00D27BE5"/>
    <w:rsid w:val="00D27D19"/>
    <w:rsid w:val="00D27D30"/>
    <w:rsid w:val="00D27F3C"/>
    <w:rsid w:val="00D27F7B"/>
    <w:rsid w:val="00D27FC2"/>
    <w:rsid w:val="00D3011C"/>
    <w:rsid w:val="00D3013B"/>
    <w:rsid w:val="00D301E6"/>
    <w:rsid w:val="00D30353"/>
    <w:rsid w:val="00D303D8"/>
    <w:rsid w:val="00D30429"/>
    <w:rsid w:val="00D3055F"/>
    <w:rsid w:val="00D3060E"/>
    <w:rsid w:val="00D30697"/>
    <w:rsid w:val="00D307EA"/>
    <w:rsid w:val="00D30805"/>
    <w:rsid w:val="00D30808"/>
    <w:rsid w:val="00D30900"/>
    <w:rsid w:val="00D30946"/>
    <w:rsid w:val="00D3099E"/>
    <w:rsid w:val="00D30A3C"/>
    <w:rsid w:val="00D30A64"/>
    <w:rsid w:val="00D30AEA"/>
    <w:rsid w:val="00D30BD2"/>
    <w:rsid w:val="00D30C12"/>
    <w:rsid w:val="00D30C17"/>
    <w:rsid w:val="00D30CDE"/>
    <w:rsid w:val="00D30D69"/>
    <w:rsid w:val="00D30E5C"/>
    <w:rsid w:val="00D30E7E"/>
    <w:rsid w:val="00D30E83"/>
    <w:rsid w:val="00D30FC3"/>
    <w:rsid w:val="00D30FE2"/>
    <w:rsid w:val="00D310E9"/>
    <w:rsid w:val="00D31198"/>
    <w:rsid w:val="00D311E8"/>
    <w:rsid w:val="00D3120F"/>
    <w:rsid w:val="00D3126B"/>
    <w:rsid w:val="00D312EF"/>
    <w:rsid w:val="00D3133F"/>
    <w:rsid w:val="00D3138C"/>
    <w:rsid w:val="00D31596"/>
    <w:rsid w:val="00D31745"/>
    <w:rsid w:val="00D31779"/>
    <w:rsid w:val="00D317AE"/>
    <w:rsid w:val="00D317D5"/>
    <w:rsid w:val="00D317EE"/>
    <w:rsid w:val="00D317F6"/>
    <w:rsid w:val="00D3182E"/>
    <w:rsid w:val="00D31877"/>
    <w:rsid w:val="00D318D9"/>
    <w:rsid w:val="00D31907"/>
    <w:rsid w:val="00D3197A"/>
    <w:rsid w:val="00D319BE"/>
    <w:rsid w:val="00D31AB1"/>
    <w:rsid w:val="00D31B1A"/>
    <w:rsid w:val="00D31B8C"/>
    <w:rsid w:val="00D31BC4"/>
    <w:rsid w:val="00D31C79"/>
    <w:rsid w:val="00D31E1B"/>
    <w:rsid w:val="00D31EF7"/>
    <w:rsid w:val="00D31F07"/>
    <w:rsid w:val="00D31F4B"/>
    <w:rsid w:val="00D31F5B"/>
    <w:rsid w:val="00D32014"/>
    <w:rsid w:val="00D32044"/>
    <w:rsid w:val="00D32052"/>
    <w:rsid w:val="00D3208F"/>
    <w:rsid w:val="00D32093"/>
    <w:rsid w:val="00D320FC"/>
    <w:rsid w:val="00D32281"/>
    <w:rsid w:val="00D322C4"/>
    <w:rsid w:val="00D3230F"/>
    <w:rsid w:val="00D32312"/>
    <w:rsid w:val="00D32314"/>
    <w:rsid w:val="00D323CA"/>
    <w:rsid w:val="00D324E2"/>
    <w:rsid w:val="00D329C2"/>
    <w:rsid w:val="00D329DD"/>
    <w:rsid w:val="00D32A2D"/>
    <w:rsid w:val="00D32AA6"/>
    <w:rsid w:val="00D32AC8"/>
    <w:rsid w:val="00D32BDA"/>
    <w:rsid w:val="00D32C83"/>
    <w:rsid w:val="00D32CBF"/>
    <w:rsid w:val="00D32D83"/>
    <w:rsid w:val="00D32F09"/>
    <w:rsid w:val="00D32F41"/>
    <w:rsid w:val="00D32F44"/>
    <w:rsid w:val="00D32FB3"/>
    <w:rsid w:val="00D32FB9"/>
    <w:rsid w:val="00D33071"/>
    <w:rsid w:val="00D33077"/>
    <w:rsid w:val="00D330C0"/>
    <w:rsid w:val="00D33293"/>
    <w:rsid w:val="00D3342A"/>
    <w:rsid w:val="00D334C5"/>
    <w:rsid w:val="00D33515"/>
    <w:rsid w:val="00D33612"/>
    <w:rsid w:val="00D33771"/>
    <w:rsid w:val="00D337A5"/>
    <w:rsid w:val="00D33A3E"/>
    <w:rsid w:val="00D33AC6"/>
    <w:rsid w:val="00D33B27"/>
    <w:rsid w:val="00D33B4A"/>
    <w:rsid w:val="00D33BBA"/>
    <w:rsid w:val="00D33C21"/>
    <w:rsid w:val="00D33E81"/>
    <w:rsid w:val="00D33EAA"/>
    <w:rsid w:val="00D33ED8"/>
    <w:rsid w:val="00D33F54"/>
    <w:rsid w:val="00D33F9F"/>
    <w:rsid w:val="00D33FB2"/>
    <w:rsid w:val="00D34001"/>
    <w:rsid w:val="00D3405F"/>
    <w:rsid w:val="00D342B4"/>
    <w:rsid w:val="00D34357"/>
    <w:rsid w:val="00D34487"/>
    <w:rsid w:val="00D344F7"/>
    <w:rsid w:val="00D3456E"/>
    <w:rsid w:val="00D345D5"/>
    <w:rsid w:val="00D345D6"/>
    <w:rsid w:val="00D34740"/>
    <w:rsid w:val="00D34775"/>
    <w:rsid w:val="00D34B00"/>
    <w:rsid w:val="00D34B6B"/>
    <w:rsid w:val="00D34D20"/>
    <w:rsid w:val="00D34F06"/>
    <w:rsid w:val="00D35174"/>
    <w:rsid w:val="00D35205"/>
    <w:rsid w:val="00D3529F"/>
    <w:rsid w:val="00D35445"/>
    <w:rsid w:val="00D354A7"/>
    <w:rsid w:val="00D355AF"/>
    <w:rsid w:val="00D355D6"/>
    <w:rsid w:val="00D3567A"/>
    <w:rsid w:val="00D356D7"/>
    <w:rsid w:val="00D35702"/>
    <w:rsid w:val="00D3586A"/>
    <w:rsid w:val="00D358F0"/>
    <w:rsid w:val="00D359BE"/>
    <w:rsid w:val="00D35BC7"/>
    <w:rsid w:val="00D35C4F"/>
    <w:rsid w:val="00D35C64"/>
    <w:rsid w:val="00D35C74"/>
    <w:rsid w:val="00D35D46"/>
    <w:rsid w:val="00D35D4B"/>
    <w:rsid w:val="00D35D5F"/>
    <w:rsid w:val="00D35E40"/>
    <w:rsid w:val="00D35E7B"/>
    <w:rsid w:val="00D35F30"/>
    <w:rsid w:val="00D36020"/>
    <w:rsid w:val="00D36049"/>
    <w:rsid w:val="00D360AE"/>
    <w:rsid w:val="00D3613C"/>
    <w:rsid w:val="00D361AD"/>
    <w:rsid w:val="00D36297"/>
    <w:rsid w:val="00D36301"/>
    <w:rsid w:val="00D36305"/>
    <w:rsid w:val="00D363F8"/>
    <w:rsid w:val="00D36419"/>
    <w:rsid w:val="00D36441"/>
    <w:rsid w:val="00D36573"/>
    <w:rsid w:val="00D3657D"/>
    <w:rsid w:val="00D365BD"/>
    <w:rsid w:val="00D365D8"/>
    <w:rsid w:val="00D3671D"/>
    <w:rsid w:val="00D3676E"/>
    <w:rsid w:val="00D367D0"/>
    <w:rsid w:val="00D367F8"/>
    <w:rsid w:val="00D36887"/>
    <w:rsid w:val="00D36A8F"/>
    <w:rsid w:val="00D36D65"/>
    <w:rsid w:val="00D36DBF"/>
    <w:rsid w:val="00D36EAB"/>
    <w:rsid w:val="00D36F7E"/>
    <w:rsid w:val="00D37150"/>
    <w:rsid w:val="00D371A6"/>
    <w:rsid w:val="00D371B4"/>
    <w:rsid w:val="00D3725F"/>
    <w:rsid w:val="00D372F9"/>
    <w:rsid w:val="00D373E7"/>
    <w:rsid w:val="00D37577"/>
    <w:rsid w:val="00D37620"/>
    <w:rsid w:val="00D37660"/>
    <w:rsid w:val="00D37668"/>
    <w:rsid w:val="00D37724"/>
    <w:rsid w:val="00D37868"/>
    <w:rsid w:val="00D378BE"/>
    <w:rsid w:val="00D378C0"/>
    <w:rsid w:val="00D3795C"/>
    <w:rsid w:val="00D37A68"/>
    <w:rsid w:val="00D37AB5"/>
    <w:rsid w:val="00D37AF2"/>
    <w:rsid w:val="00D37B6E"/>
    <w:rsid w:val="00D37BC8"/>
    <w:rsid w:val="00D37C36"/>
    <w:rsid w:val="00D37C44"/>
    <w:rsid w:val="00D37DA2"/>
    <w:rsid w:val="00D37DD3"/>
    <w:rsid w:val="00D37E35"/>
    <w:rsid w:val="00D37E5D"/>
    <w:rsid w:val="00D37F3C"/>
    <w:rsid w:val="00D40003"/>
    <w:rsid w:val="00D400DE"/>
    <w:rsid w:val="00D400F1"/>
    <w:rsid w:val="00D400FE"/>
    <w:rsid w:val="00D40125"/>
    <w:rsid w:val="00D40176"/>
    <w:rsid w:val="00D401DB"/>
    <w:rsid w:val="00D4028A"/>
    <w:rsid w:val="00D402A4"/>
    <w:rsid w:val="00D403C9"/>
    <w:rsid w:val="00D404BA"/>
    <w:rsid w:val="00D4054D"/>
    <w:rsid w:val="00D4056A"/>
    <w:rsid w:val="00D40588"/>
    <w:rsid w:val="00D405AB"/>
    <w:rsid w:val="00D405D0"/>
    <w:rsid w:val="00D405D2"/>
    <w:rsid w:val="00D407FC"/>
    <w:rsid w:val="00D4082D"/>
    <w:rsid w:val="00D40865"/>
    <w:rsid w:val="00D4088F"/>
    <w:rsid w:val="00D408A3"/>
    <w:rsid w:val="00D40A45"/>
    <w:rsid w:val="00D40A4F"/>
    <w:rsid w:val="00D40BF7"/>
    <w:rsid w:val="00D40D2E"/>
    <w:rsid w:val="00D40D94"/>
    <w:rsid w:val="00D40EC5"/>
    <w:rsid w:val="00D40EDA"/>
    <w:rsid w:val="00D40F37"/>
    <w:rsid w:val="00D41049"/>
    <w:rsid w:val="00D4116C"/>
    <w:rsid w:val="00D412BC"/>
    <w:rsid w:val="00D412C1"/>
    <w:rsid w:val="00D414DF"/>
    <w:rsid w:val="00D414F9"/>
    <w:rsid w:val="00D41500"/>
    <w:rsid w:val="00D415BF"/>
    <w:rsid w:val="00D4160F"/>
    <w:rsid w:val="00D4166C"/>
    <w:rsid w:val="00D41695"/>
    <w:rsid w:val="00D416A1"/>
    <w:rsid w:val="00D41736"/>
    <w:rsid w:val="00D4176E"/>
    <w:rsid w:val="00D418E7"/>
    <w:rsid w:val="00D41945"/>
    <w:rsid w:val="00D4198F"/>
    <w:rsid w:val="00D419E3"/>
    <w:rsid w:val="00D41AE3"/>
    <w:rsid w:val="00D41D68"/>
    <w:rsid w:val="00D41E65"/>
    <w:rsid w:val="00D41E88"/>
    <w:rsid w:val="00D41E91"/>
    <w:rsid w:val="00D41E92"/>
    <w:rsid w:val="00D41FB2"/>
    <w:rsid w:val="00D420B6"/>
    <w:rsid w:val="00D421F9"/>
    <w:rsid w:val="00D423D1"/>
    <w:rsid w:val="00D42582"/>
    <w:rsid w:val="00D425A8"/>
    <w:rsid w:val="00D425B6"/>
    <w:rsid w:val="00D4260C"/>
    <w:rsid w:val="00D426FE"/>
    <w:rsid w:val="00D4270B"/>
    <w:rsid w:val="00D427A4"/>
    <w:rsid w:val="00D42920"/>
    <w:rsid w:val="00D429E4"/>
    <w:rsid w:val="00D42A1C"/>
    <w:rsid w:val="00D42A25"/>
    <w:rsid w:val="00D42BF8"/>
    <w:rsid w:val="00D42C26"/>
    <w:rsid w:val="00D42CAC"/>
    <w:rsid w:val="00D42D34"/>
    <w:rsid w:val="00D42D5E"/>
    <w:rsid w:val="00D42E7A"/>
    <w:rsid w:val="00D42EA3"/>
    <w:rsid w:val="00D42EEE"/>
    <w:rsid w:val="00D43003"/>
    <w:rsid w:val="00D43112"/>
    <w:rsid w:val="00D43196"/>
    <w:rsid w:val="00D43213"/>
    <w:rsid w:val="00D43279"/>
    <w:rsid w:val="00D434BC"/>
    <w:rsid w:val="00D435A4"/>
    <w:rsid w:val="00D43623"/>
    <w:rsid w:val="00D4390B"/>
    <w:rsid w:val="00D43A42"/>
    <w:rsid w:val="00D43A9A"/>
    <w:rsid w:val="00D43AC8"/>
    <w:rsid w:val="00D43BCE"/>
    <w:rsid w:val="00D43C3F"/>
    <w:rsid w:val="00D43CE9"/>
    <w:rsid w:val="00D43D47"/>
    <w:rsid w:val="00D43D8B"/>
    <w:rsid w:val="00D43DD7"/>
    <w:rsid w:val="00D43DD9"/>
    <w:rsid w:val="00D43DEA"/>
    <w:rsid w:val="00D43E44"/>
    <w:rsid w:val="00D43F50"/>
    <w:rsid w:val="00D43F85"/>
    <w:rsid w:val="00D43FE8"/>
    <w:rsid w:val="00D4402B"/>
    <w:rsid w:val="00D4406C"/>
    <w:rsid w:val="00D441D2"/>
    <w:rsid w:val="00D442EB"/>
    <w:rsid w:val="00D44354"/>
    <w:rsid w:val="00D44387"/>
    <w:rsid w:val="00D444A8"/>
    <w:rsid w:val="00D444AF"/>
    <w:rsid w:val="00D44596"/>
    <w:rsid w:val="00D44628"/>
    <w:rsid w:val="00D44748"/>
    <w:rsid w:val="00D44785"/>
    <w:rsid w:val="00D447CE"/>
    <w:rsid w:val="00D44803"/>
    <w:rsid w:val="00D44858"/>
    <w:rsid w:val="00D44AEF"/>
    <w:rsid w:val="00D44B23"/>
    <w:rsid w:val="00D44B3F"/>
    <w:rsid w:val="00D44C28"/>
    <w:rsid w:val="00D44C2D"/>
    <w:rsid w:val="00D44C58"/>
    <w:rsid w:val="00D44CBA"/>
    <w:rsid w:val="00D44D7A"/>
    <w:rsid w:val="00D44DDB"/>
    <w:rsid w:val="00D44F4E"/>
    <w:rsid w:val="00D44F8D"/>
    <w:rsid w:val="00D44F9C"/>
    <w:rsid w:val="00D44FB8"/>
    <w:rsid w:val="00D44FE1"/>
    <w:rsid w:val="00D4502A"/>
    <w:rsid w:val="00D45087"/>
    <w:rsid w:val="00D45204"/>
    <w:rsid w:val="00D45360"/>
    <w:rsid w:val="00D453C5"/>
    <w:rsid w:val="00D453CD"/>
    <w:rsid w:val="00D453EC"/>
    <w:rsid w:val="00D45557"/>
    <w:rsid w:val="00D45559"/>
    <w:rsid w:val="00D4571A"/>
    <w:rsid w:val="00D45771"/>
    <w:rsid w:val="00D4584A"/>
    <w:rsid w:val="00D4593C"/>
    <w:rsid w:val="00D4593F"/>
    <w:rsid w:val="00D45951"/>
    <w:rsid w:val="00D45AA7"/>
    <w:rsid w:val="00D45B46"/>
    <w:rsid w:val="00D45BEA"/>
    <w:rsid w:val="00D45D10"/>
    <w:rsid w:val="00D45D7B"/>
    <w:rsid w:val="00D45DF7"/>
    <w:rsid w:val="00D45FE0"/>
    <w:rsid w:val="00D4606E"/>
    <w:rsid w:val="00D460F5"/>
    <w:rsid w:val="00D46116"/>
    <w:rsid w:val="00D46381"/>
    <w:rsid w:val="00D4644D"/>
    <w:rsid w:val="00D465D9"/>
    <w:rsid w:val="00D4662B"/>
    <w:rsid w:val="00D466F3"/>
    <w:rsid w:val="00D46739"/>
    <w:rsid w:val="00D46765"/>
    <w:rsid w:val="00D467A1"/>
    <w:rsid w:val="00D467A2"/>
    <w:rsid w:val="00D46838"/>
    <w:rsid w:val="00D4683C"/>
    <w:rsid w:val="00D46898"/>
    <w:rsid w:val="00D46899"/>
    <w:rsid w:val="00D46900"/>
    <w:rsid w:val="00D46A53"/>
    <w:rsid w:val="00D46A96"/>
    <w:rsid w:val="00D46C2F"/>
    <w:rsid w:val="00D46C32"/>
    <w:rsid w:val="00D46C96"/>
    <w:rsid w:val="00D46C97"/>
    <w:rsid w:val="00D46CCD"/>
    <w:rsid w:val="00D46D64"/>
    <w:rsid w:val="00D46D71"/>
    <w:rsid w:val="00D46D9E"/>
    <w:rsid w:val="00D46F28"/>
    <w:rsid w:val="00D46F44"/>
    <w:rsid w:val="00D46F4B"/>
    <w:rsid w:val="00D470BB"/>
    <w:rsid w:val="00D47108"/>
    <w:rsid w:val="00D472A4"/>
    <w:rsid w:val="00D47377"/>
    <w:rsid w:val="00D473C0"/>
    <w:rsid w:val="00D4741E"/>
    <w:rsid w:val="00D47452"/>
    <w:rsid w:val="00D474A2"/>
    <w:rsid w:val="00D474FC"/>
    <w:rsid w:val="00D4771A"/>
    <w:rsid w:val="00D478EC"/>
    <w:rsid w:val="00D479A0"/>
    <w:rsid w:val="00D47A15"/>
    <w:rsid w:val="00D47B21"/>
    <w:rsid w:val="00D47B88"/>
    <w:rsid w:val="00D47C45"/>
    <w:rsid w:val="00D47C74"/>
    <w:rsid w:val="00D47C7F"/>
    <w:rsid w:val="00D47DBF"/>
    <w:rsid w:val="00D47DCA"/>
    <w:rsid w:val="00D47DDC"/>
    <w:rsid w:val="00D47F73"/>
    <w:rsid w:val="00D47F75"/>
    <w:rsid w:val="00D50015"/>
    <w:rsid w:val="00D50128"/>
    <w:rsid w:val="00D50137"/>
    <w:rsid w:val="00D501FF"/>
    <w:rsid w:val="00D50291"/>
    <w:rsid w:val="00D502B6"/>
    <w:rsid w:val="00D5059C"/>
    <w:rsid w:val="00D505C7"/>
    <w:rsid w:val="00D505D5"/>
    <w:rsid w:val="00D50749"/>
    <w:rsid w:val="00D507BA"/>
    <w:rsid w:val="00D507DD"/>
    <w:rsid w:val="00D50806"/>
    <w:rsid w:val="00D508AB"/>
    <w:rsid w:val="00D50944"/>
    <w:rsid w:val="00D509E9"/>
    <w:rsid w:val="00D50B0A"/>
    <w:rsid w:val="00D50B0F"/>
    <w:rsid w:val="00D50C06"/>
    <w:rsid w:val="00D50C28"/>
    <w:rsid w:val="00D50C91"/>
    <w:rsid w:val="00D50E02"/>
    <w:rsid w:val="00D50E72"/>
    <w:rsid w:val="00D50E7A"/>
    <w:rsid w:val="00D50EA2"/>
    <w:rsid w:val="00D50FA5"/>
    <w:rsid w:val="00D510F0"/>
    <w:rsid w:val="00D51108"/>
    <w:rsid w:val="00D5124E"/>
    <w:rsid w:val="00D512D2"/>
    <w:rsid w:val="00D5132B"/>
    <w:rsid w:val="00D5146B"/>
    <w:rsid w:val="00D514A7"/>
    <w:rsid w:val="00D51539"/>
    <w:rsid w:val="00D5170C"/>
    <w:rsid w:val="00D5171E"/>
    <w:rsid w:val="00D517C3"/>
    <w:rsid w:val="00D5184C"/>
    <w:rsid w:val="00D518C1"/>
    <w:rsid w:val="00D51903"/>
    <w:rsid w:val="00D51916"/>
    <w:rsid w:val="00D5199C"/>
    <w:rsid w:val="00D51A9F"/>
    <w:rsid w:val="00D51B04"/>
    <w:rsid w:val="00D51BBA"/>
    <w:rsid w:val="00D51CEF"/>
    <w:rsid w:val="00D51D63"/>
    <w:rsid w:val="00D51DE1"/>
    <w:rsid w:val="00D51E93"/>
    <w:rsid w:val="00D51F5E"/>
    <w:rsid w:val="00D520AB"/>
    <w:rsid w:val="00D52138"/>
    <w:rsid w:val="00D52147"/>
    <w:rsid w:val="00D52173"/>
    <w:rsid w:val="00D52177"/>
    <w:rsid w:val="00D5218F"/>
    <w:rsid w:val="00D52293"/>
    <w:rsid w:val="00D52297"/>
    <w:rsid w:val="00D522B7"/>
    <w:rsid w:val="00D52393"/>
    <w:rsid w:val="00D5244F"/>
    <w:rsid w:val="00D52493"/>
    <w:rsid w:val="00D524F5"/>
    <w:rsid w:val="00D5250D"/>
    <w:rsid w:val="00D527DE"/>
    <w:rsid w:val="00D52858"/>
    <w:rsid w:val="00D52862"/>
    <w:rsid w:val="00D528AB"/>
    <w:rsid w:val="00D528F1"/>
    <w:rsid w:val="00D528FA"/>
    <w:rsid w:val="00D52A7F"/>
    <w:rsid w:val="00D52AE4"/>
    <w:rsid w:val="00D52B22"/>
    <w:rsid w:val="00D52B34"/>
    <w:rsid w:val="00D52C0E"/>
    <w:rsid w:val="00D52D3E"/>
    <w:rsid w:val="00D52D42"/>
    <w:rsid w:val="00D52D50"/>
    <w:rsid w:val="00D52DBD"/>
    <w:rsid w:val="00D52DD0"/>
    <w:rsid w:val="00D52E1B"/>
    <w:rsid w:val="00D52F85"/>
    <w:rsid w:val="00D5302D"/>
    <w:rsid w:val="00D53039"/>
    <w:rsid w:val="00D530A8"/>
    <w:rsid w:val="00D530C7"/>
    <w:rsid w:val="00D5313B"/>
    <w:rsid w:val="00D532AB"/>
    <w:rsid w:val="00D532AE"/>
    <w:rsid w:val="00D533FA"/>
    <w:rsid w:val="00D53462"/>
    <w:rsid w:val="00D534AC"/>
    <w:rsid w:val="00D534E0"/>
    <w:rsid w:val="00D535A4"/>
    <w:rsid w:val="00D536FC"/>
    <w:rsid w:val="00D5374C"/>
    <w:rsid w:val="00D537AC"/>
    <w:rsid w:val="00D538EE"/>
    <w:rsid w:val="00D5391E"/>
    <w:rsid w:val="00D53AEB"/>
    <w:rsid w:val="00D53C19"/>
    <w:rsid w:val="00D53D07"/>
    <w:rsid w:val="00D53DE4"/>
    <w:rsid w:val="00D53DF3"/>
    <w:rsid w:val="00D53F30"/>
    <w:rsid w:val="00D53F38"/>
    <w:rsid w:val="00D53FCF"/>
    <w:rsid w:val="00D5405B"/>
    <w:rsid w:val="00D541C8"/>
    <w:rsid w:val="00D54214"/>
    <w:rsid w:val="00D54287"/>
    <w:rsid w:val="00D54321"/>
    <w:rsid w:val="00D54431"/>
    <w:rsid w:val="00D5445C"/>
    <w:rsid w:val="00D5452C"/>
    <w:rsid w:val="00D5476F"/>
    <w:rsid w:val="00D547EE"/>
    <w:rsid w:val="00D54855"/>
    <w:rsid w:val="00D5487F"/>
    <w:rsid w:val="00D548CE"/>
    <w:rsid w:val="00D54965"/>
    <w:rsid w:val="00D54978"/>
    <w:rsid w:val="00D549B5"/>
    <w:rsid w:val="00D54AA6"/>
    <w:rsid w:val="00D54AA8"/>
    <w:rsid w:val="00D54AB9"/>
    <w:rsid w:val="00D54ACC"/>
    <w:rsid w:val="00D54C93"/>
    <w:rsid w:val="00D54F7D"/>
    <w:rsid w:val="00D54FEF"/>
    <w:rsid w:val="00D5505F"/>
    <w:rsid w:val="00D5506B"/>
    <w:rsid w:val="00D550B5"/>
    <w:rsid w:val="00D550E5"/>
    <w:rsid w:val="00D55114"/>
    <w:rsid w:val="00D5519D"/>
    <w:rsid w:val="00D5538D"/>
    <w:rsid w:val="00D553C1"/>
    <w:rsid w:val="00D553D4"/>
    <w:rsid w:val="00D55650"/>
    <w:rsid w:val="00D55679"/>
    <w:rsid w:val="00D5567F"/>
    <w:rsid w:val="00D556A6"/>
    <w:rsid w:val="00D556DE"/>
    <w:rsid w:val="00D5575F"/>
    <w:rsid w:val="00D5578A"/>
    <w:rsid w:val="00D5588E"/>
    <w:rsid w:val="00D558BA"/>
    <w:rsid w:val="00D5597E"/>
    <w:rsid w:val="00D55ABA"/>
    <w:rsid w:val="00D55B57"/>
    <w:rsid w:val="00D55CC4"/>
    <w:rsid w:val="00D55CC7"/>
    <w:rsid w:val="00D55D50"/>
    <w:rsid w:val="00D55D70"/>
    <w:rsid w:val="00D55DC9"/>
    <w:rsid w:val="00D55E96"/>
    <w:rsid w:val="00D55EC8"/>
    <w:rsid w:val="00D55F32"/>
    <w:rsid w:val="00D55F5F"/>
    <w:rsid w:val="00D56000"/>
    <w:rsid w:val="00D56018"/>
    <w:rsid w:val="00D560C6"/>
    <w:rsid w:val="00D560EE"/>
    <w:rsid w:val="00D561C3"/>
    <w:rsid w:val="00D5630D"/>
    <w:rsid w:val="00D563D2"/>
    <w:rsid w:val="00D563EC"/>
    <w:rsid w:val="00D565FC"/>
    <w:rsid w:val="00D56600"/>
    <w:rsid w:val="00D5667F"/>
    <w:rsid w:val="00D56757"/>
    <w:rsid w:val="00D56762"/>
    <w:rsid w:val="00D56784"/>
    <w:rsid w:val="00D56890"/>
    <w:rsid w:val="00D568CE"/>
    <w:rsid w:val="00D56A43"/>
    <w:rsid w:val="00D56A92"/>
    <w:rsid w:val="00D56B7E"/>
    <w:rsid w:val="00D56CB2"/>
    <w:rsid w:val="00D56D10"/>
    <w:rsid w:val="00D56F59"/>
    <w:rsid w:val="00D5701E"/>
    <w:rsid w:val="00D57054"/>
    <w:rsid w:val="00D57085"/>
    <w:rsid w:val="00D570F7"/>
    <w:rsid w:val="00D57106"/>
    <w:rsid w:val="00D5714E"/>
    <w:rsid w:val="00D571E3"/>
    <w:rsid w:val="00D57309"/>
    <w:rsid w:val="00D574AA"/>
    <w:rsid w:val="00D574AB"/>
    <w:rsid w:val="00D5757F"/>
    <w:rsid w:val="00D57630"/>
    <w:rsid w:val="00D5763D"/>
    <w:rsid w:val="00D576AB"/>
    <w:rsid w:val="00D577AF"/>
    <w:rsid w:val="00D57948"/>
    <w:rsid w:val="00D57982"/>
    <w:rsid w:val="00D57B3C"/>
    <w:rsid w:val="00D57BB4"/>
    <w:rsid w:val="00D57C4B"/>
    <w:rsid w:val="00D57C6A"/>
    <w:rsid w:val="00D57C90"/>
    <w:rsid w:val="00D57CFF"/>
    <w:rsid w:val="00D57DED"/>
    <w:rsid w:val="00D57E64"/>
    <w:rsid w:val="00D57F9E"/>
    <w:rsid w:val="00D57FC9"/>
    <w:rsid w:val="00D57FD5"/>
    <w:rsid w:val="00D57FE4"/>
    <w:rsid w:val="00D6002E"/>
    <w:rsid w:val="00D600ED"/>
    <w:rsid w:val="00D6011B"/>
    <w:rsid w:val="00D6011C"/>
    <w:rsid w:val="00D60130"/>
    <w:rsid w:val="00D601C8"/>
    <w:rsid w:val="00D601F1"/>
    <w:rsid w:val="00D602EA"/>
    <w:rsid w:val="00D6046A"/>
    <w:rsid w:val="00D604EF"/>
    <w:rsid w:val="00D6051B"/>
    <w:rsid w:val="00D60589"/>
    <w:rsid w:val="00D605C1"/>
    <w:rsid w:val="00D60655"/>
    <w:rsid w:val="00D60670"/>
    <w:rsid w:val="00D606D0"/>
    <w:rsid w:val="00D606EE"/>
    <w:rsid w:val="00D6074B"/>
    <w:rsid w:val="00D6076E"/>
    <w:rsid w:val="00D607F7"/>
    <w:rsid w:val="00D60806"/>
    <w:rsid w:val="00D6087A"/>
    <w:rsid w:val="00D609AC"/>
    <w:rsid w:val="00D60A75"/>
    <w:rsid w:val="00D60AB3"/>
    <w:rsid w:val="00D60BCF"/>
    <w:rsid w:val="00D60C8B"/>
    <w:rsid w:val="00D60CA4"/>
    <w:rsid w:val="00D60D25"/>
    <w:rsid w:val="00D60DB8"/>
    <w:rsid w:val="00D60F2D"/>
    <w:rsid w:val="00D60F37"/>
    <w:rsid w:val="00D60F5E"/>
    <w:rsid w:val="00D60FFA"/>
    <w:rsid w:val="00D610C7"/>
    <w:rsid w:val="00D610DB"/>
    <w:rsid w:val="00D6111A"/>
    <w:rsid w:val="00D6112A"/>
    <w:rsid w:val="00D6119C"/>
    <w:rsid w:val="00D61301"/>
    <w:rsid w:val="00D6132B"/>
    <w:rsid w:val="00D6133C"/>
    <w:rsid w:val="00D613ED"/>
    <w:rsid w:val="00D613F8"/>
    <w:rsid w:val="00D6147F"/>
    <w:rsid w:val="00D61481"/>
    <w:rsid w:val="00D616CA"/>
    <w:rsid w:val="00D61705"/>
    <w:rsid w:val="00D61798"/>
    <w:rsid w:val="00D61830"/>
    <w:rsid w:val="00D6184C"/>
    <w:rsid w:val="00D6186A"/>
    <w:rsid w:val="00D618D8"/>
    <w:rsid w:val="00D619B9"/>
    <w:rsid w:val="00D61A8F"/>
    <w:rsid w:val="00D61B81"/>
    <w:rsid w:val="00D61B84"/>
    <w:rsid w:val="00D61B85"/>
    <w:rsid w:val="00D61C1D"/>
    <w:rsid w:val="00D61E33"/>
    <w:rsid w:val="00D61FAB"/>
    <w:rsid w:val="00D61FC8"/>
    <w:rsid w:val="00D6210C"/>
    <w:rsid w:val="00D62182"/>
    <w:rsid w:val="00D621EF"/>
    <w:rsid w:val="00D62214"/>
    <w:rsid w:val="00D62310"/>
    <w:rsid w:val="00D623FF"/>
    <w:rsid w:val="00D62407"/>
    <w:rsid w:val="00D62443"/>
    <w:rsid w:val="00D6244E"/>
    <w:rsid w:val="00D6247F"/>
    <w:rsid w:val="00D6274F"/>
    <w:rsid w:val="00D62892"/>
    <w:rsid w:val="00D628AF"/>
    <w:rsid w:val="00D62AF8"/>
    <w:rsid w:val="00D62C06"/>
    <w:rsid w:val="00D62CE4"/>
    <w:rsid w:val="00D62D27"/>
    <w:rsid w:val="00D62D70"/>
    <w:rsid w:val="00D62EEE"/>
    <w:rsid w:val="00D62F00"/>
    <w:rsid w:val="00D62F6E"/>
    <w:rsid w:val="00D62F7A"/>
    <w:rsid w:val="00D62FCB"/>
    <w:rsid w:val="00D630C2"/>
    <w:rsid w:val="00D6315D"/>
    <w:rsid w:val="00D631A7"/>
    <w:rsid w:val="00D63208"/>
    <w:rsid w:val="00D63533"/>
    <w:rsid w:val="00D63540"/>
    <w:rsid w:val="00D63605"/>
    <w:rsid w:val="00D63633"/>
    <w:rsid w:val="00D63677"/>
    <w:rsid w:val="00D638CC"/>
    <w:rsid w:val="00D6394F"/>
    <w:rsid w:val="00D63B73"/>
    <w:rsid w:val="00D63DB0"/>
    <w:rsid w:val="00D63DD8"/>
    <w:rsid w:val="00D63F1F"/>
    <w:rsid w:val="00D63F96"/>
    <w:rsid w:val="00D64056"/>
    <w:rsid w:val="00D64078"/>
    <w:rsid w:val="00D641AB"/>
    <w:rsid w:val="00D6421F"/>
    <w:rsid w:val="00D64313"/>
    <w:rsid w:val="00D64363"/>
    <w:rsid w:val="00D64413"/>
    <w:rsid w:val="00D644DD"/>
    <w:rsid w:val="00D64560"/>
    <w:rsid w:val="00D6458C"/>
    <w:rsid w:val="00D6460D"/>
    <w:rsid w:val="00D6464F"/>
    <w:rsid w:val="00D64745"/>
    <w:rsid w:val="00D647CD"/>
    <w:rsid w:val="00D648D2"/>
    <w:rsid w:val="00D6497B"/>
    <w:rsid w:val="00D64A52"/>
    <w:rsid w:val="00D64BE1"/>
    <w:rsid w:val="00D64C7F"/>
    <w:rsid w:val="00D64CEC"/>
    <w:rsid w:val="00D64CFD"/>
    <w:rsid w:val="00D64DA8"/>
    <w:rsid w:val="00D64DF7"/>
    <w:rsid w:val="00D64E56"/>
    <w:rsid w:val="00D64EE3"/>
    <w:rsid w:val="00D64F3B"/>
    <w:rsid w:val="00D64FBD"/>
    <w:rsid w:val="00D651D0"/>
    <w:rsid w:val="00D651FC"/>
    <w:rsid w:val="00D6520D"/>
    <w:rsid w:val="00D6536A"/>
    <w:rsid w:val="00D65428"/>
    <w:rsid w:val="00D65504"/>
    <w:rsid w:val="00D6552E"/>
    <w:rsid w:val="00D6557E"/>
    <w:rsid w:val="00D6558B"/>
    <w:rsid w:val="00D65686"/>
    <w:rsid w:val="00D6576B"/>
    <w:rsid w:val="00D657BD"/>
    <w:rsid w:val="00D657FD"/>
    <w:rsid w:val="00D6581A"/>
    <w:rsid w:val="00D6599C"/>
    <w:rsid w:val="00D659A3"/>
    <w:rsid w:val="00D659ED"/>
    <w:rsid w:val="00D65A14"/>
    <w:rsid w:val="00D65A5E"/>
    <w:rsid w:val="00D65A7A"/>
    <w:rsid w:val="00D65B95"/>
    <w:rsid w:val="00D65BB1"/>
    <w:rsid w:val="00D65BD2"/>
    <w:rsid w:val="00D65BFF"/>
    <w:rsid w:val="00D65C12"/>
    <w:rsid w:val="00D65CCE"/>
    <w:rsid w:val="00D65CEA"/>
    <w:rsid w:val="00D65D2C"/>
    <w:rsid w:val="00D65DA5"/>
    <w:rsid w:val="00D65DBA"/>
    <w:rsid w:val="00D65E4A"/>
    <w:rsid w:val="00D65F65"/>
    <w:rsid w:val="00D65FAC"/>
    <w:rsid w:val="00D65FC2"/>
    <w:rsid w:val="00D65FD5"/>
    <w:rsid w:val="00D6603C"/>
    <w:rsid w:val="00D6605F"/>
    <w:rsid w:val="00D660A9"/>
    <w:rsid w:val="00D66132"/>
    <w:rsid w:val="00D66264"/>
    <w:rsid w:val="00D662A9"/>
    <w:rsid w:val="00D662D7"/>
    <w:rsid w:val="00D66406"/>
    <w:rsid w:val="00D664C4"/>
    <w:rsid w:val="00D66604"/>
    <w:rsid w:val="00D6660C"/>
    <w:rsid w:val="00D6669A"/>
    <w:rsid w:val="00D666D9"/>
    <w:rsid w:val="00D666E7"/>
    <w:rsid w:val="00D66759"/>
    <w:rsid w:val="00D669B5"/>
    <w:rsid w:val="00D66B24"/>
    <w:rsid w:val="00D66B7B"/>
    <w:rsid w:val="00D66BFD"/>
    <w:rsid w:val="00D66C27"/>
    <w:rsid w:val="00D66C65"/>
    <w:rsid w:val="00D66C92"/>
    <w:rsid w:val="00D66D0C"/>
    <w:rsid w:val="00D66D11"/>
    <w:rsid w:val="00D66DE0"/>
    <w:rsid w:val="00D66F31"/>
    <w:rsid w:val="00D66FA1"/>
    <w:rsid w:val="00D67042"/>
    <w:rsid w:val="00D67080"/>
    <w:rsid w:val="00D671EE"/>
    <w:rsid w:val="00D67269"/>
    <w:rsid w:val="00D672B2"/>
    <w:rsid w:val="00D67305"/>
    <w:rsid w:val="00D673AF"/>
    <w:rsid w:val="00D67400"/>
    <w:rsid w:val="00D6746A"/>
    <w:rsid w:val="00D67560"/>
    <w:rsid w:val="00D67571"/>
    <w:rsid w:val="00D675B2"/>
    <w:rsid w:val="00D676E6"/>
    <w:rsid w:val="00D67701"/>
    <w:rsid w:val="00D6777E"/>
    <w:rsid w:val="00D677A5"/>
    <w:rsid w:val="00D6792D"/>
    <w:rsid w:val="00D67972"/>
    <w:rsid w:val="00D67A06"/>
    <w:rsid w:val="00D67A27"/>
    <w:rsid w:val="00D67B16"/>
    <w:rsid w:val="00D67BA2"/>
    <w:rsid w:val="00D67C00"/>
    <w:rsid w:val="00D67C14"/>
    <w:rsid w:val="00D67C22"/>
    <w:rsid w:val="00D67C58"/>
    <w:rsid w:val="00D67C5D"/>
    <w:rsid w:val="00D67CD9"/>
    <w:rsid w:val="00D67CE0"/>
    <w:rsid w:val="00D67DEE"/>
    <w:rsid w:val="00D67EAF"/>
    <w:rsid w:val="00D67ED0"/>
    <w:rsid w:val="00D67F3D"/>
    <w:rsid w:val="00D67F54"/>
    <w:rsid w:val="00D70035"/>
    <w:rsid w:val="00D700BF"/>
    <w:rsid w:val="00D70165"/>
    <w:rsid w:val="00D7018B"/>
    <w:rsid w:val="00D7019B"/>
    <w:rsid w:val="00D701F6"/>
    <w:rsid w:val="00D702FB"/>
    <w:rsid w:val="00D70330"/>
    <w:rsid w:val="00D70342"/>
    <w:rsid w:val="00D70407"/>
    <w:rsid w:val="00D7049D"/>
    <w:rsid w:val="00D704EC"/>
    <w:rsid w:val="00D70588"/>
    <w:rsid w:val="00D705C4"/>
    <w:rsid w:val="00D705E5"/>
    <w:rsid w:val="00D7061D"/>
    <w:rsid w:val="00D7066D"/>
    <w:rsid w:val="00D7069B"/>
    <w:rsid w:val="00D706FF"/>
    <w:rsid w:val="00D7086D"/>
    <w:rsid w:val="00D708BA"/>
    <w:rsid w:val="00D70923"/>
    <w:rsid w:val="00D70AE3"/>
    <w:rsid w:val="00D70B09"/>
    <w:rsid w:val="00D70B9B"/>
    <w:rsid w:val="00D70C89"/>
    <w:rsid w:val="00D70D88"/>
    <w:rsid w:val="00D71023"/>
    <w:rsid w:val="00D7102C"/>
    <w:rsid w:val="00D71036"/>
    <w:rsid w:val="00D710F3"/>
    <w:rsid w:val="00D71108"/>
    <w:rsid w:val="00D71195"/>
    <w:rsid w:val="00D711B9"/>
    <w:rsid w:val="00D71366"/>
    <w:rsid w:val="00D71454"/>
    <w:rsid w:val="00D714D0"/>
    <w:rsid w:val="00D7163A"/>
    <w:rsid w:val="00D7175F"/>
    <w:rsid w:val="00D717A1"/>
    <w:rsid w:val="00D7182C"/>
    <w:rsid w:val="00D71926"/>
    <w:rsid w:val="00D719DE"/>
    <w:rsid w:val="00D71A16"/>
    <w:rsid w:val="00D71A3B"/>
    <w:rsid w:val="00D71BDB"/>
    <w:rsid w:val="00D71C05"/>
    <w:rsid w:val="00D71C89"/>
    <w:rsid w:val="00D71D19"/>
    <w:rsid w:val="00D71D71"/>
    <w:rsid w:val="00D71DBC"/>
    <w:rsid w:val="00D71E85"/>
    <w:rsid w:val="00D71F1D"/>
    <w:rsid w:val="00D71F21"/>
    <w:rsid w:val="00D71FE9"/>
    <w:rsid w:val="00D7207E"/>
    <w:rsid w:val="00D720B4"/>
    <w:rsid w:val="00D720F0"/>
    <w:rsid w:val="00D7211D"/>
    <w:rsid w:val="00D72212"/>
    <w:rsid w:val="00D722CF"/>
    <w:rsid w:val="00D72338"/>
    <w:rsid w:val="00D7235C"/>
    <w:rsid w:val="00D7235E"/>
    <w:rsid w:val="00D72376"/>
    <w:rsid w:val="00D724CB"/>
    <w:rsid w:val="00D7252D"/>
    <w:rsid w:val="00D72567"/>
    <w:rsid w:val="00D7261E"/>
    <w:rsid w:val="00D7261F"/>
    <w:rsid w:val="00D726B1"/>
    <w:rsid w:val="00D726D9"/>
    <w:rsid w:val="00D7273B"/>
    <w:rsid w:val="00D72885"/>
    <w:rsid w:val="00D7288D"/>
    <w:rsid w:val="00D72A53"/>
    <w:rsid w:val="00D72ACB"/>
    <w:rsid w:val="00D72B9D"/>
    <w:rsid w:val="00D72CB0"/>
    <w:rsid w:val="00D72D49"/>
    <w:rsid w:val="00D72F61"/>
    <w:rsid w:val="00D72F8C"/>
    <w:rsid w:val="00D72FC9"/>
    <w:rsid w:val="00D7301D"/>
    <w:rsid w:val="00D7304B"/>
    <w:rsid w:val="00D73137"/>
    <w:rsid w:val="00D7317D"/>
    <w:rsid w:val="00D73263"/>
    <w:rsid w:val="00D733FF"/>
    <w:rsid w:val="00D73480"/>
    <w:rsid w:val="00D734C6"/>
    <w:rsid w:val="00D73506"/>
    <w:rsid w:val="00D7350F"/>
    <w:rsid w:val="00D73562"/>
    <w:rsid w:val="00D735C9"/>
    <w:rsid w:val="00D73672"/>
    <w:rsid w:val="00D73763"/>
    <w:rsid w:val="00D7377E"/>
    <w:rsid w:val="00D73782"/>
    <w:rsid w:val="00D73790"/>
    <w:rsid w:val="00D73886"/>
    <w:rsid w:val="00D7396C"/>
    <w:rsid w:val="00D73A45"/>
    <w:rsid w:val="00D73AFB"/>
    <w:rsid w:val="00D73B39"/>
    <w:rsid w:val="00D73BB8"/>
    <w:rsid w:val="00D73C0C"/>
    <w:rsid w:val="00D73C15"/>
    <w:rsid w:val="00D73C92"/>
    <w:rsid w:val="00D73DA3"/>
    <w:rsid w:val="00D73F9C"/>
    <w:rsid w:val="00D7402B"/>
    <w:rsid w:val="00D7408C"/>
    <w:rsid w:val="00D7410D"/>
    <w:rsid w:val="00D7416B"/>
    <w:rsid w:val="00D74199"/>
    <w:rsid w:val="00D741B6"/>
    <w:rsid w:val="00D74377"/>
    <w:rsid w:val="00D743A0"/>
    <w:rsid w:val="00D743D0"/>
    <w:rsid w:val="00D7454E"/>
    <w:rsid w:val="00D745CB"/>
    <w:rsid w:val="00D745E5"/>
    <w:rsid w:val="00D746FF"/>
    <w:rsid w:val="00D7479A"/>
    <w:rsid w:val="00D74855"/>
    <w:rsid w:val="00D74933"/>
    <w:rsid w:val="00D74ADB"/>
    <w:rsid w:val="00D74BBB"/>
    <w:rsid w:val="00D74C7C"/>
    <w:rsid w:val="00D74CDA"/>
    <w:rsid w:val="00D74D58"/>
    <w:rsid w:val="00D74D74"/>
    <w:rsid w:val="00D74DB6"/>
    <w:rsid w:val="00D74DC1"/>
    <w:rsid w:val="00D74E6C"/>
    <w:rsid w:val="00D7500E"/>
    <w:rsid w:val="00D75040"/>
    <w:rsid w:val="00D7508C"/>
    <w:rsid w:val="00D7515B"/>
    <w:rsid w:val="00D751D4"/>
    <w:rsid w:val="00D751DE"/>
    <w:rsid w:val="00D75378"/>
    <w:rsid w:val="00D7539F"/>
    <w:rsid w:val="00D753BA"/>
    <w:rsid w:val="00D754A0"/>
    <w:rsid w:val="00D754F8"/>
    <w:rsid w:val="00D75643"/>
    <w:rsid w:val="00D75693"/>
    <w:rsid w:val="00D7571F"/>
    <w:rsid w:val="00D757EC"/>
    <w:rsid w:val="00D757ED"/>
    <w:rsid w:val="00D75838"/>
    <w:rsid w:val="00D758CD"/>
    <w:rsid w:val="00D7596F"/>
    <w:rsid w:val="00D759A6"/>
    <w:rsid w:val="00D759C6"/>
    <w:rsid w:val="00D75A32"/>
    <w:rsid w:val="00D75ADA"/>
    <w:rsid w:val="00D75B19"/>
    <w:rsid w:val="00D75CCB"/>
    <w:rsid w:val="00D75CF7"/>
    <w:rsid w:val="00D75DBA"/>
    <w:rsid w:val="00D75F0D"/>
    <w:rsid w:val="00D75F2E"/>
    <w:rsid w:val="00D75FF4"/>
    <w:rsid w:val="00D76128"/>
    <w:rsid w:val="00D76174"/>
    <w:rsid w:val="00D761BA"/>
    <w:rsid w:val="00D76302"/>
    <w:rsid w:val="00D763A8"/>
    <w:rsid w:val="00D763E1"/>
    <w:rsid w:val="00D764B0"/>
    <w:rsid w:val="00D764EA"/>
    <w:rsid w:val="00D7658A"/>
    <w:rsid w:val="00D765A4"/>
    <w:rsid w:val="00D765DB"/>
    <w:rsid w:val="00D7663A"/>
    <w:rsid w:val="00D7676C"/>
    <w:rsid w:val="00D767AF"/>
    <w:rsid w:val="00D768E1"/>
    <w:rsid w:val="00D76A92"/>
    <w:rsid w:val="00D76C54"/>
    <w:rsid w:val="00D76C9C"/>
    <w:rsid w:val="00D76CF7"/>
    <w:rsid w:val="00D76F4B"/>
    <w:rsid w:val="00D76FF6"/>
    <w:rsid w:val="00D7702F"/>
    <w:rsid w:val="00D77037"/>
    <w:rsid w:val="00D770D0"/>
    <w:rsid w:val="00D770FB"/>
    <w:rsid w:val="00D7718D"/>
    <w:rsid w:val="00D7724C"/>
    <w:rsid w:val="00D77266"/>
    <w:rsid w:val="00D7726E"/>
    <w:rsid w:val="00D77346"/>
    <w:rsid w:val="00D773A7"/>
    <w:rsid w:val="00D773B2"/>
    <w:rsid w:val="00D77490"/>
    <w:rsid w:val="00D775D7"/>
    <w:rsid w:val="00D77620"/>
    <w:rsid w:val="00D77718"/>
    <w:rsid w:val="00D777FF"/>
    <w:rsid w:val="00D77816"/>
    <w:rsid w:val="00D779D5"/>
    <w:rsid w:val="00D77A87"/>
    <w:rsid w:val="00D77A9A"/>
    <w:rsid w:val="00D77AFD"/>
    <w:rsid w:val="00D77C1D"/>
    <w:rsid w:val="00D77CA7"/>
    <w:rsid w:val="00D77CD8"/>
    <w:rsid w:val="00D77DAB"/>
    <w:rsid w:val="00D77E12"/>
    <w:rsid w:val="00D77E31"/>
    <w:rsid w:val="00D77FCA"/>
    <w:rsid w:val="00D77FD1"/>
    <w:rsid w:val="00D8001F"/>
    <w:rsid w:val="00D8018D"/>
    <w:rsid w:val="00D801BC"/>
    <w:rsid w:val="00D8023C"/>
    <w:rsid w:val="00D80381"/>
    <w:rsid w:val="00D80419"/>
    <w:rsid w:val="00D80563"/>
    <w:rsid w:val="00D8069D"/>
    <w:rsid w:val="00D8085B"/>
    <w:rsid w:val="00D808E0"/>
    <w:rsid w:val="00D8092F"/>
    <w:rsid w:val="00D80944"/>
    <w:rsid w:val="00D80947"/>
    <w:rsid w:val="00D809FE"/>
    <w:rsid w:val="00D80AD4"/>
    <w:rsid w:val="00D80B31"/>
    <w:rsid w:val="00D80B36"/>
    <w:rsid w:val="00D80B86"/>
    <w:rsid w:val="00D80D16"/>
    <w:rsid w:val="00D80D52"/>
    <w:rsid w:val="00D81043"/>
    <w:rsid w:val="00D810DA"/>
    <w:rsid w:val="00D810FD"/>
    <w:rsid w:val="00D8127C"/>
    <w:rsid w:val="00D8134D"/>
    <w:rsid w:val="00D8138A"/>
    <w:rsid w:val="00D815F3"/>
    <w:rsid w:val="00D81638"/>
    <w:rsid w:val="00D816D4"/>
    <w:rsid w:val="00D816EB"/>
    <w:rsid w:val="00D8178E"/>
    <w:rsid w:val="00D817C9"/>
    <w:rsid w:val="00D818F1"/>
    <w:rsid w:val="00D81A33"/>
    <w:rsid w:val="00D81DA6"/>
    <w:rsid w:val="00D81DC5"/>
    <w:rsid w:val="00D81DF7"/>
    <w:rsid w:val="00D81F49"/>
    <w:rsid w:val="00D81F8A"/>
    <w:rsid w:val="00D81FA3"/>
    <w:rsid w:val="00D820D8"/>
    <w:rsid w:val="00D820EC"/>
    <w:rsid w:val="00D82116"/>
    <w:rsid w:val="00D82132"/>
    <w:rsid w:val="00D821AC"/>
    <w:rsid w:val="00D82289"/>
    <w:rsid w:val="00D8229C"/>
    <w:rsid w:val="00D822A7"/>
    <w:rsid w:val="00D822D7"/>
    <w:rsid w:val="00D82348"/>
    <w:rsid w:val="00D8241F"/>
    <w:rsid w:val="00D82551"/>
    <w:rsid w:val="00D826EA"/>
    <w:rsid w:val="00D82733"/>
    <w:rsid w:val="00D8284C"/>
    <w:rsid w:val="00D82862"/>
    <w:rsid w:val="00D828C7"/>
    <w:rsid w:val="00D82938"/>
    <w:rsid w:val="00D82B03"/>
    <w:rsid w:val="00D82BC3"/>
    <w:rsid w:val="00D82EF2"/>
    <w:rsid w:val="00D83001"/>
    <w:rsid w:val="00D831F3"/>
    <w:rsid w:val="00D83227"/>
    <w:rsid w:val="00D834E9"/>
    <w:rsid w:val="00D8351A"/>
    <w:rsid w:val="00D83547"/>
    <w:rsid w:val="00D83590"/>
    <w:rsid w:val="00D837C9"/>
    <w:rsid w:val="00D83813"/>
    <w:rsid w:val="00D838A5"/>
    <w:rsid w:val="00D838B0"/>
    <w:rsid w:val="00D8397B"/>
    <w:rsid w:val="00D83A27"/>
    <w:rsid w:val="00D83A6D"/>
    <w:rsid w:val="00D83ABB"/>
    <w:rsid w:val="00D83ADC"/>
    <w:rsid w:val="00D83AE3"/>
    <w:rsid w:val="00D83B4C"/>
    <w:rsid w:val="00D83B67"/>
    <w:rsid w:val="00D83BE1"/>
    <w:rsid w:val="00D83C1A"/>
    <w:rsid w:val="00D83C83"/>
    <w:rsid w:val="00D83D35"/>
    <w:rsid w:val="00D83E4A"/>
    <w:rsid w:val="00D83EB0"/>
    <w:rsid w:val="00D84024"/>
    <w:rsid w:val="00D840F6"/>
    <w:rsid w:val="00D84111"/>
    <w:rsid w:val="00D84177"/>
    <w:rsid w:val="00D841EC"/>
    <w:rsid w:val="00D84418"/>
    <w:rsid w:val="00D844EF"/>
    <w:rsid w:val="00D845D8"/>
    <w:rsid w:val="00D845EF"/>
    <w:rsid w:val="00D8469A"/>
    <w:rsid w:val="00D84781"/>
    <w:rsid w:val="00D849BB"/>
    <w:rsid w:val="00D84A14"/>
    <w:rsid w:val="00D84BCF"/>
    <w:rsid w:val="00D84C35"/>
    <w:rsid w:val="00D84C4F"/>
    <w:rsid w:val="00D84D56"/>
    <w:rsid w:val="00D84DB4"/>
    <w:rsid w:val="00D84E05"/>
    <w:rsid w:val="00D84E37"/>
    <w:rsid w:val="00D8509B"/>
    <w:rsid w:val="00D850D4"/>
    <w:rsid w:val="00D85258"/>
    <w:rsid w:val="00D85324"/>
    <w:rsid w:val="00D85354"/>
    <w:rsid w:val="00D85369"/>
    <w:rsid w:val="00D853D5"/>
    <w:rsid w:val="00D8543B"/>
    <w:rsid w:val="00D855CE"/>
    <w:rsid w:val="00D855D8"/>
    <w:rsid w:val="00D855F2"/>
    <w:rsid w:val="00D855F4"/>
    <w:rsid w:val="00D85601"/>
    <w:rsid w:val="00D85662"/>
    <w:rsid w:val="00D856C6"/>
    <w:rsid w:val="00D85772"/>
    <w:rsid w:val="00D85944"/>
    <w:rsid w:val="00D8598A"/>
    <w:rsid w:val="00D859B8"/>
    <w:rsid w:val="00D85A39"/>
    <w:rsid w:val="00D85A6A"/>
    <w:rsid w:val="00D85B4B"/>
    <w:rsid w:val="00D85B64"/>
    <w:rsid w:val="00D85C4B"/>
    <w:rsid w:val="00D85D45"/>
    <w:rsid w:val="00D85D79"/>
    <w:rsid w:val="00D85DC1"/>
    <w:rsid w:val="00D85DE9"/>
    <w:rsid w:val="00D85E54"/>
    <w:rsid w:val="00D85E90"/>
    <w:rsid w:val="00D85EE6"/>
    <w:rsid w:val="00D85F83"/>
    <w:rsid w:val="00D85F87"/>
    <w:rsid w:val="00D860DE"/>
    <w:rsid w:val="00D86111"/>
    <w:rsid w:val="00D861DF"/>
    <w:rsid w:val="00D86296"/>
    <w:rsid w:val="00D8638F"/>
    <w:rsid w:val="00D86412"/>
    <w:rsid w:val="00D86429"/>
    <w:rsid w:val="00D8655E"/>
    <w:rsid w:val="00D865DB"/>
    <w:rsid w:val="00D86629"/>
    <w:rsid w:val="00D866FE"/>
    <w:rsid w:val="00D86750"/>
    <w:rsid w:val="00D8676B"/>
    <w:rsid w:val="00D868F5"/>
    <w:rsid w:val="00D86A86"/>
    <w:rsid w:val="00D86C44"/>
    <w:rsid w:val="00D86C64"/>
    <w:rsid w:val="00D86D58"/>
    <w:rsid w:val="00D87047"/>
    <w:rsid w:val="00D87253"/>
    <w:rsid w:val="00D872C2"/>
    <w:rsid w:val="00D872C5"/>
    <w:rsid w:val="00D872D9"/>
    <w:rsid w:val="00D873E7"/>
    <w:rsid w:val="00D873F4"/>
    <w:rsid w:val="00D8746E"/>
    <w:rsid w:val="00D8749F"/>
    <w:rsid w:val="00D874E1"/>
    <w:rsid w:val="00D87690"/>
    <w:rsid w:val="00D876A8"/>
    <w:rsid w:val="00D876CD"/>
    <w:rsid w:val="00D87785"/>
    <w:rsid w:val="00D877C3"/>
    <w:rsid w:val="00D87845"/>
    <w:rsid w:val="00D87A43"/>
    <w:rsid w:val="00D87A63"/>
    <w:rsid w:val="00D87ADC"/>
    <w:rsid w:val="00D87C2D"/>
    <w:rsid w:val="00D87C8E"/>
    <w:rsid w:val="00D87CA8"/>
    <w:rsid w:val="00D87CF3"/>
    <w:rsid w:val="00D87D07"/>
    <w:rsid w:val="00D87D19"/>
    <w:rsid w:val="00D87E1A"/>
    <w:rsid w:val="00D87EB8"/>
    <w:rsid w:val="00D87EFA"/>
    <w:rsid w:val="00D9004C"/>
    <w:rsid w:val="00D900C5"/>
    <w:rsid w:val="00D901CF"/>
    <w:rsid w:val="00D9022E"/>
    <w:rsid w:val="00D9036B"/>
    <w:rsid w:val="00D90401"/>
    <w:rsid w:val="00D9052A"/>
    <w:rsid w:val="00D90708"/>
    <w:rsid w:val="00D90733"/>
    <w:rsid w:val="00D90759"/>
    <w:rsid w:val="00D90772"/>
    <w:rsid w:val="00D90784"/>
    <w:rsid w:val="00D9079C"/>
    <w:rsid w:val="00D908EE"/>
    <w:rsid w:val="00D908F6"/>
    <w:rsid w:val="00D9093E"/>
    <w:rsid w:val="00D90A29"/>
    <w:rsid w:val="00D90BE7"/>
    <w:rsid w:val="00D90C22"/>
    <w:rsid w:val="00D90DAF"/>
    <w:rsid w:val="00D90DEE"/>
    <w:rsid w:val="00D90DF6"/>
    <w:rsid w:val="00D90E3F"/>
    <w:rsid w:val="00D90EEF"/>
    <w:rsid w:val="00D90F8B"/>
    <w:rsid w:val="00D90FD9"/>
    <w:rsid w:val="00D9103D"/>
    <w:rsid w:val="00D91071"/>
    <w:rsid w:val="00D9109F"/>
    <w:rsid w:val="00D910C4"/>
    <w:rsid w:val="00D9110B"/>
    <w:rsid w:val="00D9117D"/>
    <w:rsid w:val="00D911B3"/>
    <w:rsid w:val="00D911E2"/>
    <w:rsid w:val="00D911F8"/>
    <w:rsid w:val="00D9121D"/>
    <w:rsid w:val="00D91333"/>
    <w:rsid w:val="00D91441"/>
    <w:rsid w:val="00D91483"/>
    <w:rsid w:val="00D914AA"/>
    <w:rsid w:val="00D914BA"/>
    <w:rsid w:val="00D91560"/>
    <w:rsid w:val="00D9159B"/>
    <w:rsid w:val="00D9160F"/>
    <w:rsid w:val="00D91815"/>
    <w:rsid w:val="00D919E1"/>
    <w:rsid w:val="00D91B65"/>
    <w:rsid w:val="00D91BC6"/>
    <w:rsid w:val="00D91C14"/>
    <w:rsid w:val="00D91DB9"/>
    <w:rsid w:val="00D91DCA"/>
    <w:rsid w:val="00D91E70"/>
    <w:rsid w:val="00D91ECA"/>
    <w:rsid w:val="00D91FAB"/>
    <w:rsid w:val="00D92168"/>
    <w:rsid w:val="00D9221B"/>
    <w:rsid w:val="00D92274"/>
    <w:rsid w:val="00D923D5"/>
    <w:rsid w:val="00D9241E"/>
    <w:rsid w:val="00D9243C"/>
    <w:rsid w:val="00D92497"/>
    <w:rsid w:val="00D924D6"/>
    <w:rsid w:val="00D92522"/>
    <w:rsid w:val="00D92553"/>
    <w:rsid w:val="00D92639"/>
    <w:rsid w:val="00D926DE"/>
    <w:rsid w:val="00D92785"/>
    <w:rsid w:val="00D928A9"/>
    <w:rsid w:val="00D92A60"/>
    <w:rsid w:val="00D92AEF"/>
    <w:rsid w:val="00D92B2F"/>
    <w:rsid w:val="00D92D25"/>
    <w:rsid w:val="00D92D8E"/>
    <w:rsid w:val="00D92DA7"/>
    <w:rsid w:val="00D92E39"/>
    <w:rsid w:val="00D92F1C"/>
    <w:rsid w:val="00D9300F"/>
    <w:rsid w:val="00D93066"/>
    <w:rsid w:val="00D930A9"/>
    <w:rsid w:val="00D93118"/>
    <w:rsid w:val="00D931E6"/>
    <w:rsid w:val="00D932FB"/>
    <w:rsid w:val="00D9335C"/>
    <w:rsid w:val="00D934B4"/>
    <w:rsid w:val="00D9353C"/>
    <w:rsid w:val="00D9355F"/>
    <w:rsid w:val="00D935B1"/>
    <w:rsid w:val="00D935BE"/>
    <w:rsid w:val="00D93674"/>
    <w:rsid w:val="00D936A3"/>
    <w:rsid w:val="00D93808"/>
    <w:rsid w:val="00D93924"/>
    <w:rsid w:val="00D9394E"/>
    <w:rsid w:val="00D939A6"/>
    <w:rsid w:val="00D93A4E"/>
    <w:rsid w:val="00D93AD1"/>
    <w:rsid w:val="00D93B7B"/>
    <w:rsid w:val="00D93BAF"/>
    <w:rsid w:val="00D93C37"/>
    <w:rsid w:val="00D93C65"/>
    <w:rsid w:val="00D93D50"/>
    <w:rsid w:val="00D9404A"/>
    <w:rsid w:val="00D94069"/>
    <w:rsid w:val="00D94079"/>
    <w:rsid w:val="00D940BD"/>
    <w:rsid w:val="00D941B2"/>
    <w:rsid w:val="00D942FA"/>
    <w:rsid w:val="00D943A5"/>
    <w:rsid w:val="00D943C5"/>
    <w:rsid w:val="00D9443C"/>
    <w:rsid w:val="00D9449A"/>
    <w:rsid w:val="00D944B5"/>
    <w:rsid w:val="00D9454C"/>
    <w:rsid w:val="00D9461D"/>
    <w:rsid w:val="00D94663"/>
    <w:rsid w:val="00D94712"/>
    <w:rsid w:val="00D94750"/>
    <w:rsid w:val="00D94886"/>
    <w:rsid w:val="00D948E1"/>
    <w:rsid w:val="00D94963"/>
    <w:rsid w:val="00D94A36"/>
    <w:rsid w:val="00D94A87"/>
    <w:rsid w:val="00D94AFA"/>
    <w:rsid w:val="00D94B12"/>
    <w:rsid w:val="00D94B1B"/>
    <w:rsid w:val="00D94B60"/>
    <w:rsid w:val="00D94BDF"/>
    <w:rsid w:val="00D94BE9"/>
    <w:rsid w:val="00D94C9A"/>
    <w:rsid w:val="00D94CC6"/>
    <w:rsid w:val="00D94CF5"/>
    <w:rsid w:val="00D94D07"/>
    <w:rsid w:val="00D94D37"/>
    <w:rsid w:val="00D94D9B"/>
    <w:rsid w:val="00D94E55"/>
    <w:rsid w:val="00D94EE6"/>
    <w:rsid w:val="00D94F30"/>
    <w:rsid w:val="00D94F3D"/>
    <w:rsid w:val="00D94F65"/>
    <w:rsid w:val="00D94F72"/>
    <w:rsid w:val="00D95079"/>
    <w:rsid w:val="00D950DB"/>
    <w:rsid w:val="00D950F7"/>
    <w:rsid w:val="00D95126"/>
    <w:rsid w:val="00D951E7"/>
    <w:rsid w:val="00D951F9"/>
    <w:rsid w:val="00D95293"/>
    <w:rsid w:val="00D952B3"/>
    <w:rsid w:val="00D952C2"/>
    <w:rsid w:val="00D952F6"/>
    <w:rsid w:val="00D9541B"/>
    <w:rsid w:val="00D95472"/>
    <w:rsid w:val="00D95556"/>
    <w:rsid w:val="00D9556A"/>
    <w:rsid w:val="00D955F6"/>
    <w:rsid w:val="00D9560B"/>
    <w:rsid w:val="00D95638"/>
    <w:rsid w:val="00D956AD"/>
    <w:rsid w:val="00D956E5"/>
    <w:rsid w:val="00D95763"/>
    <w:rsid w:val="00D957D5"/>
    <w:rsid w:val="00D95855"/>
    <w:rsid w:val="00D9599F"/>
    <w:rsid w:val="00D95A1F"/>
    <w:rsid w:val="00D95A2D"/>
    <w:rsid w:val="00D95A55"/>
    <w:rsid w:val="00D95AAE"/>
    <w:rsid w:val="00D95BCA"/>
    <w:rsid w:val="00D95C6B"/>
    <w:rsid w:val="00D95CD4"/>
    <w:rsid w:val="00D95E84"/>
    <w:rsid w:val="00D95FC3"/>
    <w:rsid w:val="00D95FEB"/>
    <w:rsid w:val="00D9603D"/>
    <w:rsid w:val="00D96072"/>
    <w:rsid w:val="00D960F2"/>
    <w:rsid w:val="00D96120"/>
    <w:rsid w:val="00D96132"/>
    <w:rsid w:val="00D96178"/>
    <w:rsid w:val="00D96225"/>
    <w:rsid w:val="00D962AA"/>
    <w:rsid w:val="00D962CF"/>
    <w:rsid w:val="00D9643A"/>
    <w:rsid w:val="00D9645A"/>
    <w:rsid w:val="00D96504"/>
    <w:rsid w:val="00D96522"/>
    <w:rsid w:val="00D9657C"/>
    <w:rsid w:val="00D965DE"/>
    <w:rsid w:val="00D9679D"/>
    <w:rsid w:val="00D969D7"/>
    <w:rsid w:val="00D969F2"/>
    <w:rsid w:val="00D96A1D"/>
    <w:rsid w:val="00D96A28"/>
    <w:rsid w:val="00D96A87"/>
    <w:rsid w:val="00D96A8A"/>
    <w:rsid w:val="00D96AB9"/>
    <w:rsid w:val="00D96CDE"/>
    <w:rsid w:val="00D96DBB"/>
    <w:rsid w:val="00D96E69"/>
    <w:rsid w:val="00D96EA8"/>
    <w:rsid w:val="00D970CC"/>
    <w:rsid w:val="00D97179"/>
    <w:rsid w:val="00D9725F"/>
    <w:rsid w:val="00D973DD"/>
    <w:rsid w:val="00D97592"/>
    <w:rsid w:val="00D9760F"/>
    <w:rsid w:val="00D976C4"/>
    <w:rsid w:val="00D976CE"/>
    <w:rsid w:val="00D97700"/>
    <w:rsid w:val="00D977E1"/>
    <w:rsid w:val="00D97800"/>
    <w:rsid w:val="00D97857"/>
    <w:rsid w:val="00D9792A"/>
    <w:rsid w:val="00D9793C"/>
    <w:rsid w:val="00D979CF"/>
    <w:rsid w:val="00D97A40"/>
    <w:rsid w:val="00D97A4B"/>
    <w:rsid w:val="00D97A76"/>
    <w:rsid w:val="00D97BA9"/>
    <w:rsid w:val="00D97C1C"/>
    <w:rsid w:val="00D97C4E"/>
    <w:rsid w:val="00D97CB6"/>
    <w:rsid w:val="00D97EC2"/>
    <w:rsid w:val="00D97EEA"/>
    <w:rsid w:val="00DA0041"/>
    <w:rsid w:val="00DA006D"/>
    <w:rsid w:val="00DA007A"/>
    <w:rsid w:val="00DA0160"/>
    <w:rsid w:val="00DA02BF"/>
    <w:rsid w:val="00DA031B"/>
    <w:rsid w:val="00DA0556"/>
    <w:rsid w:val="00DA05DA"/>
    <w:rsid w:val="00DA05ED"/>
    <w:rsid w:val="00DA066B"/>
    <w:rsid w:val="00DA069A"/>
    <w:rsid w:val="00DA084A"/>
    <w:rsid w:val="00DA08A9"/>
    <w:rsid w:val="00DA08EE"/>
    <w:rsid w:val="00DA0999"/>
    <w:rsid w:val="00DA0AB2"/>
    <w:rsid w:val="00DA0AD7"/>
    <w:rsid w:val="00DA0B09"/>
    <w:rsid w:val="00DA0B4F"/>
    <w:rsid w:val="00DA0B5B"/>
    <w:rsid w:val="00DA0B8D"/>
    <w:rsid w:val="00DA0CCA"/>
    <w:rsid w:val="00DA0EA0"/>
    <w:rsid w:val="00DA0F72"/>
    <w:rsid w:val="00DA0FC4"/>
    <w:rsid w:val="00DA0FFD"/>
    <w:rsid w:val="00DA103F"/>
    <w:rsid w:val="00DA1092"/>
    <w:rsid w:val="00DA10A2"/>
    <w:rsid w:val="00DA10B6"/>
    <w:rsid w:val="00DA10CA"/>
    <w:rsid w:val="00DA10EC"/>
    <w:rsid w:val="00DA1182"/>
    <w:rsid w:val="00DA1196"/>
    <w:rsid w:val="00DA11E8"/>
    <w:rsid w:val="00DA12FD"/>
    <w:rsid w:val="00DA1341"/>
    <w:rsid w:val="00DA1434"/>
    <w:rsid w:val="00DA147A"/>
    <w:rsid w:val="00DA14D2"/>
    <w:rsid w:val="00DA154F"/>
    <w:rsid w:val="00DA157B"/>
    <w:rsid w:val="00DA15AA"/>
    <w:rsid w:val="00DA1632"/>
    <w:rsid w:val="00DA167B"/>
    <w:rsid w:val="00DA168C"/>
    <w:rsid w:val="00DA16C7"/>
    <w:rsid w:val="00DA170F"/>
    <w:rsid w:val="00DA17A5"/>
    <w:rsid w:val="00DA17BA"/>
    <w:rsid w:val="00DA1882"/>
    <w:rsid w:val="00DA1A06"/>
    <w:rsid w:val="00DA1A55"/>
    <w:rsid w:val="00DA1AB8"/>
    <w:rsid w:val="00DA1BCD"/>
    <w:rsid w:val="00DA1CB9"/>
    <w:rsid w:val="00DA1CE0"/>
    <w:rsid w:val="00DA1E07"/>
    <w:rsid w:val="00DA1E12"/>
    <w:rsid w:val="00DA1E2B"/>
    <w:rsid w:val="00DA1E2E"/>
    <w:rsid w:val="00DA1FE9"/>
    <w:rsid w:val="00DA207D"/>
    <w:rsid w:val="00DA20FA"/>
    <w:rsid w:val="00DA217E"/>
    <w:rsid w:val="00DA225B"/>
    <w:rsid w:val="00DA23D2"/>
    <w:rsid w:val="00DA24FD"/>
    <w:rsid w:val="00DA2510"/>
    <w:rsid w:val="00DA275C"/>
    <w:rsid w:val="00DA27F1"/>
    <w:rsid w:val="00DA2809"/>
    <w:rsid w:val="00DA28B1"/>
    <w:rsid w:val="00DA28F1"/>
    <w:rsid w:val="00DA2916"/>
    <w:rsid w:val="00DA291C"/>
    <w:rsid w:val="00DA29CD"/>
    <w:rsid w:val="00DA2A43"/>
    <w:rsid w:val="00DA2A9C"/>
    <w:rsid w:val="00DA2ADB"/>
    <w:rsid w:val="00DA2B87"/>
    <w:rsid w:val="00DA2DD9"/>
    <w:rsid w:val="00DA2E9C"/>
    <w:rsid w:val="00DA300F"/>
    <w:rsid w:val="00DA3033"/>
    <w:rsid w:val="00DA315C"/>
    <w:rsid w:val="00DA320E"/>
    <w:rsid w:val="00DA3228"/>
    <w:rsid w:val="00DA3287"/>
    <w:rsid w:val="00DA330C"/>
    <w:rsid w:val="00DA333F"/>
    <w:rsid w:val="00DA3360"/>
    <w:rsid w:val="00DA3394"/>
    <w:rsid w:val="00DA33D3"/>
    <w:rsid w:val="00DA33E6"/>
    <w:rsid w:val="00DA33F5"/>
    <w:rsid w:val="00DA3577"/>
    <w:rsid w:val="00DA3623"/>
    <w:rsid w:val="00DA3636"/>
    <w:rsid w:val="00DA369C"/>
    <w:rsid w:val="00DA3788"/>
    <w:rsid w:val="00DA37A0"/>
    <w:rsid w:val="00DA37EC"/>
    <w:rsid w:val="00DA3885"/>
    <w:rsid w:val="00DA38D8"/>
    <w:rsid w:val="00DA38F4"/>
    <w:rsid w:val="00DA3973"/>
    <w:rsid w:val="00DA3A43"/>
    <w:rsid w:val="00DA3AFE"/>
    <w:rsid w:val="00DA3B42"/>
    <w:rsid w:val="00DA3B70"/>
    <w:rsid w:val="00DA3BBE"/>
    <w:rsid w:val="00DA3C60"/>
    <w:rsid w:val="00DA3CE2"/>
    <w:rsid w:val="00DA3E35"/>
    <w:rsid w:val="00DA3EEA"/>
    <w:rsid w:val="00DA3F43"/>
    <w:rsid w:val="00DA3FAF"/>
    <w:rsid w:val="00DA4067"/>
    <w:rsid w:val="00DA40C2"/>
    <w:rsid w:val="00DA4262"/>
    <w:rsid w:val="00DA433C"/>
    <w:rsid w:val="00DA438D"/>
    <w:rsid w:val="00DA439E"/>
    <w:rsid w:val="00DA44BC"/>
    <w:rsid w:val="00DA44D2"/>
    <w:rsid w:val="00DA4566"/>
    <w:rsid w:val="00DA457C"/>
    <w:rsid w:val="00DA4636"/>
    <w:rsid w:val="00DA4746"/>
    <w:rsid w:val="00DA4884"/>
    <w:rsid w:val="00DA48BB"/>
    <w:rsid w:val="00DA4980"/>
    <w:rsid w:val="00DA49EB"/>
    <w:rsid w:val="00DA4A04"/>
    <w:rsid w:val="00DA4A36"/>
    <w:rsid w:val="00DA4A39"/>
    <w:rsid w:val="00DA4A5F"/>
    <w:rsid w:val="00DA4AD2"/>
    <w:rsid w:val="00DA4B6F"/>
    <w:rsid w:val="00DA4B90"/>
    <w:rsid w:val="00DA4BBC"/>
    <w:rsid w:val="00DA4BD0"/>
    <w:rsid w:val="00DA4C07"/>
    <w:rsid w:val="00DA4CA4"/>
    <w:rsid w:val="00DA4D88"/>
    <w:rsid w:val="00DA4E63"/>
    <w:rsid w:val="00DA4F87"/>
    <w:rsid w:val="00DA503E"/>
    <w:rsid w:val="00DA504E"/>
    <w:rsid w:val="00DA506D"/>
    <w:rsid w:val="00DA50A3"/>
    <w:rsid w:val="00DA50B3"/>
    <w:rsid w:val="00DA50D3"/>
    <w:rsid w:val="00DA50E7"/>
    <w:rsid w:val="00DA515B"/>
    <w:rsid w:val="00DA5262"/>
    <w:rsid w:val="00DA53CB"/>
    <w:rsid w:val="00DA5446"/>
    <w:rsid w:val="00DA5621"/>
    <w:rsid w:val="00DA56C3"/>
    <w:rsid w:val="00DA57A6"/>
    <w:rsid w:val="00DA585D"/>
    <w:rsid w:val="00DA58B3"/>
    <w:rsid w:val="00DA58F9"/>
    <w:rsid w:val="00DA593D"/>
    <w:rsid w:val="00DA5974"/>
    <w:rsid w:val="00DA5976"/>
    <w:rsid w:val="00DA59DC"/>
    <w:rsid w:val="00DA5A38"/>
    <w:rsid w:val="00DA5AE2"/>
    <w:rsid w:val="00DA5C33"/>
    <w:rsid w:val="00DA5C80"/>
    <w:rsid w:val="00DA5DA2"/>
    <w:rsid w:val="00DA5EB6"/>
    <w:rsid w:val="00DA5F91"/>
    <w:rsid w:val="00DA603B"/>
    <w:rsid w:val="00DA6085"/>
    <w:rsid w:val="00DA60AB"/>
    <w:rsid w:val="00DA61CC"/>
    <w:rsid w:val="00DA61FE"/>
    <w:rsid w:val="00DA626F"/>
    <w:rsid w:val="00DA6287"/>
    <w:rsid w:val="00DA628F"/>
    <w:rsid w:val="00DA64B8"/>
    <w:rsid w:val="00DA65E4"/>
    <w:rsid w:val="00DA6670"/>
    <w:rsid w:val="00DA6759"/>
    <w:rsid w:val="00DA6873"/>
    <w:rsid w:val="00DA68AC"/>
    <w:rsid w:val="00DA6903"/>
    <w:rsid w:val="00DA6914"/>
    <w:rsid w:val="00DA6953"/>
    <w:rsid w:val="00DA6A03"/>
    <w:rsid w:val="00DA6A9F"/>
    <w:rsid w:val="00DA6ABF"/>
    <w:rsid w:val="00DA6B83"/>
    <w:rsid w:val="00DA6BDC"/>
    <w:rsid w:val="00DA6C1E"/>
    <w:rsid w:val="00DA6C2B"/>
    <w:rsid w:val="00DA6D4A"/>
    <w:rsid w:val="00DA6EDD"/>
    <w:rsid w:val="00DA6EDE"/>
    <w:rsid w:val="00DA6EEA"/>
    <w:rsid w:val="00DA6F05"/>
    <w:rsid w:val="00DA6F24"/>
    <w:rsid w:val="00DA6F94"/>
    <w:rsid w:val="00DA7071"/>
    <w:rsid w:val="00DA708F"/>
    <w:rsid w:val="00DA70B3"/>
    <w:rsid w:val="00DA70BC"/>
    <w:rsid w:val="00DA72D8"/>
    <w:rsid w:val="00DA7338"/>
    <w:rsid w:val="00DA7428"/>
    <w:rsid w:val="00DA7469"/>
    <w:rsid w:val="00DA77A9"/>
    <w:rsid w:val="00DA77BE"/>
    <w:rsid w:val="00DA7B53"/>
    <w:rsid w:val="00DA7BD9"/>
    <w:rsid w:val="00DA7C41"/>
    <w:rsid w:val="00DA7C75"/>
    <w:rsid w:val="00DA7CA4"/>
    <w:rsid w:val="00DA7CDB"/>
    <w:rsid w:val="00DA7E03"/>
    <w:rsid w:val="00DA7EB7"/>
    <w:rsid w:val="00DB007C"/>
    <w:rsid w:val="00DB0277"/>
    <w:rsid w:val="00DB04D4"/>
    <w:rsid w:val="00DB0529"/>
    <w:rsid w:val="00DB05AE"/>
    <w:rsid w:val="00DB0733"/>
    <w:rsid w:val="00DB0751"/>
    <w:rsid w:val="00DB0787"/>
    <w:rsid w:val="00DB07F7"/>
    <w:rsid w:val="00DB07FA"/>
    <w:rsid w:val="00DB080B"/>
    <w:rsid w:val="00DB0826"/>
    <w:rsid w:val="00DB0842"/>
    <w:rsid w:val="00DB084D"/>
    <w:rsid w:val="00DB0857"/>
    <w:rsid w:val="00DB092E"/>
    <w:rsid w:val="00DB0AB4"/>
    <w:rsid w:val="00DB0B0A"/>
    <w:rsid w:val="00DB0B18"/>
    <w:rsid w:val="00DB0C02"/>
    <w:rsid w:val="00DB0C2D"/>
    <w:rsid w:val="00DB0C3D"/>
    <w:rsid w:val="00DB0C56"/>
    <w:rsid w:val="00DB0C7A"/>
    <w:rsid w:val="00DB0D62"/>
    <w:rsid w:val="00DB0E4C"/>
    <w:rsid w:val="00DB0EC0"/>
    <w:rsid w:val="00DB0F02"/>
    <w:rsid w:val="00DB0F45"/>
    <w:rsid w:val="00DB0FB7"/>
    <w:rsid w:val="00DB113E"/>
    <w:rsid w:val="00DB126A"/>
    <w:rsid w:val="00DB12AB"/>
    <w:rsid w:val="00DB1397"/>
    <w:rsid w:val="00DB13E9"/>
    <w:rsid w:val="00DB14DA"/>
    <w:rsid w:val="00DB15CC"/>
    <w:rsid w:val="00DB162F"/>
    <w:rsid w:val="00DB16CC"/>
    <w:rsid w:val="00DB1720"/>
    <w:rsid w:val="00DB1894"/>
    <w:rsid w:val="00DB1941"/>
    <w:rsid w:val="00DB19A5"/>
    <w:rsid w:val="00DB19F0"/>
    <w:rsid w:val="00DB1A0C"/>
    <w:rsid w:val="00DB1AAB"/>
    <w:rsid w:val="00DB1B24"/>
    <w:rsid w:val="00DB1B83"/>
    <w:rsid w:val="00DB1C49"/>
    <w:rsid w:val="00DB1D0C"/>
    <w:rsid w:val="00DB1E26"/>
    <w:rsid w:val="00DB1EF1"/>
    <w:rsid w:val="00DB1F24"/>
    <w:rsid w:val="00DB1FF7"/>
    <w:rsid w:val="00DB2146"/>
    <w:rsid w:val="00DB237A"/>
    <w:rsid w:val="00DB2389"/>
    <w:rsid w:val="00DB2480"/>
    <w:rsid w:val="00DB255F"/>
    <w:rsid w:val="00DB257B"/>
    <w:rsid w:val="00DB28D6"/>
    <w:rsid w:val="00DB295C"/>
    <w:rsid w:val="00DB29EA"/>
    <w:rsid w:val="00DB2AE4"/>
    <w:rsid w:val="00DB2B58"/>
    <w:rsid w:val="00DB2CBB"/>
    <w:rsid w:val="00DB2CCD"/>
    <w:rsid w:val="00DB2E49"/>
    <w:rsid w:val="00DB2ECA"/>
    <w:rsid w:val="00DB2F27"/>
    <w:rsid w:val="00DB2F31"/>
    <w:rsid w:val="00DB2FD6"/>
    <w:rsid w:val="00DB3054"/>
    <w:rsid w:val="00DB318B"/>
    <w:rsid w:val="00DB319E"/>
    <w:rsid w:val="00DB3240"/>
    <w:rsid w:val="00DB3310"/>
    <w:rsid w:val="00DB334E"/>
    <w:rsid w:val="00DB33D7"/>
    <w:rsid w:val="00DB34BF"/>
    <w:rsid w:val="00DB35C2"/>
    <w:rsid w:val="00DB364F"/>
    <w:rsid w:val="00DB3653"/>
    <w:rsid w:val="00DB3722"/>
    <w:rsid w:val="00DB384F"/>
    <w:rsid w:val="00DB3859"/>
    <w:rsid w:val="00DB3B27"/>
    <w:rsid w:val="00DB3B72"/>
    <w:rsid w:val="00DB3B8D"/>
    <w:rsid w:val="00DB3C25"/>
    <w:rsid w:val="00DB3C44"/>
    <w:rsid w:val="00DB3DAF"/>
    <w:rsid w:val="00DB3DCE"/>
    <w:rsid w:val="00DB3E98"/>
    <w:rsid w:val="00DB3EB5"/>
    <w:rsid w:val="00DB3ED6"/>
    <w:rsid w:val="00DB3F67"/>
    <w:rsid w:val="00DB4031"/>
    <w:rsid w:val="00DB4086"/>
    <w:rsid w:val="00DB40EA"/>
    <w:rsid w:val="00DB414A"/>
    <w:rsid w:val="00DB42F9"/>
    <w:rsid w:val="00DB43E3"/>
    <w:rsid w:val="00DB4498"/>
    <w:rsid w:val="00DB44B7"/>
    <w:rsid w:val="00DB4612"/>
    <w:rsid w:val="00DB464A"/>
    <w:rsid w:val="00DB46B6"/>
    <w:rsid w:val="00DB46E8"/>
    <w:rsid w:val="00DB46EC"/>
    <w:rsid w:val="00DB4727"/>
    <w:rsid w:val="00DB4749"/>
    <w:rsid w:val="00DB4795"/>
    <w:rsid w:val="00DB47BF"/>
    <w:rsid w:val="00DB4888"/>
    <w:rsid w:val="00DB4928"/>
    <w:rsid w:val="00DB4933"/>
    <w:rsid w:val="00DB4988"/>
    <w:rsid w:val="00DB49CE"/>
    <w:rsid w:val="00DB4ADA"/>
    <w:rsid w:val="00DB4B1C"/>
    <w:rsid w:val="00DB4BA8"/>
    <w:rsid w:val="00DB4BAD"/>
    <w:rsid w:val="00DB4C58"/>
    <w:rsid w:val="00DB4C70"/>
    <w:rsid w:val="00DB4DA7"/>
    <w:rsid w:val="00DB4DAC"/>
    <w:rsid w:val="00DB4DE4"/>
    <w:rsid w:val="00DB4E1C"/>
    <w:rsid w:val="00DB4E6B"/>
    <w:rsid w:val="00DB4F05"/>
    <w:rsid w:val="00DB4F09"/>
    <w:rsid w:val="00DB4F6B"/>
    <w:rsid w:val="00DB4F93"/>
    <w:rsid w:val="00DB4FA7"/>
    <w:rsid w:val="00DB504F"/>
    <w:rsid w:val="00DB51C3"/>
    <w:rsid w:val="00DB51FE"/>
    <w:rsid w:val="00DB5206"/>
    <w:rsid w:val="00DB524C"/>
    <w:rsid w:val="00DB52D8"/>
    <w:rsid w:val="00DB534F"/>
    <w:rsid w:val="00DB53F2"/>
    <w:rsid w:val="00DB5457"/>
    <w:rsid w:val="00DB54B9"/>
    <w:rsid w:val="00DB54C6"/>
    <w:rsid w:val="00DB54DF"/>
    <w:rsid w:val="00DB55E1"/>
    <w:rsid w:val="00DB561F"/>
    <w:rsid w:val="00DB5771"/>
    <w:rsid w:val="00DB5834"/>
    <w:rsid w:val="00DB5843"/>
    <w:rsid w:val="00DB589B"/>
    <w:rsid w:val="00DB58BF"/>
    <w:rsid w:val="00DB5974"/>
    <w:rsid w:val="00DB5A5E"/>
    <w:rsid w:val="00DB5BB4"/>
    <w:rsid w:val="00DB5BFB"/>
    <w:rsid w:val="00DB5C8B"/>
    <w:rsid w:val="00DB5CBF"/>
    <w:rsid w:val="00DB5D1F"/>
    <w:rsid w:val="00DB5E24"/>
    <w:rsid w:val="00DB5E54"/>
    <w:rsid w:val="00DB5EB5"/>
    <w:rsid w:val="00DB5F62"/>
    <w:rsid w:val="00DB5F83"/>
    <w:rsid w:val="00DB5F9A"/>
    <w:rsid w:val="00DB605D"/>
    <w:rsid w:val="00DB60B9"/>
    <w:rsid w:val="00DB61A2"/>
    <w:rsid w:val="00DB61B1"/>
    <w:rsid w:val="00DB62BD"/>
    <w:rsid w:val="00DB63BC"/>
    <w:rsid w:val="00DB647C"/>
    <w:rsid w:val="00DB6499"/>
    <w:rsid w:val="00DB64EB"/>
    <w:rsid w:val="00DB6593"/>
    <w:rsid w:val="00DB6699"/>
    <w:rsid w:val="00DB6826"/>
    <w:rsid w:val="00DB683C"/>
    <w:rsid w:val="00DB68B7"/>
    <w:rsid w:val="00DB6937"/>
    <w:rsid w:val="00DB6AFD"/>
    <w:rsid w:val="00DB6B3B"/>
    <w:rsid w:val="00DB6D17"/>
    <w:rsid w:val="00DB6F86"/>
    <w:rsid w:val="00DB6FA3"/>
    <w:rsid w:val="00DB70BA"/>
    <w:rsid w:val="00DB72BE"/>
    <w:rsid w:val="00DB7323"/>
    <w:rsid w:val="00DB73F9"/>
    <w:rsid w:val="00DB74CF"/>
    <w:rsid w:val="00DB752A"/>
    <w:rsid w:val="00DB7533"/>
    <w:rsid w:val="00DB777C"/>
    <w:rsid w:val="00DB7825"/>
    <w:rsid w:val="00DB7953"/>
    <w:rsid w:val="00DB79D3"/>
    <w:rsid w:val="00DB7A48"/>
    <w:rsid w:val="00DB7B14"/>
    <w:rsid w:val="00DB7C28"/>
    <w:rsid w:val="00DB7C50"/>
    <w:rsid w:val="00DB7E12"/>
    <w:rsid w:val="00DB7EAF"/>
    <w:rsid w:val="00DB7F50"/>
    <w:rsid w:val="00DC00D2"/>
    <w:rsid w:val="00DC0113"/>
    <w:rsid w:val="00DC01E2"/>
    <w:rsid w:val="00DC02A6"/>
    <w:rsid w:val="00DC03B9"/>
    <w:rsid w:val="00DC03CD"/>
    <w:rsid w:val="00DC03D2"/>
    <w:rsid w:val="00DC03D3"/>
    <w:rsid w:val="00DC045F"/>
    <w:rsid w:val="00DC0512"/>
    <w:rsid w:val="00DC0602"/>
    <w:rsid w:val="00DC06E8"/>
    <w:rsid w:val="00DC071D"/>
    <w:rsid w:val="00DC0753"/>
    <w:rsid w:val="00DC076E"/>
    <w:rsid w:val="00DC07B0"/>
    <w:rsid w:val="00DC0943"/>
    <w:rsid w:val="00DC0A28"/>
    <w:rsid w:val="00DC0A5A"/>
    <w:rsid w:val="00DC0ABE"/>
    <w:rsid w:val="00DC0AC1"/>
    <w:rsid w:val="00DC0B01"/>
    <w:rsid w:val="00DC0B12"/>
    <w:rsid w:val="00DC0BDF"/>
    <w:rsid w:val="00DC0CAD"/>
    <w:rsid w:val="00DC0CB6"/>
    <w:rsid w:val="00DC0CD7"/>
    <w:rsid w:val="00DC0D8E"/>
    <w:rsid w:val="00DC0F39"/>
    <w:rsid w:val="00DC0FC8"/>
    <w:rsid w:val="00DC0FFA"/>
    <w:rsid w:val="00DC101F"/>
    <w:rsid w:val="00DC1045"/>
    <w:rsid w:val="00DC105A"/>
    <w:rsid w:val="00DC110E"/>
    <w:rsid w:val="00DC134A"/>
    <w:rsid w:val="00DC1487"/>
    <w:rsid w:val="00DC1509"/>
    <w:rsid w:val="00DC155F"/>
    <w:rsid w:val="00DC1605"/>
    <w:rsid w:val="00DC160E"/>
    <w:rsid w:val="00DC1625"/>
    <w:rsid w:val="00DC170A"/>
    <w:rsid w:val="00DC1728"/>
    <w:rsid w:val="00DC17F1"/>
    <w:rsid w:val="00DC184B"/>
    <w:rsid w:val="00DC1886"/>
    <w:rsid w:val="00DC18B8"/>
    <w:rsid w:val="00DC19E6"/>
    <w:rsid w:val="00DC1A01"/>
    <w:rsid w:val="00DC1A90"/>
    <w:rsid w:val="00DC1A92"/>
    <w:rsid w:val="00DC1ADF"/>
    <w:rsid w:val="00DC1AE1"/>
    <w:rsid w:val="00DC1B82"/>
    <w:rsid w:val="00DC1BC6"/>
    <w:rsid w:val="00DC1C5D"/>
    <w:rsid w:val="00DC1D16"/>
    <w:rsid w:val="00DC1D52"/>
    <w:rsid w:val="00DC1D6B"/>
    <w:rsid w:val="00DC1E24"/>
    <w:rsid w:val="00DC1E75"/>
    <w:rsid w:val="00DC1E83"/>
    <w:rsid w:val="00DC1F1A"/>
    <w:rsid w:val="00DC20C3"/>
    <w:rsid w:val="00DC2147"/>
    <w:rsid w:val="00DC2157"/>
    <w:rsid w:val="00DC2171"/>
    <w:rsid w:val="00DC228D"/>
    <w:rsid w:val="00DC2298"/>
    <w:rsid w:val="00DC22D0"/>
    <w:rsid w:val="00DC237C"/>
    <w:rsid w:val="00DC2437"/>
    <w:rsid w:val="00DC25C0"/>
    <w:rsid w:val="00DC26C4"/>
    <w:rsid w:val="00DC26C7"/>
    <w:rsid w:val="00DC280C"/>
    <w:rsid w:val="00DC28FA"/>
    <w:rsid w:val="00DC2933"/>
    <w:rsid w:val="00DC29B9"/>
    <w:rsid w:val="00DC29BC"/>
    <w:rsid w:val="00DC2A8E"/>
    <w:rsid w:val="00DC2AC6"/>
    <w:rsid w:val="00DC2B1B"/>
    <w:rsid w:val="00DC2B1F"/>
    <w:rsid w:val="00DC2BEA"/>
    <w:rsid w:val="00DC2C14"/>
    <w:rsid w:val="00DC2C18"/>
    <w:rsid w:val="00DC2CF3"/>
    <w:rsid w:val="00DC2E00"/>
    <w:rsid w:val="00DC2E3D"/>
    <w:rsid w:val="00DC2EBC"/>
    <w:rsid w:val="00DC2F26"/>
    <w:rsid w:val="00DC2FBD"/>
    <w:rsid w:val="00DC2FD4"/>
    <w:rsid w:val="00DC304B"/>
    <w:rsid w:val="00DC31B0"/>
    <w:rsid w:val="00DC31D8"/>
    <w:rsid w:val="00DC3225"/>
    <w:rsid w:val="00DC3228"/>
    <w:rsid w:val="00DC3278"/>
    <w:rsid w:val="00DC33D8"/>
    <w:rsid w:val="00DC33E4"/>
    <w:rsid w:val="00DC33EB"/>
    <w:rsid w:val="00DC3675"/>
    <w:rsid w:val="00DC369D"/>
    <w:rsid w:val="00DC377F"/>
    <w:rsid w:val="00DC37B9"/>
    <w:rsid w:val="00DC37C7"/>
    <w:rsid w:val="00DC37E4"/>
    <w:rsid w:val="00DC3881"/>
    <w:rsid w:val="00DC391D"/>
    <w:rsid w:val="00DC3999"/>
    <w:rsid w:val="00DC39F8"/>
    <w:rsid w:val="00DC3A2C"/>
    <w:rsid w:val="00DC3BED"/>
    <w:rsid w:val="00DC3C64"/>
    <w:rsid w:val="00DC3DA9"/>
    <w:rsid w:val="00DC3E4B"/>
    <w:rsid w:val="00DC3F01"/>
    <w:rsid w:val="00DC3F28"/>
    <w:rsid w:val="00DC3F43"/>
    <w:rsid w:val="00DC3FCF"/>
    <w:rsid w:val="00DC4107"/>
    <w:rsid w:val="00DC4207"/>
    <w:rsid w:val="00DC4219"/>
    <w:rsid w:val="00DC4238"/>
    <w:rsid w:val="00DC423E"/>
    <w:rsid w:val="00DC42F5"/>
    <w:rsid w:val="00DC4307"/>
    <w:rsid w:val="00DC450C"/>
    <w:rsid w:val="00DC4519"/>
    <w:rsid w:val="00DC4780"/>
    <w:rsid w:val="00DC483E"/>
    <w:rsid w:val="00DC4846"/>
    <w:rsid w:val="00DC4927"/>
    <w:rsid w:val="00DC4A80"/>
    <w:rsid w:val="00DC4AE6"/>
    <w:rsid w:val="00DC4C99"/>
    <w:rsid w:val="00DC4D91"/>
    <w:rsid w:val="00DC4E7E"/>
    <w:rsid w:val="00DC4FEA"/>
    <w:rsid w:val="00DC518A"/>
    <w:rsid w:val="00DC51D3"/>
    <w:rsid w:val="00DC5263"/>
    <w:rsid w:val="00DC5353"/>
    <w:rsid w:val="00DC5472"/>
    <w:rsid w:val="00DC5488"/>
    <w:rsid w:val="00DC54E9"/>
    <w:rsid w:val="00DC558E"/>
    <w:rsid w:val="00DC55EE"/>
    <w:rsid w:val="00DC55F4"/>
    <w:rsid w:val="00DC560D"/>
    <w:rsid w:val="00DC56CC"/>
    <w:rsid w:val="00DC57D2"/>
    <w:rsid w:val="00DC587E"/>
    <w:rsid w:val="00DC590E"/>
    <w:rsid w:val="00DC593A"/>
    <w:rsid w:val="00DC5942"/>
    <w:rsid w:val="00DC597E"/>
    <w:rsid w:val="00DC59CE"/>
    <w:rsid w:val="00DC5B3F"/>
    <w:rsid w:val="00DC5C10"/>
    <w:rsid w:val="00DC5C69"/>
    <w:rsid w:val="00DC5D70"/>
    <w:rsid w:val="00DC5DC3"/>
    <w:rsid w:val="00DC5F1A"/>
    <w:rsid w:val="00DC5FAD"/>
    <w:rsid w:val="00DC61BD"/>
    <w:rsid w:val="00DC61CF"/>
    <w:rsid w:val="00DC61EE"/>
    <w:rsid w:val="00DC62D0"/>
    <w:rsid w:val="00DC641E"/>
    <w:rsid w:val="00DC6463"/>
    <w:rsid w:val="00DC64A4"/>
    <w:rsid w:val="00DC652B"/>
    <w:rsid w:val="00DC65C4"/>
    <w:rsid w:val="00DC65F0"/>
    <w:rsid w:val="00DC6658"/>
    <w:rsid w:val="00DC6698"/>
    <w:rsid w:val="00DC68BA"/>
    <w:rsid w:val="00DC6944"/>
    <w:rsid w:val="00DC69E2"/>
    <w:rsid w:val="00DC6A3A"/>
    <w:rsid w:val="00DC6A70"/>
    <w:rsid w:val="00DC6A9D"/>
    <w:rsid w:val="00DC6B0B"/>
    <w:rsid w:val="00DC6B5D"/>
    <w:rsid w:val="00DC6BDB"/>
    <w:rsid w:val="00DC6C25"/>
    <w:rsid w:val="00DC6CB1"/>
    <w:rsid w:val="00DC6CB7"/>
    <w:rsid w:val="00DC6CBA"/>
    <w:rsid w:val="00DC6CDD"/>
    <w:rsid w:val="00DC6E14"/>
    <w:rsid w:val="00DC6E19"/>
    <w:rsid w:val="00DC6E4D"/>
    <w:rsid w:val="00DC6E55"/>
    <w:rsid w:val="00DC6F09"/>
    <w:rsid w:val="00DC6F25"/>
    <w:rsid w:val="00DC708E"/>
    <w:rsid w:val="00DC70DC"/>
    <w:rsid w:val="00DC7142"/>
    <w:rsid w:val="00DC7152"/>
    <w:rsid w:val="00DC7236"/>
    <w:rsid w:val="00DC723B"/>
    <w:rsid w:val="00DC7282"/>
    <w:rsid w:val="00DC736D"/>
    <w:rsid w:val="00DC74CD"/>
    <w:rsid w:val="00DC76A1"/>
    <w:rsid w:val="00DC76AF"/>
    <w:rsid w:val="00DC77A2"/>
    <w:rsid w:val="00DC77D5"/>
    <w:rsid w:val="00DC783F"/>
    <w:rsid w:val="00DC7930"/>
    <w:rsid w:val="00DC7989"/>
    <w:rsid w:val="00DC7A44"/>
    <w:rsid w:val="00DC7CCF"/>
    <w:rsid w:val="00DC7D13"/>
    <w:rsid w:val="00DC7D2E"/>
    <w:rsid w:val="00DC7D7D"/>
    <w:rsid w:val="00DC7DC8"/>
    <w:rsid w:val="00DC7DDF"/>
    <w:rsid w:val="00DC7E0D"/>
    <w:rsid w:val="00DC7E14"/>
    <w:rsid w:val="00DC7E1B"/>
    <w:rsid w:val="00DC7E2C"/>
    <w:rsid w:val="00DC7EB1"/>
    <w:rsid w:val="00DC7EEA"/>
    <w:rsid w:val="00DC7F5D"/>
    <w:rsid w:val="00DD0033"/>
    <w:rsid w:val="00DD0056"/>
    <w:rsid w:val="00DD0060"/>
    <w:rsid w:val="00DD0169"/>
    <w:rsid w:val="00DD0172"/>
    <w:rsid w:val="00DD0192"/>
    <w:rsid w:val="00DD0273"/>
    <w:rsid w:val="00DD027F"/>
    <w:rsid w:val="00DD02AD"/>
    <w:rsid w:val="00DD030B"/>
    <w:rsid w:val="00DD04B9"/>
    <w:rsid w:val="00DD05A9"/>
    <w:rsid w:val="00DD05FE"/>
    <w:rsid w:val="00DD06AF"/>
    <w:rsid w:val="00DD06C5"/>
    <w:rsid w:val="00DD0718"/>
    <w:rsid w:val="00DD0824"/>
    <w:rsid w:val="00DD08B8"/>
    <w:rsid w:val="00DD098E"/>
    <w:rsid w:val="00DD099D"/>
    <w:rsid w:val="00DD09A4"/>
    <w:rsid w:val="00DD09BB"/>
    <w:rsid w:val="00DD0A3C"/>
    <w:rsid w:val="00DD0B56"/>
    <w:rsid w:val="00DD0C09"/>
    <w:rsid w:val="00DD0CD6"/>
    <w:rsid w:val="00DD0D72"/>
    <w:rsid w:val="00DD0E0A"/>
    <w:rsid w:val="00DD0E79"/>
    <w:rsid w:val="00DD0F15"/>
    <w:rsid w:val="00DD0F9F"/>
    <w:rsid w:val="00DD0FB6"/>
    <w:rsid w:val="00DD0FE9"/>
    <w:rsid w:val="00DD1008"/>
    <w:rsid w:val="00DD108B"/>
    <w:rsid w:val="00DD10C9"/>
    <w:rsid w:val="00DD1113"/>
    <w:rsid w:val="00DD111E"/>
    <w:rsid w:val="00DD1208"/>
    <w:rsid w:val="00DD1221"/>
    <w:rsid w:val="00DD1300"/>
    <w:rsid w:val="00DD1467"/>
    <w:rsid w:val="00DD1517"/>
    <w:rsid w:val="00DD15AF"/>
    <w:rsid w:val="00DD1644"/>
    <w:rsid w:val="00DD166E"/>
    <w:rsid w:val="00DD16AE"/>
    <w:rsid w:val="00DD16C3"/>
    <w:rsid w:val="00DD1765"/>
    <w:rsid w:val="00DD178E"/>
    <w:rsid w:val="00DD17D1"/>
    <w:rsid w:val="00DD1888"/>
    <w:rsid w:val="00DD18C1"/>
    <w:rsid w:val="00DD1922"/>
    <w:rsid w:val="00DD1934"/>
    <w:rsid w:val="00DD1954"/>
    <w:rsid w:val="00DD19B2"/>
    <w:rsid w:val="00DD19EF"/>
    <w:rsid w:val="00DD1AE0"/>
    <w:rsid w:val="00DD1B4C"/>
    <w:rsid w:val="00DD1C18"/>
    <w:rsid w:val="00DD1E67"/>
    <w:rsid w:val="00DD1EA7"/>
    <w:rsid w:val="00DD1FE0"/>
    <w:rsid w:val="00DD205E"/>
    <w:rsid w:val="00DD2083"/>
    <w:rsid w:val="00DD2084"/>
    <w:rsid w:val="00DD20C4"/>
    <w:rsid w:val="00DD218C"/>
    <w:rsid w:val="00DD21AF"/>
    <w:rsid w:val="00DD2331"/>
    <w:rsid w:val="00DD2434"/>
    <w:rsid w:val="00DD2449"/>
    <w:rsid w:val="00DD2492"/>
    <w:rsid w:val="00DD24D7"/>
    <w:rsid w:val="00DD2576"/>
    <w:rsid w:val="00DD25C7"/>
    <w:rsid w:val="00DD268C"/>
    <w:rsid w:val="00DD26E0"/>
    <w:rsid w:val="00DD26EC"/>
    <w:rsid w:val="00DD2889"/>
    <w:rsid w:val="00DD2968"/>
    <w:rsid w:val="00DD2BCA"/>
    <w:rsid w:val="00DD2D41"/>
    <w:rsid w:val="00DD2DC7"/>
    <w:rsid w:val="00DD2E09"/>
    <w:rsid w:val="00DD2E7B"/>
    <w:rsid w:val="00DD2E80"/>
    <w:rsid w:val="00DD2ED0"/>
    <w:rsid w:val="00DD2F09"/>
    <w:rsid w:val="00DD2F57"/>
    <w:rsid w:val="00DD2F90"/>
    <w:rsid w:val="00DD30BD"/>
    <w:rsid w:val="00DD31CD"/>
    <w:rsid w:val="00DD32CE"/>
    <w:rsid w:val="00DD32D7"/>
    <w:rsid w:val="00DD32E8"/>
    <w:rsid w:val="00DD3344"/>
    <w:rsid w:val="00DD343B"/>
    <w:rsid w:val="00DD34FD"/>
    <w:rsid w:val="00DD36EE"/>
    <w:rsid w:val="00DD3732"/>
    <w:rsid w:val="00DD3838"/>
    <w:rsid w:val="00DD3893"/>
    <w:rsid w:val="00DD38C6"/>
    <w:rsid w:val="00DD38D8"/>
    <w:rsid w:val="00DD3986"/>
    <w:rsid w:val="00DD3B33"/>
    <w:rsid w:val="00DD3B55"/>
    <w:rsid w:val="00DD3CDD"/>
    <w:rsid w:val="00DD3D2E"/>
    <w:rsid w:val="00DD3E93"/>
    <w:rsid w:val="00DD3EA3"/>
    <w:rsid w:val="00DD3F88"/>
    <w:rsid w:val="00DD3F8E"/>
    <w:rsid w:val="00DD3F9E"/>
    <w:rsid w:val="00DD40F2"/>
    <w:rsid w:val="00DD4118"/>
    <w:rsid w:val="00DD412C"/>
    <w:rsid w:val="00DD420F"/>
    <w:rsid w:val="00DD4234"/>
    <w:rsid w:val="00DD42B7"/>
    <w:rsid w:val="00DD43B2"/>
    <w:rsid w:val="00DD4426"/>
    <w:rsid w:val="00DD44CB"/>
    <w:rsid w:val="00DD456A"/>
    <w:rsid w:val="00DD462E"/>
    <w:rsid w:val="00DD47F6"/>
    <w:rsid w:val="00DD486F"/>
    <w:rsid w:val="00DD4897"/>
    <w:rsid w:val="00DD4AA5"/>
    <w:rsid w:val="00DD4ABB"/>
    <w:rsid w:val="00DD4ABF"/>
    <w:rsid w:val="00DD4AEE"/>
    <w:rsid w:val="00DD4AF9"/>
    <w:rsid w:val="00DD4B4F"/>
    <w:rsid w:val="00DD4D3B"/>
    <w:rsid w:val="00DD4DB3"/>
    <w:rsid w:val="00DD4F4D"/>
    <w:rsid w:val="00DD4FC1"/>
    <w:rsid w:val="00DD5096"/>
    <w:rsid w:val="00DD5130"/>
    <w:rsid w:val="00DD5378"/>
    <w:rsid w:val="00DD53FD"/>
    <w:rsid w:val="00DD54D7"/>
    <w:rsid w:val="00DD5661"/>
    <w:rsid w:val="00DD56CE"/>
    <w:rsid w:val="00DD5733"/>
    <w:rsid w:val="00DD5788"/>
    <w:rsid w:val="00DD57AA"/>
    <w:rsid w:val="00DD58CC"/>
    <w:rsid w:val="00DD58F8"/>
    <w:rsid w:val="00DD590C"/>
    <w:rsid w:val="00DD5914"/>
    <w:rsid w:val="00DD5954"/>
    <w:rsid w:val="00DD598A"/>
    <w:rsid w:val="00DD5A0B"/>
    <w:rsid w:val="00DD5A1B"/>
    <w:rsid w:val="00DD5AA1"/>
    <w:rsid w:val="00DD5ADE"/>
    <w:rsid w:val="00DD5B29"/>
    <w:rsid w:val="00DD5C97"/>
    <w:rsid w:val="00DD5C9F"/>
    <w:rsid w:val="00DD5CAC"/>
    <w:rsid w:val="00DD5D1E"/>
    <w:rsid w:val="00DD5D7D"/>
    <w:rsid w:val="00DD5ECA"/>
    <w:rsid w:val="00DD5ED7"/>
    <w:rsid w:val="00DD5FBB"/>
    <w:rsid w:val="00DD5FEE"/>
    <w:rsid w:val="00DD616C"/>
    <w:rsid w:val="00DD6211"/>
    <w:rsid w:val="00DD622D"/>
    <w:rsid w:val="00DD623B"/>
    <w:rsid w:val="00DD6275"/>
    <w:rsid w:val="00DD628E"/>
    <w:rsid w:val="00DD62F3"/>
    <w:rsid w:val="00DD62FE"/>
    <w:rsid w:val="00DD630E"/>
    <w:rsid w:val="00DD63B3"/>
    <w:rsid w:val="00DD6446"/>
    <w:rsid w:val="00DD6462"/>
    <w:rsid w:val="00DD6499"/>
    <w:rsid w:val="00DD6516"/>
    <w:rsid w:val="00DD6656"/>
    <w:rsid w:val="00DD669D"/>
    <w:rsid w:val="00DD6877"/>
    <w:rsid w:val="00DD6895"/>
    <w:rsid w:val="00DD6901"/>
    <w:rsid w:val="00DD691E"/>
    <w:rsid w:val="00DD69AB"/>
    <w:rsid w:val="00DD6A09"/>
    <w:rsid w:val="00DD6B56"/>
    <w:rsid w:val="00DD6BB2"/>
    <w:rsid w:val="00DD6BB9"/>
    <w:rsid w:val="00DD6BDB"/>
    <w:rsid w:val="00DD6BF6"/>
    <w:rsid w:val="00DD6BFE"/>
    <w:rsid w:val="00DD6C02"/>
    <w:rsid w:val="00DD6C5A"/>
    <w:rsid w:val="00DD6D0D"/>
    <w:rsid w:val="00DD6E6F"/>
    <w:rsid w:val="00DD6E85"/>
    <w:rsid w:val="00DD6E89"/>
    <w:rsid w:val="00DD6EA0"/>
    <w:rsid w:val="00DD6EBC"/>
    <w:rsid w:val="00DD6F19"/>
    <w:rsid w:val="00DD6F45"/>
    <w:rsid w:val="00DD7001"/>
    <w:rsid w:val="00DD7046"/>
    <w:rsid w:val="00DD707B"/>
    <w:rsid w:val="00DD7090"/>
    <w:rsid w:val="00DD7107"/>
    <w:rsid w:val="00DD7197"/>
    <w:rsid w:val="00DD719E"/>
    <w:rsid w:val="00DD71F9"/>
    <w:rsid w:val="00DD726C"/>
    <w:rsid w:val="00DD7433"/>
    <w:rsid w:val="00DD7455"/>
    <w:rsid w:val="00DD745E"/>
    <w:rsid w:val="00DD7562"/>
    <w:rsid w:val="00DD75E0"/>
    <w:rsid w:val="00DD76EB"/>
    <w:rsid w:val="00DD7722"/>
    <w:rsid w:val="00DD77D7"/>
    <w:rsid w:val="00DD790F"/>
    <w:rsid w:val="00DD791D"/>
    <w:rsid w:val="00DD7AF8"/>
    <w:rsid w:val="00DD7CAD"/>
    <w:rsid w:val="00DD7D2A"/>
    <w:rsid w:val="00DD7DA1"/>
    <w:rsid w:val="00DD7E74"/>
    <w:rsid w:val="00DD7EA7"/>
    <w:rsid w:val="00DD7EF8"/>
    <w:rsid w:val="00DD7F61"/>
    <w:rsid w:val="00DD7F95"/>
    <w:rsid w:val="00DD7F9B"/>
    <w:rsid w:val="00DE008E"/>
    <w:rsid w:val="00DE022B"/>
    <w:rsid w:val="00DE0243"/>
    <w:rsid w:val="00DE0268"/>
    <w:rsid w:val="00DE027B"/>
    <w:rsid w:val="00DE0446"/>
    <w:rsid w:val="00DE04A3"/>
    <w:rsid w:val="00DE04B8"/>
    <w:rsid w:val="00DE0625"/>
    <w:rsid w:val="00DE07CF"/>
    <w:rsid w:val="00DE07FF"/>
    <w:rsid w:val="00DE09E0"/>
    <w:rsid w:val="00DE0ADE"/>
    <w:rsid w:val="00DE0AE7"/>
    <w:rsid w:val="00DE0B81"/>
    <w:rsid w:val="00DE0C46"/>
    <w:rsid w:val="00DE0C59"/>
    <w:rsid w:val="00DE0F85"/>
    <w:rsid w:val="00DE0FBF"/>
    <w:rsid w:val="00DE0FFB"/>
    <w:rsid w:val="00DE1024"/>
    <w:rsid w:val="00DE10FF"/>
    <w:rsid w:val="00DE1107"/>
    <w:rsid w:val="00DE1154"/>
    <w:rsid w:val="00DE13AA"/>
    <w:rsid w:val="00DE13EB"/>
    <w:rsid w:val="00DE13ED"/>
    <w:rsid w:val="00DE1497"/>
    <w:rsid w:val="00DE14CB"/>
    <w:rsid w:val="00DE14D8"/>
    <w:rsid w:val="00DE1509"/>
    <w:rsid w:val="00DE151C"/>
    <w:rsid w:val="00DE175A"/>
    <w:rsid w:val="00DE1779"/>
    <w:rsid w:val="00DE17D1"/>
    <w:rsid w:val="00DE1807"/>
    <w:rsid w:val="00DE1850"/>
    <w:rsid w:val="00DE1856"/>
    <w:rsid w:val="00DE1951"/>
    <w:rsid w:val="00DE195C"/>
    <w:rsid w:val="00DE19C2"/>
    <w:rsid w:val="00DE19DC"/>
    <w:rsid w:val="00DE1A10"/>
    <w:rsid w:val="00DE1C4D"/>
    <w:rsid w:val="00DE1CDE"/>
    <w:rsid w:val="00DE1D19"/>
    <w:rsid w:val="00DE1E0A"/>
    <w:rsid w:val="00DE1E23"/>
    <w:rsid w:val="00DE1E47"/>
    <w:rsid w:val="00DE1EE7"/>
    <w:rsid w:val="00DE1FDE"/>
    <w:rsid w:val="00DE2006"/>
    <w:rsid w:val="00DE21C1"/>
    <w:rsid w:val="00DE2249"/>
    <w:rsid w:val="00DE2263"/>
    <w:rsid w:val="00DE22BA"/>
    <w:rsid w:val="00DE2366"/>
    <w:rsid w:val="00DE2384"/>
    <w:rsid w:val="00DE23CA"/>
    <w:rsid w:val="00DE24E5"/>
    <w:rsid w:val="00DE25B3"/>
    <w:rsid w:val="00DE25EE"/>
    <w:rsid w:val="00DE26D2"/>
    <w:rsid w:val="00DE28DB"/>
    <w:rsid w:val="00DE2AA4"/>
    <w:rsid w:val="00DE2B8D"/>
    <w:rsid w:val="00DE2BE6"/>
    <w:rsid w:val="00DE2E2D"/>
    <w:rsid w:val="00DE2E33"/>
    <w:rsid w:val="00DE2E34"/>
    <w:rsid w:val="00DE305C"/>
    <w:rsid w:val="00DE306E"/>
    <w:rsid w:val="00DE3072"/>
    <w:rsid w:val="00DE3143"/>
    <w:rsid w:val="00DE3302"/>
    <w:rsid w:val="00DE339E"/>
    <w:rsid w:val="00DE347E"/>
    <w:rsid w:val="00DE34F0"/>
    <w:rsid w:val="00DE3661"/>
    <w:rsid w:val="00DE36A9"/>
    <w:rsid w:val="00DE36E2"/>
    <w:rsid w:val="00DE3A0B"/>
    <w:rsid w:val="00DE3A62"/>
    <w:rsid w:val="00DE3AA1"/>
    <w:rsid w:val="00DE3AF3"/>
    <w:rsid w:val="00DE3B07"/>
    <w:rsid w:val="00DE3C79"/>
    <w:rsid w:val="00DE3DBB"/>
    <w:rsid w:val="00DE3ED3"/>
    <w:rsid w:val="00DE3F07"/>
    <w:rsid w:val="00DE3FE6"/>
    <w:rsid w:val="00DE3FF3"/>
    <w:rsid w:val="00DE4000"/>
    <w:rsid w:val="00DE4002"/>
    <w:rsid w:val="00DE40AD"/>
    <w:rsid w:val="00DE41AC"/>
    <w:rsid w:val="00DE4202"/>
    <w:rsid w:val="00DE4212"/>
    <w:rsid w:val="00DE4236"/>
    <w:rsid w:val="00DE42CD"/>
    <w:rsid w:val="00DE42FB"/>
    <w:rsid w:val="00DE43EE"/>
    <w:rsid w:val="00DE4492"/>
    <w:rsid w:val="00DE452C"/>
    <w:rsid w:val="00DE453F"/>
    <w:rsid w:val="00DE454B"/>
    <w:rsid w:val="00DE466A"/>
    <w:rsid w:val="00DE46E9"/>
    <w:rsid w:val="00DE478D"/>
    <w:rsid w:val="00DE47A6"/>
    <w:rsid w:val="00DE4947"/>
    <w:rsid w:val="00DE4A92"/>
    <w:rsid w:val="00DE4B01"/>
    <w:rsid w:val="00DE4B54"/>
    <w:rsid w:val="00DE4B59"/>
    <w:rsid w:val="00DE4E51"/>
    <w:rsid w:val="00DE4E66"/>
    <w:rsid w:val="00DE4E6B"/>
    <w:rsid w:val="00DE4F1F"/>
    <w:rsid w:val="00DE4F26"/>
    <w:rsid w:val="00DE502F"/>
    <w:rsid w:val="00DE507F"/>
    <w:rsid w:val="00DE50F2"/>
    <w:rsid w:val="00DE51CE"/>
    <w:rsid w:val="00DE51CF"/>
    <w:rsid w:val="00DE51E0"/>
    <w:rsid w:val="00DE51E4"/>
    <w:rsid w:val="00DE523B"/>
    <w:rsid w:val="00DE52C9"/>
    <w:rsid w:val="00DE53E2"/>
    <w:rsid w:val="00DE5435"/>
    <w:rsid w:val="00DE555E"/>
    <w:rsid w:val="00DE5675"/>
    <w:rsid w:val="00DE570A"/>
    <w:rsid w:val="00DE575D"/>
    <w:rsid w:val="00DE576B"/>
    <w:rsid w:val="00DE5778"/>
    <w:rsid w:val="00DE5780"/>
    <w:rsid w:val="00DE5857"/>
    <w:rsid w:val="00DE585D"/>
    <w:rsid w:val="00DE58D6"/>
    <w:rsid w:val="00DE5987"/>
    <w:rsid w:val="00DE599B"/>
    <w:rsid w:val="00DE59A6"/>
    <w:rsid w:val="00DE5A11"/>
    <w:rsid w:val="00DE5A66"/>
    <w:rsid w:val="00DE5A68"/>
    <w:rsid w:val="00DE5AE0"/>
    <w:rsid w:val="00DE5B63"/>
    <w:rsid w:val="00DE5BA3"/>
    <w:rsid w:val="00DE5C91"/>
    <w:rsid w:val="00DE5D80"/>
    <w:rsid w:val="00DE5E7F"/>
    <w:rsid w:val="00DE5EF7"/>
    <w:rsid w:val="00DE5FF4"/>
    <w:rsid w:val="00DE624C"/>
    <w:rsid w:val="00DE6296"/>
    <w:rsid w:val="00DE62F4"/>
    <w:rsid w:val="00DE6355"/>
    <w:rsid w:val="00DE6637"/>
    <w:rsid w:val="00DE684E"/>
    <w:rsid w:val="00DE68EF"/>
    <w:rsid w:val="00DE6909"/>
    <w:rsid w:val="00DE6A68"/>
    <w:rsid w:val="00DE6B4E"/>
    <w:rsid w:val="00DE6CBD"/>
    <w:rsid w:val="00DE6CE9"/>
    <w:rsid w:val="00DE6D6B"/>
    <w:rsid w:val="00DE6DBD"/>
    <w:rsid w:val="00DE6DFA"/>
    <w:rsid w:val="00DE6E5C"/>
    <w:rsid w:val="00DE6E7D"/>
    <w:rsid w:val="00DE6E84"/>
    <w:rsid w:val="00DE6E95"/>
    <w:rsid w:val="00DE6F0E"/>
    <w:rsid w:val="00DE7100"/>
    <w:rsid w:val="00DE7152"/>
    <w:rsid w:val="00DE715A"/>
    <w:rsid w:val="00DE7248"/>
    <w:rsid w:val="00DE72CD"/>
    <w:rsid w:val="00DE7354"/>
    <w:rsid w:val="00DE7633"/>
    <w:rsid w:val="00DE76E2"/>
    <w:rsid w:val="00DE770A"/>
    <w:rsid w:val="00DE771F"/>
    <w:rsid w:val="00DE7738"/>
    <w:rsid w:val="00DE77A7"/>
    <w:rsid w:val="00DE77F4"/>
    <w:rsid w:val="00DE7921"/>
    <w:rsid w:val="00DE7924"/>
    <w:rsid w:val="00DE7942"/>
    <w:rsid w:val="00DE7947"/>
    <w:rsid w:val="00DE7C15"/>
    <w:rsid w:val="00DE7C27"/>
    <w:rsid w:val="00DE7DB3"/>
    <w:rsid w:val="00DE7E81"/>
    <w:rsid w:val="00DE7F42"/>
    <w:rsid w:val="00DE7F60"/>
    <w:rsid w:val="00DE7F71"/>
    <w:rsid w:val="00DE7F84"/>
    <w:rsid w:val="00DF001E"/>
    <w:rsid w:val="00DF0042"/>
    <w:rsid w:val="00DF008D"/>
    <w:rsid w:val="00DF01D3"/>
    <w:rsid w:val="00DF0260"/>
    <w:rsid w:val="00DF02AE"/>
    <w:rsid w:val="00DF04CE"/>
    <w:rsid w:val="00DF04E4"/>
    <w:rsid w:val="00DF04FC"/>
    <w:rsid w:val="00DF05AE"/>
    <w:rsid w:val="00DF06C3"/>
    <w:rsid w:val="00DF078A"/>
    <w:rsid w:val="00DF07D0"/>
    <w:rsid w:val="00DF080D"/>
    <w:rsid w:val="00DF0820"/>
    <w:rsid w:val="00DF0868"/>
    <w:rsid w:val="00DF09A0"/>
    <w:rsid w:val="00DF09DC"/>
    <w:rsid w:val="00DF09E1"/>
    <w:rsid w:val="00DF0ABD"/>
    <w:rsid w:val="00DF0AC3"/>
    <w:rsid w:val="00DF0B19"/>
    <w:rsid w:val="00DF0B7A"/>
    <w:rsid w:val="00DF0DE1"/>
    <w:rsid w:val="00DF0F8F"/>
    <w:rsid w:val="00DF0FD9"/>
    <w:rsid w:val="00DF0FE9"/>
    <w:rsid w:val="00DF1015"/>
    <w:rsid w:val="00DF1194"/>
    <w:rsid w:val="00DF120C"/>
    <w:rsid w:val="00DF1283"/>
    <w:rsid w:val="00DF12BE"/>
    <w:rsid w:val="00DF12DA"/>
    <w:rsid w:val="00DF1389"/>
    <w:rsid w:val="00DF157E"/>
    <w:rsid w:val="00DF16F5"/>
    <w:rsid w:val="00DF16FA"/>
    <w:rsid w:val="00DF170C"/>
    <w:rsid w:val="00DF174D"/>
    <w:rsid w:val="00DF1944"/>
    <w:rsid w:val="00DF1972"/>
    <w:rsid w:val="00DF1975"/>
    <w:rsid w:val="00DF1AEF"/>
    <w:rsid w:val="00DF1D52"/>
    <w:rsid w:val="00DF1D5F"/>
    <w:rsid w:val="00DF1DB9"/>
    <w:rsid w:val="00DF1E79"/>
    <w:rsid w:val="00DF1EB7"/>
    <w:rsid w:val="00DF200E"/>
    <w:rsid w:val="00DF20FB"/>
    <w:rsid w:val="00DF22D2"/>
    <w:rsid w:val="00DF2383"/>
    <w:rsid w:val="00DF23EA"/>
    <w:rsid w:val="00DF24E0"/>
    <w:rsid w:val="00DF2556"/>
    <w:rsid w:val="00DF2561"/>
    <w:rsid w:val="00DF2605"/>
    <w:rsid w:val="00DF2665"/>
    <w:rsid w:val="00DF2670"/>
    <w:rsid w:val="00DF267D"/>
    <w:rsid w:val="00DF2683"/>
    <w:rsid w:val="00DF2710"/>
    <w:rsid w:val="00DF2732"/>
    <w:rsid w:val="00DF278C"/>
    <w:rsid w:val="00DF27BA"/>
    <w:rsid w:val="00DF28CB"/>
    <w:rsid w:val="00DF28D4"/>
    <w:rsid w:val="00DF28DC"/>
    <w:rsid w:val="00DF293A"/>
    <w:rsid w:val="00DF29A9"/>
    <w:rsid w:val="00DF29C3"/>
    <w:rsid w:val="00DF2A11"/>
    <w:rsid w:val="00DF2A2D"/>
    <w:rsid w:val="00DF2B65"/>
    <w:rsid w:val="00DF2BBC"/>
    <w:rsid w:val="00DF2BDF"/>
    <w:rsid w:val="00DF2C3D"/>
    <w:rsid w:val="00DF2C66"/>
    <w:rsid w:val="00DF2DA5"/>
    <w:rsid w:val="00DF2DBA"/>
    <w:rsid w:val="00DF2DC9"/>
    <w:rsid w:val="00DF2E20"/>
    <w:rsid w:val="00DF3159"/>
    <w:rsid w:val="00DF3168"/>
    <w:rsid w:val="00DF31A0"/>
    <w:rsid w:val="00DF31A1"/>
    <w:rsid w:val="00DF31D1"/>
    <w:rsid w:val="00DF3251"/>
    <w:rsid w:val="00DF3254"/>
    <w:rsid w:val="00DF3279"/>
    <w:rsid w:val="00DF33F6"/>
    <w:rsid w:val="00DF3474"/>
    <w:rsid w:val="00DF3497"/>
    <w:rsid w:val="00DF354E"/>
    <w:rsid w:val="00DF3578"/>
    <w:rsid w:val="00DF358F"/>
    <w:rsid w:val="00DF365E"/>
    <w:rsid w:val="00DF36AA"/>
    <w:rsid w:val="00DF371B"/>
    <w:rsid w:val="00DF37FB"/>
    <w:rsid w:val="00DF3810"/>
    <w:rsid w:val="00DF398C"/>
    <w:rsid w:val="00DF3AEE"/>
    <w:rsid w:val="00DF3B4D"/>
    <w:rsid w:val="00DF3C5B"/>
    <w:rsid w:val="00DF3CA4"/>
    <w:rsid w:val="00DF3DF3"/>
    <w:rsid w:val="00DF3E2B"/>
    <w:rsid w:val="00DF3E3B"/>
    <w:rsid w:val="00DF3E5B"/>
    <w:rsid w:val="00DF3E85"/>
    <w:rsid w:val="00DF3F3E"/>
    <w:rsid w:val="00DF3F6D"/>
    <w:rsid w:val="00DF401B"/>
    <w:rsid w:val="00DF4154"/>
    <w:rsid w:val="00DF4159"/>
    <w:rsid w:val="00DF4247"/>
    <w:rsid w:val="00DF4317"/>
    <w:rsid w:val="00DF43EC"/>
    <w:rsid w:val="00DF43F8"/>
    <w:rsid w:val="00DF45EF"/>
    <w:rsid w:val="00DF460E"/>
    <w:rsid w:val="00DF46D9"/>
    <w:rsid w:val="00DF4704"/>
    <w:rsid w:val="00DF471B"/>
    <w:rsid w:val="00DF47CF"/>
    <w:rsid w:val="00DF47DB"/>
    <w:rsid w:val="00DF4851"/>
    <w:rsid w:val="00DF4899"/>
    <w:rsid w:val="00DF48AF"/>
    <w:rsid w:val="00DF4A97"/>
    <w:rsid w:val="00DF4AAB"/>
    <w:rsid w:val="00DF4AC3"/>
    <w:rsid w:val="00DF4B1B"/>
    <w:rsid w:val="00DF4BDF"/>
    <w:rsid w:val="00DF4C2C"/>
    <w:rsid w:val="00DF4C86"/>
    <w:rsid w:val="00DF4D37"/>
    <w:rsid w:val="00DF4DCB"/>
    <w:rsid w:val="00DF4DDF"/>
    <w:rsid w:val="00DF4E63"/>
    <w:rsid w:val="00DF4E89"/>
    <w:rsid w:val="00DF4EA5"/>
    <w:rsid w:val="00DF502D"/>
    <w:rsid w:val="00DF516F"/>
    <w:rsid w:val="00DF5186"/>
    <w:rsid w:val="00DF51AB"/>
    <w:rsid w:val="00DF5218"/>
    <w:rsid w:val="00DF52E2"/>
    <w:rsid w:val="00DF5352"/>
    <w:rsid w:val="00DF53BB"/>
    <w:rsid w:val="00DF53C4"/>
    <w:rsid w:val="00DF54F4"/>
    <w:rsid w:val="00DF55BA"/>
    <w:rsid w:val="00DF55C2"/>
    <w:rsid w:val="00DF55CC"/>
    <w:rsid w:val="00DF56FB"/>
    <w:rsid w:val="00DF581C"/>
    <w:rsid w:val="00DF5832"/>
    <w:rsid w:val="00DF5952"/>
    <w:rsid w:val="00DF595A"/>
    <w:rsid w:val="00DF5972"/>
    <w:rsid w:val="00DF59F9"/>
    <w:rsid w:val="00DF5A85"/>
    <w:rsid w:val="00DF5BE9"/>
    <w:rsid w:val="00DF5D45"/>
    <w:rsid w:val="00DF5E99"/>
    <w:rsid w:val="00DF5F8B"/>
    <w:rsid w:val="00DF614F"/>
    <w:rsid w:val="00DF6184"/>
    <w:rsid w:val="00DF619E"/>
    <w:rsid w:val="00DF6234"/>
    <w:rsid w:val="00DF629A"/>
    <w:rsid w:val="00DF629F"/>
    <w:rsid w:val="00DF62B8"/>
    <w:rsid w:val="00DF63AF"/>
    <w:rsid w:val="00DF64BF"/>
    <w:rsid w:val="00DF64CA"/>
    <w:rsid w:val="00DF66CF"/>
    <w:rsid w:val="00DF67B9"/>
    <w:rsid w:val="00DF6813"/>
    <w:rsid w:val="00DF68DA"/>
    <w:rsid w:val="00DF68EF"/>
    <w:rsid w:val="00DF6A11"/>
    <w:rsid w:val="00DF6A26"/>
    <w:rsid w:val="00DF6AB7"/>
    <w:rsid w:val="00DF6CF8"/>
    <w:rsid w:val="00DF6E24"/>
    <w:rsid w:val="00DF6E73"/>
    <w:rsid w:val="00DF6EA7"/>
    <w:rsid w:val="00DF6EC4"/>
    <w:rsid w:val="00DF6EF3"/>
    <w:rsid w:val="00DF707A"/>
    <w:rsid w:val="00DF70D9"/>
    <w:rsid w:val="00DF7151"/>
    <w:rsid w:val="00DF7194"/>
    <w:rsid w:val="00DF724F"/>
    <w:rsid w:val="00DF7254"/>
    <w:rsid w:val="00DF726F"/>
    <w:rsid w:val="00DF7287"/>
    <w:rsid w:val="00DF737E"/>
    <w:rsid w:val="00DF73A0"/>
    <w:rsid w:val="00DF7428"/>
    <w:rsid w:val="00DF7435"/>
    <w:rsid w:val="00DF7540"/>
    <w:rsid w:val="00DF75A2"/>
    <w:rsid w:val="00DF75FC"/>
    <w:rsid w:val="00DF7628"/>
    <w:rsid w:val="00DF7632"/>
    <w:rsid w:val="00DF76DF"/>
    <w:rsid w:val="00DF777B"/>
    <w:rsid w:val="00DF77F8"/>
    <w:rsid w:val="00DF786D"/>
    <w:rsid w:val="00DF788C"/>
    <w:rsid w:val="00DF7B71"/>
    <w:rsid w:val="00DF7B84"/>
    <w:rsid w:val="00DF7CC7"/>
    <w:rsid w:val="00DF7CD0"/>
    <w:rsid w:val="00DF7DF0"/>
    <w:rsid w:val="00DF7E23"/>
    <w:rsid w:val="00DF7F1B"/>
    <w:rsid w:val="00DF7F62"/>
    <w:rsid w:val="00DF7F98"/>
    <w:rsid w:val="00E00012"/>
    <w:rsid w:val="00E001C6"/>
    <w:rsid w:val="00E002B7"/>
    <w:rsid w:val="00E00493"/>
    <w:rsid w:val="00E0049A"/>
    <w:rsid w:val="00E0055D"/>
    <w:rsid w:val="00E005E2"/>
    <w:rsid w:val="00E00672"/>
    <w:rsid w:val="00E007B5"/>
    <w:rsid w:val="00E007B7"/>
    <w:rsid w:val="00E0085A"/>
    <w:rsid w:val="00E008D9"/>
    <w:rsid w:val="00E0091C"/>
    <w:rsid w:val="00E009DC"/>
    <w:rsid w:val="00E009DD"/>
    <w:rsid w:val="00E00A70"/>
    <w:rsid w:val="00E00A8E"/>
    <w:rsid w:val="00E00AD3"/>
    <w:rsid w:val="00E00AF5"/>
    <w:rsid w:val="00E00B8E"/>
    <w:rsid w:val="00E00B92"/>
    <w:rsid w:val="00E00C4E"/>
    <w:rsid w:val="00E00C55"/>
    <w:rsid w:val="00E00CF2"/>
    <w:rsid w:val="00E00DD7"/>
    <w:rsid w:val="00E00ECE"/>
    <w:rsid w:val="00E00EF7"/>
    <w:rsid w:val="00E00F21"/>
    <w:rsid w:val="00E010F1"/>
    <w:rsid w:val="00E01154"/>
    <w:rsid w:val="00E011AA"/>
    <w:rsid w:val="00E01204"/>
    <w:rsid w:val="00E013A2"/>
    <w:rsid w:val="00E013BD"/>
    <w:rsid w:val="00E01428"/>
    <w:rsid w:val="00E0144F"/>
    <w:rsid w:val="00E014A4"/>
    <w:rsid w:val="00E01610"/>
    <w:rsid w:val="00E0168D"/>
    <w:rsid w:val="00E0175B"/>
    <w:rsid w:val="00E0176B"/>
    <w:rsid w:val="00E019ED"/>
    <w:rsid w:val="00E01A00"/>
    <w:rsid w:val="00E01AC4"/>
    <w:rsid w:val="00E01B25"/>
    <w:rsid w:val="00E01B45"/>
    <w:rsid w:val="00E01BB0"/>
    <w:rsid w:val="00E01C01"/>
    <w:rsid w:val="00E01C46"/>
    <w:rsid w:val="00E01C86"/>
    <w:rsid w:val="00E01DE3"/>
    <w:rsid w:val="00E01E70"/>
    <w:rsid w:val="00E02013"/>
    <w:rsid w:val="00E02047"/>
    <w:rsid w:val="00E020B1"/>
    <w:rsid w:val="00E0214D"/>
    <w:rsid w:val="00E0216E"/>
    <w:rsid w:val="00E02334"/>
    <w:rsid w:val="00E0239C"/>
    <w:rsid w:val="00E023B8"/>
    <w:rsid w:val="00E023DD"/>
    <w:rsid w:val="00E025A9"/>
    <w:rsid w:val="00E025DE"/>
    <w:rsid w:val="00E0262D"/>
    <w:rsid w:val="00E02635"/>
    <w:rsid w:val="00E02699"/>
    <w:rsid w:val="00E026BB"/>
    <w:rsid w:val="00E02746"/>
    <w:rsid w:val="00E0276D"/>
    <w:rsid w:val="00E027C6"/>
    <w:rsid w:val="00E0284D"/>
    <w:rsid w:val="00E02A5E"/>
    <w:rsid w:val="00E02B32"/>
    <w:rsid w:val="00E02CD4"/>
    <w:rsid w:val="00E02D23"/>
    <w:rsid w:val="00E02DAD"/>
    <w:rsid w:val="00E0305A"/>
    <w:rsid w:val="00E0325D"/>
    <w:rsid w:val="00E03333"/>
    <w:rsid w:val="00E03392"/>
    <w:rsid w:val="00E033DA"/>
    <w:rsid w:val="00E033E2"/>
    <w:rsid w:val="00E0351E"/>
    <w:rsid w:val="00E03594"/>
    <w:rsid w:val="00E035D3"/>
    <w:rsid w:val="00E0360E"/>
    <w:rsid w:val="00E0366B"/>
    <w:rsid w:val="00E036AC"/>
    <w:rsid w:val="00E036BB"/>
    <w:rsid w:val="00E0373B"/>
    <w:rsid w:val="00E03793"/>
    <w:rsid w:val="00E037F8"/>
    <w:rsid w:val="00E0381A"/>
    <w:rsid w:val="00E03858"/>
    <w:rsid w:val="00E03994"/>
    <w:rsid w:val="00E039B3"/>
    <w:rsid w:val="00E039DC"/>
    <w:rsid w:val="00E03A38"/>
    <w:rsid w:val="00E03B11"/>
    <w:rsid w:val="00E03C13"/>
    <w:rsid w:val="00E03C9C"/>
    <w:rsid w:val="00E03CAD"/>
    <w:rsid w:val="00E03DBA"/>
    <w:rsid w:val="00E03FEB"/>
    <w:rsid w:val="00E040A4"/>
    <w:rsid w:val="00E0415F"/>
    <w:rsid w:val="00E043C2"/>
    <w:rsid w:val="00E043F5"/>
    <w:rsid w:val="00E044D3"/>
    <w:rsid w:val="00E044DA"/>
    <w:rsid w:val="00E04538"/>
    <w:rsid w:val="00E04559"/>
    <w:rsid w:val="00E04598"/>
    <w:rsid w:val="00E045CB"/>
    <w:rsid w:val="00E047AC"/>
    <w:rsid w:val="00E047B3"/>
    <w:rsid w:val="00E0480D"/>
    <w:rsid w:val="00E0496F"/>
    <w:rsid w:val="00E04A62"/>
    <w:rsid w:val="00E04B0F"/>
    <w:rsid w:val="00E04CD9"/>
    <w:rsid w:val="00E04CDD"/>
    <w:rsid w:val="00E04D02"/>
    <w:rsid w:val="00E04D25"/>
    <w:rsid w:val="00E04DC6"/>
    <w:rsid w:val="00E04E77"/>
    <w:rsid w:val="00E04EB0"/>
    <w:rsid w:val="00E04EB9"/>
    <w:rsid w:val="00E04F32"/>
    <w:rsid w:val="00E04F7D"/>
    <w:rsid w:val="00E05033"/>
    <w:rsid w:val="00E0535B"/>
    <w:rsid w:val="00E0545B"/>
    <w:rsid w:val="00E054A3"/>
    <w:rsid w:val="00E054A4"/>
    <w:rsid w:val="00E054E9"/>
    <w:rsid w:val="00E0553F"/>
    <w:rsid w:val="00E0563B"/>
    <w:rsid w:val="00E05644"/>
    <w:rsid w:val="00E0569B"/>
    <w:rsid w:val="00E059BF"/>
    <w:rsid w:val="00E05A5D"/>
    <w:rsid w:val="00E05AEB"/>
    <w:rsid w:val="00E05B6B"/>
    <w:rsid w:val="00E05D29"/>
    <w:rsid w:val="00E05D40"/>
    <w:rsid w:val="00E05DF8"/>
    <w:rsid w:val="00E05F3B"/>
    <w:rsid w:val="00E05F76"/>
    <w:rsid w:val="00E06016"/>
    <w:rsid w:val="00E06072"/>
    <w:rsid w:val="00E06130"/>
    <w:rsid w:val="00E061B5"/>
    <w:rsid w:val="00E0621D"/>
    <w:rsid w:val="00E06485"/>
    <w:rsid w:val="00E0656D"/>
    <w:rsid w:val="00E065C7"/>
    <w:rsid w:val="00E065DD"/>
    <w:rsid w:val="00E065EE"/>
    <w:rsid w:val="00E0667F"/>
    <w:rsid w:val="00E0681E"/>
    <w:rsid w:val="00E0682F"/>
    <w:rsid w:val="00E068E4"/>
    <w:rsid w:val="00E068EC"/>
    <w:rsid w:val="00E06955"/>
    <w:rsid w:val="00E069FD"/>
    <w:rsid w:val="00E06A03"/>
    <w:rsid w:val="00E06A45"/>
    <w:rsid w:val="00E06A5C"/>
    <w:rsid w:val="00E06AB5"/>
    <w:rsid w:val="00E06BA2"/>
    <w:rsid w:val="00E06BE5"/>
    <w:rsid w:val="00E06C33"/>
    <w:rsid w:val="00E06CB4"/>
    <w:rsid w:val="00E06D63"/>
    <w:rsid w:val="00E06DAA"/>
    <w:rsid w:val="00E06ECF"/>
    <w:rsid w:val="00E06F65"/>
    <w:rsid w:val="00E06FF6"/>
    <w:rsid w:val="00E0702E"/>
    <w:rsid w:val="00E07102"/>
    <w:rsid w:val="00E0713E"/>
    <w:rsid w:val="00E07168"/>
    <w:rsid w:val="00E072D2"/>
    <w:rsid w:val="00E07450"/>
    <w:rsid w:val="00E07583"/>
    <w:rsid w:val="00E075C3"/>
    <w:rsid w:val="00E075E4"/>
    <w:rsid w:val="00E07677"/>
    <w:rsid w:val="00E076B6"/>
    <w:rsid w:val="00E076D7"/>
    <w:rsid w:val="00E076FD"/>
    <w:rsid w:val="00E0775B"/>
    <w:rsid w:val="00E07761"/>
    <w:rsid w:val="00E077AF"/>
    <w:rsid w:val="00E077C9"/>
    <w:rsid w:val="00E078BF"/>
    <w:rsid w:val="00E078E8"/>
    <w:rsid w:val="00E07A8B"/>
    <w:rsid w:val="00E07AF5"/>
    <w:rsid w:val="00E07AFD"/>
    <w:rsid w:val="00E07B15"/>
    <w:rsid w:val="00E07BD4"/>
    <w:rsid w:val="00E07C51"/>
    <w:rsid w:val="00E07C8B"/>
    <w:rsid w:val="00E07CF8"/>
    <w:rsid w:val="00E07DB5"/>
    <w:rsid w:val="00E07E27"/>
    <w:rsid w:val="00E07E8D"/>
    <w:rsid w:val="00E07EAB"/>
    <w:rsid w:val="00E07EB0"/>
    <w:rsid w:val="00E07ECB"/>
    <w:rsid w:val="00E100F1"/>
    <w:rsid w:val="00E10149"/>
    <w:rsid w:val="00E101D9"/>
    <w:rsid w:val="00E1026E"/>
    <w:rsid w:val="00E10337"/>
    <w:rsid w:val="00E1040A"/>
    <w:rsid w:val="00E10447"/>
    <w:rsid w:val="00E104A2"/>
    <w:rsid w:val="00E104B5"/>
    <w:rsid w:val="00E105C9"/>
    <w:rsid w:val="00E10717"/>
    <w:rsid w:val="00E10900"/>
    <w:rsid w:val="00E1091C"/>
    <w:rsid w:val="00E109C5"/>
    <w:rsid w:val="00E109F0"/>
    <w:rsid w:val="00E10A99"/>
    <w:rsid w:val="00E10B92"/>
    <w:rsid w:val="00E10BAC"/>
    <w:rsid w:val="00E10BC9"/>
    <w:rsid w:val="00E10CF6"/>
    <w:rsid w:val="00E10DCE"/>
    <w:rsid w:val="00E10E16"/>
    <w:rsid w:val="00E10EBA"/>
    <w:rsid w:val="00E10EFB"/>
    <w:rsid w:val="00E10F03"/>
    <w:rsid w:val="00E10F43"/>
    <w:rsid w:val="00E10F56"/>
    <w:rsid w:val="00E1100C"/>
    <w:rsid w:val="00E11350"/>
    <w:rsid w:val="00E11380"/>
    <w:rsid w:val="00E113A5"/>
    <w:rsid w:val="00E114B2"/>
    <w:rsid w:val="00E114B6"/>
    <w:rsid w:val="00E11647"/>
    <w:rsid w:val="00E1170D"/>
    <w:rsid w:val="00E1196A"/>
    <w:rsid w:val="00E119A4"/>
    <w:rsid w:val="00E11C21"/>
    <w:rsid w:val="00E11C6B"/>
    <w:rsid w:val="00E11CC2"/>
    <w:rsid w:val="00E11EB1"/>
    <w:rsid w:val="00E11FED"/>
    <w:rsid w:val="00E11FFB"/>
    <w:rsid w:val="00E12025"/>
    <w:rsid w:val="00E12066"/>
    <w:rsid w:val="00E120EE"/>
    <w:rsid w:val="00E120F6"/>
    <w:rsid w:val="00E121A5"/>
    <w:rsid w:val="00E12221"/>
    <w:rsid w:val="00E12291"/>
    <w:rsid w:val="00E12305"/>
    <w:rsid w:val="00E1233A"/>
    <w:rsid w:val="00E123B1"/>
    <w:rsid w:val="00E12A58"/>
    <w:rsid w:val="00E12BB1"/>
    <w:rsid w:val="00E12C3B"/>
    <w:rsid w:val="00E12C3F"/>
    <w:rsid w:val="00E12C9D"/>
    <w:rsid w:val="00E12D13"/>
    <w:rsid w:val="00E12D69"/>
    <w:rsid w:val="00E12DE1"/>
    <w:rsid w:val="00E12EA6"/>
    <w:rsid w:val="00E12F0A"/>
    <w:rsid w:val="00E12F5E"/>
    <w:rsid w:val="00E12FDD"/>
    <w:rsid w:val="00E13000"/>
    <w:rsid w:val="00E1305A"/>
    <w:rsid w:val="00E1306E"/>
    <w:rsid w:val="00E13112"/>
    <w:rsid w:val="00E131C8"/>
    <w:rsid w:val="00E131CB"/>
    <w:rsid w:val="00E131F9"/>
    <w:rsid w:val="00E13239"/>
    <w:rsid w:val="00E1323E"/>
    <w:rsid w:val="00E13260"/>
    <w:rsid w:val="00E13285"/>
    <w:rsid w:val="00E1329D"/>
    <w:rsid w:val="00E132FF"/>
    <w:rsid w:val="00E13346"/>
    <w:rsid w:val="00E13416"/>
    <w:rsid w:val="00E1343A"/>
    <w:rsid w:val="00E1343D"/>
    <w:rsid w:val="00E1348B"/>
    <w:rsid w:val="00E13758"/>
    <w:rsid w:val="00E1377B"/>
    <w:rsid w:val="00E13867"/>
    <w:rsid w:val="00E138B3"/>
    <w:rsid w:val="00E138BD"/>
    <w:rsid w:val="00E13A1C"/>
    <w:rsid w:val="00E13B44"/>
    <w:rsid w:val="00E13D18"/>
    <w:rsid w:val="00E13DA3"/>
    <w:rsid w:val="00E13E13"/>
    <w:rsid w:val="00E13E4F"/>
    <w:rsid w:val="00E13E9B"/>
    <w:rsid w:val="00E13F49"/>
    <w:rsid w:val="00E1417F"/>
    <w:rsid w:val="00E141E6"/>
    <w:rsid w:val="00E14212"/>
    <w:rsid w:val="00E1424C"/>
    <w:rsid w:val="00E1425C"/>
    <w:rsid w:val="00E14276"/>
    <w:rsid w:val="00E142AA"/>
    <w:rsid w:val="00E1431D"/>
    <w:rsid w:val="00E14321"/>
    <w:rsid w:val="00E1459B"/>
    <w:rsid w:val="00E14741"/>
    <w:rsid w:val="00E14881"/>
    <w:rsid w:val="00E149F3"/>
    <w:rsid w:val="00E14AAE"/>
    <w:rsid w:val="00E14AE5"/>
    <w:rsid w:val="00E14B65"/>
    <w:rsid w:val="00E14B90"/>
    <w:rsid w:val="00E14BEB"/>
    <w:rsid w:val="00E14C61"/>
    <w:rsid w:val="00E14C99"/>
    <w:rsid w:val="00E14CB7"/>
    <w:rsid w:val="00E14E07"/>
    <w:rsid w:val="00E14F89"/>
    <w:rsid w:val="00E1508E"/>
    <w:rsid w:val="00E15258"/>
    <w:rsid w:val="00E152CD"/>
    <w:rsid w:val="00E153DD"/>
    <w:rsid w:val="00E155F0"/>
    <w:rsid w:val="00E1568D"/>
    <w:rsid w:val="00E15695"/>
    <w:rsid w:val="00E156F6"/>
    <w:rsid w:val="00E15858"/>
    <w:rsid w:val="00E1587C"/>
    <w:rsid w:val="00E15990"/>
    <w:rsid w:val="00E15B09"/>
    <w:rsid w:val="00E15B53"/>
    <w:rsid w:val="00E15D00"/>
    <w:rsid w:val="00E15D86"/>
    <w:rsid w:val="00E15E17"/>
    <w:rsid w:val="00E15E57"/>
    <w:rsid w:val="00E15E7B"/>
    <w:rsid w:val="00E15F2F"/>
    <w:rsid w:val="00E15F32"/>
    <w:rsid w:val="00E15F36"/>
    <w:rsid w:val="00E15FAE"/>
    <w:rsid w:val="00E15FEA"/>
    <w:rsid w:val="00E16054"/>
    <w:rsid w:val="00E16136"/>
    <w:rsid w:val="00E162A9"/>
    <w:rsid w:val="00E162B8"/>
    <w:rsid w:val="00E162DE"/>
    <w:rsid w:val="00E162F9"/>
    <w:rsid w:val="00E16358"/>
    <w:rsid w:val="00E1659C"/>
    <w:rsid w:val="00E1667E"/>
    <w:rsid w:val="00E166A5"/>
    <w:rsid w:val="00E166CE"/>
    <w:rsid w:val="00E166D4"/>
    <w:rsid w:val="00E16721"/>
    <w:rsid w:val="00E1676C"/>
    <w:rsid w:val="00E16842"/>
    <w:rsid w:val="00E168FA"/>
    <w:rsid w:val="00E1690F"/>
    <w:rsid w:val="00E16A05"/>
    <w:rsid w:val="00E16B6E"/>
    <w:rsid w:val="00E16BDC"/>
    <w:rsid w:val="00E16C3A"/>
    <w:rsid w:val="00E16C47"/>
    <w:rsid w:val="00E16CB7"/>
    <w:rsid w:val="00E16CF6"/>
    <w:rsid w:val="00E16CFF"/>
    <w:rsid w:val="00E16D7B"/>
    <w:rsid w:val="00E16DAB"/>
    <w:rsid w:val="00E16FE4"/>
    <w:rsid w:val="00E17041"/>
    <w:rsid w:val="00E1713B"/>
    <w:rsid w:val="00E1718A"/>
    <w:rsid w:val="00E172C5"/>
    <w:rsid w:val="00E172F3"/>
    <w:rsid w:val="00E1739A"/>
    <w:rsid w:val="00E173DA"/>
    <w:rsid w:val="00E17412"/>
    <w:rsid w:val="00E17615"/>
    <w:rsid w:val="00E17635"/>
    <w:rsid w:val="00E1768C"/>
    <w:rsid w:val="00E17782"/>
    <w:rsid w:val="00E17853"/>
    <w:rsid w:val="00E1788E"/>
    <w:rsid w:val="00E17946"/>
    <w:rsid w:val="00E17949"/>
    <w:rsid w:val="00E1796A"/>
    <w:rsid w:val="00E179F8"/>
    <w:rsid w:val="00E17A79"/>
    <w:rsid w:val="00E17AE6"/>
    <w:rsid w:val="00E17B62"/>
    <w:rsid w:val="00E17C4F"/>
    <w:rsid w:val="00E17DB0"/>
    <w:rsid w:val="00E17E34"/>
    <w:rsid w:val="00E17E98"/>
    <w:rsid w:val="00E17F59"/>
    <w:rsid w:val="00E17FCF"/>
    <w:rsid w:val="00E17FE7"/>
    <w:rsid w:val="00E2004D"/>
    <w:rsid w:val="00E20133"/>
    <w:rsid w:val="00E2014F"/>
    <w:rsid w:val="00E20177"/>
    <w:rsid w:val="00E201F4"/>
    <w:rsid w:val="00E20268"/>
    <w:rsid w:val="00E204D0"/>
    <w:rsid w:val="00E205DA"/>
    <w:rsid w:val="00E20655"/>
    <w:rsid w:val="00E20670"/>
    <w:rsid w:val="00E20868"/>
    <w:rsid w:val="00E208A5"/>
    <w:rsid w:val="00E2093A"/>
    <w:rsid w:val="00E209A4"/>
    <w:rsid w:val="00E20A7B"/>
    <w:rsid w:val="00E20A97"/>
    <w:rsid w:val="00E20B9C"/>
    <w:rsid w:val="00E20C1C"/>
    <w:rsid w:val="00E20E3B"/>
    <w:rsid w:val="00E20E7B"/>
    <w:rsid w:val="00E2100D"/>
    <w:rsid w:val="00E2107A"/>
    <w:rsid w:val="00E2109C"/>
    <w:rsid w:val="00E210E3"/>
    <w:rsid w:val="00E210F1"/>
    <w:rsid w:val="00E21117"/>
    <w:rsid w:val="00E21245"/>
    <w:rsid w:val="00E21276"/>
    <w:rsid w:val="00E2127D"/>
    <w:rsid w:val="00E212B8"/>
    <w:rsid w:val="00E2141B"/>
    <w:rsid w:val="00E21580"/>
    <w:rsid w:val="00E215A4"/>
    <w:rsid w:val="00E2171C"/>
    <w:rsid w:val="00E2172C"/>
    <w:rsid w:val="00E218B1"/>
    <w:rsid w:val="00E218DB"/>
    <w:rsid w:val="00E2199F"/>
    <w:rsid w:val="00E219B8"/>
    <w:rsid w:val="00E21A02"/>
    <w:rsid w:val="00E21BDD"/>
    <w:rsid w:val="00E21C9D"/>
    <w:rsid w:val="00E21D5D"/>
    <w:rsid w:val="00E21DA6"/>
    <w:rsid w:val="00E21DD0"/>
    <w:rsid w:val="00E21E10"/>
    <w:rsid w:val="00E21F19"/>
    <w:rsid w:val="00E22186"/>
    <w:rsid w:val="00E2226F"/>
    <w:rsid w:val="00E222B3"/>
    <w:rsid w:val="00E223C4"/>
    <w:rsid w:val="00E2240E"/>
    <w:rsid w:val="00E225A9"/>
    <w:rsid w:val="00E22606"/>
    <w:rsid w:val="00E22780"/>
    <w:rsid w:val="00E22960"/>
    <w:rsid w:val="00E229A9"/>
    <w:rsid w:val="00E229BE"/>
    <w:rsid w:val="00E22A07"/>
    <w:rsid w:val="00E22B1D"/>
    <w:rsid w:val="00E22B91"/>
    <w:rsid w:val="00E22C4A"/>
    <w:rsid w:val="00E22C58"/>
    <w:rsid w:val="00E22C95"/>
    <w:rsid w:val="00E22D70"/>
    <w:rsid w:val="00E22DCA"/>
    <w:rsid w:val="00E22DFD"/>
    <w:rsid w:val="00E22E27"/>
    <w:rsid w:val="00E22F91"/>
    <w:rsid w:val="00E23061"/>
    <w:rsid w:val="00E23098"/>
    <w:rsid w:val="00E230BC"/>
    <w:rsid w:val="00E230EC"/>
    <w:rsid w:val="00E231F3"/>
    <w:rsid w:val="00E2322E"/>
    <w:rsid w:val="00E2337B"/>
    <w:rsid w:val="00E233CD"/>
    <w:rsid w:val="00E2342B"/>
    <w:rsid w:val="00E2344A"/>
    <w:rsid w:val="00E234A9"/>
    <w:rsid w:val="00E2350B"/>
    <w:rsid w:val="00E235FB"/>
    <w:rsid w:val="00E23690"/>
    <w:rsid w:val="00E2375E"/>
    <w:rsid w:val="00E2378B"/>
    <w:rsid w:val="00E23802"/>
    <w:rsid w:val="00E23839"/>
    <w:rsid w:val="00E239A2"/>
    <w:rsid w:val="00E23A7A"/>
    <w:rsid w:val="00E23B32"/>
    <w:rsid w:val="00E23C5D"/>
    <w:rsid w:val="00E23C6D"/>
    <w:rsid w:val="00E23C92"/>
    <w:rsid w:val="00E23CFF"/>
    <w:rsid w:val="00E23DFC"/>
    <w:rsid w:val="00E23E37"/>
    <w:rsid w:val="00E23EA5"/>
    <w:rsid w:val="00E23F18"/>
    <w:rsid w:val="00E23FC1"/>
    <w:rsid w:val="00E23FF5"/>
    <w:rsid w:val="00E2406D"/>
    <w:rsid w:val="00E240F6"/>
    <w:rsid w:val="00E242CD"/>
    <w:rsid w:val="00E242E2"/>
    <w:rsid w:val="00E242F8"/>
    <w:rsid w:val="00E24347"/>
    <w:rsid w:val="00E24590"/>
    <w:rsid w:val="00E2481C"/>
    <w:rsid w:val="00E2486A"/>
    <w:rsid w:val="00E2491D"/>
    <w:rsid w:val="00E24966"/>
    <w:rsid w:val="00E24B25"/>
    <w:rsid w:val="00E24D64"/>
    <w:rsid w:val="00E24ED2"/>
    <w:rsid w:val="00E24F2D"/>
    <w:rsid w:val="00E24F71"/>
    <w:rsid w:val="00E25048"/>
    <w:rsid w:val="00E25062"/>
    <w:rsid w:val="00E2507B"/>
    <w:rsid w:val="00E25117"/>
    <w:rsid w:val="00E25162"/>
    <w:rsid w:val="00E25191"/>
    <w:rsid w:val="00E2521C"/>
    <w:rsid w:val="00E252D6"/>
    <w:rsid w:val="00E25303"/>
    <w:rsid w:val="00E25311"/>
    <w:rsid w:val="00E25496"/>
    <w:rsid w:val="00E255FD"/>
    <w:rsid w:val="00E25697"/>
    <w:rsid w:val="00E256EF"/>
    <w:rsid w:val="00E2594C"/>
    <w:rsid w:val="00E259F2"/>
    <w:rsid w:val="00E25B63"/>
    <w:rsid w:val="00E25CD8"/>
    <w:rsid w:val="00E25CFB"/>
    <w:rsid w:val="00E25D53"/>
    <w:rsid w:val="00E25E34"/>
    <w:rsid w:val="00E25E7C"/>
    <w:rsid w:val="00E25E84"/>
    <w:rsid w:val="00E25F4F"/>
    <w:rsid w:val="00E25F9F"/>
    <w:rsid w:val="00E25FF9"/>
    <w:rsid w:val="00E260D5"/>
    <w:rsid w:val="00E26137"/>
    <w:rsid w:val="00E26180"/>
    <w:rsid w:val="00E261D5"/>
    <w:rsid w:val="00E261F1"/>
    <w:rsid w:val="00E2621A"/>
    <w:rsid w:val="00E26237"/>
    <w:rsid w:val="00E2634D"/>
    <w:rsid w:val="00E2641E"/>
    <w:rsid w:val="00E264BD"/>
    <w:rsid w:val="00E26567"/>
    <w:rsid w:val="00E26588"/>
    <w:rsid w:val="00E26604"/>
    <w:rsid w:val="00E26759"/>
    <w:rsid w:val="00E2694B"/>
    <w:rsid w:val="00E26B08"/>
    <w:rsid w:val="00E26BF9"/>
    <w:rsid w:val="00E26FFF"/>
    <w:rsid w:val="00E27058"/>
    <w:rsid w:val="00E27170"/>
    <w:rsid w:val="00E27188"/>
    <w:rsid w:val="00E27263"/>
    <w:rsid w:val="00E27267"/>
    <w:rsid w:val="00E27273"/>
    <w:rsid w:val="00E272A8"/>
    <w:rsid w:val="00E272EA"/>
    <w:rsid w:val="00E2731C"/>
    <w:rsid w:val="00E27378"/>
    <w:rsid w:val="00E27380"/>
    <w:rsid w:val="00E27393"/>
    <w:rsid w:val="00E27411"/>
    <w:rsid w:val="00E27427"/>
    <w:rsid w:val="00E2746B"/>
    <w:rsid w:val="00E27542"/>
    <w:rsid w:val="00E2762C"/>
    <w:rsid w:val="00E27727"/>
    <w:rsid w:val="00E2774E"/>
    <w:rsid w:val="00E27803"/>
    <w:rsid w:val="00E2788B"/>
    <w:rsid w:val="00E279E6"/>
    <w:rsid w:val="00E27A2E"/>
    <w:rsid w:val="00E27A46"/>
    <w:rsid w:val="00E27A95"/>
    <w:rsid w:val="00E27BC0"/>
    <w:rsid w:val="00E27BD9"/>
    <w:rsid w:val="00E27E40"/>
    <w:rsid w:val="00E27FA7"/>
    <w:rsid w:val="00E27FAD"/>
    <w:rsid w:val="00E27FE2"/>
    <w:rsid w:val="00E30065"/>
    <w:rsid w:val="00E3011E"/>
    <w:rsid w:val="00E3021B"/>
    <w:rsid w:val="00E3022F"/>
    <w:rsid w:val="00E302B8"/>
    <w:rsid w:val="00E30399"/>
    <w:rsid w:val="00E30512"/>
    <w:rsid w:val="00E3051D"/>
    <w:rsid w:val="00E3054C"/>
    <w:rsid w:val="00E306BD"/>
    <w:rsid w:val="00E30851"/>
    <w:rsid w:val="00E30853"/>
    <w:rsid w:val="00E308A4"/>
    <w:rsid w:val="00E30907"/>
    <w:rsid w:val="00E309E0"/>
    <w:rsid w:val="00E309FE"/>
    <w:rsid w:val="00E30AB4"/>
    <w:rsid w:val="00E30ADE"/>
    <w:rsid w:val="00E30B20"/>
    <w:rsid w:val="00E30D23"/>
    <w:rsid w:val="00E30D33"/>
    <w:rsid w:val="00E30E68"/>
    <w:rsid w:val="00E30E96"/>
    <w:rsid w:val="00E30FB0"/>
    <w:rsid w:val="00E30FB7"/>
    <w:rsid w:val="00E30FC0"/>
    <w:rsid w:val="00E30FFC"/>
    <w:rsid w:val="00E3119B"/>
    <w:rsid w:val="00E31200"/>
    <w:rsid w:val="00E31377"/>
    <w:rsid w:val="00E31398"/>
    <w:rsid w:val="00E313B9"/>
    <w:rsid w:val="00E31427"/>
    <w:rsid w:val="00E3152E"/>
    <w:rsid w:val="00E315E5"/>
    <w:rsid w:val="00E315F7"/>
    <w:rsid w:val="00E31621"/>
    <w:rsid w:val="00E3163C"/>
    <w:rsid w:val="00E3178E"/>
    <w:rsid w:val="00E3179B"/>
    <w:rsid w:val="00E3180E"/>
    <w:rsid w:val="00E3194F"/>
    <w:rsid w:val="00E31A1F"/>
    <w:rsid w:val="00E31A52"/>
    <w:rsid w:val="00E31B74"/>
    <w:rsid w:val="00E31D6B"/>
    <w:rsid w:val="00E31DB4"/>
    <w:rsid w:val="00E31DD7"/>
    <w:rsid w:val="00E31E50"/>
    <w:rsid w:val="00E31F2B"/>
    <w:rsid w:val="00E32031"/>
    <w:rsid w:val="00E32042"/>
    <w:rsid w:val="00E32146"/>
    <w:rsid w:val="00E32172"/>
    <w:rsid w:val="00E3217F"/>
    <w:rsid w:val="00E321B6"/>
    <w:rsid w:val="00E322C8"/>
    <w:rsid w:val="00E322CB"/>
    <w:rsid w:val="00E32349"/>
    <w:rsid w:val="00E32352"/>
    <w:rsid w:val="00E3236A"/>
    <w:rsid w:val="00E323CA"/>
    <w:rsid w:val="00E323D5"/>
    <w:rsid w:val="00E3245F"/>
    <w:rsid w:val="00E32481"/>
    <w:rsid w:val="00E3252C"/>
    <w:rsid w:val="00E327F3"/>
    <w:rsid w:val="00E32C51"/>
    <w:rsid w:val="00E32C89"/>
    <w:rsid w:val="00E32D44"/>
    <w:rsid w:val="00E32E59"/>
    <w:rsid w:val="00E32E64"/>
    <w:rsid w:val="00E32E67"/>
    <w:rsid w:val="00E32EED"/>
    <w:rsid w:val="00E33010"/>
    <w:rsid w:val="00E33057"/>
    <w:rsid w:val="00E33070"/>
    <w:rsid w:val="00E33150"/>
    <w:rsid w:val="00E331F0"/>
    <w:rsid w:val="00E33233"/>
    <w:rsid w:val="00E33249"/>
    <w:rsid w:val="00E33320"/>
    <w:rsid w:val="00E33714"/>
    <w:rsid w:val="00E33799"/>
    <w:rsid w:val="00E337BA"/>
    <w:rsid w:val="00E337E6"/>
    <w:rsid w:val="00E33847"/>
    <w:rsid w:val="00E33852"/>
    <w:rsid w:val="00E338F4"/>
    <w:rsid w:val="00E339A4"/>
    <w:rsid w:val="00E33A8F"/>
    <w:rsid w:val="00E33D7D"/>
    <w:rsid w:val="00E33DB1"/>
    <w:rsid w:val="00E33E36"/>
    <w:rsid w:val="00E33F04"/>
    <w:rsid w:val="00E33FD1"/>
    <w:rsid w:val="00E33FDC"/>
    <w:rsid w:val="00E33FF9"/>
    <w:rsid w:val="00E34038"/>
    <w:rsid w:val="00E34059"/>
    <w:rsid w:val="00E34093"/>
    <w:rsid w:val="00E34174"/>
    <w:rsid w:val="00E342FF"/>
    <w:rsid w:val="00E34347"/>
    <w:rsid w:val="00E34370"/>
    <w:rsid w:val="00E343CB"/>
    <w:rsid w:val="00E34409"/>
    <w:rsid w:val="00E3465C"/>
    <w:rsid w:val="00E34679"/>
    <w:rsid w:val="00E34848"/>
    <w:rsid w:val="00E348B5"/>
    <w:rsid w:val="00E34937"/>
    <w:rsid w:val="00E34A05"/>
    <w:rsid w:val="00E34A69"/>
    <w:rsid w:val="00E34AFA"/>
    <w:rsid w:val="00E34B68"/>
    <w:rsid w:val="00E34B92"/>
    <w:rsid w:val="00E34C76"/>
    <w:rsid w:val="00E34D2C"/>
    <w:rsid w:val="00E34D4E"/>
    <w:rsid w:val="00E34D4F"/>
    <w:rsid w:val="00E34EF1"/>
    <w:rsid w:val="00E34F35"/>
    <w:rsid w:val="00E34F49"/>
    <w:rsid w:val="00E35017"/>
    <w:rsid w:val="00E35052"/>
    <w:rsid w:val="00E35064"/>
    <w:rsid w:val="00E352BE"/>
    <w:rsid w:val="00E352F0"/>
    <w:rsid w:val="00E3548D"/>
    <w:rsid w:val="00E355A1"/>
    <w:rsid w:val="00E356DB"/>
    <w:rsid w:val="00E35822"/>
    <w:rsid w:val="00E358B5"/>
    <w:rsid w:val="00E358D2"/>
    <w:rsid w:val="00E358EE"/>
    <w:rsid w:val="00E358F6"/>
    <w:rsid w:val="00E35950"/>
    <w:rsid w:val="00E35959"/>
    <w:rsid w:val="00E35C50"/>
    <w:rsid w:val="00E35C65"/>
    <w:rsid w:val="00E35CC7"/>
    <w:rsid w:val="00E35D08"/>
    <w:rsid w:val="00E35D62"/>
    <w:rsid w:val="00E35E7C"/>
    <w:rsid w:val="00E35E81"/>
    <w:rsid w:val="00E35E9C"/>
    <w:rsid w:val="00E35EB2"/>
    <w:rsid w:val="00E35EE6"/>
    <w:rsid w:val="00E35F15"/>
    <w:rsid w:val="00E35F45"/>
    <w:rsid w:val="00E35F65"/>
    <w:rsid w:val="00E35F6B"/>
    <w:rsid w:val="00E36025"/>
    <w:rsid w:val="00E3609B"/>
    <w:rsid w:val="00E3618F"/>
    <w:rsid w:val="00E361AF"/>
    <w:rsid w:val="00E362FD"/>
    <w:rsid w:val="00E3636D"/>
    <w:rsid w:val="00E363A7"/>
    <w:rsid w:val="00E36439"/>
    <w:rsid w:val="00E36501"/>
    <w:rsid w:val="00E3655D"/>
    <w:rsid w:val="00E365F8"/>
    <w:rsid w:val="00E36619"/>
    <w:rsid w:val="00E3661F"/>
    <w:rsid w:val="00E36712"/>
    <w:rsid w:val="00E36727"/>
    <w:rsid w:val="00E367BE"/>
    <w:rsid w:val="00E367EA"/>
    <w:rsid w:val="00E369A0"/>
    <w:rsid w:val="00E36A79"/>
    <w:rsid w:val="00E36AE6"/>
    <w:rsid w:val="00E36B59"/>
    <w:rsid w:val="00E36BBE"/>
    <w:rsid w:val="00E36BD0"/>
    <w:rsid w:val="00E36C11"/>
    <w:rsid w:val="00E36C94"/>
    <w:rsid w:val="00E36CDC"/>
    <w:rsid w:val="00E36D1F"/>
    <w:rsid w:val="00E36D5F"/>
    <w:rsid w:val="00E36E72"/>
    <w:rsid w:val="00E36E94"/>
    <w:rsid w:val="00E36EAF"/>
    <w:rsid w:val="00E36F01"/>
    <w:rsid w:val="00E36F85"/>
    <w:rsid w:val="00E37021"/>
    <w:rsid w:val="00E37049"/>
    <w:rsid w:val="00E37150"/>
    <w:rsid w:val="00E37161"/>
    <w:rsid w:val="00E372C5"/>
    <w:rsid w:val="00E37353"/>
    <w:rsid w:val="00E3747D"/>
    <w:rsid w:val="00E37532"/>
    <w:rsid w:val="00E37537"/>
    <w:rsid w:val="00E3755B"/>
    <w:rsid w:val="00E375F7"/>
    <w:rsid w:val="00E37685"/>
    <w:rsid w:val="00E376B8"/>
    <w:rsid w:val="00E376E4"/>
    <w:rsid w:val="00E3770F"/>
    <w:rsid w:val="00E377FD"/>
    <w:rsid w:val="00E37937"/>
    <w:rsid w:val="00E379E8"/>
    <w:rsid w:val="00E37B81"/>
    <w:rsid w:val="00E37BF2"/>
    <w:rsid w:val="00E37CCE"/>
    <w:rsid w:val="00E37CEF"/>
    <w:rsid w:val="00E37D57"/>
    <w:rsid w:val="00E37D90"/>
    <w:rsid w:val="00E37DC7"/>
    <w:rsid w:val="00E37F07"/>
    <w:rsid w:val="00E37F3E"/>
    <w:rsid w:val="00E40092"/>
    <w:rsid w:val="00E400DD"/>
    <w:rsid w:val="00E40269"/>
    <w:rsid w:val="00E40287"/>
    <w:rsid w:val="00E40335"/>
    <w:rsid w:val="00E4041C"/>
    <w:rsid w:val="00E40450"/>
    <w:rsid w:val="00E404C3"/>
    <w:rsid w:val="00E404E5"/>
    <w:rsid w:val="00E40587"/>
    <w:rsid w:val="00E406C5"/>
    <w:rsid w:val="00E406DF"/>
    <w:rsid w:val="00E40734"/>
    <w:rsid w:val="00E407F4"/>
    <w:rsid w:val="00E40895"/>
    <w:rsid w:val="00E4090A"/>
    <w:rsid w:val="00E40920"/>
    <w:rsid w:val="00E40974"/>
    <w:rsid w:val="00E40A2B"/>
    <w:rsid w:val="00E40B67"/>
    <w:rsid w:val="00E40DA5"/>
    <w:rsid w:val="00E40E4D"/>
    <w:rsid w:val="00E40E67"/>
    <w:rsid w:val="00E40EC9"/>
    <w:rsid w:val="00E40FEB"/>
    <w:rsid w:val="00E41141"/>
    <w:rsid w:val="00E41161"/>
    <w:rsid w:val="00E41341"/>
    <w:rsid w:val="00E4136A"/>
    <w:rsid w:val="00E4137C"/>
    <w:rsid w:val="00E413BA"/>
    <w:rsid w:val="00E414BF"/>
    <w:rsid w:val="00E4151E"/>
    <w:rsid w:val="00E41529"/>
    <w:rsid w:val="00E41590"/>
    <w:rsid w:val="00E415B1"/>
    <w:rsid w:val="00E41804"/>
    <w:rsid w:val="00E41835"/>
    <w:rsid w:val="00E41850"/>
    <w:rsid w:val="00E4193A"/>
    <w:rsid w:val="00E41995"/>
    <w:rsid w:val="00E419D6"/>
    <w:rsid w:val="00E41A2F"/>
    <w:rsid w:val="00E41A57"/>
    <w:rsid w:val="00E41A74"/>
    <w:rsid w:val="00E41A86"/>
    <w:rsid w:val="00E41BA5"/>
    <w:rsid w:val="00E41C39"/>
    <w:rsid w:val="00E41E20"/>
    <w:rsid w:val="00E41E4E"/>
    <w:rsid w:val="00E41E9D"/>
    <w:rsid w:val="00E4204D"/>
    <w:rsid w:val="00E42054"/>
    <w:rsid w:val="00E4219F"/>
    <w:rsid w:val="00E422B3"/>
    <w:rsid w:val="00E423CF"/>
    <w:rsid w:val="00E4242E"/>
    <w:rsid w:val="00E42502"/>
    <w:rsid w:val="00E42514"/>
    <w:rsid w:val="00E42690"/>
    <w:rsid w:val="00E426EB"/>
    <w:rsid w:val="00E4274A"/>
    <w:rsid w:val="00E42A33"/>
    <w:rsid w:val="00E42A61"/>
    <w:rsid w:val="00E42B16"/>
    <w:rsid w:val="00E42B64"/>
    <w:rsid w:val="00E42B96"/>
    <w:rsid w:val="00E42BAE"/>
    <w:rsid w:val="00E42C5A"/>
    <w:rsid w:val="00E42CBC"/>
    <w:rsid w:val="00E42DEB"/>
    <w:rsid w:val="00E42E32"/>
    <w:rsid w:val="00E42E6C"/>
    <w:rsid w:val="00E42E71"/>
    <w:rsid w:val="00E42F62"/>
    <w:rsid w:val="00E42FB0"/>
    <w:rsid w:val="00E42FE5"/>
    <w:rsid w:val="00E43008"/>
    <w:rsid w:val="00E43046"/>
    <w:rsid w:val="00E4308F"/>
    <w:rsid w:val="00E430F0"/>
    <w:rsid w:val="00E43116"/>
    <w:rsid w:val="00E4312E"/>
    <w:rsid w:val="00E432AE"/>
    <w:rsid w:val="00E433F3"/>
    <w:rsid w:val="00E43495"/>
    <w:rsid w:val="00E434E2"/>
    <w:rsid w:val="00E43601"/>
    <w:rsid w:val="00E43614"/>
    <w:rsid w:val="00E43650"/>
    <w:rsid w:val="00E436AD"/>
    <w:rsid w:val="00E4384E"/>
    <w:rsid w:val="00E438D8"/>
    <w:rsid w:val="00E4390E"/>
    <w:rsid w:val="00E43954"/>
    <w:rsid w:val="00E43A7C"/>
    <w:rsid w:val="00E43B15"/>
    <w:rsid w:val="00E43C47"/>
    <w:rsid w:val="00E43C6D"/>
    <w:rsid w:val="00E43DBB"/>
    <w:rsid w:val="00E43DC9"/>
    <w:rsid w:val="00E43E71"/>
    <w:rsid w:val="00E43EF1"/>
    <w:rsid w:val="00E43F3B"/>
    <w:rsid w:val="00E44041"/>
    <w:rsid w:val="00E44068"/>
    <w:rsid w:val="00E44072"/>
    <w:rsid w:val="00E440B2"/>
    <w:rsid w:val="00E440C0"/>
    <w:rsid w:val="00E44151"/>
    <w:rsid w:val="00E442E3"/>
    <w:rsid w:val="00E4443F"/>
    <w:rsid w:val="00E44440"/>
    <w:rsid w:val="00E44565"/>
    <w:rsid w:val="00E445B6"/>
    <w:rsid w:val="00E44760"/>
    <w:rsid w:val="00E44901"/>
    <w:rsid w:val="00E449AE"/>
    <w:rsid w:val="00E44ACF"/>
    <w:rsid w:val="00E44AD6"/>
    <w:rsid w:val="00E44B05"/>
    <w:rsid w:val="00E44B20"/>
    <w:rsid w:val="00E44C40"/>
    <w:rsid w:val="00E44C66"/>
    <w:rsid w:val="00E44C8D"/>
    <w:rsid w:val="00E44CF8"/>
    <w:rsid w:val="00E44D60"/>
    <w:rsid w:val="00E44DF7"/>
    <w:rsid w:val="00E44E80"/>
    <w:rsid w:val="00E44EAA"/>
    <w:rsid w:val="00E44EFE"/>
    <w:rsid w:val="00E44FED"/>
    <w:rsid w:val="00E45139"/>
    <w:rsid w:val="00E4524A"/>
    <w:rsid w:val="00E452BF"/>
    <w:rsid w:val="00E45308"/>
    <w:rsid w:val="00E45335"/>
    <w:rsid w:val="00E453D5"/>
    <w:rsid w:val="00E4547B"/>
    <w:rsid w:val="00E454DF"/>
    <w:rsid w:val="00E455D0"/>
    <w:rsid w:val="00E4572E"/>
    <w:rsid w:val="00E45914"/>
    <w:rsid w:val="00E459D2"/>
    <w:rsid w:val="00E45A0D"/>
    <w:rsid w:val="00E45B04"/>
    <w:rsid w:val="00E45C01"/>
    <w:rsid w:val="00E45C70"/>
    <w:rsid w:val="00E45CA2"/>
    <w:rsid w:val="00E45CBE"/>
    <w:rsid w:val="00E45CEA"/>
    <w:rsid w:val="00E45D9A"/>
    <w:rsid w:val="00E45E18"/>
    <w:rsid w:val="00E45E3B"/>
    <w:rsid w:val="00E45E4B"/>
    <w:rsid w:val="00E45E6A"/>
    <w:rsid w:val="00E45EB2"/>
    <w:rsid w:val="00E45ED2"/>
    <w:rsid w:val="00E45F99"/>
    <w:rsid w:val="00E45F9A"/>
    <w:rsid w:val="00E46064"/>
    <w:rsid w:val="00E460ED"/>
    <w:rsid w:val="00E461A5"/>
    <w:rsid w:val="00E4653D"/>
    <w:rsid w:val="00E46584"/>
    <w:rsid w:val="00E466BF"/>
    <w:rsid w:val="00E467C8"/>
    <w:rsid w:val="00E46836"/>
    <w:rsid w:val="00E469DC"/>
    <w:rsid w:val="00E46BF2"/>
    <w:rsid w:val="00E46CB5"/>
    <w:rsid w:val="00E46D00"/>
    <w:rsid w:val="00E46D02"/>
    <w:rsid w:val="00E46E4C"/>
    <w:rsid w:val="00E46E7F"/>
    <w:rsid w:val="00E46EA5"/>
    <w:rsid w:val="00E46EC6"/>
    <w:rsid w:val="00E46F28"/>
    <w:rsid w:val="00E46FCF"/>
    <w:rsid w:val="00E470D4"/>
    <w:rsid w:val="00E4719D"/>
    <w:rsid w:val="00E471A4"/>
    <w:rsid w:val="00E473B1"/>
    <w:rsid w:val="00E473E8"/>
    <w:rsid w:val="00E473EF"/>
    <w:rsid w:val="00E4745E"/>
    <w:rsid w:val="00E474D3"/>
    <w:rsid w:val="00E47519"/>
    <w:rsid w:val="00E475FF"/>
    <w:rsid w:val="00E47875"/>
    <w:rsid w:val="00E478CD"/>
    <w:rsid w:val="00E47B54"/>
    <w:rsid w:val="00E47B90"/>
    <w:rsid w:val="00E47D72"/>
    <w:rsid w:val="00E47DF0"/>
    <w:rsid w:val="00E47E43"/>
    <w:rsid w:val="00E47EC1"/>
    <w:rsid w:val="00E47F0D"/>
    <w:rsid w:val="00E50064"/>
    <w:rsid w:val="00E5015A"/>
    <w:rsid w:val="00E501B8"/>
    <w:rsid w:val="00E501C3"/>
    <w:rsid w:val="00E50342"/>
    <w:rsid w:val="00E50356"/>
    <w:rsid w:val="00E50382"/>
    <w:rsid w:val="00E5044F"/>
    <w:rsid w:val="00E504D9"/>
    <w:rsid w:val="00E50523"/>
    <w:rsid w:val="00E50570"/>
    <w:rsid w:val="00E50581"/>
    <w:rsid w:val="00E50788"/>
    <w:rsid w:val="00E50831"/>
    <w:rsid w:val="00E50852"/>
    <w:rsid w:val="00E50992"/>
    <w:rsid w:val="00E50C73"/>
    <w:rsid w:val="00E50CE7"/>
    <w:rsid w:val="00E50DEC"/>
    <w:rsid w:val="00E50FDA"/>
    <w:rsid w:val="00E51082"/>
    <w:rsid w:val="00E5109F"/>
    <w:rsid w:val="00E510AA"/>
    <w:rsid w:val="00E512E7"/>
    <w:rsid w:val="00E5139C"/>
    <w:rsid w:val="00E513C4"/>
    <w:rsid w:val="00E51436"/>
    <w:rsid w:val="00E51444"/>
    <w:rsid w:val="00E51507"/>
    <w:rsid w:val="00E51602"/>
    <w:rsid w:val="00E517AC"/>
    <w:rsid w:val="00E51860"/>
    <w:rsid w:val="00E51885"/>
    <w:rsid w:val="00E5188D"/>
    <w:rsid w:val="00E51C73"/>
    <w:rsid w:val="00E51C7C"/>
    <w:rsid w:val="00E51E58"/>
    <w:rsid w:val="00E51E81"/>
    <w:rsid w:val="00E52104"/>
    <w:rsid w:val="00E52131"/>
    <w:rsid w:val="00E521AF"/>
    <w:rsid w:val="00E521E4"/>
    <w:rsid w:val="00E52292"/>
    <w:rsid w:val="00E522B7"/>
    <w:rsid w:val="00E522B8"/>
    <w:rsid w:val="00E522C7"/>
    <w:rsid w:val="00E52563"/>
    <w:rsid w:val="00E52597"/>
    <w:rsid w:val="00E525CD"/>
    <w:rsid w:val="00E525D2"/>
    <w:rsid w:val="00E5263F"/>
    <w:rsid w:val="00E52668"/>
    <w:rsid w:val="00E526EF"/>
    <w:rsid w:val="00E52779"/>
    <w:rsid w:val="00E528ED"/>
    <w:rsid w:val="00E52A42"/>
    <w:rsid w:val="00E52AAB"/>
    <w:rsid w:val="00E52CAD"/>
    <w:rsid w:val="00E52D1F"/>
    <w:rsid w:val="00E52D55"/>
    <w:rsid w:val="00E52DF8"/>
    <w:rsid w:val="00E52E23"/>
    <w:rsid w:val="00E52E2D"/>
    <w:rsid w:val="00E530C8"/>
    <w:rsid w:val="00E53196"/>
    <w:rsid w:val="00E532C8"/>
    <w:rsid w:val="00E53359"/>
    <w:rsid w:val="00E53436"/>
    <w:rsid w:val="00E5347C"/>
    <w:rsid w:val="00E5372B"/>
    <w:rsid w:val="00E537B2"/>
    <w:rsid w:val="00E537CB"/>
    <w:rsid w:val="00E53858"/>
    <w:rsid w:val="00E5386A"/>
    <w:rsid w:val="00E53894"/>
    <w:rsid w:val="00E53898"/>
    <w:rsid w:val="00E538A3"/>
    <w:rsid w:val="00E538BF"/>
    <w:rsid w:val="00E53932"/>
    <w:rsid w:val="00E53A6E"/>
    <w:rsid w:val="00E53A9C"/>
    <w:rsid w:val="00E53B48"/>
    <w:rsid w:val="00E53BFB"/>
    <w:rsid w:val="00E53C69"/>
    <w:rsid w:val="00E53C6C"/>
    <w:rsid w:val="00E53D17"/>
    <w:rsid w:val="00E53D48"/>
    <w:rsid w:val="00E53DB5"/>
    <w:rsid w:val="00E53E01"/>
    <w:rsid w:val="00E53F08"/>
    <w:rsid w:val="00E53F30"/>
    <w:rsid w:val="00E53F31"/>
    <w:rsid w:val="00E53F53"/>
    <w:rsid w:val="00E54026"/>
    <w:rsid w:val="00E540DB"/>
    <w:rsid w:val="00E5415A"/>
    <w:rsid w:val="00E54218"/>
    <w:rsid w:val="00E5421D"/>
    <w:rsid w:val="00E54247"/>
    <w:rsid w:val="00E54268"/>
    <w:rsid w:val="00E54306"/>
    <w:rsid w:val="00E5433D"/>
    <w:rsid w:val="00E54443"/>
    <w:rsid w:val="00E54447"/>
    <w:rsid w:val="00E54560"/>
    <w:rsid w:val="00E54561"/>
    <w:rsid w:val="00E5472B"/>
    <w:rsid w:val="00E547B4"/>
    <w:rsid w:val="00E5482B"/>
    <w:rsid w:val="00E54A75"/>
    <w:rsid w:val="00E54B9F"/>
    <w:rsid w:val="00E54C8A"/>
    <w:rsid w:val="00E54DE4"/>
    <w:rsid w:val="00E54E0E"/>
    <w:rsid w:val="00E54F1B"/>
    <w:rsid w:val="00E54F77"/>
    <w:rsid w:val="00E54FF3"/>
    <w:rsid w:val="00E552DA"/>
    <w:rsid w:val="00E5536A"/>
    <w:rsid w:val="00E55370"/>
    <w:rsid w:val="00E553BE"/>
    <w:rsid w:val="00E553D8"/>
    <w:rsid w:val="00E553F5"/>
    <w:rsid w:val="00E55488"/>
    <w:rsid w:val="00E555B7"/>
    <w:rsid w:val="00E5563C"/>
    <w:rsid w:val="00E55793"/>
    <w:rsid w:val="00E558D9"/>
    <w:rsid w:val="00E559E6"/>
    <w:rsid w:val="00E55A3F"/>
    <w:rsid w:val="00E55C8C"/>
    <w:rsid w:val="00E55CF5"/>
    <w:rsid w:val="00E55D3C"/>
    <w:rsid w:val="00E55EC2"/>
    <w:rsid w:val="00E55EFE"/>
    <w:rsid w:val="00E55F18"/>
    <w:rsid w:val="00E55F33"/>
    <w:rsid w:val="00E5607D"/>
    <w:rsid w:val="00E5613A"/>
    <w:rsid w:val="00E56143"/>
    <w:rsid w:val="00E561AF"/>
    <w:rsid w:val="00E5628D"/>
    <w:rsid w:val="00E562FE"/>
    <w:rsid w:val="00E56473"/>
    <w:rsid w:val="00E56484"/>
    <w:rsid w:val="00E56575"/>
    <w:rsid w:val="00E56811"/>
    <w:rsid w:val="00E568A4"/>
    <w:rsid w:val="00E568E5"/>
    <w:rsid w:val="00E568F5"/>
    <w:rsid w:val="00E569AF"/>
    <w:rsid w:val="00E569B3"/>
    <w:rsid w:val="00E56A28"/>
    <w:rsid w:val="00E56ADC"/>
    <w:rsid w:val="00E56E50"/>
    <w:rsid w:val="00E56E58"/>
    <w:rsid w:val="00E56E77"/>
    <w:rsid w:val="00E56EFF"/>
    <w:rsid w:val="00E56FF3"/>
    <w:rsid w:val="00E570F2"/>
    <w:rsid w:val="00E571AF"/>
    <w:rsid w:val="00E571DA"/>
    <w:rsid w:val="00E57255"/>
    <w:rsid w:val="00E57344"/>
    <w:rsid w:val="00E57381"/>
    <w:rsid w:val="00E57385"/>
    <w:rsid w:val="00E5745E"/>
    <w:rsid w:val="00E57463"/>
    <w:rsid w:val="00E5758A"/>
    <w:rsid w:val="00E57594"/>
    <w:rsid w:val="00E57677"/>
    <w:rsid w:val="00E57696"/>
    <w:rsid w:val="00E576BB"/>
    <w:rsid w:val="00E57744"/>
    <w:rsid w:val="00E57783"/>
    <w:rsid w:val="00E57AC7"/>
    <w:rsid w:val="00E57C1C"/>
    <w:rsid w:val="00E57C2D"/>
    <w:rsid w:val="00E57D10"/>
    <w:rsid w:val="00E57DD5"/>
    <w:rsid w:val="00E57E7A"/>
    <w:rsid w:val="00E57F00"/>
    <w:rsid w:val="00E6001C"/>
    <w:rsid w:val="00E600AA"/>
    <w:rsid w:val="00E600AE"/>
    <w:rsid w:val="00E601BE"/>
    <w:rsid w:val="00E60253"/>
    <w:rsid w:val="00E604BB"/>
    <w:rsid w:val="00E604DE"/>
    <w:rsid w:val="00E60785"/>
    <w:rsid w:val="00E60840"/>
    <w:rsid w:val="00E6090A"/>
    <w:rsid w:val="00E60972"/>
    <w:rsid w:val="00E609AE"/>
    <w:rsid w:val="00E609F9"/>
    <w:rsid w:val="00E60A09"/>
    <w:rsid w:val="00E60A4F"/>
    <w:rsid w:val="00E60A9F"/>
    <w:rsid w:val="00E60AE7"/>
    <w:rsid w:val="00E60C05"/>
    <w:rsid w:val="00E60C72"/>
    <w:rsid w:val="00E60D23"/>
    <w:rsid w:val="00E60D46"/>
    <w:rsid w:val="00E60D4C"/>
    <w:rsid w:val="00E60D8A"/>
    <w:rsid w:val="00E60DBF"/>
    <w:rsid w:val="00E60DE0"/>
    <w:rsid w:val="00E60E54"/>
    <w:rsid w:val="00E60E81"/>
    <w:rsid w:val="00E6106B"/>
    <w:rsid w:val="00E610B4"/>
    <w:rsid w:val="00E610F7"/>
    <w:rsid w:val="00E6117F"/>
    <w:rsid w:val="00E6125B"/>
    <w:rsid w:val="00E6136A"/>
    <w:rsid w:val="00E613D5"/>
    <w:rsid w:val="00E614B0"/>
    <w:rsid w:val="00E614DA"/>
    <w:rsid w:val="00E6155F"/>
    <w:rsid w:val="00E6156F"/>
    <w:rsid w:val="00E617BC"/>
    <w:rsid w:val="00E617BD"/>
    <w:rsid w:val="00E618CF"/>
    <w:rsid w:val="00E61902"/>
    <w:rsid w:val="00E61981"/>
    <w:rsid w:val="00E61A02"/>
    <w:rsid w:val="00E61A13"/>
    <w:rsid w:val="00E61ABA"/>
    <w:rsid w:val="00E61B4B"/>
    <w:rsid w:val="00E61B92"/>
    <w:rsid w:val="00E61B93"/>
    <w:rsid w:val="00E61BC5"/>
    <w:rsid w:val="00E61C3E"/>
    <w:rsid w:val="00E61D30"/>
    <w:rsid w:val="00E61DE1"/>
    <w:rsid w:val="00E61DEC"/>
    <w:rsid w:val="00E61E03"/>
    <w:rsid w:val="00E61EF4"/>
    <w:rsid w:val="00E61F3E"/>
    <w:rsid w:val="00E61F42"/>
    <w:rsid w:val="00E61F96"/>
    <w:rsid w:val="00E62131"/>
    <w:rsid w:val="00E62203"/>
    <w:rsid w:val="00E6233D"/>
    <w:rsid w:val="00E62347"/>
    <w:rsid w:val="00E6285D"/>
    <w:rsid w:val="00E6294F"/>
    <w:rsid w:val="00E62954"/>
    <w:rsid w:val="00E62A9D"/>
    <w:rsid w:val="00E62B35"/>
    <w:rsid w:val="00E62B6F"/>
    <w:rsid w:val="00E62C92"/>
    <w:rsid w:val="00E62D4B"/>
    <w:rsid w:val="00E62D6B"/>
    <w:rsid w:val="00E62E9F"/>
    <w:rsid w:val="00E62F86"/>
    <w:rsid w:val="00E630EF"/>
    <w:rsid w:val="00E63126"/>
    <w:rsid w:val="00E632C4"/>
    <w:rsid w:val="00E6330D"/>
    <w:rsid w:val="00E63372"/>
    <w:rsid w:val="00E633A3"/>
    <w:rsid w:val="00E634B7"/>
    <w:rsid w:val="00E6351F"/>
    <w:rsid w:val="00E635F5"/>
    <w:rsid w:val="00E63691"/>
    <w:rsid w:val="00E636AE"/>
    <w:rsid w:val="00E63753"/>
    <w:rsid w:val="00E63901"/>
    <w:rsid w:val="00E63AB9"/>
    <w:rsid w:val="00E63BAB"/>
    <w:rsid w:val="00E63D68"/>
    <w:rsid w:val="00E63DDF"/>
    <w:rsid w:val="00E63DF4"/>
    <w:rsid w:val="00E63E09"/>
    <w:rsid w:val="00E63E34"/>
    <w:rsid w:val="00E63E35"/>
    <w:rsid w:val="00E63E3E"/>
    <w:rsid w:val="00E63EC0"/>
    <w:rsid w:val="00E63ED6"/>
    <w:rsid w:val="00E63FB4"/>
    <w:rsid w:val="00E64044"/>
    <w:rsid w:val="00E64084"/>
    <w:rsid w:val="00E641D7"/>
    <w:rsid w:val="00E642F8"/>
    <w:rsid w:val="00E64368"/>
    <w:rsid w:val="00E643B9"/>
    <w:rsid w:val="00E643BA"/>
    <w:rsid w:val="00E643EE"/>
    <w:rsid w:val="00E644DC"/>
    <w:rsid w:val="00E6458D"/>
    <w:rsid w:val="00E645C2"/>
    <w:rsid w:val="00E6463D"/>
    <w:rsid w:val="00E646BD"/>
    <w:rsid w:val="00E646E0"/>
    <w:rsid w:val="00E646FC"/>
    <w:rsid w:val="00E6475F"/>
    <w:rsid w:val="00E6477D"/>
    <w:rsid w:val="00E64807"/>
    <w:rsid w:val="00E6488E"/>
    <w:rsid w:val="00E648C5"/>
    <w:rsid w:val="00E648C8"/>
    <w:rsid w:val="00E64960"/>
    <w:rsid w:val="00E64B64"/>
    <w:rsid w:val="00E64C6C"/>
    <w:rsid w:val="00E64C80"/>
    <w:rsid w:val="00E64CD6"/>
    <w:rsid w:val="00E64D05"/>
    <w:rsid w:val="00E64D7C"/>
    <w:rsid w:val="00E64FF1"/>
    <w:rsid w:val="00E650BB"/>
    <w:rsid w:val="00E6523C"/>
    <w:rsid w:val="00E6529C"/>
    <w:rsid w:val="00E653A7"/>
    <w:rsid w:val="00E653E4"/>
    <w:rsid w:val="00E65557"/>
    <w:rsid w:val="00E65602"/>
    <w:rsid w:val="00E65640"/>
    <w:rsid w:val="00E6569C"/>
    <w:rsid w:val="00E656A6"/>
    <w:rsid w:val="00E656D9"/>
    <w:rsid w:val="00E656EE"/>
    <w:rsid w:val="00E657B6"/>
    <w:rsid w:val="00E65850"/>
    <w:rsid w:val="00E658AE"/>
    <w:rsid w:val="00E658C9"/>
    <w:rsid w:val="00E65990"/>
    <w:rsid w:val="00E65A13"/>
    <w:rsid w:val="00E65A2B"/>
    <w:rsid w:val="00E65B25"/>
    <w:rsid w:val="00E65B99"/>
    <w:rsid w:val="00E65BC5"/>
    <w:rsid w:val="00E65C07"/>
    <w:rsid w:val="00E65E6B"/>
    <w:rsid w:val="00E65EB7"/>
    <w:rsid w:val="00E65F5D"/>
    <w:rsid w:val="00E65FB4"/>
    <w:rsid w:val="00E6616C"/>
    <w:rsid w:val="00E663CD"/>
    <w:rsid w:val="00E66423"/>
    <w:rsid w:val="00E66496"/>
    <w:rsid w:val="00E6653C"/>
    <w:rsid w:val="00E66574"/>
    <w:rsid w:val="00E6662C"/>
    <w:rsid w:val="00E666B0"/>
    <w:rsid w:val="00E666D5"/>
    <w:rsid w:val="00E666ED"/>
    <w:rsid w:val="00E66827"/>
    <w:rsid w:val="00E668D3"/>
    <w:rsid w:val="00E668FD"/>
    <w:rsid w:val="00E6691D"/>
    <w:rsid w:val="00E66A55"/>
    <w:rsid w:val="00E66A66"/>
    <w:rsid w:val="00E66B07"/>
    <w:rsid w:val="00E66B3F"/>
    <w:rsid w:val="00E66C6C"/>
    <w:rsid w:val="00E66C7D"/>
    <w:rsid w:val="00E66CB5"/>
    <w:rsid w:val="00E66D79"/>
    <w:rsid w:val="00E66D7F"/>
    <w:rsid w:val="00E66E1E"/>
    <w:rsid w:val="00E66EA0"/>
    <w:rsid w:val="00E66FAF"/>
    <w:rsid w:val="00E670CB"/>
    <w:rsid w:val="00E6723A"/>
    <w:rsid w:val="00E67242"/>
    <w:rsid w:val="00E6724B"/>
    <w:rsid w:val="00E672D1"/>
    <w:rsid w:val="00E67365"/>
    <w:rsid w:val="00E67370"/>
    <w:rsid w:val="00E673A9"/>
    <w:rsid w:val="00E674A3"/>
    <w:rsid w:val="00E67507"/>
    <w:rsid w:val="00E6760A"/>
    <w:rsid w:val="00E67695"/>
    <w:rsid w:val="00E6788F"/>
    <w:rsid w:val="00E6790D"/>
    <w:rsid w:val="00E67A3F"/>
    <w:rsid w:val="00E67A58"/>
    <w:rsid w:val="00E67AEC"/>
    <w:rsid w:val="00E67B69"/>
    <w:rsid w:val="00E67B90"/>
    <w:rsid w:val="00E67CBB"/>
    <w:rsid w:val="00E67DC0"/>
    <w:rsid w:val="00E67E68"/>
    <w:rsid w:val="00E67EA2"/>
    <w:rsid w:val="00E67F35"/>
    <w:rsid w:val="00E67F99"/>
    <w:rsid w:val="00E70090"/>
    <w:rsid w:val="00E700FF"/>
    <w:rsid w:val="00E70101"/>
    <w:rsid w:val="00E701BD"/>
    <w:rsid w:val="00E70228"/>
    <w:rsid w:val="00E70289"/>
    <w:rsid w:val="00E7038F"/>
    <w:rsid w:val="00E7039F"/>
    <w:rsid w:val="00E70481"/>
    <w:rsid w:val="00E704F2"/>
    <w:rsid w:val="00E7059F"/>
    <w:rsid w:val="00E706BC"/>
    <w:rsid w:val="00E706CA"/>
    <w:rsid w:val="00E70731"/>
    <w:rsid w:val="00E7078D"/>
    <w:rsid w:val="00E70910"/>
    <w:rsid w:val="00E709CA"/>
    <w:rsid w:val="00E709FC"/>
    <w:rsid w:val="00E70A09"/>
    <w:rsid w:val="00E70A79"/>
    <w:rsid w:val="00E70A86"/>
    <w:rsid w:val="00E70A89"/>
    <w:rsid w:val="00E70BA6"/>
    <w:rsid w:val="00E70BA7"/>
    <w:rsid w:val="00E70CAA"/>
    <w:rsid w:val="00E70E19"/>
    <w:rsid w:val="00E70F5A"/>
    <w:rsid w:val="00E710D5"/>
    <w:rsid w:val="00E710E6"/>
    <w:rsid w:val="00E71111"/>
    <w:rsid w:val="00E7114E"/>
    <w:rsid w:val="00E71184"/>
    <w:rsid w:val="00E711A1"/>
    <w:rsid w:val="00E711DA"/>
    <w:rsid w:val="00E71317"/>
    <w:rsid w:val="00E7133C"/>
    <w:rsid w:val="00E713AE"/>
    <w:rsid w:val="00E7149E"/>
    <w:rsid w:val="00E71546"/>
    <w:rsid w:val="00E71557"/>
    <w:rsid w:val="00E7159F"/>
    <w:rsid w:val="00E7160D"/>
    <w:rsid w:val="00E7162E"/>
    <w:rsid w:val="00E7177F"/>
    <w:rsid w:val="00E717A5"/>
    <w:rsid w:val="00E718A0"/>
    <w:rsid w:val="00E718A7"/>
    <w:rsid w:val="00E71964"/>
    <w:rsid w:val="00E719DB"/>
    <w:rsid w:val="00E71A9A"/>
    <w:rsid w:val="00E71B29"/>
    <w:rsid w:val="00E71C0C"/>
    <w:rsid w:val="00E71CDB"/>
    <w:rsid w:val="00E71D43"/>
    <w:rsid w:val="00E71E4D"/>
    <w:rsid w:val="00E71FFD"/>
    <w:rsid w:val="00E72009"/>
    <w:rsid w:val="00E720DF"/>
    <w:rsid w:val="00E720ED"/>
    <w:rsid w:val="00E720FE"/>
    <w:rsid w:val="00E721AE"/>
    <w:rsid w:val="00E72349"/>
    <w:rsid w:val="00E72400"/>
    <w:rsid w:val="00E724E5"/>
    <w:rsid w:val="00E7252B"/>
    <w:rsid w:val="00E7255C"/>
    <w:rsid w:val="00E7255F"/>
    <w:rsid w:val="00E7257C"/>
    <w:rsid w:val="00E7268F"/>
    <w:rsid w:val="00E726E3"/>
    <w:rsid w:val="00E72711"/>
    <w:rsid w:val="00E72784"/>
    <w:rsid w:val="00E7284F"/>
    <w:rsid w:val="00E728EE"/>
    <w:rsid w:val="00E728F8"/>
    <w:rsid w:val="00E728FA"/>
    <w:rsid w:val="00E7291A"/>
    <w:rsid w:val="00E72AB7"/>
    <w:rsid w:val="00E72ABB"/>
    <w:rsid w:val="00E72B77"/>
    <w:rsid w:val="00E72BC2"/>
    <w:rsid w:val="00E72C38"/>
    <w:rsid w:val="00E72C40"/>
    <w:rsid w:val="00E72D2F"/>
    <w:rsid w:val="00E72DA0"/>
    <w:rsid w:val="00E72E1C"/>
    <w:rsid w:val="00E72E5D"/>
    <w:rsid w:val="00E72E95"/>
    <w:rsid w:val="00E73019"/>
    <w:rsid w:val="00E73129"/>
    <w:rsid w:val="00E7316D"/>
    <w:rsid w:val="00E73279"/>
    <w:rsid w:val="00E732B8"/>
    <w:rsid w:val="00E732DF"/>
    <w:rsid w:val="00E7335B"/>
    <w:rsid w:val="00E73479"/>
    <w:rsid w:val="00E7360A"/>
    <w:rsid w:val="00E7361E"/>
    <w:rsid w:val="00E73671"/>
    <w:rsid w:val="00E73719"/>
    <w:rsid w:val="00E7372E"/>
    <w:rsid w:val="00E737D4"/>
    <w:rsid w:val="00E737FD"/>
    <w:rsid w:val="00E73833"/>
    <w:rsid w:val="00E738B4"/>
    <w:rsid w:val="00E7394E"/>
    <w:rsid w:val="00E73993"/>
    <w:rsid w:val="00E739F8"/>
    <w:rsid w:val="00E739FA"/>
    <w:rsid w:val="00E73A8C"/>
    <w:rsid w:val="00E73B0A"/>
    <w:rsid w:val="00E73B12"/>
    <w:rsid w:val="00E73B1A"/>
    <w:rsid w:val="00E73B2A"/>
    <w:rsid w:val="00E73B35"/>
    <w:rsid w:val="00E73BD3"/>
    <w:rsid w:val="00E73C1B"/>
    <w:rsid w:val="00E73C6F"/>
    <w:rsid w:val="00E73CFB"/>
    <w:rsid w:val="00E73DC8"/>
    <w:rsid w:val="00E73F41"/>
    <w:rsid w:val="00E73FA8"/>
    <w:rsid w:val="00E74021"/>
    <w:rsid w:val="00E74027"/>
    <w:rsid w:val="00E740EC"/>
    <w:rsid w:val="00E7416D"/>
    <w:rsid w:val="00E741E7"/>
    <w:rsid w:val="00E7428F"/>
    <w:rsid w:val="00E742CB"/>
    <w:rsid w:val="00E74419"/>
    <w:rsid w:val="00E74497"/>
    <w:rsid w:val="00E745F8"/>
    <w:rsid w:val="00E748A0"/>
    <w:rsid w:val="00E748F7"/>
    <w:rsid w:val="00E7497F"/>
    <w:rsid w:val="00E749DB"/>
    <w:rsid w:val="00E74B06"/>
    <w:rsid w:val="00E74B07"/>
    <w:rsid w:val="00E74B23"/>
    <w:rsid w:val="00E74B98"/>
    <w:rsid w:val="00E74C06"/>
    <w:rsid w:val="00E74CCE"/>
    <w:rsid w:val="00E74E81"/>
    <w:rsid w:val="00E74F02"/>
    <w:rsid w:val="00E74F1B"/>
    <w:rsid w:val="00E74F5C"/>
    <w:rsid w:val="00E74F75"/>
    <w:rsid w:val="00E74F95"/>
    <w:rsid w:val="00E74FB5"/>
    <w:rsid w:val="00E74FBF"/>
    <w:rsid w:val="00E7502D"/>
    <w:rsid w:val="00E7502F"/>
    <w:rsid w:val="00E7508C"/>
    <w:rsid w:val="00E75150"/>
    <w:rsid w:val="00E751B7"/>
    <w:rsid w:val="00E751E0"/>
    <w:rsid w:val="00E7524B"/>
    <w:rsid w:val="00E75321"/>
    <w:rsid w:val="00E75385"/>
    <w:rsid w:val="00E75465"/>
    <w:rsid w:val="00E7548D"/>
    <w:rsid w:val="00E754A5"/>
    <w:rsid w:val="00E7555D"/>
    <w:rsid w:val="00E755A1"/>
    <w:rsid w:val="00E755DE"/>
    <w:rsid w:val="00E756B8"/>
    <w:rsid w:val="00E75857"/>
    <w:rsid w:val="00E75867"/>
    <w:rsid w:val="00E75884"/>
    <w:rsid w:val="00E758DE"/>
    <w:rsid w:val="00E759B1"/>
    <w:rsid w:val="00E75AB5"/>
    <w:rsid w:val="00E75BC6"/>
    <w:rsid w:val="00E75CB0"/>
    <w:rsid w:val="00E75DA2"/>
    <w:rsid w:val="00E75DCF"/>
    <w:rsid w:val="00E75E82"/>
    <w:rsid w:val="00E75EA6"/>
    <w:rsid w:val="00E75EBA"/>
    <w:rsid w:val="00E75ED6"/>
    <w:rsid w:val="00E75F92"/>
    <w:rsid w:val="00E76082"/>
    <w:rsid w:val="00E760C1"/>
    <w:rsid w:val="00E760E3"/>
    <w:rsid w:val="00E76273"/>
    <w:rsid w:val="00E7628F"/>
    <w:rsid w:val="00E76335"/>
    <w:rsid w:val="00E7638F"/>
    <w:rsid w:val="00E763A6"/>
    <w:rsid w:val="00E764DD"/>
    <w:rsid w:val="00E7655C"/>
    <w:rsid w:val="00E765B4"/>
    <w:rsid w:val="00E765D8"/>
    <w:rsid w:val="00E76600"/>
    <w:rsid w:val="00E7661B"/>
    <w:rsid w:val="00E76625"/>
    <w:rsid w:val="00E76668"/>
    <w:rsid w:val="00E766EA"/>
    <w:rsid w:val="00E767EE"/>
    <w:rsid w:val="00E768A4"/>
    <w:rsid w:val="00E769DD"/>
    <w:rsid w:val="00E769DE"/>
    <w:rsid w:val="00E769F1"/>
    <w:rsid w:val="00E76A2A"/>
    <w:rsid w:val="00E76A64"/>
    <w:rsid w:val="00E76B77"/>
    <w:rsid w:val="00E76BBA"/>
    <w:rsid w:val="00E76BED"/>
    <w:rsid w:val="00E76BFA"/>
    <w:rsid w:val="00E76C92"/>
    <w:rsid w:val="00E76C9F"/>
    <w:rsid w:val="00E76D06"/>
    <w:rsid w:val="00E76D16"/>
    <w:rsid w:val="00E76D1E"/>
    <w:rsid w:val="00E76DDC"/>
    <w:rsid w:val="00E76DF7"/>
    <w:rsid w:val="00E76E00"/>
    <w:rsid w:val="00E76E4D"/>
    <w:rsid w:val="00E76F76"/>
    <w:rsid w:val="00E7701E"/>
    <w:rsid w:val="00E77036"/>
    <w:rsid w:val="00E77058"/>
    <w:rsid w:val="00E7706E"/>
    <w:rsid w:val="00E770FB"/>
    <w:rsid w:val="00E7718E"/>
    <w:rsid w:val="00E77251"/>
    <w:rsid w:val="00E773F3"/>
    <w:rsid w:val="00E77471"/>
    <w:rsid w:val="00E77520"/>
    <w:rsid w:val="00E77673"/>
    <w:rsid w:val="00E7769D"/>
    <w:rsid w:val="00E77796"/>
    <w:rsid w:val="00E77825"/>
    <w:rsid w:val="00E77930"/>
    <w:rsid w:val="00E77941"/>
    <w:rsid w:val="00E77A56"/>
    <w:rsid w:val="00E77A65"/>
    <w:rsid w:val="00E77AA1"/>
    <w:rsid w:val="00E77AA6"/>
    <w:rsid w:val="00E77BC9"/>
    <w:rsid w:val="00E77C2D"/>
    <w:rsid w:val="00E77C7F"/>
    <w:rsid w:val="00E77E31"/>
    <w:rsid w:val="00E77F47"/>
    <w:rsid w:val="00E80097"/>
    <w:rsid w:val="00E800AD"/>
    <w:rsid w:val="00E80126"/>
    <w:rsid w:val="00E80133"/>
    <w:rsid w:val="00E8017F"/>
    <w:rsid w:val="00E80209"/>
    <w:rsid w:val="00E8020F"/>
    <w:rsid w:val="00E804F1"/>
    <w:rsid w:val="00E80523"/>
    <w:rsid w:val="00E80537"/>
    <w:rsid w:val="00E805E0"/>
    <w:rsid w:val="00E805FA"/>
    <w:rsid w:val="00E80631"/>
    <w:rsid w:val="00E8066A"/>
    <w:rsid w:val="00E80682"/>
    <w:rsid w:val="00E807DB"/>
    <w:rsid w:val="00E80812"/>
    <w:rsid w:val="00E80965"/>
    <w:rsid w:val="00E80A57"/>
    <w:rsid w:val="00E80CD4"/>
    <w:rsid w:val="00E80CE8"/>
    <w:rsid w:val="00E80E82"/>
    <w:rsid w:val="00E80EB3"/>
    <w:rsid w:val="00E80F09"/>
    <w:rsid w:val="00E80F2C"/>
    <w:rsid w:val="00E80F99"/>
    <w:rsid w:val="00E80FDA"/>
    <w:rsid w:val="00E810B7"/>
    <w:rsid w:val="00E81128"/>
    <w:rsid w:val="00E8113F"/>
    <w:rsid w:val="00E8114C"/>
    <w:rsid w:val="00E811F1"/>
    <w:rsid w:val="00E81216"/>
    <w:rsid w:val="00E81230"/>
    <w:rsid w:val="00E81367"/>
    <w:rsid w:val="00E813E1"/>
    <w:rsid w:val="00E814A9"/>
    <w:rsid w:val="00E8165D"/>
    <w:rsid w:val="00E81660"/>
    <w:rsid w:val="00E81681"/>
    <w:rsid w:val="00E8169A"/>
    <w:rsid w:val="00E8169B"/>
    <w:rsid w:val="00E816C4"/>
    <w:rsid w:val="00E816FF"/>
    <w:rsid w:val="00E81790"/>
    <w:rsid w:val="00E819AC"/>
    <w:rsid w:val="00E819BF"/>
    <w:rsid w:val="00E81B9D"/>
    <w:rsid w:val="00E81C12"/>
    <w:rsid w:val="00E81CF2"/>
    <w:rsid w:val="00E82135"/>
    <w:rsid w:val="00E8216D"/>
    <w:rsid w:val="00E8219C"/>
    <w:rsid w:val="00E821C7"/>
    <w:rsid w:val="00E821D2"/>
    <w:rsid w:val="00E821DB"/>
    <w:rsid w:val="00E821FB"/>
    <w:rsid w:val="00E82235"/>
    <w:rsid w:val="00E82338"/>
    <w:rsid w:val="00E823D8"/>
    <w:rsid w:val="00E823E3"/>
    <w:rsid w:val="00E82442"/>
    <w:rsid w:val="00E824D8"/>
    <w:rsid w:val="00E82566"/>
    <w:rsid w:val="00E825F8"/>
    <w:rsid w:val="00E82616"/>
    <w:rsid w:val="00E82672"/>
    <w:rsid w:val="00E82776"/>
    <w:rsid w:val="00E8277F"/>
    <w:rsid w:val="00E827AE"/>
    <w:rsid w:val="00E82873"/>
    <w:rsid w:val="00E82A68"/>
    <w:rsid w:val="00E82B24"/>
    <w:rsid w:val="00E82B95"/>
    <w:rsid w:val="00E82CA9"/>
    <w:rsid w:val="00E82DAC"/>
    <w:rsid w:val="00E82E16"/>
    <w:rsid w:val="00E82E35"/>
    <w:rsid w:val="00E82E7D"/>
    <w:rsid w:val="00E82F20"/>
    <w:rsid w:val="00E82FB0"/>
    <w:rsid w:val="00E830EE"/>
    <w:rsid w:val="00E83132"/>
    <w:rsid w:val="00E83142"/>
    <w:rsid w:val="00E83276"/>
    <w:rsid w:val="00E83287"/>
    <w:rsid w:val="00E8329A"/>
    <w:rsid w:val="00E832DB"/>
    <w:rsid w:val="00E835B7"/>
    <w:rsid w:val="00E836B3"/>
    <w:rsid w:val="00E837D1"/>
    <w:rsid w:val="00E8389A"/>
    <w:rsid w:val="00E838C2"/>
    <w:rsid w:val="00E8391D"/>
    <w:rsid w:val="00E83962"/>
    <w:rsid w:val="00E83987"/>
    <w:rsid w:val="00E83A01"/>
    <w:rsid w:val="00E83A18"/>
    <w:rsid w:val="00E83B4F"/>
    <w:rsid w:val="00E83B5D"/>
    <w:rsid w:val="00E83D88"/>
    <w:rsid w:val="00E83E20"/>
    <w:rsid w:val="00E83EDB"/>
    <w:rsid w:val="00E83EE7"/>
    <w:rsid w:val="00E84031"/>
    <w:rsid w:val="00E84063"/>
    <w:rsid w:val="00E8413B"/>
    <w:rsid w:val="00E8416F"/>
    <w:rsid w:val="00E8417B"/>
    <w:rsid w:val="00E841DA"/>
    <w:rsid w:val="00E8423D"/>
    <w:rsid w:val="00E84240"/>
    <w:rsid w:val="00E842C7"/>
    <w:rsid w:val="00E8447E"/>
    <w:rsid w:val="00E8448B"/>
    <w:rsid w:val="00E8452B"/>
    <w:rsid w:val="00E84561"/>
    <w:rsid w:val="00E84639"/>
    <w:rsid w:val="00E84668"/>
    <w:rsid w:val="00E846B9"/>
    <w:rsid w:val="00E84959"/>
    <w:rsid w:val="00E849A8"/>
    <w:rsid w:val="00E84A3D"/>
    <w:rsid w:val="00E84AB9"/>
    <w:rsid w:val="00E84B04"/>
    <w:rsid w:val="00E84C03"/>
    <w:rsid w:val="00E84C2E"/>
    <w:rsid w:val="00E84CF2"/>
    <w:rsid w:val="00E84E1E"/>
    <w:rsid w:val="00E84F55"/>
    <w:rsid w:val="00E84F9A"/>
    <w:rsid w:val="00E8510B"/>
    <w:rsid w:val="00E8519B"/>
    <w:rsid w:val="00E851A7"/>
    <w:rsid w:val="00E851EB"/>
    <w:rsid w:val="00E85257"/>
    <w:rsid w:val="00E85356"/>
    <w:rsid w:val="00E85425"/>
    <w:rsid w:val="00E85496"/>
    <w:rsid w:val="00E854BC"/>
    <w:rsid w:val="00E854EE"/>
    <w:rsid w:val="00E85578"/>
    <w:rsid w:val="00E855E9"/>
    <w:rsid w:val="00E85607"/>
    <w:rsid w:val="00E85701"/>
    <w:rsid w:val="00E85733"/>
    <w:rsid w:val="00E85797"/>
    <w:rsid w:val="00E859F2"/>
    <w:rsid w:val="00E85A99"/>
    <w:rsid w:val="00E85B24"/>
    <w:rsid w:val="00E85C6B"/>
    <w:rsid w:val="00E85D08"/>
    <w:rsid w:val="00E85D2A"/>
    <w:rsid w:val="00E85D2E"/>
    <w:rsid w:val="00E85DD9"/>
    <w:rsid w:val="00E85E31"/>
    <w:rsid w:val="00E85E35"/>
    <w:rsid w:val="00E85E66"/>
    <w:rsid w:val="00E85E70"/>
    <w:rsid w:val="00E85E82"/>
    <w:rsid w:val="00E85F77"/>
    <w:rsid w:val="00E8610F"/>
    <w:rsid w:val="00E86271"/>
    <w:rsid w:val="00E862A4"/>
    <w:rsid w:val="00E862A8"/>
    <w:rsid w:val="00E8630B"/>
    <w:rsid w:val="00E86367"/>
    <w:rsid w:val="00E86390"/>
    <w:rsid w:val="00E86431"/>
    <w:rsid w:val="00E8650B"/>
    <w:rsid w:val="00E86512"/>
    <w:rsid w:val="00E8655E"/>
    <w:rsid w:val="00E865A1"/>
    <w:rsid w:val="00E86687"/>
    <w:rsid w:val="00E86760"/>
    <w:rsid w:val="00E86794"/>
    <w:rsid w:val="00E869CD"/>
    <w:rsid w:val="00E86AB5"/>
    <w:rsid w:val="00E86BEC"/>
    <w:rsid w:val="00E86C2F"/>
    <w:rsid w:val="00E86C84"/>
    <w:rsid w:val="00E86CB3"/>
    <w:rsid w:val="00E86D42"/>
    <w:rsid w:val="00E86DB5"/>
    <w:rsid w:val="00E87070"/>
    <w:rsid w:val="00E87072"/>
    <w:rsid w:val="00E87105"/>
    <w:rsid w:val="00E8712E"/>
    <w:rsid w:val="00E87157"/>
    <w:rsid w:val="00E8722A"/>
    <w:rsid w:val="00E87231"/>
    <w:rsid w:val="00E8725E"/>
    <w:rsid w:val="00E872BC"/>
    <w:rsid w:val="00E872E0"/>
    <w:rsid w:val="00E87553"/>
    <w:rsid w:val="00E87564"/>
    <w:rsid w:val="00E87587"/>
    <w:rsid w:val="00E87662"/>
    <w:rsid w:val="00E8769A"/>
    <w:rsid w:val="00E8773D"/>
    <w:rsid w:val="00E8775B"/>
    <w:rsid w:val="00E8780F"/>
    <w:rsid w:val="00E8782D"/>
    <w:rsid w:val="00E8782F"/>
    <w:rsid w:val="00E878C4"/>
    <w:rsid w:val="00E878D9"/>
    <w:rsid w:val="00E87908"/>
    <w:rsid w:val="00E87923"/>
    <w:rsid w:val="00E879C9"/>
    <w:rsid w:val="00E879FE"/>
    <w:rsid w:val="00E87A53"/>
    <w:rsid w:val="00E87AB9"/>
    <w:rsid w:val="00E87B1F"/>
    <w:rsid w:val="00E87B50"/>
    <w:rsid w:val="00E87BCC"/>
    <w:rsid w:val="00E87CF9"/>
    <w:rsid w:val="00E87D22"/>
    <w:rsid w:val="00E87DB3"/>
    <w:rsid w:val="00E87DD0"/>
    <w:rsid w:val="00E87F3D"/>
    <w:rsid w:val="00E87F8A"/>
    <w:rsid w:val="00E87FE3"/>
    <w:rsid w:val="00E900ED"/>
    <w:rsid w:val="00E90102"/>
    <w:rsid w:val="00E90146"/>
    <w:rsid w:val="00E90163"/>
    <w:rsid w:val="00E9020A"/>
    <w:rsid w:val="00E90281"/>
    <w:rsid w:val="00E9034E"/>
    <w:rsid w:val="00E90551"/>
    <w:rsid w:val="00E90576"/>
    <w:rsid w:val="00E9059F"/>
    <w:rsid w:val="00E906C7"/>
    <w:rsid w:val="00E906EE"/>
    <w:rsid w:val="00E90769"/>
    <w:rsid w:val="00E907AA"/>
    <w:rsid w:val="00E90879"/>
    <w:rsid w:val="00E9089F"/>
    <w:rsid w:val="00E9098F"/>
    <w:rsid w:val="00E90B0D"/>
    <w:rsid w:val="00E90BA5"/>
    <w:rsid w:val="00E90D01"/>
    <w:rsid w:val="00E90D66"/>
    <w:rsid w:val="00E90DD4"/>
    <w:rsid w:val="00E90F02"/>
    <w:rsid w:val="00E90F19"/>
    <w:rsid w:val="00E90F2E"/>
    <w:rsid w:val="00E910B8"/>
    <w:rsid w:val="00E910F8"/>
    <w:rsid w:val="00E91165"/>
    <w:rsid w:val="00E91286"/>
    <w:rsid w:val="00E9129A"/>
    <w:rsid w:val="00E912EC"/>
    <w:rsid w:val="00E91397"/>
    <w:rsid w:val="00E913AE"/>
    <w:rsid w:val="00E913CD"/>
    <w:rsid w:val="00E91592"/>
    <w:rsid w:val="00E9160E"/>
    <w:rsid w:val="00E91613"/>
    <w:rsid w:val="00E91623"/>
    <w:rsid w:val="00E9165B"/>
    <w:rsid w:val="00E9170F"/>
    <w:rsid w:val="00E91747"/>
    <w:rsid w:val="00E91771"/>
    <w:rsid w:val="00E9178F"/>
    <w:rsid w:val="00E9194A"/>
    <w:rsid w:val="00E91A98"/>
    <w:rsid w:val="00E91B11"/>
    <w:rsid w:val="00E91D21"/>
    <w:rsid w:val="00E91E2C"/>
    <w:rsid w:val="00E91EAD"/>
    <w:rsid w:val="00E91F53"/>
    <w:rsid w:val="00E92011"/>
    <w:rsid w:val="00E92036"/>
    <w:rsid w:val="00E920F7"/>
    <w:rsid w:val="00E92145"/>
    <w:rsid w:val="00E9217E"/>
    <w:rsid w:val="00E921E7"/>
    <w:rsid w:val="00E9232C"/>
    <w:rsid w:val="00E9236F"/>
    <w:rsid w:val="00E9242E"/>
    <w:rsid w:val="00E925E6"/>
    <w:rsid w:val="00E92655"/>
    <w:rsid w:val="00E927B1"/>
    <w:rsid w:val="00E92800"/>
    <w:rsid w:val="00E9281C"/>
    <w:rsid w:val="00E92862"/>
    <w:rsid w:val="00E92A07"/>
    <w:rsid w:val="00E92A0A"/>
    <w:rsid w:val="00E92A4D"/>
    <w:rsid w:val="00E92A66"/>
    <w:rsid w:val="00E92AF6"/>
    <w:rsid w:val="00E92C43"/>
    <w:rsid w:val="00E92D1F"/>
    <w:rsid w:val="00E92D9F"/>
    <w:rsid w:val="00E92E20"/>
    <w:rsid w:val="00E92EA3"/>
    <w:rsid w:val="00E92EA4"/>
    <w:rsid w:val="00E9315D"/>
    <w:rsid w:val="00E9334D"/>
    <w:rsid w:val="00E933BC"/>
    <w:rsid w:val="00E933DD"/>
    <w:rsid w:val="00E93455"/>
    <w:rsid w:val="00E93496"/>
    <w:rsid w:val="00E934ED"/>
    <w:rsid w:val="00E93758"/>
    <w:rsid w:val="00E93819"/>
    <w:rsid w:val="00E93857"/>
    <w:rsid w:val="00E9388F"/>
    <w:rsid w:val="00E938A8"/>
    <w:rsid w:val="00E938F0"/>
    <w:rsid w:val="00E9397B"/>
    <w:rsid w:val="00E93A84"/>
    <w:rsid w:val="00E93AA1"/>
    <w:rsid w:val="00E93AEA"/>
    <w:rsid w:val="00E93B42"/>
    <w:rsid w:val="00E93B5E"/>
    <w:rsid w:val="00E93BF1"/>
    <w:rsid w:val="00E93E09"/>
    <w:rsid w:val="00E93E2C"/>
    <w:rsid w:val="00E93E4D"/>
    <w:rsid w:val="00E93E55"/>
    <w:rsid w:val="00E93EA6"/>
    <w:rsid w:val="00E93F6D"/>
    <w:rsid w:val="00E93FA0"/>
    <w:rsid w:val="00E93FDB"/>
    <w:rsid w:val="00E940A4"/>
    <w:rsid w:val="00E940B2"/>
    <w:rsid w:val="00E94294"/>
    <w:rsid w:val="00E942D3"/>
    <w:rsid w:val="00E943B1"/>
    <w:rsid w:val="00E943BE"/>
    <w:rsid w:val="00E94411"/>
    <w:rsid w:val="00E94452"/>
    <w:rsid w:val="00E94453"/>
    <w:rsid w:val="00E9458F"/>
    <w:rsid w:val="00E945BF"/>
    <w:rsid w:val="00E9462B"/>
    <w:rsid w:val="00E94677"/>
    <w:rsid w:val="00E947AA"/>
    <w:rsid w:val="00E948B3"/>
    <w:rsid w:val="00E948BE"/>
    <w:rsid w:val="00E94B6A"/>
    <w:rsid w:val="00E94C1A"/>
    <w:rsid w:val="00E94CC6"/>
    <w:rsid w:val="00E94D8D"/>
    <w:rsid w:val="00E94E96"/>
    <w:rsid w:val="00E94E9E"/>
    <w:rsid w:val="00E94F11"/>
    <w:rsid w:val="00E95203"/>
    <w:rsid w:val="00E95280"/>
    <w:rsid w:val="00E952A6"/>
    <w:rsid w:val="00E95368"/>
    <w:rsid w:val="00E9541D"/>
    <w:rsid w:val="00E95473"/>
    <w:rsid w:val="00E95496"/>
    <w:rsid w:val="00E9552A"/>
    <w:rsid w:val="00E955BE"/>
    <w:rsid w:val="00E95701"/>
    <w:rsid w:val="00E958EE"/>
    <w:rsid w:val="00E95920"/>
    <w:rsid w:val="00E95A2A"/>
    <w:rsid w:val="00E95ABC"/>
    <w:rsid w:val="00E95B0F"/>
    <w:rsid w:val="00E95C3C"/>
    <w:rsid w:val="00E95C50"/>
    <w:rsid w:val="00E95D09"/>
    <w:rsid w:val="00E95D29"/>
    <w:rsid w:val="00E95D37"/>
    <w:rsid w:val="00E95D9E"/>
    <w:rsid w:val="00E95F40"/>
    <w:rsid w:val="00E95F47"/>
    <w:rsid w:val="00E95FDD"/>
    <w:rsid w:val="00E960A3"/>
    <w:rsid w:val="00E961F0"/>
    <w:rsid w:val="00E96319"/>
    <w:rsid w:val="00E9635A"/>
    <w:rsid w:val="00E96376"/>
    <w:rsid w:val="00E9642D"/>
    <w:rsid w:val="00E96442"/>
    <w:rsid w:val="00E96480"/>
    <w:rsid w:val="00E96577"/>
    <w:rsid w:val="00E96666"/>
    <w:rsid w:val="00E966A7"/>
    <w:rsid w:val="00E966C8"/>
    <w:rsid w:val="00E9676B"/>
    <w:rsid w:val="00E967AA"/>
    <w:rsid w:val="00E96803"/>
    <w:rsid w:val="00E968A2"/>
    <w:rsid w:val="00E968F5"/>
    <w:rsid w:val="00E9691D"/>
    <w:rsid w:val="00E96950"/>
    <w:rsid w:val="00E969B7"/>
    <w:rsid w:val="00E969BF"/>
    <w:rsid w:val="00E969D9"/>
    <w:rsid w:val="00E96AF8"/>
    <w:rsid w:val="00E96B20"/>
    <w:rsid w:val="00E96BEB"/>
    <w:rsid w:val="00E96BF5"/>
    <w:rsid w:val="00E96C95"/>
    <w:rsid w:val="00E96CCB"/>
    <w:rsid w:val="00E96F82"/>
    <w:rsid w:val="00E970D3"/>
    <w:rsid w:val="00E970DE"/>
    <w:rsid w:val="00E971F0"/>
    <w:rsid w:val="00E9728C"/>
    <w:rsid w:val="00E9738E"/>
    <w:rsid w:val="00E97397"/>
    <w:rsid w:val="00E975E9"/>
    <w:rsid w:val="00E976F9"/>
    <w:rsid w:val="00E97720"/>
    <w:rsid w:val="00E97837"/>
    <w:rsid w:val="00E9787D"/>
    <w:rsid w:val="00E9792C"/>
    <w:rsid w:val="00E9799A"/>
    <w:rsid w:val="00E979CC"/>
    <w:rsid w:val="00E97A85"/>
    <w:rsid w:val="00E97AE2"/>
    <w:rsid w:val="00E97AEC"/>
    <w:rsid w:val="00E97B09"/>
    <w:rsid w:val="00E97C11"/>
    <w:rsid w:val="00E97DBD"/>
    <w:rsid w:val="00E97E80"/>
    <w:rsid w:val="00E97F68"/>
    <w:rsid w:val="00EA011F"/>
    <w:rsid w:val="00EA0225"/>
    <w:rsid w:val="00EA03E5"/>
    <w:rsid w:val="00EA04C0"/>
    <w:rsid w:val="00EA0574"/>
    <w:rsid w:val="00EA05F6"/>
    <w:rsid w:val="00EA0633"/>
    <w:rsid w:val="00EA081A"/>
    <w:rsid w:val="00EA08A4"/>
    <w:rsid w:val="00EA0AF0"/>
    <w:rsid w:val="00EA0B6B"/>
    <w:rsid w:val="00EA0B75"/>
    <w:rsid w:val="00EA0B87"/>
    <w:rsid w:val="00EA0C81"/>
    <w:rsid w:val="00EA0CC7"/>
    <w:rsid w:val="00EA0D27"/>
    <w:rsid w:val="00EA0D49"/>
    <w:rsid w:val="00EA0D54"/>
    <w:rsid w:val="00EA0DC6"/>
    <w:rsid w:val="00EA1072"/>
    <w:rsid w:val="00EA10B7"/>
    <w:rsid w:val="00EA10C5"/>
    <w:rsid w:val="00EA13AD"/>
    <w:rsid w:val="00EA13FF"/>
    <w:rsid w:val="00EA1498"/>
    <w:rsid w:val="00EA14B3"/>
    <w:rsid w:val="00EA172E"/>
    <w:rsid w:val="00EA17F2"/>
    <w:rsid w:val="00EA185F"/>
    <w:rsid w:val="00EA1913"/>
    <w:rsid w:val="00EA195D"/>
    <w:rsid w:val="00EA1CEB"/>
    <w:rsid w:val="00EA1DCA"/>
    <w:rsid w:val="00EA1DFB"/>
    <w:rsid w:val="00EA1DFD"/>
    <w:rsid w:val="00EA1E26"/>
    <w:rsid w:val="00EA1EF3"/>
    <w:rsid w:val="00EA1EFD"/>
    <w:rsid w:val="00EA1F2B"/>
    <w:rsid w:val="00EA203E"/>
    <w:rsid w:val="00EA20DA"/>
    <w:rsid w:val="00EA20E7"/>
    <w:rsid w:val="00EA2163"/>
    <w:rsid w:val="00EA2189"/>
    <w:rsid w:val="00EA219E"/>
    <w:rsid w:val="00EA21FF"/>
    <w:rsid w:val="00EA2218"/>
    <w:rsid w:val="00EA22E4"/>
    <w:rsid w:val="00EA2327"/>
    <w:rsid w:val="00EA2350"/>
    <w:rsid w:val="00EA2378"/>
    <w:rsid w:val="00EA2409"/>
    <w:rsid w:val="00EA251D"/>
    <w:rsid w:val="00EA2562"/>
    <w:rsid w:val="00EA2583"/>
    <w:rsid w:val="00EA25AC"/>
    <w:rsid w:val="00EA25B3"/>
    <w:rsid w:val="00EA25E6"/>
    <w:rsid w:val="00EA269B"/>
    <w:rsid w:val="00EA269E"/>
    <w:rsid w:val="00EA2702"/>
    <w:rsid w:val="00EA29DE"/>
    <w:rsid w:val="00EA2A0B"/>
    <w:rsid w:val="00EA2A14"/>
    <w:rsid w:val="00EA2A94"/>
    <w:rsid w:val="00EA2AA0"/>
    <w:rsid w:val="00EA2AEB"/>
    <w:rsid w:val="00EA2B70"/>
    <w:rsid w:val="00EA2BBC"/>
    <w:rsid w:val="00EA2F6D"/>
    <w:rsid w:val="00EA3070"/>
    <w:rsid w:val="00EA3155"/>
    <w:rsid w:val="00EA3164"/>
    <w:rsid w:val="00EA317B"/>
    <w:rsid w:val="00EA3205"/>
    <w:rsid w:val="00EA3244"/>
    <w:rsid w:val="00EA3316"/>
    <w:rsid w:val="00EA3359"/>
    <w:rsid w:val="00EA33E9"/>
    <w:rsid w:val="00EA34E3"/>
    <w:rsid w:val="00EA360D"/>
    <w:rsid w:val="00EA3653"/>
    <w:rsid w:val="00EA36FF"/>
    <w:rsid w:val="00EA374F"/>
    <w:rsid w:val="00EA37B9"/>
    <w:rsid w:val="00EA38DA"/>
    <w:rsid w:val="00EA39B6"/>
    <w:rsid w:val="00EA3A21"/>
    <w:rsid w:val="00EA3A80"/>
    <w:rsid w:val="00EA3B59"/>
    <w:rsid w:val="00EA3C36"/>
    <w:rsid w:val="00EA3D08"/>
    <w:rsid w:val="00EA3D78"/>
    <w:rsid w:val="00EA3D8A"/>
    <w:rsid w:val="00EA3DB1"/>
    <w:rsid w:val="00EA3DC4"/>
    <w:rsid w:val="00EA3DDF"/>
    <w:rsid w:val="00EA3E06"/>
    <w:rsid w:val="00EA3E3C"/>
    <w:rsid w:val="00EA3E3D"/>
    <w:rsid w:val="00EA3FE8"/>
    <w:rsid w:val="00EA4001"/>
    <w:rsid w:val="00EA4020"/>
    <w:rsid w:val="00EA41B6"/>
    <w:rsid w:val="00EA4337"/>
    <w:rsid w:val="00EA4436"/>
    <w:rsid w:val="00EA4515"/>
    <w:rsid w:val="00EA4537"/>
    <w:rsid w:val="00EA467A"/>
    <w:rsid w:val="00EA467F"/>
    <w:rsid w:val="00EA4681"/>
    <w:rsid w:val="00EA4725"/>
    <w:rsid w:val="00EA4784"/>
    <w:rsid w:val="00EA4795"/>
    <w:rsid w:val="00EA47A3"/>
    <w:rsid w:val="00EA47A5"/>
    <w:rsid w:val="00EA47F3"/>
    <w:rsid w:val="00EA4970"/>
    <w:rsid w:val="00EA49F5"/>
    <w:rsid w:val="00EA4A45"/>
    <w:rsid w:val="00EA4ABC"/>
    <w:rsid w:val="00EA4ADC"/>
    <w:rsid w:val="00EA4AF1"/>
    <w:rsid w:val="00EA4D45"/>
    <w:rsid w:val="00EA4D53"/>
    <w:rsid w:val="00EA4D63"/>
    <w:rsid w:val="00EA4DAE"/>
    <w:rsid w:val="00EA4DE7"/>
    <w:rsid w:val="00EA4F91"/>
    <w:rsid w:val="00EA4FF2"/>
    <w:rsid w:val="00EA51C6"/>
    <w:rsid w:val="00EA51DB"/>
    <w:rsid w:val="00EA5277"/>
    <w:rsid w:val="00EA5283"/>
    <w:rsid w:val="00EA5321"/>
    <w:rsid w:val="00EA53CD"/>
    <w:rsid w:val="00EA53F2"/>
    <w:rsid w:val="00EA545B"/>
    <w:rsid w:val="00EA5516"/>
    <w:rsid w:val="00EA560E"/>
    <w:rsid w:val="00EA5655"/>
    <w:rsid w:val="00EA56EB"/>
    <w:rsid w:val="00EA57D1"/>
    <w:rsid w:val="00EA57DA"/>
    <w:rsid w:val="00EA57FB"/>
    <w:rsid w:val="00EA5905"/>
    <w:rsid w:val="00EA5972"/>
    <w:rsid w:val="00EA5A69"/>
    <w:rsid w:val="00EA5AE9"/>
    <w:rsid w:val="00EA5B5E"/>
    <w:rsid w:val="00EA5C06"/>
    <w:rsid w:val="00EA5D55"/>
    <w:rsid w:val="00EA5DE9"/>
    <w:rsid w:val="00EA5E26"/>
    <w:rsid w:val="00EA6194"/>
    <w:rsid w:val="00EA61F8"/>
    <w:rsid w:val="00EA62CE"/>
    <w:rsid w:val="00EA6367"/>
    <w:rsid w:val="00EA63CE"/>
    <w:rsid w:val="00EA644B"/>
    <w:rsid w:val="00EA645B"/>
    <w:rsid w:val="00EA6492"/>
    <w:rsid w:val="00EA64E1"/>
    <w:rsid w:val="00EA65FD"/>
    <w:rsid w:val="00EA661A"/>
    <w:rsid w:val="00EA66F7"/>
    <w:rsid w:val="00EA675E"/>
    <w:rsid w:val="00EA67A9"/>
    <w:rsid w:val="00EA67B9"/>
    <w:rsid w:val="00EA67EA"/>
    <w:rsid w:val="00EA68C7"/>
    <w:rsid w:val="00EA6ACB"/>
    <w:rsid w:val="00EA6AE6"/>
    <w:rsid w:val="00EA6C38"/>
    <w:rsid w:val="00EA6C91"/>
    <w:rsid w:val="00EA6CA7"/>
    <w:rsid w:val="00EA6CEA"/>
    <w:rsid w:val="00EA6DF8"/>
    <w:rsid w:val="00EA6EE3"/>
    <w:rsid w:val="00EA70B8"/>
    <w:rsid w:val="00EA7160"/>
    <w:rsid w:val="00EA716A"/>
    <w:rsid w:val="00EA7195"/>
    <w:rsid w:val="00EA71E2"/>
    <w:rsid w:val="00EA730A"/>
    <w:rsid w:val="00EA7321"/>
    <w:rsid w:val="00EA732C"/>
    <w:rsid w:val="00EA746F"/>
    <w:rsid w:val="00EA7474"/>
    <w:rsid w:val="00EA74FD"/>
    <w:rsid w:val="00EA75E8"/>
    <w:rsid w:val="00EA75E9"/>
    <w:rsid w:val="00EA763C"/>
    <w:rsid w:val="00EA76AF"/>
    <w:rsid w:val="00EA770C"/>
    <w:rsid w:val="00EA7719"/>
    <w:rsid w:val="00EA77C9"/>
    <w:rsid w:val="00EA783A"/>
    <w:rsid w:val="00EA7905"/>
    <w:rsid w:val="00EA7965"/>
    <w:rsid w:val="00EA79CD"/>
    <w:rsid w:val="00EA7A2B"/>
    <w:rsid w:val="00EA7AF2"/>
    <w:rsid w:val="00EA7B24"/>
    <w:rsid w:val="00EA7BBD"/>
    <w:rsid w:val="00EA7C05"/>
    <w:rsid w:val="00EA7CF9"/>
    <w:rsid w:val="00EA7D41"/>
    <w:rsid w:val="00EA7E28"/>
    <w:rsid w:val="00EA7E49"/>
    <w:rsid w:val="00EA7ED7"/>
    <w:rsid w:val="00EB0001"/>
    <w:rsid w:val="00EB00CD"/>
    <w:rsid w:val="00EB00D0"/>
    <w:rsid w:val="00EB0190"/>
    <w:rsid w:val="00EB0385"/>
    <w:rsid w:val="00EB043A"/>
    <w:rsid w:val="00EB04F8"/>
    <w:rsid w:val="00EB0514"/>
    <w:rsid w:val="00EB0542"/>
    <w:rsid w:val="00EB0568"/>
    <w:rsid w:val="00EB05EF"/>
    <w:rsid w:val="00EB0652"/>
    <w:rsid w:val="00EB0CB5"/>
    <w:rsid w:val="00EB0D01"/>
    <w:rsid w:val="00EB0D42"/>
    <w:rsid w:val="00EB0D70"/>
    <w:rsid w:val="00EB0DFC"/>
    <w:rsid w:val="00EB0E3A"/>
    <w:rsid w:val="00EB0EAC"/>
    <w:rsid w:val="00EB0EB7"/>
    <w:rsid w:val="00EB0F5A"/>
    <w:rsid w:val="00EB0F6F"/>
    <w:rsid w:val="00EB1006"/>
    <w:rsid w:val="00EB1080"/>
    <w:rsid w:val="00EB109D"/>
    <w:rsid w:val="00EB1240"/>
    <w:rsid w:val="00EB137D"/>
    <w:rsid w:val="00EB13C7"/>
    <w:rsid w:val="00EB15D4"/>
    <w:rsid w:val="00EB18A1"/>
    <w:rsid w:val="00EB18E1"/>
    <w:rsid w:val="00EB1A30"/>
    <w:rsid w:val="00EB1A80"/>
    <w:rsid w:val="00EB1B49"/>
    <w:rsid w:val="00EB1B91"/>
    <w:rsid w:val="00EB1BC2"/>
    <w:rsid w:val="00EB1C5D"/>
    <w:rsid w:val="00EB1CB9"/>
    <w:rsid w:val="00EB1D7D"/>
    <w:rsid w:val="00EB1DF8"/>
    <w:rsid w:val="00EB1E2F"/>
    <w:rsid w:val="00EB1EF0"/>
    <w:rsid w:val="00EB1EF3"/>
    <w:rsid w:val="00EB1F38"/>
    <w:rsid w:val="00EB2024"/>
    <w:rsid w:val="00EB2204"/>
    <w:rsid w:val="00EB2345"/>
    <w:rsid w:val="00EB2394"/>
    <w:rsid w:val="00EB247F"/>
    <w:rsid w:val="00EB24AB"/>
    <w:rsid w:val="00EB2515"/>
    <w:rsid w:val="00EB252B"/>
    <w:rsid w:val="00EB2625"/>
    <w:rsid w:val="00EB276F"/>
    <w:rsid w:val="00EB29C5"/>
    <w:rsid w:val="00EB2A30"/>
    <w:rsid w:val="00EB2A7E"/>
    <w:rsid w:val="00EB2BC8"/>
    <w:rsid w:val="00EB2BD0"/>
    <w:rsid w:val="00EB2C39"/>
    <w:rsid w:val="00EB2E4B"/>
    <w:rsid w:val="00EB2E6C"/>
    <w:rsid w:val="00EB2F96"/>
    <w:rsid w:val="00EB3146"/>
    <w:rsid w:val="00EB3159"/>
    <w:rsid w:val="00EB3190"/>
    <w:rsid w:val="00EB32E1"/>
    <w:rsid w:val="00EB33AF"/>
    <w:rsid w:val="00EB33D1"/>
    <w:rsid w:val="00EB3500"/>
    <w:rsid w:val="00EB3526"/>
    <w:rsid w:val="00EB354D"/>
    <w:rsid w:val="00EB3560"/>
    <w:rsid w:val="00EB369A"/>
    <w:rsid w:val="00EB375C"/>
    <w:rsid w:val="00EB3770"/>
    <w:rsid w:val="00EB37C1"/>
    <w:rsid w:val="00EB3828"/>
    <w:rsid w:val="00EB383D"/>
    <w:rsid w:val="00EB3865"/>
    <w:rsid w:val="00EB3875"/>
    <w:rsid w:val="00EB394D"/>
    <w:rsid w:val="00EB39C1"/>
    <w:rsid w:val="00EB3B80"/>
    <w:rsid w:val="00EB3CB3"/>
    <w:rsid w:val="00EB3CFB"/>
    <w:rsid w:val="00EB3D1B"/>
    <w:rsid w:val="00EB3E11"/>
    <w:rsid w:val="00EB3E32"/>
    <w:rsid w:val="00EB3EA9"/>
    <w:rsid w:val="00EB3EB5"/>
    <w:rsid w:val="00EB3F82"/>
    <w:rsid w:val="00EB3FC5"/>
    <w:rsid w:val="00EB3FEB"/>
    <w:rsid w:val="00EB408E"/>
    <w:rsid w:val="00EB40DE"/>
    <w:rsid w:val="00EB41CE"/>
    <w:rsid w:val="00EB4221"/>
    <w:rsid w:val="00EB4359"/>
    <w:rsid w:val="00EB4567"/>
    <w:rsid w:val="00EB46EB"/>
    <w:rsid w:val="00EB4812"/>
    <w:rsid w:val="00EB4838"/>
    <w:rsid w:val="00EB487D"/>
    <w:rsid w:val="00EB4A4B"/>
    <w:rsid w:val="00EB4A65"/>
    <w:rsid w:val="00EB4B52"/>
    <w:rsid w:val="00EB4BD8"/>
    <w:rsid w:val="00EB4C0F"/>
    <w:rsid w:val="00EB4C13"/>
    <w:rsid w:val="00EB4CA2"/>
    <w:rsid w:val="00EB4DA5"/>
    <w:rsid w:val="00EB4EFE"/>
    <w:rsid w:val="00EB4F59"/>
    <w:rsid w:val="00EB4F5F"/>
    <w:rsid w:val="00EB4FA5"/>
    <w:rsid w:val="00EB4FE0"/>
    <w:rsid w:val="00EB5062"/>
    <w:rsid w:val="00EB506D"/>
    <w:rsid w:val="00EB508E"/>
    <w:rsid w:val="00EB512D"/>
    <w:rsid w:val="00EB524E"/>
    <w:rsid w:val="00EB5298"/>
    <w:rsid w:val="00EB53AB"/>
    <w:rsid w:val="00EB53CB"/>
    <w:rsid w:val="00EB541A"/>
    <w:rsid w:val="00EB5449"/>
    <w:rsid w:val="00EB54B6"/>
    <w:rsid w:val="00EB5534"/>
    <w:rsid w:val="00EB5563"/>
    <w:rsid w:val="00EB55B2"/>
    <w:rsid w:val="00EB5610"/>
    <w:rsid w:val="00EB56F2"/>
    <w:rsid w:val="00EB5727"/>
    <w:rsid w:val="00EB5737"/>
    <w:rsid w:val="00EB57C9"/>
    <w:rsid w:val="00EB580C"/>
    <w:rsid w:val="00EB583B"/>
    <w:rsid w:val="00EB5B23"/>
    <w:rsid w:val="00EB5CF6"/>
    <w:rsid w:val="00EB5E3D"/>
    <w:rsid w:val="00EB5E5E"/>
    <w:rsid w:val="00EB5E97"/>
    <w:rsid w:val="00EB5F0B"/>
    <w:rsid w:val="00EB5F99"/>
    <w:rsid w:val="00EB60E6"/>
    <w:rsid w:val="00EB61B8"/>
    <w:rsid w:val="00EB61D4"/>
    <w:rsid w:val="00EB629B"/>
    <w:rsid w:val="00EB639B"/>
    <w:rsid w:val="00EB64F4"/>
    <w:rsid w:val="00EB650C"/>
    <w:rsid w:val="00EB654B"/>
    <w:rsid w:val="00EB65CB"/>
    <w:rsid w:val="00EB66FA"/>
    <w:rsid w:val="00EB6873"/>
    <w:rsid w:val="00EB687B"/>
    <w:rsid w:val="00EB691C"/>
    <w:rsid w:val="00EB6940"/>
    <w:rsid w:val="00EB695C"/>
    <w:rsid w:val="00EB69D0"/>
    <w:rsid w:val="00EB6A24"/>
    <w:rsid w:val="00EB6ABE"/>
    <w:rsid w:val="00EB6C16"/>
    <w:rsid w:val="00EB6CB1"/>
    <w:rsid w:val="00EB6D6A"/>
    <w:rsid w:val="00EB6D79"/>
    <w:rsid w:val="00EB6E94"/>
    <w:rsid w:val="00EB6ED8"/>
    <w:rsid w:val="00EB6FF0"/>
    <w:rsid w:val="00EB7123"/>
    <w:rsid w:val="00EB7147"/>
    <w:rsid w:val="00EB717C"/>
    <w:rsid w:val="00EB718E"/>
    <w:rsid w:val="00EB721A"/>
    <w:rsid w:val="00EB730A"/>
    <w:rsid w:val="00EB742C"/>
    <w:rsid w:val="00EB742D"/>
    <w:rsid w:val="00EB7496"/>
    <w:rsid w:val="00EB7530"/>
    <w:rsid w:val="00EB75F4"/>
    <w:rsid w:val="00EB75FC"/>
    <w:rsid w:val="00EB7645"/>
    <w:rsid w:val="00EB7660"/>
    <w:rsid w:val="00EB768F"/>
    <w:rsid w:val="00EB78A3"/>
    <w:rsid w:val="00EB78E1"/>
    <w:rsid w:val="00EB78FC"/>
    <w:rsid w:val="00EB7947"/>
    <w:rsid w:val="00EB79B7"/>
    <w:rsid w:val="00EB7B1D"/>
    <w:rsid w:val="00EB7BF8"/>
    <w:rsid w:val="00EB7C32"/>
    <w:rsid w:val="00EB7C8A"/>
    <w:rsid w:val="00EB7CA1"/>
    <w:rsid w:val="00EB7D4E"/>
    <w:rsid w:val="00EB7DB6"/>
    <w:rsid w:val="00EB7DBC"/>
    <w:rsid w:val="00EB7DD0"/>
    <w:rsid w:val="00EB7E93"/>
    <w:rsid w:val="00EB7E9B"/>
    <w:rsid w:val="00EB7FA1"/>
    <w:rsid w:val="00EC00FF"/>
    <w:rsid w:val="00EC011B"/>
    <w:rsid w:val="00EC012E"/>
    <w:rsid w:val="00EC0150"/>
    <w:rsid w:val="00EC018F"/>
    <w:rsid w:val="00EC01FA"/>
    <w:rsid w:val="00EC02FF"/>
    <w:rsid w:val="00EC037A"/>
    <w:rsid w:val="00EC0462"/>
    <w:rsid w:val="00EC0477"/>
    <w:rsid w:val="00EC04C3"/>
    <w:rsid w:val="00EC04D5"/>
    <w:rsid w:val="00EC07D8"/>
    <w:rsid w:val="00EC0842"/>
    <w:rsid w:val="00EC090A"/>
    <w:rsid w:val="00EC092F"/>
    <w:rsid w:val="00EC09EF"/>
    <w:rsid w:val="00EC0A02"/>
    <w:rsid w:val="00EC0B38"/>
    <w:rsid w:val="00EC0B66"/>
    <w:rsid w:val="00EC0BE0"/>
    <w:rsid w:val="00EC0C1D"/>
    <w:rsid w:val="00EC0C2E"/>
    <w:rsid w:val="00EC0DA4"/>
    <w:rsid w:val="00EC0DE8"/>
    <w:rsid w:val="00EC0E57"/>
    <w:rsid w:val="00EC0EE9"/>
    <w:rsid w:val="00EC0F68"/>
    <w:rsid w:val="00EC1019"/>
    <w:rsid w:val="00EC10E3"/>
    <w:rsid w:val="00EC111D"/>
    <w:rsid w:val="00EC13D4"/>
    <w:rsid w:val="00EC14EC"/>
    <w:rsid w:val="00EC151A"/>
    <w:rsid w:val="00EC15D7"/>
    <w:rsid w:val="00EC165C"/>
    <w:rsid w:val="00EC16AE"/>
    <w:rsid w:val="00EC17F0"/>
    <w:rsid w:val="00EC1A68"/>
    <w:rsid w:val="00EC1C06"/>
    <w:rsid w:val="00EC1C4E"/>
    <w:rsid w:val="00EC1C5D"/>
    <w:rsid w:val="00EC1C7D"/>
    <w:rsid w:val="00EC1D23"/>
    <w:rsid w:val="00EC1D9F"/>
    <w:rsid w:val="00EC1E3C"/>
    <w:rsid w:val="00EC1F8F"/>
    <w:rsid w:val="00EC1FE4"/>
    <w:rsid w:val="00EC20AC"/>
    <w:rsid w:val="00EC2101"/>
    <w:rsid w:val="00EC210E"/>
    <w:rsid w:val="00EC2153"/>
    <w:rsid w:val="00EC220A"/>
    <w:rsid w:val="00EC2345"/>
    <w:rsid w:val="00EC2407"/>
    <w:rsid w:val="00EC2424"/>
    <w:rsid w:val="00EC2428"/>
    <w:rsid w:val="00EC26F5"/>
    <w:rsid w:val="00EC27C5"/>
    <w:rsid w:val="00EC284F"/>
    <w:rsid w:val="00EC286C"/>
    <w:rsid w:val="00EC28FA"/>
    <w:rsid w:val="00EC2A10"/>
    <w:rsid w:val="00EC2A70"/>
    <w:rsid w:val="00EC2AA2"/>
    <w:rsid w:val="00EC2AAC"/>
    <w:rsid w:val="00EC2B0F"/>
    <w:rsid w:val="00EC2C32"/>
    <w:rsid w:val="00EC2D1C"/>
    <w:rsid w:val="00EC2DA2"/>
    <w:rsid w:val="00EC2E04"/>
    <w:rsid w:val="00EC30AE"/>
    <w:rsid w:val="00EC30DA"/>
    <w:rsid w:val="00EC3135"/>
    <w:rsid w:val="00EC31ED"/>
    <w:rsid w:val="00EC32DC"/>
    <w:rsid w:val="00EC3325"/>
    <w:rsid w:val="00EC3463"/>
    <w:rsid w:val="00EC34C6"/>
    <w:rsid w:val="00EC35E9"/>
    <w:rsid w:val="00EC3622"/>
    <w:rsid w:val="00EC3637"/>
    <w:rsid w:val="00EC367B"/>
    <w:rsid w:val="00EC3707"/>
    <w:rsid w:val="00EC3736"/>
    <w:rsid w:val="00EC374A"/>
    <w:rsid w:val="00EC37E1"/>
    <w:rsid w:val="00EC391B"/>
    <w:rsid w:val="00EC392C"/>
    <w:rsid w:val="00EC3AA2"/>
    <w:rsid w:val="00EC3ABE"/>
    <w:rsid w:val="00EC3B3E"/>
    <w:rsid w:val="00EC3B73"/>
    <w:rsid w:val="00EC3C1A"/>
    <w:rsid w:val="00EC3D43"/>
    <w:rsid w:val="00EC3D79"/>
    <w:rsid w:val="00EC3E12"/>
    <w:rsid w:val="00EC3F5B"/>
    <w:rsid w:val="00EC3FDC"/>
    <w:rsid w:val="00EC3FE1"/>
    <w:rsid w:val="00EC4096"/>
    <w:rsid w:val="00EC4098"/>
    <w:rsid w:val="00EC4137"/>
    <w:rsid w:val="00EC4155"/>
    <w:rsid w:val="00EC4190"/>
    <w:rsid w:val="00EC41E4"/>
    <w:rsid w:val="00EC42E4"/>
    <w:rsid w:val="00EC43BD"/>
    <w:rsid w:val="00EC44C5"/>
    <w:rsid w:val="00EC4534"/>
    <w:rsid w:val="00EC45B7"/>
    <w:rsid w:val="00EC45CD"/>
    <w:rsid w:val="00EC4600"/>
    <w:rsid w:val="00EC46F4"/>
    <w:rsid w:val="00EC4814"/>
    <w:rsid w:val="00EC486C"/>
    <w:rsid w:val="00EC48AA"/>
    <w:rsid w:val="00EC4A82"/>
    <w:rsid w:val="00EC4AFC"/>
    <w:rsid w:val="00EC4B3E"/>
    <w:rsid w:val="00EC4B45"/>
    <w:rsid w:val="00EC4B56"/>
    <w:rsid w:val="00EC4D06"/>
    <w:rsid w:val="00EC4D0F"/>
    <w:rsid w:val="00EC4DD7"/>
    <w:rsid w:val="00EC4E07"/>
    <w:rsid w:val="00EC4E6C"/>
    <w:rsid w:val="00EC4EEC"/>
    <w:rsid w:val="00EC4F24"/>
    <w:rsid w:val="00EC50AF"/>
    <w:rsid w:val="00EC513A"/>
    <w:rsid w:val="00EC5221"/>
    <w:rsid w:val="00EC53B3"/>
    <w:rsid w:val="00EC53D1"/>
    <w:rsid w:val="00EC53D7"/>
    <w:rsid w:val="00EC548F"/>
    <w:rsid w:val="00EC5593"/>
    <w:rsid w:val="00EC5699"/>
    <w:rsid w:val="00EC56C9"/>
    <w:rsid w:val="00EC56D4"/>
    <w:rsid w:val="00EC5726"/>
    <w:rsid w:val="00EC573C"/>
    <w:rsid w:val="00EC5758"/>
    <w:rsid w:val="00EC5A1C"/>
    <w:rsid w:val="00EC5A2C"/>
    <w:rsid w:val="00EC5A40"/>
    <w:rsid w:val="00EC5B46"/>
    <w:rsid w:val="00EC5B65"/>
    <w:rsid w:val="00EC5BE2"/>
    <w:rsid w:val="00EC5C20"/>
    <w:rsid w:val="00EC5C45"/>
    <w:rsid w:val="00EC5C56"/>
    <w:rsid w:val="00EC5CA7"/>
    <w:rsid w:val="00EC5CDD"/>
    <w:rsid w:val="00EC5DCF"/>
    <w:rsid w:val="00EC5DE9"/>
    <w:rsid w:val="00EC5E9C"/>
    <w:rsid w:val="00EC5FAE"/>
    <w:rsid w:val="00EC5FF7"/>
    <w:rsid w:val="00EC602F"/>
    <w:rsid w:val="00EC6111"/>
    <w:rsid w:val="00EC6239"/>
    <w:rsid w:val="00EC624C"/>
    <w:rsid w:val="00EC62B8"/>
    <w:rsid w:val="00EC640E"/>
    <w:rsid w:val="00EC64B9"/>
    <w:rsid w:val="00EC64F5"/>
    <w:rsid w:val="00EC6519"/>
    <w:rsid w:val="00EC65CB"/>
    <w:rsid w:val="00EC65ED"/>
    <w:rsid w:val="00EC6689"/>
    <w:rsid w:val="00EC6691"/>
    <w:rsid w:val="00EC66C3"/>
    <w:rsid w:val="00EC66CB"/>
    <w:rsid w:val="00EC67FA"/>
    <w:rsid w:val="00EC68AE"/>
    <w:rsid w:val="00EC6AC4"/>
    <w:rsid w:val="00EC6B90"/>
    <w:rsid w:val="00EC6C6C"/>
    <w:rsid w:val="00EC6D31"/>
    <w:rsid w:val="00EC6DE4"/>
    <w:rsid w:val="00EC6E9E"/>
    <w:rsid w:val="00EC6EB2"/>
    <w:rsid w:val="00EC70B1"/>
    <w:rsid w:val="00EC7194"/>
    <w:rsid w:val="00EC719F"/>
    <w:rsid w:val="00EC73DB"/>
    <w:rsid w:val="00EC744F"/>
    <w:rsid w:val="00EC75A5"/>
    <w:rsid w:val="00EC75BD"/>
    <w:rsid w:val="00EC75F6"/>
    <w:rsid w:val="00EC767B"/>
    <w:rsid w:val="00EC7694"/>
    <w:rsid w:val="00EC7809"/>
    <w:rsid w:val="00EC7829"/>
    <w:rsid w:val="00EC786B"/>
    <w:rsid w:val="00EC788C"/>
    <w:rsid w:val="00EC78D9"/>
    <w:rsid w:val="00EC7909"/>
    <w:rsid w:val="00EC7923"/>
    <w:rsid w:val="00EC7924"/>
    <w:rsid w:val="00EC79AA"/>
    <w:rsid w:val="00EC79ED"/>
    <w:rsid w:val="00EC7BEF"/>
    <w:rsid w:val="00EC7C64"/>
    <w:rsid w:val="00EC7E2D"/>
    <w:rsid w:val="00EC7FDE"/>
    <w:rsid w:val="00ED0170"/>
    <w:rsid w:val="00ED019D"/>
    <w:rsid w:val="00ED01EB"/>
    <w:rsid w:val="00ED03DD"/>
    <w:rsid w:val="00ED03F4"/>
    <w:rsid w:val="00ED05C4"/>
    <w:rsid w:val="00ED0676"/>
    <w:rsid w:val="00ED0715"/>
    <w:rsid w:val="00ED0727"/>
    <w:rsid w:val="00ED0798"/>
    <w:rsid w:val="00ED07D6"/>
    <w:rsid w:val="00ED08A4"/>
    <w:rsid w:val="00ED08A8"/>
    <w:rsid w:val="00ED0946"/>
    <w:rsid w:val="00ED09CB"/>
    <w:rsid w:val="00ED09EB"/>
    <w:rsid w:val="00ED0ADA"/>
    <w:rsid w:val="00ED0B5C"/>
    <w:rsid w:val="00ED0B66"/>
    <w:rsid w:val="00ED0B68"/>
    <w:rsid w:val="00ED0BDF"/>
    <w:rsid w:val="00ED0C2C"/>
    <w:rsid w:val="00ED0CFB"/>
    <w:rsid w:val="00ED0D8C"/>
    <w:rsid w:val="00ED0E24"/>
    <w:rsid w:val="00ED0EC1"/>
    <w:rsid w:val="00ED0EE1"/>
    <w:rsid w:val="00ED0F10"/>
    <w:rsid w:val="00ED0F49"/>
    <w:rsid w:val="00ED0F70"/>
    <w:rsid w:val="00ED107D"/>
    <w:rsid w:val="00ED10AD"/>
    <w:rsid w:val="00ED1114"/>
    <w:rsid w:val="00ED1192"/>
    <w:rsid w:val="00ED11A5"/>
    <w:rsid w:val="00ED11A8"/>
    <w:rsid w:val="00ED127F"/>
    <w:rsid w:val="00ED12D0"/>
    <w:rsid w:val="00ED1380"/>
    <w:rsid w:val="00ED14E3"/>
    <w:rsid w:val="00ED158C"/>
    <w:rsid w:val="00ED15B4"/>
    <w:rsid w:val="00ED15C4"/>
    <w:rsid w:val="00ED15CE"/>
    <w:rsid w:val="00ED160B"/>
    <w:rsid w:val="00ED1644"/>
    <w:rsid w:val="00ED1678"/>
    <w:rsid w:val="00ED1784"/>
    <w:rsid w:val="00ED179C"/>
    <w:rsid w:val="00ED1827"/>
    <w:rsid w:val="00ED18E1"/>
    <w:rsid w:val="00ED199C"/>
    <w:rsid w:val="00ED19E0"/>
    <w:rsid w:val="00ED1A1D"/>
    <w:rsid w:val="00ED1B83"/>
    <w:rsid w:val="00ED1BA3"/>
    <w:rsid w:val="00ED1BA9"/>
    <w:rsid w:val="00ED1BAE"/>
    <w:rsid w:val="00ED1BEA"/>
    <w:rsid w:val="00ED1CF2"/>
    <w:rsid w:val="00ED1D36"/>
    <w:rsid w:val="00ED1D72"/>
    <w:rsid w:val="00ED1E2C"/>
    <w:rsid w:val="00ED1F41"/>
    <w:rsid w:val="00ED1FB7"/>
    <w:rsid w:val="00ED20ED"/>
    <w:rsid w:val="00ED21D9"/>
    <w:rsid w:val="00ED227B"/>
    <w:rsid w:val="00ED229A"/>
    <w:rsid w:val="00ED230C"/>
    <w:rsid w:val="00ED2357"/>
    <w:rsid w:val="00ED23BE"/>
    <w:rsid w:val="00ED23D3"/>
    <w:rsid w:val="00ED258B"/>
    <w:rsid w:val="00ED2599"/>
    <w:rsid w:val="00ED2621"/>
    <w:rsid w:val="00ED265A"/>
    <w:rsid w:val="00ED2702"/>
    <w:rsid w:val="00ED2794"/>
    <w:rsid w:val="00ED299A"/>
    <w:rsid w:val="00ED2A3B"/>
    <w:rsid w:val="00ED2A92"/>
    <w:rsid w:val="00ED2BFF"/>
    <w:rsid w:val="00ED2C4E"/>
    <w:rsid w:val="00ED2C89"/>
    <w:rsid w:val="00ED2D1F"/>
    <w:rsid w:val="00ED2D25"/>
    <w:rsid w:val="00ED2D81"/>
    <w:rsid w:val="00ED2D9B"/>
    <w:rsid w:val="00ED2EE4"/>
    <w:rsid w:val="00ED2FFD"/>
    <w:rsid w:val="00ED3093"/>
    <w:rsid w:val="00ED314B"/>
    <w:rsid w:val="00ED31CE"/>
    <w:rsid w:val="00ED32E0"/>
    <w:rsid w:val="00ED3302"/>
    <w:rsid w:val="00ED33BC"/>
    <w:rsid w:val="00ED33FD"/>
    <w:rsid w:val="00ED34AE"/>
    <w:rsid w:val="00ED35D4"/>
    <w:rsid w:val="00ED361E"/>
    <w:rsid w:val="00ED3624"/>
    <w:rsid w:val="00ED377D"/>
    <w:rsid w:val="00ED37DB"/>
    <w:rsid w:val="00ED37ED"/>
    <w:rsid w:val="00ED395D"/>
    <w:rsid w:val="00ED3972"/>
    <w:rsid w:val="00ED3C1D"/>
    <w:rsid w:val="00ED3DCA"/>
    <w:rsid w:val="00ED3F4D"/>
    <w:rsid w:val="00ED3F9C"/>
    <w:rsid w:val="00ED4204"/>
    <w:rsid w:val="00ED436C"/>
    <w:rsid w:val="00ED4375"/>
    <w:rsid w:val="00ED43E9"/>
    <w:rsid w:val="00ED45BE"/>
    <w:rsid w:val="00ED45C6"/>
    <w:rsid w:val="00ED460D"/>
    <w:rsid w:val="00ED47DA"/>
    <w:rsid w:val="00ED48BA"/>
    <w:rsid w:val="00ED4948"/>
    <w:rsid w:val="00ED4A15"/>
    <w:rsid w:val="00ED4A5D"/>
    <w:rsid w:val="00ED4A61"/>
    <w:rsid w:val="00ED4B54"/>
    <w:rsid w:val="00ED4BC6"/>
    <w:rsid w:val="00ED4CD0"/>
    <w:rsid w:val="00ED4D94"/>
    <w:rsid w:val="00ED4DEF"/>
    <w:rsid w:val="00ED4E7E"/>
    <w:rsid w:val="00ED4EA6"/>
    <w:rsid w:val="00ED4EBB"/>
    <w:rsid w:val="00ED4F18"/>
    <w:rsid w:val="00ED4F53"/>
    <w:rsid w:val="00ED4FFE"/>
    <w:rsid w:val="00ED50D9"/>
    <w:rsid w:val="00ED5159"/>
    <w:rsid w:val="00ED5299"/>
    <w:rsid w:val="00ED5411"/>
    <w:rsid w:val="00ED5432"/>
    <w:rsid w:val="00ED54B0"/>
    <w:rsid w:val="00ED5511"/>
    <w:rsid w:val="00ED5566"/>
    <w:rsid w:val="00ED5575"/>
    <w:rsid w:val="00ED55C1"/>
    <w:rsid w:val="00ED55DD"/>
    <w:rsid w:val="00ED55FA"/>
    <w:rsid w:val="00ED5648"/>
    <w:rsid w:val="00ED5770"/>
    <w:rsid w:val="00ED5819"/>
    <w:rsid w:val="00ED5860"/>
    <w:rsid w:val="00ED589B"/>
    <w:rsid w:val="00ED58F6"/>
    <w:rsid w:val="00ED5927"/>
    <w:rsid w:val="00ED5960"/>
    <w:rsid w:val="00ED5970"/>
    <w:rsid w:val="00ED59BC"/>
    <w:rsid w:val="00ED5A35"/>
    <w:rsid w:val="00ED5A60"/>
    <w:rsid w:val="00ED5BAE"/>
    <w:rsid w:val="00ED5C80"/>
    <w:rsid w:val="00ED5CF9"/>
    <w:rsid w:val="00ED5DFA"/>
    <w:rsid w:val="00ED5E60"/>
    <w:rsid w:val="00ED5E9D"/>
    <w:rsid w:val="00ED605A"/>
    <w:rsid w:val="00ED6076"/>
    <w:rsid w:val="00ED62B5"/>
    <w:rsid w:val="00ED62E3"/>
    <w:rsid w:val="00ED64F1"/>
    <w:rsid w:val="00ED65E8"/>
    <w:rsid w:val="00ED664F"/>
    <w:rsid w:val="00ED666F"/>
    <w:rsid w:val="00ED6671"/>
    <w:rsid w:val="00ED6687"/>
    <w:rsid w:val="00ED6709"/>
    <w:rsid w:val="00ED6724"/>
    <w:rsid w:val="00ED6943"/>
    <w:rsid w:val="00ED69F3"/>
    <w:rsid w:val="00ED6AD7"/>
    <w:rsid w:val="00ED6B12"/>
    <w:rsid w:val="00ED6B86"/>
    <w:rsid w:val="00ED6C2E"/>
    <w:rsid w:val="00ED6C41"/>
    <w:rsid w:val="00ED6CDE"/>
    <w:rsid w:val="00ED6D5F"/>
    <w:rsid w:val="00ED6DA7"/>
    <w:rsid w:val="00ED6DE7"/>
    <w:rsid w:val="00ED7129"/>
    <w:rsid w:val="00ED7180"/>
    <w:rsid w:val="00ED71AF"/>
    <w:rsid w:val="00ED71DE"/>
    <w:rsid w:val="00ED723B"/>
    <w:rsid w:val="00ED7280"/>
    <w:rsid w:val="00ED72BE"/>
    <w:rsid w:val="00ED72F7"/>
    <w:rsid w:val="00ED7336"/>
    <w:rsid w:val="00ED74AC"/>
    <w:rsid w:val="00ED74CC"/>
    <w:rsid w:val="00ED74CF"/>
    <w:rsid w:val="00ED758D"/>
    <w:rsid w:val="00ED75BA"/>
    <w:rsid w:val="00ED75ED"/>
    <w:rsid w:val="00ED7837"/>
    <w:rsid w:val="00ED783C"/>
    <w:rsid w:val="00ED78C3"/>
    <w:rsid w:val="00ED7914"/>
    <w:rsid w:val="00ED7AD8"/>
    <w:rsid w:val="00ED7CFF"/>
    <w:rsid w:val="00ED7D2B"/>
    <w:rsid w:val="00ED7D8E"/>
    <w:rsid w:val="00ED7DD0"/>
    <w:rsid w:val="00ED7E36"/>
    <w:rsid w:val="00EE003C"/>
    <w:rsid w:val="00EE0111"/>
    <w:rsid w:val="00EE012A"/>
    <w:rsid w:val="00EE0137"/>
    <w:rsid w:val="00EE018D"/>
    <w:rsid w:val="00EE019B"/>
    <w:rsid w:val="00EE01A6"/>
    <w:rsid w:val="00EE01B7"/>
    <w:rsid w:val="00EE0208"/>
    <w:rsid w:val="00EE020C"/>
    <w:rsid w:val="00EE0254"/>
    <w:rsid w:val="00EE026F"/>
    <w:rsid w:val="00EE027B"/>
    <w:rsid w:val="00EE02D5"/>
    <w:rsid w:val="00EE03A4"/>
    <w:rsid w:val="00EE0537"/>
    <w:rsid w:val="00EE055A"/>
    <w:rsid w:val="00EE05DC"/>
    <w:rsid w:val="00EE069C"/>
    <w:rsid w:val="00EE090E"/>
    <w:rsid w:val="00EE090F"/>
    <w:rsid w:val="00EE0937"/>
    <w:rsid w:val="00EE096B"/>
    <w:rsid w:val="00EE0A6F"/>
    <w:rsid w:val="00EE0AA7"/>
    <w:rsid w:val="00EE0B49"/>
    <w:rsid w:val="00EE0BBD"/>
    <w:rsid w:val="00EE0BFC"/>
    <w:rsid w:val="00EE0C47"/>
    <w:rsid w:val="00EE0C80"/>
    <w:rsid w:val="00EE0C84"/>
    <w:rsid w:val="00EE0CEB"/>
    <w:rsid w:val="00EE0D32"/>
    <w:rsid w:val="00EE0DD4"/>
    <w:rsid w:val="00EE0DFD"/>
    <w:rsid w:val="00EE0E58"/>
    <w:rsid w:val="00EE0F4F"/>
    <w:rsid w:val="00EE0FF9"/>
    <w:rsid w:val="00EE1013"/>
    <w:rsid w:val="00EE1093"/>
    <w:rsid w:val="00EE115B"/>
    <w:rsid w:val="00EE12A4"/>
    <w:rsid w:val="00EE12E8"/>
    <w:rsid w:val="00EE1319"/>
    <w:rsid w:val="00EE136B"/>
    <w:rsid w:val="00EE13A5"/>
    <w:rsid w:val="00EE13E2"/>
    <w:rsid w:val="00EE1524"/>
    <w:rsid w:val="00EE1581"/>
    <w:rsid w:val="00EE1672"/>
    <w:rsid w:val="00EE16A8"/>
    <w:rsid w:val="00EE1738"/>
    <w:rsid w:val="00EE1899"/>
    <w:rsid w:val="00EE1A11"/>
    <w:rsid w:val="00EE1A8A"/>
    <w:rsid w:val="00EE1D0C"/>
    <w:rsid w:val="00EE1E34"/>
    <w:rsid w:val="00EE1E6F"/>
    <w:rsid w:val="00EE1EBB"/>
    <w:rsid w:val="00EE20D1"/>
    <w:rsid w:val="00EE2107"/>
    <w:rsid w:val="00EE22DA"/>
    <w:rsid w:val="00EE22F7"/>
    <w:rsid w:val="00EE2400"/>
    <w:rsid w:val="00EE2478"/>
    <w:rsid w:val="00EE251B"/>
    <w:rsid w:val="00EE253B"/>
    <w:rsid w:val="00EE266C"/>
    <w:rsid w:val="00EE26AF"/>
    <w:rsid w:val="00EE2728"/>
    <w:rsid w:val="00EE27C4"/>
    <w:rsid w:val="00EE286C"/>
    <w:rsid w:val="00EE28CC"/>
    <w:rsid w:val="00EE2964"/>
    <w:rsid w:val="00EE2A7D"/>
    <w:rsid w:val="00EE2A8C"/>
    <w:rsid w:val="00EE2CB2"/>
    <w:rsid w:val="00EE2D58"/>
    <w:rsid w:val="00EE2DCE"/>
    <w:rsid w:val="00EE2E07"/>
    <w:rsid w:val="00EE2E33"/>
    <w:rsid w:val="00EE2E95"/>
    <w:rsid w:val="00EE2F99"/>
    <w:rsid w:val="00EE30DB"/>
    <w:rsid w:val="00EE31BD"/>
    <w:rsid w:val="00EE31E0"/>
    <w:rsid w:val="00EE32A6"/>
    <w:rsid w:val="00EE32DA"/>
    <w:rsid w:val="00EE3303"/>
    <w:rsid w:val="00EE3375"/>
    <w:rsid w:val="00EE33CA"/>
    <w:rsid w:val="00EE342F"/>
    <w:rsid w:val="00EE3574"/>
    <w:rsid w:val="00EE357E"/>
    <w:rsid w:val="00EE35CC"/>
    <w:rsid w:val="00EE363C"/>
    <w:rsid w:val="00EE36B1"/>
    <w:rsid w:val="00EE36B7"/>
    <w:rsid w:val="00EE36BD"/>
    <w:rsid w:val="00EE3917"/>
    <w:rsid w:val="00EE3941"/>
    <w:rsid w:val="00EE39F5"/>
    <w:rsid w:val="00EE3A5C"/>
    <w:rsid w:val="00EE3AC3"/>
    <w:rsid w:val="00EE3AE8"/>
    <w:rsid w:val="00EE3C0B"/>
    <w:rsid w:val="00EE3C9B"/>
    <w:rsid w:val="00EE3C9C"/>
    <w:rsid w:val="00EE3CCC"/>
    <w:rsid w:val="00EE3ECC"/>
    <w:rsid w:val="00EE3F3C"/>
    <w:rsid w:val="00EE407B"/>
    <w:rsid w:val="00EE40DF"/>
    <w:rsid w:val="00EE4158"/>
    <w:rsid w:val="00EE4221"/>
    <w:rsid w:val="00EE42B0"/>
    <w:rsid w:val="00EE42B7"/>
    <w:rsid w:val="00EE432D"/>
    <w:rsid w:val="00EE45F7"/>
    <w:rsid w:val="00EE46D4"/>
    <w:rsid w:val="00EE472C"/>
    <w:rsid w:val="00EE4741"/>
    <w:rsid w:val="00EE4771"/>
    <w:rsid w:val="00EE47CC"/>
    <w:rsid w:val="00EE47FD"/>
    <w:rsid w:val="00EE485A"/>
    <w:rsid w:val="00EE4881"/>
    <w:rsid w:val="00EE48BB"/>
    <w:rsid w:val="00EE4930"/>
    <w:rsid w:val="00EE4965"/>
    <w:rsid w:val="00EE4970"/>
    <w:rsid w:val="00EE4BFF"/>
    <w:rsid w:val="00EE4CFF"/>
    <w:rsid w:val="00EE4DE0"/>
    <w:rsid w:val="00EE4E50"/>
    <w:rsid w:val="00EE4EE1"/>
    <w:rsid w:val="00EE4F45"/>
    <w:rsid w:val="00EE4F93"/>
    <w:rsid w:val="00EE4FC4"/>
    <w:rsid w:val="00EE5005"/>
    <w:rsid w:val="00EE50AC"/>
    <w:rsid w:val="00EE510B"/>
    <w:rsid w:val="00EE5151"/>
    <w:rsid w:val="00EE5159"/>
    <w:rsid w:val="00EE5266"/>
    <w:rsid w:val="00EE52BD"/>
    <w:rsid w:val="00EE5354"/>
    <w:rsid w:val="00EE5372"/>
    <w:rsid w:val="00EE5477"/>
    <w:rsid w:val="00EE5575"/>
    <w:rsid w:val="00EE5613"/>
    <w:rsid w:val="00EE56D1"/>
    <w:rsid w:val="00EE5721"/>
    <w:rsid w:val="00EE587F"/>
    <w:rsid w:val="00EE58ED"/>
    <w:rsid w:val="00EE5A77"/>
    <w:rsid w:val="00EE5AE2"/>
    <w:rsid w:val="00EE5C9B"/>
    <w:rsid w:val="00EE5CF4"/>
    <w:rsid w:val="00EE5E38"/>
    <w:rsid w:val="00EE5E45"/>
    <w:rsid w:val="00EE5EAD"/>
    <w:rsid w:val="00EE605E"/>
    <w:rsid w:val="00EE609B"/>
    <w:rsid w:val="00EE6187"/>
    <w:rsid w:val="00EE6191"/>
    <w:rsid w:val="00EE61B0"/>
    <w:rsid w:val="00EE61DB"/>
    <w:rsid w:val="00EE6371"/>
    <w:rsid w:val="00EE6471"/>
    <w:rsid w:val="00EE64BE"/>
    <w:rsid w:val="00EE64E5"/>
    <w:rsid w:val="00EE6548"/>
    <w:rsid w:val="00EE6569"/>
    <w:rsid w:val="00EE657C"/>
    <w:rsid w:val="00EE659C"/>
    <w:rsid w:val="00EE6609"/>
    <w:rsid w:val="00EE6693"/>
    <w:rsid w:val="00EE68D1"/>
    <w:rsid w:val="00EE68F3"/>
    <w:rsid w:val="00EE6911"/>
    <w:rsid w:val="00EE69EE"/>
    <w:rsid w:val="00EE6A84"/>
    <w:rsid w:val="00EE6B29"/>
    <w:rsid w:val="00EE6B6E"/>
    <w:rsid w:val="00EE6D04"/>
    <w:rsid w:val="00EE6D30"/>
    <w:rsid w:val="00EE6DAF"/>
    <w:rsid w:val="00EE6DCB"/>
    <w:rsid w:val="00EE6DEA"/>
    <w:rsid w:val="00EE6EB7"/>
    <w:rsid w:val="00EE6F66"/>
    <w:rsid w:val="00EE6F85"/>
    <w:rsid w:val="00EE70A1"/>
    <w:rsid w:val="00EE7103"/>
    <w:rsid w:val="00EE7221"/>
    <w:rsid w:val="00EE7294"/>
    <w:rsid w:val="00EE73F5"/>
    <w:rsid w:val="00EE75E9"/>
    <w:rsid w:val="00EE7605"/>
    <w:rsid w:val="00EE7668"/>
    <w:rsid w:val="00EE77F6"/>
    <w:rsid w:val="00EE7904"/>
    <w:rsid w:val="00EE794D"/>
    <w:rsid w:val="00EE79B6"/>
    <w:rsid w:val="00EE7B5E"/>
    <w:rsid w:val="00EE7BB7"/>
    <w:rsid w:val="00EE7CF1"/>
    <w:rsid w:val="00EE7E7D"/>
    <w:rsid w:val="00EE7F70"/>
    <w:rsid w:val="00EE7FB4"/>
    <w:rsid w:val="00EF000B"/>
    <w:rsid w:val="00EF0181"/>
    <w:rsid w:val="00EF02D6"/>
    <w:rsid w:val="00EF02F3"/>
    <w:rsid w:val="00EF0328"/>
    <w:rsid w:val="00EF040D"/>
    <w:rsid w:val="00EF0451"/>
    <w:rsid w:val="00EF047E"/>
    <w:rsid w:val="00EF04AF"/>
    <w:rsid w:val="00EF053C"/>
    <w:rsid w:val="00EF0568"/>
    <w:rsid w:val="00EF05D5"/>
    <w:rsid w:val="00EF06F1"/>
    <w:rsid w:val="00EF0711"/>
    <w:rsid w:val="00EF0714"/>
    <w:rsid w:val="00EF074C"/>
    <w:rsid w:val="00EF07A9"/>
    <w:rsid w:val="00EF07B9"/>
    <w:rsid w:val="00EF07BA"/>
    <w:rsid w:val="00EF07D2"/>
    <w:rsid w:val="00EF0AF7"/>
    <w:rsid w:val="00EF0B13"/>
    <w:rsid w:val="00EF0DE0"/>
    <w:rsid w:val="00EF0E31"/>
    <w:rsid w:val="00EF0FCE"/>
    <w:rsid w:val="00EF106E"/>
    <w:rsid w:val="00EF106F"/>
    <w:rsid w:val="00EF1089"/>
    <w:rsid w:val="00EF10E3"/>
    <w:rsid w:val="00EF10F4"/>
    <w:rsid w:val="00EF1273"/>
    <w:rsid w:val="00EF1328"/>
    <w:rsid w:val="00EF138F"/>
    <w:rsid w:val="00EF1459"/>
    <w:rsid w:val="00EF15FE"/>
    <w:rsid w:val="00EF1721"/>
    <w:rsid w:val="00EF1749"/>
    <w:rsid w:val="00EF1771"/>
    <w:rsid w:val="00EF1926"/>
    <w:rsid w:val="00EF1A55"/>
    <w:rsid w:val="00EF1A77"/>
    <w:rsid w:val="00EF1B4E"/>
    <w:rsid w:val="00EF1B68"/>
    <w:rsid w:val="00EF1BA0"/>
    <w:rsid w:val="00EF1BE3"/>
    <w:rsid w:val="00EF1C08"/>
    <w:rsid w:val="00EF1C0D"/>
    <w:rsid w:val="00EF1C38"/>
    <w:rsid w:val="00EF1CAC"/>
    <w:rsid w:val="00EF1E69"/>
    <w:rsid w:val="00EF1EA4"/>
    <w:rsid w:val="00EF1F3D"/>
    <w:rsid w:val="00EF2053"/>
    <w:rsid w:val="00EF208F"/>
    <w:rsid w:val="00EF21D7"/>
    <w:rsid w:val="00EF231C"/>
    <w:rsid w:val="00EF2392"/>
    <w:rsid w:val="00EF23B3"/>
    <w:rsid w:val="00EF246A"/>
    <w:rsid w:val="00EF246B"/>
    <w:rsid w:val="00EF24BD"/>
    <w:rsid w:val="00EF256A"/>
    <w:rsid w:val="00EF2578"/>
    <w:rsid w:val="00EF2593"/>
    <w:rsid w:val="00EF263C"/>
    <w:rsid w:val="00EF2676"/>
    <w:rsid w:val="00EF2795"/>
    <w:rsid w:val="00EF27C6"/>
    <w:rsid w:val="00EF280F"/>
    <w:rsid w:val="00EF2912"/>
    <w:rsid w:val="00EF2964"/>
    <w:rsid w:val="00EF29C4"/>
    <w:rsid w:val="00EF2B54"/>
    <w:rsid w:val="00EF2BA8"/>
    <w:rsid w:val="00EF2C75"/>
    <w:rsid w:val="00EF2CE5"/>
    <w:rsid w:val="00EF2D18"/>
    <w:rsid w:val="00EF2F73"/>
    <w:rsid w:val="00EF2FA0"/>
    <w:rsid w:val="00EF2FE9"/>
    <w:rsid w:val="00EF3007"/>
    <w:rsid w:val="00EF3050"/>
    <w:rsid w:val="00EF3439"/>
    <w:rsid w:val="00EF347F"/>
    <w:rsid w:val="00EF3510"/>
    <w:rsid w:val="00EF36B7"/>
    <w:rsid w:val="00EF372E"/>
    <w:rsid w:val="00EF3796"/>
    <w:rsid w:val="00EF3841"/>
    <w:rsid w:val="00EF3849"/>
    <w:rsid w:val="00EF39C7"/>
    <w:rsid w:val="00EF39FE"/>
    <w:rsid w:val="00EF3A8B"/>
    <w:rsid w:val="00EF3AF2"/>
    <w:rsid w:val="00EF3B42"/>
    <w:rsid w:val="00EF3C5E"/>
    <w:rsid w:val="00EF3CE8"/>
    <w:rsid w:val="00EF3D91"/>
    <w:rsid w:val="00EF3E6F"/>
    <w:rsid w:val="00EF3EBE"/>
    <w:rsid w:val="00EF3EE0"/>
    <w:rsid w:val="00EF4200"/>
    <w:rsid w:val="00EF42D4"/>
    <w:rsid w:val="00EF4512"/>
    <w:rsid w:val="00EF452B"/>
    <w:rsid w:val="00EF4565"/>
    <w:rsid w:val="00EF4601"/>
    <w:rsid w:val="00EF4616"/>
    <w:rsid w:val="00EF46A8"/>
    <w:rsid w:val="00EF4734"/>
    <w:rsid w:val="00EF487A"/>
    <w:rsid w:val="00EF4887"/>
    <w:rsid w:val="00EF499B"/>
    <w:rsid w:val="00EF4A72"/>
    <w:rsid w:val="00EF4AC0"/>
    <w:rsid w:val="00EF4ADD"/>
    <w:rsid w:val="00EF4B0A"/>
    <w:rsid w:val="00EF4B2A"/>
    <w:rsid w:val="00EF4DFE"/>
    <w:rsid w:val="00EF4E62"/>
    <w:rsid w:val="00EF4E78"/>
    <w:rsid w:val="00EF4F31"/>
    <w:rsid w:val="00EF5094"/>
    <w:rsid w:val="00EF519E"/>
    <w:rsid w:val="00EF51BD"/>
    <w:rsid w:val="00EF5326"/>
    <w:rsid w:val="00EF5361"/>
    <w:rsid w:val="00EF537C"/>
    <w:rsid w:val="00EF537F"/>
    <w:rsid w:val="00EF5458"/>
    <w:rsid w:val="00EF5582"/>
    <w:rsid w:val="00EF55C1"/>
    <w:rsid w:val="00EF567E"/>
    <w:rsid w:val="00EF56CD"/>
    <w:rsid w:val="00EF5700"/>
    <w:rsid w:val="00EF594D"/>
    <w:rsid w:val="00EF5AF8"/>
    <w:rsid w:val="00EF5CFF"/>
    <w:rsid w:val="00EF5D7B"/>
    <w:rsid w:val="00EF5DD9"/>
    <w:rsid w:val="00EF5E5E"/>
    <w:rsid w:val="00EF5F1A"/>
    <w:rsid w:val="00EF6033"/>
    <w:rsid w:val="00EF6095"/>
    <w:rsid w:val="00EF60BE"/>
    <w:rsid w:val="00EF61D7"/>
    <w:rsid w:val="00EF6225"/>
    <w:rsid w:val="00EF62E7"/>
    <w:rsid w:val="00EF6368"/>
    <w:rsid w:val="00EF637B"/>
    <w:rsid w:val="00EF6476"/>
    <w:rsid w:val="00EF6495"/>
    <w:rsid w:val="00EF64C2"/>
    <w:rsid w:val="00EF6589"/>
    <w:rsid w:val="00EF6636"/>
    <w:rsid w:val="00EF66D3"/>
    <w:rsid w:val="00EF6727"/>
    <w:rsid w:val="00EF6783"/>
    <w:rsid w:val="00EF6796"/>
    <w:rsid w:val="00EF6830"/>
    <w:rsid w:val="00EF6869"/>
    <w:rsid w:val="00EF696E"/>
    <w:rsid w:val="00EF697A"/>
    <w:rsid w:val="00EF69FD"/>
    <w:rsid w:val="00EF6A46"/>
    <w:rsid w:val="00EF6AF6"/>
    <w:rsid w:val="00EF6B4C"/>
    <w:rsid w:val="00EF6C1F"/>
    <w:rsid w:val="00EF6D6A"/>
    <w:rsid w:val="00EF6DA1"/>
    <w:rsid w:val="00EF6E0D"/>
    <w:rsid w:val="00EF6E7E"/>
    <w:rsid w:val="00EF6EA3"/>
    <w:rsid w:val="00EF6FAA"/>
    <w:rsid w:val="00EF6FBC"/>
    <w:rsid w:val="00EF6FCE"/>
    <w:rsid w:val="00EF6FFE"/>
    <w:rsid w:val="00EF7247"/>
    <w:rsid w:val="00EF73A9"/>
    <w:rsid w:val="00EF740E"/>
    <w:rsid w:val="00EF7576"/>
    <w:rsid w:val="00EF75F3"/>
    <w:rsid w:val="00EF7826"/>
    <w:rsid w:val="00EF789B"/>
    <w:rsid w:val="00EF7925"/>
    <w:rsid w:val="00EF793B"/>
    <w:rsid w:val="00EF7A75"/>
    <w:rsid w:val="00EF7B2E"/>
    <w:rsid w:val="00EF7B49"/>
    <w:rsid w:val="00EF7BA5"/>
    <w:rsid w:val="00EF7BA8"/>
    <w:rsid w:val="00EF7BD8"/>
    <w:rsid w:val="00EF7C35"/>
    <w:rsid w:val="00EF7CD8"/>
    <w:rsid w:val="00EF7D73"/>
    <w:rsid w:val="00EF7D83"/>
    <w:rsid w:val="00EF7D99"/>
    <w:rsid w:val="00EF7EE7"/>
    <w:rsid w:val="00F000F8"/>
    <w:rsid w:val="00F001AA"/>
    <w:rsid w:val="00F0020B"/>
    <w:rsid w:val="00F00506"/>
    <w:rsid w:val="00F0059F"/>
    <w:rsid w:val="00F005B3"/>
    <w:rsid w:val="00F00631"/>
    <w:rsid w:val="00F0065E"/>
    <w:rsid w:val="00F00710"/>
    <w:rsid w:val="00F0072D"/>
    <w:rsid w:val="00F00A18"/>
    <w:rsid w:val="00F00A2B"/>
    <w:rsid w:val="00F00AF6"/>
    <w:rsid w:val="00F00B0A"/>
    <w:rsid w:val="00F00BBB"/>
    <w:rsid w:val="00F00BE4"/>
    <w:rsid w:val="00F00C01"/>
    <w:rsid w:val="00F00C7C"/>
    <w:rsid w:val="00F00C88"/>
    <w:rsid w:val="00F00D1E"/>
    <w:rsid w:val="00F00E18"/>
    <w:rsid w:val="00F00E2B"/>
    <w:rsid w:val="00F00E30"/>
    <w:rsid w:val="00F00EAC"/>
    <w:rsid w:val="00F00F5A"/>
    <w:rsid w:val="00F01153"/>
    <w:rsid w:val="00F01181"/>
    <w:rsid w:val="00F01284"/>
    <w:rsid w:val="00F01405"/>
    <w:rsid w:val="00F01528"/>
    <w:rsid w:val="00F015B0"/>
    <w:rsid w:val="00F017E9"/>
    <w:rsid w:val="00F01872"/>
    <w:rsid w:val="00F018E8"/>
    <w:rsid w:val="00F019FB"/>
    <w:rsid w:val="00F01B2E"/>
    <w:rsid w:val="00F01B55"/>
    <w:rsid w:val="00F01BC5"/>
    <w:rsid w:val="00F01BD3"/>
    <w:rsid w:val="00F01D64"/>
    <w:rsid w:val="00F01E3C"/>
    <w:rsid w:val="00F01ED3"/>
    <w:rsid w:val="00F0214D"/>
    <w:rsid w:val="00F021E7"/>
    <w:rsid w:val="00F02206"/>
    <w:rsid w:val="00F02228"/>
    <w:rsid w:val="00F02235"/>
    <w:rsid w:val="00F0227D"/>
    <w:rsid w:val="00F0238F"/>
    <w:rsid w:val="00F02414"/>
    <w:rsid w:val="00F02426"/>
    <w:rsid w:val="00F024FC"/>
    <w:rsid w:val="00F02504"/>
    <w:rsid w:val="00F02553"/>
    <w:rsid w:val="00F02572"/>
    <w:rsid w:val="00F025BE"/>
    <w:rsid w:val="00F025C1"/>
    <w:rsid w:val="00F025FB"/>
    <w:rsid w:val="00F02664"/>
    <w:rsid w:val="00F0272C"/>
    <w:rsid w:val="00F02781"/>
    <w:rsid w:val="00F0281B"/>
    <w:rsid w:val="00F0290C"/>
    <w:rsid w:val="00F02A10"/>
    <w:rsid w:val="00F02A5D"/>
    <w:rsid w:val="00F02AB0"/>
    <w:rsid w:val="00F02AEC"/>
    <w:rsid w:val="00F02B7A"/>
    <w:rsid w:val="00F02D42"/>
    <w:rsid w:val="00F02E0A"/>
    <w:rsid w:val="00F02E31"/>
    <w:rsid w:val="00F0300A"/>
    <w:rsid w:val="00F03108"/>
    <w:rsid w:val="00F0312F"/>
    <w:rsid w:val="00F031EB"/>
    <w:rsid w:val="00F0331E"/>
    <w:rsid w:val="00F03386"/>
    <w:rsid w:val="00F0338D"/>
    <w:rsid w:val="00F0342A"/>
    <w:rsid w:val="00F03505"/>
    <w:rsid w:val="00F03539"/>
    <w:rsid w:val="00F035E7"/>
    <w:rsid w:val="00F0375E"/>
    <w:rsid w:val="00F038C0"/>
    <w:rsid w:val="00F0390A"/>
    <w:rsid w:val="00F039D3"/>
    <w:rsid w:val="00F03A07"/>
    <w:rsid w:val="00F03B29"/>
    <w:rsid w:val="00F03B4C"/>
    <w:rsid w:val="00F03D27"/>
    <w:rsid w:val="00F04016"/>
    <w:rsid w:val="00F04082"/>
    <w:rsid w:val="00F04090"/>
    <w:rsid w:val="00F040E0"/>
    <w:rsid w:val="00F040E8"/>
    <w:rsid w:val="00F04163"/>
    <w:rsid w:val="00F04173"/>
    <w:rsid w:val="00F041FC"/>
    <w:rsid w:val="00F042F5"/>
    <w:rsid w:val="00F04313"/>
    <w:rsid w:val="00F0433A"/>
    <w:rsid w:val="00F043CB"/>
    <w:rsid w:val="00F04438"/>
    <w:rsid w:val="00F04508"/>
    <w:rsid w:val="00F0450F"/>
    <w:rsid w:val="00F04585"/>
    <w:rsid w:val="00F045BE"/>
    <w:rsid w:val="00F0468C"/>
    <w:rsid w:val="00F047B8"/>
    <w:rsid w:val="00F04822"/>
    <w:rsid w:val="00F0485E"/>
    <w:rsid w:val="00F0491C"/>
    <w:rsid w:val="00F049A9"/>
    <w:rsid w:val="00F049AB"/>
    <w:rsid w:val="00F049F3"/>
    <w:rsid w:val="00F04C26"/>
    <w:rsid w:val="00F04C49"/>
    <w:rsid w:val="00F04C65"/>
    <w:rsid w:val="00F04CAB"/>
    <w:rsid w:val="00F04D5A"/>
    <w:rsid w:val="00F04D98"/>
    <w:rsid w:val="00F04E4E"/>
    <w:rsid w:val="00F04ECD"/>
    <w:rsid w:val="00F04F6D"/>
    <w:rsid w:val="00F0504F"/>
    <w:rsid w:val="00F0505A"/>
    <w:rsid w:val="00F05115"/>
    <w:rsid w:val="00F05157"/>
    <w:rsid w:val="00F052A1"/>
    <w:rsid w:val="00F0538D"/>
    <w:rsid w:val="00F053AB"/>
    <w:rsid w:val="00F05407"/>
    <w:rsid w:val="00F055F9"/>
    <w:rsid w:val="00F0561C"/>
    <w:rsid w:val="00F056BF"/>
    <w:rsid w:val="00F05813"/>
    <w:rsid w:val="00F0590C"/>
    <w:rsid w:val="00F05A8D"/>
    <w:rsid w:val="00F05BDE"/>
    <w:rsid w:val="00F05BE1"/>
    <w:rsid w:val="00F05CE0"/>
    <w:rsid w:val="00F05D28"/>
    <w:rsid w:val="00F05D84"/>
    <w:rsid w:val="00F05DA8"/>
    <w:rsid w:val="00F05DCB"/>
    <w:rsid w:val="00F05DF8"/>
    <w:rsid w:val="00F05E16"/>
    <w:rsid w:val="00F05EE3"/>
    <w:rsid w:val="00F05FC1"/>
    <w:rsid w:val="00F06009"/>
    <w:rsid w:val="00F06038"/>
    <w:rsid w:val="00F06128"/>
    <w:rsid w:val="00F0618A"/>
    <w:rsid w:val="00F0626A"/>
    <w:rsid w:val="00F0628B"/>
    <w:rsid w:val="00F0636F"/>
    <w:rsid w:val="00F06373"/>
    <w:rsid w:val="00F0638D"/>
    <w:rsid w:val="00F06459"/>
    <w:rsid w:val="00F06550"/>
    <w:rsid w:val="00F0662F"/>
    <w:rsid w:val="00F066A5"/>
    <w:rsid w:val="00F0675D"/>
    <w:rsid w:val="00F0680F"/>
    <w:rsid w:val="00F06887"/>
    <w:rsid w:val="00F06983"/>
    <w:rsid w:val="00F069E9"/>
    <w:rsid w:val="00F06A68"/>
    <w:rsid w:val="00F06D0D"/>
    <w:rsid w:val="00F06D3B"/>
    <w:rsid w:val="00F06DB0"/>
    <w:rsid w:val="00F06EBC"/>
    <w:rsid w:val="00F06FF6"/>
    <w:rsid w:val="00F07095"/>
    <w:rsid w:val="00F070E9"/>
    <w:rsid w:val="00F0727E"/>
    <w:rsid w:val="00F072DF"/>
    <w:rsid w:val="00F0736D"/>
    <w:rsid w:val="00F073B1"/>
    <w:rsid w:val="00F07423"/>
    <w:rsid w:val="00F074E8"/>
    <w:rsid w:val="00F075AE"/>
    <w:rsid w:val="00F075E0"/>
    <w:rsid w:val="00F075EB"/>
    <w:rsid w:val="00F07620"/>
    <w:rsid w:val="00F07696"/>
    <w:rsid w:val="00F0785F"/>
    <w:rsid w:val="00F078D9"/>
    <w:rsid w:val="00F07953"/>
    <w:rsid w:val="00F07AEB"/>
    <w:rsid w:val="00F07BAE"/>
    <w:rsid w:val="00F07BFC"/>
    <w:rsid w:val="00F07CF8"/>
    <w:rsid w:val="00F07ED7"/>
    <w:rsid w:val="00F07F7A"/>
    <w:rsid w:val="00F07FDC"/>
    <w:rsid w:val="00F1008B"/>
    <w:rsid w:val="00F1011C"/>
    <w:rsid w:val="00F1011F"/>
    <w:rsid w:val="00F1026D"/>
    <w:rsid w:val="00F102FB"/>
    <w:rsid w:val="00F102FE"/>
    <w:rsid w:val="00F103CE"/>
    <w:rsid w:val="00F1046D"/>
    <w:rsid w:val="00F1046E"/>
    <w:rsid w:val="00F104AB"/>
    <w:rsid w:val="00F10545"/>
    <w:rsid w:val="00F106E7"/>
    <w:rsid w:val="00F10717"/>
    <w:rsid w:val="00F10770"/>
    <w:rsid w:val="00F107C8"/>
    <w:rsid w:val="00F107E2"/>
    <w:rsid w:val="00F109D6"/>
    <w:rsid w:val="00F109DF"/>
    <w:rsid w:val="00F10ACE"/>
    <w:rsid w:val="00F10B19"/>
    <w:rsid w:val="00F10B91"/>
    <w:rsid w:val="00F10C8D"/>
    <w:rsid w:val="00F10DEC"/>
    <w:rsid w:val="00F10E91"/>
    <w:rsid w:val="00F10ED1"/>
    <w:rsid w:val="00F10F53"/>
    <w:rsid w:val="00F10F78"/>
    <w:rsid w:val="00F10FA2"/>
    <w:rsid w:val="00F10FAE"/>
    <w:rsid w:val="00F111D4"/>
    <w:rsid w:val="00F1126A"/>
    <w:rsid w:val="00F1126B"/>
    <w:rsid w:val="00F1127C"/>
    <w:rsid w:val="00F1137E"/>
    <w:rsid w:val="00F114C5"/>
    <w:rsid w:val="00F114C7"/>
    <w:rsid w:val="00F1152E"/>
    <w:rsid w:val="00F116D9"/>
    <w:rsid w:val="00F11775"/>
    <w:rsid w:val="00F1178D"/>
    <w:rsid w:val="00F11799"/>
    <w:rsid w:val="00F11854"/>
    <w:rsid w:val="00F1188D"/>
    <w:rsid w:val="00F118A2"/>
    <w:rsid w:val="00F118AB"/>
    <w:rsid w:val="00F11915"/>
    <w:rsid w:val="00F11ADB"/>
    <w:rsid w:val="00F11ADE"/>
    <w:rsid w:val="00F11C85"/>
    <w:rsid w:val="00F11CA6"/>
    <w:rsid w:val="00F11D10"/>
    <w:rsid w:val="00F11D3B"/>
    <w:rsid w:val="00F11D55"/>
    <w:rsid w:val="00F11DD0"/>
    <w:rsid w:val="00F11DD5"/>
    <w:rsid w:val="00F12201"/>
    <w:rsid w:val="00F1223E"/>
    <w:rsid w:val="00F122F8"/>
    <w:rsid w:val="00F1234E"/>
    <w:rsid w:val="00F12427"/>
    <w:rsid w:val="00F12431"/>
    <w:rsid w:val="00F1243F"/>
    <w:rsid w:val="00F12521"/>
    <w:rsid w:val="00F1254C"/>
    <w:rsid w:val="00F125A7"/>
    <w:rsid w:val="00F125F3"/>
    <w:rsid w:val="00F12608"/>
    <w:rsid w:val="00F12637"/>
    <w:rsid w:val="00F126B9"/>
    <w:rsid w:val="00F12730"/>
    <w:rsid w:val="00F12839"/>
    <w:rsid w:val="00F128AE"/>
    <w:rsid w:val="00F12B71"/>
    <w:rsid w:val="00F12C99"/>
    <w:rsid w:val="00F12D45"/>
    <w:rsid w:val="00F12E54"/>
    <w:rsid w:val="00F12ED7"/>
    <w:rsid w:val="00F12F15"/>
    <w:rsid w:val="00F12FF3"/>
    <w:rsid w:val="00F1303C"/>
    <w:rsid w:val="00F130BB"/>
    <w:rsid w:val="00F130BE"/>
    <w:rsid w:val="00F130D2"/>
    <w:rsid w:val="00F130FE"/>
    <w:rsid w:val="00F131FD"/>
    <w:rsid w:val="00F132A6"/>
    <w:rsid w:val="00F13314"/>
    <w:rsid w:val="00F133D2"/>
    <w:rsid w:val="00F13514"/>
    <w:rsid w:val="00F135B3"/>
    <w:rsid w:val="00F13621"/>
    <w:rsid w:val="00F136A5"/>
    <w:rsid w:val="00F136B7"/>
    <w:rsid w:val="00F1378E"/>
    <w:rsid w:val="00F137EC"/>
    <w:rsid w:val="00F13814"/>
    <w:rsid w:val="00F13854"/>
    <w:rsid w:val="00F13882"/>
    <w:rsid w:val="00F13883"/>
    <w:rsid w:val="00F1393C"/>
    <w:rsid w:val="00F1399D"/>
    <w:rsid w:val="00F1399E"/>
    <w:rsid w:val="00F13A2B"/>
    <w:rsid w:val="00F13AED"/>
    <w:rsid w:val="00F13B22"/>
    <w:rsid w:val="00F13D33"/>
    <w:rsid w:val="00F13D4E"/>
    <w:rsid w:val="00F13D5D"/>
    <w:rsid w:val="00F13E5C"/>
    <w:rsid w:val="00F13EA8"/>
    <w:rsid w:val="00F13EFD"/>
    <w:rsid w:val="00F13F37"/>
    <w:rsid w:val="00F1409C"/>
    <w:rsid w:val="00F140DE"/>
    <w:rsid w:val="00F14185"/>
    <w:rsid w:val="00F1422F"/>
    <w:rsid w:val="00F1423A"/>
    <w:rsid w:val="00F14357"/>
    <w:rsid w:val="00F14362"/>
    <w:rsid w:val="00F144B1"/>
    <w:rsid w:val="00F14507"/>
    <w:rsid w:val="00F145C9"/>
    <w:rsid w:val="00F1460A"/>
    <w:rsid w:val="00F14774"/>
    <w:rsid w:val="00F1488E"/>
    <w:rsid w:val="00F1490C"/>
    <w:rsid w:val="00F14970"/>
    <w:rsid w:val="00F149BF"/>
    <w:rsid w:val="00F149E6"/>
    <w:rsid w:val="00F14AA9"/>
    <w:rsid w:val="00F14B26"/>
    <w:rsid w:val="00F14B3F"/>
    <w:rsid w:val="00F14B47"/>
    <w:rsid w:val="00F14B4B"/>
    <w:rsid w:val="00F14B51"/>
    <w:rsid w:val="00F14B75"/>
    <w:rsid w:val="00F14B88"/>
    <w:rsid w:val="00F14BC1"/>
    <w:rsid w:val="00F14C16"/>
    <w:rsid w:val="00F14C6B"/>
    <w:rsid w:val="00F14C84"/>
    <w:rsid w:val="00F14D45"/>
    <w:rsid w:val="00F14DE8"/>
    <w:rsid w:val="00F14E30"/>
    <w:rsid w:val="00F14E59"/>
    <w:rsid w:val="00F14EC8"/>
    <w:rsid w:val="00F14EE1"/>
    <w:rsid w:val="00F14F9C"/>
    <w:rsid w:val="00F15028"/>
    <w:rsid w:val="00F1522A"/>
    <w:rsid w:val="00F153B3"/>
    <w:rsid w:val="00F15421"/>
    <w:rsid w:val="00F15431"/>
    <w:rsid w:val="00F15471"/>
    <w:rsid w:val="00F154C0"/>
    <w:rsid w:val="00F1550C"/>
    <w:rsid w:val="00F15563"/>
    <w:rsid w:val="00F155E0"/>
    <w:rsid w:val="00F15658"/>
    <w:rsid w:val="00F1567F"/>
    <w:rsid w:val="00F15680"/>
    <w:rsid w:val="00F15728"/>
    <w:rsid w:val="00F15855"/>
    <w:rsid w:val="00F15881"/>
    <w:rsid w:val="00F15922"/>
    <w:rsid w:val="00F15A3A"/>
    <w:rsid w:val="00F15BCD"/>
    <w:rsid w:val="00F15BE2"/>
    <w:rsid w:val="00F15D61"/>
    <w:rsid w:val="00F15D6D"/>
    <w:rsid w:val="00F15E41"/>
    <w:rsid w:val="00F15F09"/>
    <w:rsid w:val="00F16053"/>
    <w:rsid w:val="00F161C0"/>
    <w:rsid w:val="00F16316"/>
    <w:rsid w:val="00F1636F"/>
    <w:rsid w:val="00F16412"/>
    <w:rsid w:val="00F1672D"/>
    <w:rsid w:val="00F16731"/>
    <w:rsid w:val="00F16869"/>
    <w:rsid w:val="00F1686A"/>
    <w:rsid w:val="00F16936"/>
    <w:rsid w:val="00F169AF"/>
    <w:rsid w:val="00F169FB"/>
    <w:rsid w:val="00F16A36"/>
    <w:rsid w:val="00F16A3A"/>
    <w:rsid w:val="00F16AE0"/>
    <w:rsid w:val="00F16AFF"/>
    <w:rsid w:val="00F16B7B"/>
    <w:rsid w:val="00F16BC3"/>
    <w:rsid w:val="00F16C42"/>
    <w:rsid w:val="00F16CD8"/>
    <w:rsid w:val="00F16F31"/>
    <w:rsid w:val="00F16FE4"/>
    <w:rsid w:val="00F16FE6"/>
    <w:rsid w:val="00F17052"/>
    <w:rsid w:val="00F170F1"/>
    <w:rsid w:val="00F17106"/>
    <w:rsid w:val="00F1713B"/>
    <w:rsid w:val="00F171D2"/>
    <w:rsid w:val="00F17288"/>
    <w:rsid w:val="00F1739A"/>
    <w:rsid w:val="00F173F1"/>
    <w:rsid w:val="00F1745E"/>
    <w:rsid w:val="00F17479"/>
    <w:rsid w:val="00F17571"/>
    <w:rsid w:val="00F175CF"/>
    <w:rsid w:val="00F175F3"/>
    <w:rsid w:val="00F1776B"/>
    <w:rsid w:val="00F17799"/>
    <w:rsid w:val="00F177CB"/>
    <w:rsid w:val="00F17A1F"/>
    <w:rsid w:val="00F17A96"/>
    <w:rsid w:val="00F17AFC"/>
    <w:rsid w:val="00F17B7C"/>
    <w:rsid w:val="00F17B9B"/>
    <w:rsid w:val="00F17C22"/>
    <w:rsid w:val="00F17CC7"/>
    <w:rsid w:val="00F17CEB"/>
    <w:rsid w:val="00F17DB8"/>
    <w:rsid w:val="00F17DD5"/>
    <w:rsid w:val="00F17E89"/>
    <w:rsid w:val="00F17EDD"/>
    <w:rsid w:val="00F17F00"/>
    <w:rsid w:val="00F17F5D"/>
    <w:rsid w:val="00F17F8C"/>
    <w:rsid w:val="00F203C2"/>
    <w:rsid w:val="00F20462"/>
    <w:rsid w:val="00F20503"/>
    <w:rsid w:val="00F2053C"/>
    <w:rsid w:val="00F2054A"/>
    <w:rsid w:val="00F205CE"/>
    <w:rsid w:val="00F2060B"/>
    <w:rsid w:val="00F20652"/>
    <w:rsid w:val="00F20658"/>
    <w:rsid w:val="00F206BE"/>
    <w:rsid w:val="00F206C5"/>
    <w:rsid w:val="00F20710"/>
    <w:rsid w:val="00F20726"/>
    <w:rsid w:val="00F2077E"/>
    <w:rsid w:val="00F20840"/>
    <w:rsid w:val="00F20902"/>
    <w:rsid w:val="00F20A1C"/>
    <w:rsid w:val="00F20AA8"/>
    <w:rsid w:val="00F20AFC"/>
    <w:rsid w:val="00F20C70"/>
    <w:rsid w:val="00F20CC3"/>
    <w:rsid w:val="00F20CF2"/>
    <w:rsid w:val="00F20D74"/>
    <w:rsid w:val="00F20D98"/>
    <w:rsid w:val="00F20E42"/>
    <w:rsid w:val="00F20E54"/>
    <w:rsid w:val="00F20EA5"/>
    <w:rsid w:val="00F20EB7"/>
    <w:rsid w:val="00F20EE7"/>
    <w:rsid w:val="00F20F28"/>
    <w:rsid w:val="00F20F67"/>
    <w:rsid w:val="00F2106D"/>
    <w:rsid w:val="00F210B9"/>
    <w:rsid w:val="00F210F1"/>
    <w:rsid w:val="00F21291"/>
    <w:rsid w:val="00F212A1"/>
    <w:rsid w:val="00F212DC"/>
    <w:rsid w:val="00F21300"/>
    <w:rsid w:val="00F213CC"/>
    <w:rsid w:val="00F213E6"/>
    <w:rsid w:val="00F214AD"/>
    <w:rsid w:val="00F214F0"/>
    <w:rsid w:val="00F217E8"/>
    <w:rsid w:val="00F2192E"/>
    <w:rsid w:val="00F21B08"/>
    <w:rsid w:val="00F21D82"/>
    <w:rsid w:val="00F21D88"/>
    <w:rsid w:val="00F21DA5"/>
    <w:rsid w:val="00F21EC7"/>
    <w:rsid w:val="00F21F36"/>
    <w:rsid w:val="00F2200D"/>
    <w:rsid w:val="00F220E4"/>
    <w:rsid w:val="00F2213C"/>
    <w:rsid w:val="00F22184"/>
    <w:rsid w:val="00F221FB"/>
    <w:rsid w:val="00F22383"/>
    <w:rsid w:val="00F223B2"/>
    <w:rsid w:val="00F2240D"/>
    <w:rsid w:val="00F22455"/>
    <w:rsid w:val="00F2247A"/>
    <w:rsid w:val="00F2251F"/>
    <w:rsid w:val="00F22528"/>
    <w:rsid w:val="00F22587"/>
    <w:rsid w:val="00F226B0"/>
    <w:rsid w:val="00F226C1"/>
    <w:rsid w:val="00F227AC"/>
    <w:rsid w:val="00F227CA"/>
    <w:rsid w:val="00F2285F"/>
    <w:rsid w:val="00F228FA"/>
    <w:rsid w:val="00F22977"/>
    <w:rsid w:val="00F22AEA"/>
    <w:rsid w:val="00F22B0E"/>
    <w:rsid w:val="00F22BA2"/>
    <w:rsid w:val="00F22CC5"/>
    <w:rsid w:val="00F22D45"/>
    <w:rsid w:val="00F22D51"/>
    <w:rsid w:val="00F22D8F"/>
    <w:rsid w:val="00F22E08"/>
    <w:rsid w:val="00F22E74"/>
    <w:rsid w:val="00F22F03"/>
    <w:rsid w:val="00F22F0E"/>
    <w:rsid w:val="00F23054"/>
    <w:rsid w:val="00F23072"/>
    <w:rsid w:val="00F230E4"/>
    <w:rsid w:val="00F2324D"/>
    <w:rsid w:val="00F233A1"/>
    <w:rsid w:val="00F2344B"/>
    <w:rsid w:val="00F234AA"/>
    <w:rsid w:val="00F234D2"/>
    <w:rsid w:val="00F2350B"/>
    <w:rsid w:val="00F235D1"/>
    <w:rsid w:val="00F235F5"/>
    <w:rsid w:val="00F238D5"/>
    <w:rsid w:val="00F2392B"/>
    <w:rsid w:val="00F23975"/>
    <w:rsid w:val="00F23AC9"/>
    <w:rsid w:val="00F23B1A"/>
    <w:rsid w:val="00F23B3A"/>
    <w:rsid w:val="00F23E0B"/>
    <w:rsid w:val="00F23E54"/>
    <w:rsid w:val="00F23F00"/>
    <w:rsid w:val="00F23F29"/>
    <w:rsid w:val="00F23F42"/>
    <w:rsid w:val="00F23FFE"/>
    <w:rsid w:val="00F240AE"/>
    <w:rsid w:val="00F241BA"/>
    <w:rsid w:val="00F24210"/>
    <w:rsid w:val="00F24229"/>
    <w:rsid w:val="00F24238"/>
    <w:rsid w:val="00F2431F"/>
    <w:rsid w:val="00F2437E"/>
    <w:rsid w:val="00F2438E"/>
    <w:rsid w:val="00F243EC"/>
    <w:rsid w:val="00F24432"/>
    <w:rsid w:val="00F2458A"/>
    <w:rsid w:val="00F24622"/>
    <w:rsid w:val="00F24700"/>
    <w:rsid w:val="00F2479F"/>
    <w:rsid w:val="00F249E5"/>
    <w:rsid w:val="00F24B03"/>
    <w:rsid w:val="00F24B0D"/>
    <w:rsid w:val="00F24B75"/>
    <w:rsid w:val="00F24C17"/>
    <w:rsid w:val="00F24CED"/>
    <w:rsid w:val="00F24D89"/>
    <w:rsid w:val="00F24DEF"/>
    <w:rsid w:val="00F24F08"/>
    <w:rsid w:val="00F2502C"/>
    <w:rsid w:val="00F25069"/>
    <w:rsid w:val="00F2525C"/>
    <w:rsid w:val="00F25290"/>
    <w:rsid w:val="00F252C1"/>
    <w:rsid w:val="00F252E7"/>
    <w:rsid w:val="00F2538F"/>
    <w:rsid w:val="00F25402"/>
    <w:rsid w:val="00F2541A"/>
    <w:rsid w:val="00F2548C"/>
    <w:rsid w:val="00F2549E"/>
    <w:rsid w:val="00F254AB"/>
    <w:rsid w:val="00F25516"/>
    <w:rsid w:val="00F25646"/>
    <w:rsid w:val="00F25663"/>
    <w:rsid w:val="00F2575E"/>
    <w:rsid w:val="00F25854"/>
    <w:rsid w:val="00F2589E"/>
    <w:rsid w:val="00F25903"/>
    <w:rsid w:val="00F2595F"/>
    <w:rsid w:val="00F2596F"/>
    <w:rsid w:val="00F259E0"/>
    <w:rsid w:val="00F25BEE"/>
    <w:rsid w:val="00F25BF3"/>
    <w:rsid w:val="00F25CA8"/>
    <w:rsid w:val="00F25E12"/>
    <w:rsid w:val="00F25F82"/>
    <w:rsid w:val="00F25FB8"/>
    <w:rsid w:val="00F2600E"/>
    <w:rsid w:val="00F26048"/>
    <w:rsid w:val="00F26088"/>
    <w:rsid w:val="00F261A7"/>
    <w:rsid w:val="00F261BC"/>
    <w:rsid w:val="00F2625F"/>
    <w:rsid w:val="00F262B5"/>
    <w:rsid w:val="00F262FD"/>
    <w:rsid w:val="00F26393"/>
    <w:rsid w:val="00F26445"/>
    <w:rsid w:val="00F26457"/>
    <w:rsid w:val="00F26494"/>
    <w:rsid w:val="00F264D3"/>
    <w:rsid w:val="00F26552"/>
    <w:rsid w:val="00F26558"/>
    <w:rsid w:val="00F2659E"/>
    <w:rsid w:val="00F2662F"/>
    <w:rsid w:val="00F26635"/>
    <w:rsid w:val="00F2663C"/>
    <w:rsid w:val="00F2665E"/>
    <w:rsid w:val="00F266C9"/>
    <w:rsid w:val="00F26775"/>
    <w:rsid w:val="00F268FC"/>
    <w:rsid w:val="00F26920"/>
    <w:rsid w:val="00F26A01"/>
    <w:rsid w:val="00F26A99"/>
    <w:rsid w:val="00F26BA3"/>
    <w:rsid w:val="00F26CE3"/>
    <w:rsid w:val="00F26D84"/>
    <w:rsid w:val="00F26D97"/>
    <w:rsid w:val="00F26E16"/>
    <w:rsid w:val="00F26EF7"/>
    <w:rsid w:val="00F26F66"/>
    <w:rsid w:val="00F26FAA"/>
    <w:rsid w:val="00F2706D"/>
    <w:rsid w:val="00F2708D"/>
    <w:rsid w:val="00F270EC"/>
    <w:rsid w:val="00F270FF"/>
    <w:rsid w:val="00F271C9"/>
    <w:rsid w:val="00F27253"/>
    <w:rsid w:val="00F273B6"/>
    <w:rsid w:val="00F274FA"/>
    <w:rsid w:val="00F2778B"/>
    <w:rsid w:val="00F277CF"/>
    <w:rsid w:val="00F277F8"/>
    <w:rsid w:val="00F2784A"/>
    <w:rsid w:val="00F2786C"/>
    <w:rsid w:val="00F27883"/>
    <w:rsid w:val="00F278B0"/>
    <w:rsid w:val="00F2792D"/>
    <w:rsid w:val="00F2794C"/>
    <w:rsid w:val="00F27A3C"/>
    <w:rsid w:val="00F27A84"/>
    <w:rsid w:val="00F27C14"/>
    <w:rsid w:val="00F27C76"/>
    <w:rsid w:val="00F27D22"/>
    <w:rsid w:val="00F27D81"/>
    <w:rsid w:val="00F27DC6"/>
    <w:rsid w:val="00F27EE6"/>
    <w:rsid w:val="00F27F05"/>
    <w:rsid w:val="00F27FB9"/>
    <w:rsid w:val="00F30031"/>
    <w:rsid w:val="00F3018C"/>
    <w:rsid w:val="00F30190"/>
    <w:rsid w:val="00F301B7"/>
    <w:rsid w:val="00F30310"/>
    <w:rsid w:val="00F30313"/>
    <w:rsid w:val="00F30383"/>
    <w:rsid w:val="00F30478"/>
    <w:rsid w:val="00F3050F"/>
    <w:rsid w:val="00F30617"/>
    <w:rsid w:val="00F306E2"/>
    <w:rsid w:val="00F30741"/>
    <w:rsid w:val="00F3083E"/>
    <w:rsid w:val="00F30B37"/>
    <w:rsid w:val="00F30B45"/>
    <w:rsid w:val="00F30C0B"/>
    <w:rsid w:val="00F30C75"/>
    <w:rsid w:val="00F30D05"/>
    <w:rsid w:val="00F30DCF"/>
    <w:rsid w:val="00F30EA2"/>
    <w:rsid w:val="00F30EEE"/>
    <w:rsid w:val="00F30F66"/>
    <w:rsid w:val="00F30FDB"/>
    <w:rsid w:val="00F30FFE"/>
    <w:rsid w:val="00F31038"/>
    <w:rsid w:val="00F310A3"/>
    <w:rsid w:val="00F31120"/>
    <w:rsid w:val="00F31273"/>
    <w:rsid w:val="00F31344"/>
    <w:rsid w:val="00F31425"/>
    <w:rsid w:val="00F3143C"/>
    <w:rsid w:val="00F31452"/>
    <w:rsid w:val="00F3157E"/>
    <w:rsid w:val="00F315A6"/>
    <w:rsid w:val="00F315EE"/>
    <w:rsid w:val="00F31671"/>
    <w:rsid w:val="00F31791"/>
    <w:rsid w:val="00F3188D"/>
    <w:rsid w:val="00F31967"/>
    <w:rsid w:val="00F3198F"/>
    <w:rsid w:val="00F31A0B"/>
    <w:rsid w:val="00F31A4B"/>
    <w:rsid w:val="00F31A87"/>
    <w:rsid w:val="00F31B62"/>
    <w:rsid w:val="00F31BF4"/>
    <w:rsid w:val="00F31C06"/>
    <w:rsid w:val="00F31CB8"/>
    <w:rsid w:val="00F31CC0"/>
    <w:rsid w:val="00F31CDD"/>
    <w:rsid w:val="00F31D37"/>
    <w:rsid w:val="00F31E20"/>
    <w:rsid w:val="00F31F12"/>
    <w:rsid w:val="00F31F30"/>
    <w:rsid w:val="00F32072"/>
    <w:rsid w:val="00F321D9"/>
    <w:rsid w:val="00F322CD"/>
    <w:rsid w:val="00F32319"/>
    <w:rsid w:val="00F323C4"/>
    <w:rsid w:val="00F32446"/>
    <w:rsid w:val="00F32465"/>
    <w:rsid w:val="00F32471"/>
    <w:rsid w:val="00F3258D"/>
    <w:rsid w:val="00F325A3"/>
    <w:rsid w:val="00F325BB"/>
    <w:rsid w:val="00F325FF"/>
    <w:rsid w:val="00F3273A"/>
    <w:rsid w:val="00F32756"/>
    <w:rsid w:val="00F327A2"/>
    <w:rsid w:val="00F327E6"/>
    <w:rsid w:val="00F32808"/>
    <w:rsid w:val="00F32947"/>
    <w:rsid w:val="00F329AD"/>
    <w:rsid w:val="00F329EB"/>
    <w:rsid w:val="00F32B56"/>
    <w:rsid w:val="00F32B7C"/>
    <w:rsid w:val="00F32BC1"/>
    <w:rsid w:val="00F32D13"/>
    <w:rsid w:val="00F32DCB"/>
    <w:rsid w:val="00F32DE1"/>
    <w:rsid w:val="00F32FBA"/>
    <w:rsid w:val="00F330AB"/>
    <w:rsid w:val="00F330CF"/>
    <w:rsid w:val="00F3315F"/>
    <w:rsid w:val="00F331B2"/>
    <w:rsid w:val="00F3322E"/>
    <w:rsid w:val="00F3350F"/>
    <w:rsid w:val="00F33602"/>
    <w:rsid w:val="00F3366C"/>
    <w:rsid w:val="00F336C1"/>
    <w:rsid w:val="00F336C7"/>
    <w:rsid w:val="00F336FF"/>
    <w:rsid w:val="00F33725"/>
    <w:rsid w:val="00F338F9"/>
    <w:rsid w:val="00F3394C"/>
    <w:rsid w:val="00F3399F"/>
    <w:rsid w:val="00F33A6D"/>
    <w:rsid w:val="00F33AA1"/>
    <w:rsid w:val="00F33B29"/>
    <w:rsid w:val="00F33BE9"/>
    <w:rsid w:val="00F33C97"/>
    <w:rsid w:val="00F33DA6"/>
    <w:rsid w:val="00F33DD6"/>
    <w:rsid w:val="00F33EC0"/>
    <w:rsid w:val="00F33F19"/>
    <w:rsid w:val="00F33FF3"/>
    <w:rsid w:val="00F33FF6"/>
    <w:rsid w:val="00F3412D"/>
    <w:rsid w:val="00F34232"/>
    <w:rsid w:val="00F34386"/>
    <w:rsid w:val="00F34446"/>
    <w:rsid w:val="00F3451D"/>
    <w:rsid w:val="00F34597"/>
    <w:rsid w:val="00F34763"/>
    <w:rsid w:val="00F34833"/>
    <w:rsid w:val="00F348DE"/>
    <w:rsid w:val="00F3497B"/>
    <w:rsid w:val="00F349BC"/>
    <w:rsid w:val="00F34A6D"/>
    <w:rsid w:val="00F34B0C"/>
    <w:rsid w:val="00F34B3C"/>
    <w:rsid w:val="00F34B76"/>
    <w:rsid w:val="00F34E2D"/>
    <w:rsid w:val="00F3507F"/>
    <w:rsid w:val="00F35082"/>
    <w:rsid w:val="00F35529"/>
    <w:rsid w:val="00F35659"/>
    <w:rsid w:val="00F356DF"/>
    <w:rsid w:val="00F356FE"/>
    <w:rsid w:val="00F35723"/>
    <w:rsid w:val="00F357DE"/>
    <w:rsid w:val="00F35880"/>
    <w:rsid w:val="00F358B5"/>
    <w:rsid w:val="00F35972"/>
    <w:rsid w:val="00F35A31"/>
    <w:rsid w:val="00F35AFC"/>
    <w:rsid w:val="00F35B99"/>
    <w:rsid w:val="00F35D85"/>
    <w:rsid w:val="00F35DFF"/>
    <w:rsid w:val="00F35E36"/>
    <w:rsid w:val="00F35F62"/>
    <w:rsid w:val="00F3629B"/>
    <w:rsid w:val="00F362B5"/>
    <w:rsid w:val="00F362BD"/>
    <w:rsid w:val="00F36384"/>
    <w:rsid w:val="00F363D3"/>
    <w:rsid w:val="00F3655F"/>
    <w:rsid w:val="00F36584"/>
    <w:rsid w:val="00F365CB"/>
    <w:rsid w:val="00F365D0"/>
    <w:rsid w:val="00F3665E"/>
    <w:rsid w:val="00F366C8"/>
    <w:rsid w:val="00F366DD"/>
    <w:rsid w:val="00F36776"/>
    <w:rsid w:val="00F367A4"/>
    <w:rsid w:val="00F36859"/>
    <w:rsid w:val="00F3695F"/>
    <w:rsid w:val="00F36992"/>
    <w:rsid w:val="00F369AA"/>
    <w:rsid w:val="00F36A6A"/>
    <w:rsid w:val="00F36BA3"/>
    <w:rsid w:val="00F36C1A"/>
    <w:rsid w:val="00F36C3E"/>
    <w:rsid w:val="00F36D68"/>
    <w:rsid w:val="00F36D8B"/>
    <w:rsid w:val="00F36E39"/>
    <w:rsid w:val="00F36E8C"/>
    <w:rsid w:val="00F36F3D"/>
    <w:rsid w:val="00F370A0"/>
    <w:rsid w:val="00F370B3"/>
    <w:rsid w:val="00F370BA"/>
    <w:rsid w:val="00F370C2"/>
    <w:rsid w:val="00F37167"/>
    <w:rsid w:val="00F3717F"/>
    <w:rsid w:val="00F37222"/>
    <w:rsid w:val="00F37229"/>
    <w:rsid w:val="00F37233"/>
    <w:rsid w:val="00F3725C"/>
    <w:rsid w:val="00F372C1"/>
    <w:rsid w:val="00F372FC"/>
    <w:rsid w:val="00F37385"/>
    <w:rsid w:val="00F374D8"/>
    <w:rsid w:val="00F375C5"/>
    <w:rsid w:val="00F375FE"/>
    <w:rsid w:val="00F376C6"/>
    <w:rsid w:val="00F377B3"/>
    <w:rsid w:val="00F37847"/>
    <w:rsid w:val="00F37867"/>
    <w:rsid w:val="00F3787B"/>
    <w:rsid w:val="00F378F4"/>
    <w:rsid w:val="00F37904"/>
    <w:rsid w:val="00F37933"/>
    <w:rsid w:val="00F37960"/>
    <w:rsid w:val="00F37A14"/>
    <w:rsid w:val="00F37AC5"/>
    <w:rsid w:val="00F37ADA"/>
    <w:rsid w:val="00F37AF3"/>
    <w:rsid w:val="00F37B81"/>
    <w:rsid w:val="00F37C12"/>
    <w:rsid w:val="00F37C6A"/>
    <w:rsid w:val="00F37CDF"/>
    <w:rsid w:val="00F37DFA"/>
    <w:rsid w:val="00F37E28"/>
    <w:rsid w:val="00F37EB6"/>
    <w:rsid w:val="00F37EFB"/>
    <w:rsid w:val="00F40084"/>
    <w:rsid w:val="00F4008E"/>
    <w:rsid w:val="00F400D3"/>
    <w:rsid w:val="00F40156"/>
    <w:rsid w:val="00F4016C"/>
    <w:rsid w:val="00F40259"/>
    <w:rsid w:val="00F40283"/>
    <w:rsid w:val="00F402B1"/>
    <w:rsid w:val="00F402B2"/>
    <w:rsid w:val="00F40358"/>
    <w:rsid w:val="00F403BA"/>
    <w:rsid w:val="00F40422"/>
    <w:rsid w:val="00F40431"/>
    <w:rsid w:val="00F405E8"/>
    <w:rsid w:val="00F405EB"/>
    <w:rsid w:val="00F406BD"/>
    <w:rsid w:val="00F40728"/>
    <w:rsid w:val="00F40824"/>
    <w:rsid w:val="00F408FE"/>
    <w:rsid w:val="00F40904"/>
    <w:rsid w:val="00F40913"/>
    <w:rsid w:val="00F40A21"/>
    <w:rsid w:val="00F40A2E"/>
    <w:rsid w:val="00F40B5A"/>
    <w:rsid w:val="00F40BA4"/>
    <w:rsid w:val="00F40C99"/>
    <w:rsid w:val="00F40D13"/>
    <w:rsid w:val="00F40D82"/>
    <w:rsid w:val="00F40E59"/>
    <w:rsid w:val="00F40E65"/>
    <w:rsid w:val="00F40FA3"/>
    <w:rsid w:val="00F40FA7"/>
    <w:rsid w:val="00F40FF2"/>
    <w:rsid w:val="00F4127E"/>
    <w:rsid w:val="00F412DD"/>
    <w:rsid w:val="00F41335"/>
    <w:rsid w:val="00F413B2"/>
    <w:rsid w:val="00F413D7"/>
    <w:rsid w:val="00F413E3"/>
    <w:rsid w:val="00F41533"/>
    <w:rsid w:val="00F415C0"/>
    <w:rsid w:val="00F415E1"/>
    <w:rsid w:val="00F416BD"/>
    <w:rsid w:val="00F41765"/>
    <w:rsid w:val="00F41914"/>
    <w:rsid w:val="00F41931"/>
    <w:rsid w:val="00F4199C"/>
    <w:rsid w:val="00F41A01"/>
    <w:rsid w:val="00F41B27"/>
    <w:rsid w:val="00F41B59"/>
    <w:rsid w:val="00F41B85"/>
    <w:rsid w:val="00F41D3E"/>
    <w:rsid w:val="00F41D58"/>
    <w:rsid w:val="00F41E01"/>
    <w:rsid w:val="00F41EFB"/>
    <w:rsid w:val="00F41F0C"/>
    <w:rsid w:val="00F41F7D"/>
    <w:rsid w:val="00F421C3"/>
    <w:rsid w:val="00F4228C"/>
    <w:rsid w:val="00F422C5"/>
    <w:rsid w:val="00F422EA"/>
    <w:rsid w:val="00F422EF"/>
    <w:rsid w:val="00F423BA"/>
    <w:rsid w:val="00F423F5"/>
    <w:rsid w:val="00F424CB"/>
    <w:rsid w:val="00F42541"/>
    <w:rsid w:val="00F42684"/>
    <w:rsid w:val="00F426C3"/>
    <w:rsid w:val="00F426F5"/>
    <w:rsid w:val="00F427CD"/>
    <w:rsid w:val="00F4285E"/>
    <w:rsid w:val="00F42874"/>
    <w:rsid w:val="00F42968"/>
    <w:rsid w:val="00F429F2"/>
    <w:rsid w:val="00F42A57"/>
    <w:rsid w:val="00F42A60"/>
    <w:rsid w:val="00F42A68"/>
    <w:rsid w:val="00F42B87"/>
    <w:rsid w:val="00F42C3E"/>
    <w:rsid w:val="00F42C5C"/>
    <w:rsid w:val="00F42C64"/>
    <w:rsid w:val="00F42D0E"/>
    <w:rsid w:val="00F42D97"/>
    <w:rsid w:val="00F42DE1"/>
    <w:rsid w:val="00F42E11"/>
    <w:rsid w:val="00F42E3A"/>
    <w:rsid w:val="00F42E93"/>
    <w:rsid w:val="00F42F96"/>
    <w:rsid w:val="00F43026"/>
    <w:rsid w:val="00F43032"/>
    <w:rsid w:val="00F4312D"/>
    <w:rsid w:val="00F4324C"/>
    <w:rsid w:val="00F43262"/>
    <w:rsid w:val="00F432C3"/>
    <w:rsid w:val="00F43327"/>
    <w:rsid w:val="00F433AC"/>
    <w:rsid w:val="00F433F9"/>
    <w:rsid w:val="00F43474"/>
    <w:rsid w:val="00F4349F"/>
    <w:rsid w:val="00F43534"/>
    <w:rsid w:val="00F43558"/>
    <w:rsid w:val="00F43583"/>
    <w:rsid w:val="00F435E0"/>
    <w:rsid w:val="00F43684"/>
    <w:rsid w:val="00F436B4"/>
    <w:rsid w:val="00F436DC"/>
    <w:rsid w:val="00F436E1"/>
    <w:rsid w:val="00F43816"/>
    <w:rsid w:val="00F438ED"/>
    <w:rsid w:val="00F438F5"/>
    <w:rsid w:val="00F43A05"/>
    <w:rsid w:val="00F43C24"/>
    <w:rsid w:val="00F43C34"/>
    <w:rsid w:val="00F43CD8"/>
    <w:rsid w:val="00F43D70"/>
    <w:rsid w:val="00F43EC3"/>
    <w:rsid w:val="00F43F74"/>
    <w:rsid w:val="00F43F92"/>
    <w:rsid w:val="00F43F9C"/>
    <w:rsid w:val="00F44020"/>
    <w:rsid w:val="00F44050"/>
    <w:rsid w:val="00F44052"/>
    <w:rsid w:val="00F44053"/>
    <w:rsid w:val="00F44081"/>
    <w:rsid w:val="00F440D4"/>
    <w:rsid w:val="00F4413C"/>
    <w:rsid w:val="00F44176"/>
    <w:rsid w:val="00F44224"/>
    <w:rsid w:val="00F44309"/>
    <w:rsid w:val="00F44419"/>
    <w:rsid w:val="00F444AA"/>
    <w:rsid w:val="00F4451B"/>
    <w:rsid w:val="00F445ED"/>
    <w:rsid w:val="00F44643"/>
    <w:rsid w:val="00F44645"/>
    <w:rsid w:val="00F44670"/>
    <w:rsid w:val="00F446D3"/>
    <w:rsid w:val="00F446DD"/>
    <w:rsid w:val="00F4473D"/>
    <w:rsid w:val="00F447B5"/>
    <w:rsid w:val="00F448B5"/>
    <w:rsid w:val="00F449AE"/>
    <w:rsid w:val="00F44ABF"/>
    <w:rsid w:val="00F44AC6"/>
    <w:rsid w:val="00F44BE0"/>
    <w:rsid w:val="00F44C84"/>
    <w:rsid w:val="00F44D09"/>
    <w:rsid w:val="00F44D98"/>
    <w:rsid w:val="00F44E36"/>
    <w:rsid w:val="00F44EF5"/>
    <w:rsid w:val="00F4508F"/>
    <w:rsid w:val="00F450CE"/>
    <w:rsid w:val="00F450F8"/>
    <w:rsid w:val="00F451A4"/>
    <w:rsid w:val="00F451CC"/>
    <w:rsid w:val="00F451D1"/>
    <w:rsid w:val="00F45270"/>
    <w:rsid w:val="00F452D0"/>
    <w:rsid w:val="00F45315"/>
    <w:rsid w:val="00F45380"/>
    <w:rsid w:val="00F453AF"/>
    <w:rsid w:val="00F453D7"/>
    <w:rsid w:val="00F4540D"/>
    <w:rsid w:val="00F45512"/>
    <w:rsid w:val="00F456A1"/>
    <w:rsid w:val="00F456D5"/>
    <w:rsid w:val="00F457BD"/>
    <w:rsid w:val="00F458D0"/>
    <w:rsid w:val="00F458EC"/>
    <w:rsid w:val="00F45923"/>
    <w:rsid w:val="00F4597D"/>
    <w:rsid w:val="00F45AA2"/>
    <w:rsid w:val="00F45ADC"/>
    <w:rsid w:val="00F45D84"/>
    <w:rsid w:val="00F45F4D"/>
    <w:rsid w:val="00F45FA9"/>
    <w:rsid w:val="00F46051"/>
    <w:rsid w:val="00F460EE"/>
    <w:rsid w:val="00F461FD"/>
    <w:rsid w:val="00F4635E"/>
    <w:rsid w:val="00F463F5"/>
    <w:rsid w:val="00F4643D"/>
    <w:rsid w:val="00F464EA"/>
    <w:rsid w:val="00F4655D"/>
    <w:rsid w:val="00F465DC"/>
    <w:rsid w:val="00F465E8"/>
    <w:rsid w:val="00F46687"/>
    <w:rsid w:val="00F46740"/>
    <w:rsid w:val="00F469EF"/>
    <w:rsid w:val="00F46A55"/>
    <w:rsid w:val="00F46AFD"/>
    <w:rsid w:val="00F46B3D"/>
    <w:rsid w:val="00F46BD3"/>
    <w:rsid w:val="00F46C2E"/>
    <w:rsid w:val="00F46CE9"/>
    <w:rsid w:val="00F46E54"/>
    <w:rsid w:val="00F46FEA"/>
    <w:rsid w:val="00F47183"/>
    <w:rsid w:val="00F47228"/>
    <w:rsid w:val="00F472B2"/>
    <w:rsid w:val="00F47308"/>
    <w:rsid w:val="00F4731A"/>
    <w:rsid w:val="00F4742D"/>
    <w:rsid w:val="00F47445"/>
    <w:rsid w:val="00F47516"/>
    <w:rsid w:val="00F4760B"/>
    <w:rsid w:val="00F47610"/>
    <w:rsid w:val="00F476C3"/>
    <w:rsid w:val="00F4774A"/>
    <w:rsid w:val="00F477F8"/>
    <w:rsid w:val="00F4785E"/>
    <w:rsid w:val="00F4794A"/>
    <w:rsid w:val="00F479FB"/>
    <w:rsid w:val="00F479FD"/>
    <w:rsid w:val="00F47ACF"/>
    <w:rsid w:val="00F47BB1"/>
    <w:rsid w:val="00F47BB6"/>
    <w:rsid w:val="00F47BEE"/>
    <w:rsid w:val="00F47C01"/>
    <w:rsid w:val="00F47E1D"/>
    <w:rsid w:val="00F47E31"/>
    <w:rsid w:val="00F47F85"/>
    <w:rsid w:val="00F500CB"/>
    <w:rsid w:val="00F501F4"/>
    <w:rsid w:val="00F50237"/>
    <w:rsid w:val="00F50255"/>
    <w:rsid w:val="00F502A0"/>
    <w:rsid w:val="00F502E2"/>
    <w:rsid w:val="00F502FB"/>
    <w:rsid w:val="00F5030A"/>
    <w:rsid w:val="00F50326"/>
    <w:rsid w:val="00F504DA"/>
    <w:rsid w:val="00F50574"/>
    <w:rsid w:val="00F505B5"/>
    <w:rsid w:val="00F505C7"/>
    <w:rsid w:val="00F505F4"/>
    <w:rsid w:val="00F50632"/>
    <w:rsid w:val="00F50651"/>
    <w:rsid w:val="00F507B2"/>
    <w:rsid w:val="00F5084D"/>
    <w:rsid w:val="00F50892"/>
    <w:rsid w:val="00F509DD"/>
    <w:rsid w:val="00F509E9"/>
    <w:rsid w:val="00F50A7A"/>
    <w:rsid w:val="00F50B23"/>
    <w:rsid w:val="00F50B74"/>
    <w:rsid w:val="00F50C26"/>
    <w:rsid w:val="00F50C9E"/>
    <w:rsid w:val="00F50CF3"/>
    <w:rsid w:val="00F50D08"/>
    <w:rsid w:val="00F50D47"/>
    <w:rsid w:val="00F50E44"/>
    <w:rsid w:val="00F50E80"/>
    <w:rsid w:val="00F50EC8"/>
    <w:rsid w:val="00F50EE9"/>
    <w:rsid w:val="00F50F88"/>
    <w:rsid w:val="00F50FE4"/>
    <w:rsid w:val="00F51198"/>
    <w:rsid w:val="00F511F5"/>
    <w:rsid w:val="00F51265"/>
    <w:rsid w:val="00F513A0"/>
    <w:rsid w:val="00F5162C"/>
    <w:rsid w:val="00F51690"/>
    <w:rsid w:val="00F5173C"/>
    <w:rsid w:val="00F51822"/>
    <w:rsid w:val="00F51882"/>
    <w:rsid w:val="00F5191F"/>
    <w:rsid w:val="00F51A3B"/>
    <w:rsid w:val="00F51A6C"/>
    <w:rsid w:val="00F51B6A"/>
    <w:rsid w:val="00F51BE6"/>
    <w:rsid w:val="00F51C06"/>
    <w:rsid w:val="00F51CC8"/>
    <w:rsid w:val="00F51D93"/>
    <w:rsid w:val="00F51ED7"/>
    <w:rsid w:val="00F51EEE"/>
    <w:rsid w:val="00F521DB"/>
    <w:rsid w:val="00F52234"/>
    <w:rsid w:val="00F5223C"/>
    <w:rsid w:val="00F522EF"/>
    <w:rsid w:val="00F522F8"/>
    <w:rsid w:val="00F5236E"/>
    <w:rsid w:val="00F523A6"/>
    <w:rsid w:val="00F5240B"/>
    <w:rsid w:val="00F5250D"/>
    <w:rsid w:val="00F52525"/>
    <w:rsid w:val="00F52581"/>
    <w:rsid w:val="00F525CF"/>
    <w:rsid w:val="00F52612"/>
    <w:rsid w:val="00F5267E"/>
    <w:rsid w:val="00F52743"/>
    <w:rsid w:val="00F527CD"/>
    <w:rsid w:val="00F5280E"/>
    <w:rsid w:val="00F5285C"/>
    <w:rsid w:val="00F528EB"/>
    <w:rsid w:val="00F52A78"/>
    <w:rsid w:val="00F52AB2"/>
    <w:rsid w:val="00F52AB3"/>
    <w:rsid w:val="00F52B58"/>
    <w:rsid w:val="00F52C30"/>
    <w:rsid w:val="00F52C34"/>
    <w:rsid w:val="00F52D94"/>
    <w:rsid w:val="00F52DE1"/>
    <w:rsid w:val="00F52DE3"/>
    <w:rsid w:val="00F52DF0"/>
    <w:rsid w:val="00F52E1F"/>
    <w:rsid w:val="00F52E40"/>
    <w:rsid w:val="00F52F61"/>
    <w:rsid w:val="00F52FDD"/>
    <w:rsid w:val="00F5321A"/>
    <w:rsid w:val="00F532EB"/>
    <w:rsid w:val="00F533B8"/>
    <w:rsid w:val="00F5340A"/>
    <w:rsid w:val="00F534CD"/>
    <w:rsid w:val="00F53531"/>
    <w:rsid w:val="00F5353F"/>
    <w:rsid w:val="00F536AC"/>
    <w:rsid w:val="00F536F3"/>
    <w:rsid w:val="00F5377D"/>
    <w:rsid w:val="00F537C0"/>
    <w:rsid w:val="00F5380C"/>
    <w:rsid w:val="00F5382F"/>
    <w:rsid w:val="00F53836"/>
    <w:rsid w:val="00F53838"/>
    <w:rsid w:val="00F53933"/>
    <w:rsid w:val="00F53AC0"/>
    <w:rsid w:val="00F53B23"/>
    <w:rsid w:val="00F53B87"/>
    <w:rsid w:val="00F53C92"/>
    <w:rsid w:val="00F53D48"/>
    <w:rsid w:val="00F53D9A"/>
    <w:rsid w:val="00F53E18"/>
    <w:rsid w:val="00F53E46"/>
    <w:rsid w:val="00F53F08"/>
    <w:rsid w:val="00F53F0E"/>
    <w:rsid w:val="00F53F1F"/>
    <w:rsid w:val="00F53FA3"/>
    <w:rsid w:val="00F54049"/>
    <w:rsid w:val="00F54146"/>
    <w:rsid w:val="00F54226"/>
    <w:rsid w:val="00F5422C"/>
    <w:rsid w:val="00F5423A"/>
    <w:rsid w:val="00F542DF"/>
    <w:rsid w:val="00F543A4"/>
    <w:rsid w:val="00F543AB"/>
    <w:rsid w:val="00F54466"/>
    <w:rsid w:val="00F544BB"/>
    <w:rsid w:val="00F54519"/>
    <w:rsid w:val="00F54533"/>
    <w:rsid w:val="00F5459F"/>
    <w:rsid w:val="00F547DD"/>
    <w:rsid w:val="00F547ED"/>
    <w:rsid w:val="00F54812"/>
    <w:rsid w:val="00F5484F"/>
    <w:rsid w:val="00F548F5"/>
    <w:rsid w:val="00F549C9"/>
    <w:rsid w:val="00F54A0E"/>
    <w:rsid w:val="00F54A19"/>
    <w:rsid w:val="00F54AE3"/>
    <w:rsid w:val="00F54B14"/>
    <w:rsid w:val="00F54BB8"/>
    <w:rsid w:val="00F54C1B"/>
    <w:rsid w:val="00F54CC5"/>
    <w:rsid w:val="00F54CFB"/>
    <w:rsid w:val="00F54D0E"/>
    <w:rsid w:val="00F54DC7"/>
    <w:rsid w:val="00F54E21"/>
    <w:rsid w:val="00F54EC1"/>
    <w:rsid w:val="00F55033"/>
    <w:rsid w:val="00F550F3"/>
    <w:rsid w:val="00F5519A"/>
    <w:rsid w:val="00F551B2"/>
    <w:rsid w:val="00F5525F"/>
    <w:rsid w:val="00F5538D"/>
    <w:rsid w:val="00F55390"/>
    <w:rsid w:val="00F553C6"/>
    <w:rsid w:val="00F554E5"/>
    <w:rsid w:val="00F554F3"/>
    <w:rsid w:val="00F554FD"/>
    <w:rsid w:val="00F55603"/>
    <w:rsid w:val="00F5564D"/>
    <w:rsid w:val="00F556E3"/>
    <w:rsid w:val="00F556FF"/>
    <w:rsid w:val="00F558C7"/>
    <w:rsid w:val="00F55AF9"/>
    <w:rsid w:val="00F55BAB"/>
    <w:rsid w:val="00F55BB6"/>
    <w:rsid w:val="00F55C28"/>
    <w:rsid w:val="00F55D00"/>
    <w:rsid w:val="00F55F45"/>
    <w:rsid w:val="00F55F51"/>
    <w:rsid w:val="00F55F5B"/>
    <w:rsid w:val="00F560EF"/>
    <w:rsid w:val="00F56108"/>
    <w:rsid w:val="00F5612C"/>
    <w:rsid w:val="00F56359"/>
    <w:rsid w:val="00F56539"/>
    <w:rsid w:val="00F56543"/>
    <w:rsid w:val="00F56562"/>
    <w:rsid w:val="00F565CB"/>
    <w:rsid w:val="00F566A3"/>
    <w:rsid w:val="00F56716"/>
    <w:rsid w:val="00F5682A"/>
    <w:rsid w:val="00F56A2B"/>
    <w:rsid w:val="00F56A2D"/>
    <w:rsid w:val="00F56B6E"/>
    <w:rsid w:val="00F56B9C"/>
    <w:rsid w:val="00F56C72"/>
    <w:rsid w:val="00F56CBA"/>
    <w:rsid w:val="00F56CC3"/>
    <w:rsid w:val="00F56D88"/>
    <w:rsid w:val="00F56DD5"/>
    <w:rsid w:val="00F56DF2"/>
    <w:rsid w:val="00F56E6B"/>
    <w:rsid w:val="00F56E8B"/>
    <w:rsid w:val="00F56F85"/>
    <w:rsid w:val="00F56F8B"/>
    <w:rsid w:val="00F570C8"/>
    <w:rsid w:val="00F5714F"/>
    <w:rsid w:val="00F5717B"/>
    <w:rsid w:val="00F57181"/>
    <w:rsid w:val="00F5722A"/>
    <w:rsid w:val="00F572D7"/>
    <w:rsid w:val="00F57449"/>
    <w:rsid w:val="00F57524"/>
    <w:rsid w:val="00F57543"/>
    <w:rsid w:val="00F57638"/>
    <w:rsid w:val="00F57652"/>
    <w:rsid w:val="00F5767A"/>
    <w:rsid w:val="00F57784"/>
    <w:rsid w:val="00F5778A"/>
    <w:rsid w:val="00F577C5"/>
    <w:rsid w:val="00F57849"/>
    <w:rsid w:val="00F579D6"/>
    <w:rsid w:val="00F57A23"/>
    <w:rsid w:val="00F57A34"/>
    <w:rsid w:val="00F57A98"/>
    <w:rsid w:val="00F57AA6"/>
    <w:rsid w:val="00F57B6B"/>
    <w:rsid w:val="00F57C63"/>
    <w:rsid w:val="00F57D27"/>
    <w:rsid w:val="00F57E5E"/>
    <w:rsid w:val="00F57E8B"/>
    <w:rsid w:val="00F57FEF"/>
    <w:rsid w:val="00F60035"/>
    <w:rsid w:val="00F6018F"/>
    <w:rsid w:val="00F60220"/>
    <w:rsid w:val="00F6028A"/>
    <w:rsid w:val="00F60321"/>
    <w:rsid w:val="00F60372"/>
    <w:rsid w:val="00F605BE"/>
    <w:rsid w:val="00F605C3"/>
    <w:rsid w:val="00F60663"/>
    <w:rsid w:val="00F606CD"/>
    <w:rsid w:val="00F606EA"/>
    <w:rsid w:val="00F607A2"/>
    <w:rsid w:val="00F60813"/>
    <w:rsid w:val="00F60867"/>
    <w:rsid w:val="00F608DE"/>
    <w:rsid w:val="00F60A0D"/>
    <w:rsid w:val="00F60A27"/>
    <w:rsid w:val="00F60C7A"/>
    <w:rsid w:val="00F60E23"/>
    <w:rsid w:val="00F60EB6"/>
    <w:rsid w:val="00F60ED9"/>
    <w:rsid w:val="00F60FE0"/>
    <w:rsid w:val="00F61030"/>
    <w:rsid w:val="00F61127"/>
    <w:rsid w:val="00F6117D"/>
    <w:rsid w:val="00F611F4"/>
    <w:rsid w:val="00F61232"/>
    <w:rsid w:val="00F6131C"/>
    <w:rsid w:val="00F613B4"/>
    <w:rsid w:val="00F61644"/>
    <w:rsid w:val="00F61727"/>
    <w:rsid w:val="00F6172C"/>
    <w:rsid w:val="00F61908"/>
    <w:rsid w:val="00F61938"/>
    <w:rsid w:val="00F61944"/>
    <w:rsid w:val="00F6194B"/>
    <w:rsid w:val="00F61A15"/>
    <w:rsid w:val="00F61A29"/>
    <w:rsid w:val="00F61A33"/>
    <w:rsid w:val="00F61A40"/>
    <w:rsid w:val="00F61A88"/>
    <w:rsid w:val="00F61B4F"/>
    <w:rsid w:val="00F61CE3"/>
    <w:rsid w:val="00F61DA7"/>
    <w:rsid w:val="00F61DC7"/>
    <w:rsid w:val="00F61DEC"/>
    <w:rsid w:val="00F61E2A"/>
    <w:rsid w:val="00F61F02"/>
    <w:rsid w:val="00F62053"/>
    <w:rsid w:val="00F6222B"/>
    <w:rsid w:val="00F622E7"/>
    <w:rsid w:val="00F62354"/>
    <w:rsid w:val="00F62396"/>
    <w:rsid w:val="00F62508"/>
    <w:rsid w:val="00F626F8"/>
    <w:rsid w:val="00F627D6"/>
    <w:rsid w:val="00F62812"/>
    <w:rsid w:val="00F628ED"/>
    <w:rsid w:val="00F6291E"/>
    <w:rsid w:val="00F62942"/>
    <w:rsid w:val="00F629A3"/>
    <w:rsid w:val="00F629AE"/>
    <w:rsid w:val="00F62A57"/>
    <w:rsid w:val="00F62BA8"/>
    <w:rsid w:val="00F62BC8"/>
    <w:rsid w:val="00F62C82"/>
    <w:rsid w:val="00F62DFE"/>
    <w:rsid w:val="00F62EAB"/>
    <w:rsid w:val="00F62EEC"/>
    <w:rsid w:val="00F62F99"/>
    <w:rsid w:val="00F63026"/>
    <w:rsid w:val="00F63051"/>
    <w:rsid w:val="00F63062"/>
    <w:rsid w:val="00F630A1"/>
    <w:rsid w:val="00F63137"/>
    <w:rsid w:val="00F63295"/>
    <w:rsid w:val="00F6338D"/>
    <w:rsid w:val="00F633A0"/>
    <w:rsid w:val="00F633AD"/>
    <w:rsid w:val="00F63405"/>
    <w:rsid w:val="00F63459"/>
    <w:rsid w:val="00F635FC"/>
    <w:rsid w:val="00F63668"/>
    <w:rsid w:val="00F6367F"/>
    <w:rsid w:val="00F636A1"/>
    <w:rsid w:val="00F63719"/>
    <w:rsid w:val="00F637A1"/>
    <w:rsid w:val="00F637B3"/>
    <w:rsid w:val="00F637D1"/>
    <w:rsid w:val="00F6386C"/>
    <w:rsid w:val="00F6388D"/>
    <w:rsid w:val="00F638BE"/>
    <w:rsid w:val="00F63930"/>
    <w:rsid w:val="00F63935"/>
    <w:rsid w:val="00F63A48"/>
    <w:rsid w:val="00F63ADA"/>
    <w:rsid w:val="00F63B78"/>
    <w:rsid w:val="00F63B7E"/>
    <w:rsid w:val="00F63CB3"/>
    <w:rsid w:val="00F63CE4"/>
    <w:rsid w:val="00F63F1C"/>
    <w:rsid w:val="00F63FA3"/>
    <w:rsid w:val="00F6406C"/>
    <w:rsid w:val="00F640BE"/>
    <w:rsid w:val="00F64127"/>
    <w:rsid w:val="00F641D8"/>
    <w:rsid w:val="00F6425E"/>
    <w:rsid w:val="00F642AC"/>
    <w:rsid w:val="00F642B6"/>
    <w:rsid w:val="00F642FB"/>
    <w:rsid w:val="00F6450E"/>
    <w:rsid w:val="00F64624"/>
    <w:rsid w:val="00F646B2"/>
    <w:rsid w:val="00F64779"/>
    <w:rsid w:val="00F64869"/>
    <w:rsid w:val="00F648C3"/>
    <w:rsid w:val="00F648E8"/>
    <w:rsid w:val="00F648F0"/>
    <w:rsid w:val="00F6494B"/>
    <w:rsid w:val="00F64A17"/>
    <w:rsid w:val="00F64A39"/>
    <w:rsid w:val="00F64A3C"/>
    <w:rsid w:val="00F64B42"/>
    <w:rsid w:val="00F64C2B"/>
    <w:rsid w:val="00F64C69"/>
    <w:rsid w:val="00F64E75"/>
    <w:rsid w:val="00F64FE6"/>
    <w:rsid w:val="00F65031"/>
    <w:rsid w:val="00F650B1"/>
    <w:rsid w:val="00F651B8"/>
    <w:rsid w:val="00F65291"/>
    <w:rsid w:val="00F652E7"/>
    <w:rsid w:val="00F6533A"/>
    <w:rsid w:val="00F6541E"/>
    <w:rsid w:val="00F65423"/>
    <w:rsid w:val="00F65527"/>
    <w:rsid w:val="00F65577"/>
    <w:rsid w:val="00F6559E"/>
    <w:rsid w:val="00F65748"/>
    <w:rsid w:val="00F6578B"/>
    <w:rsid w:val="00F658CD"/>
    <w:rsid w:val="00F658E8"/>
    <w:rsid w:val="00F65921"/>
    <w:rsid w:val="00F659C9"/>
    <w:rsid w:val="00F65A2B"/>
    <w:rsid w:val="00F65B07"/>
    <w:rsid w:val="00F65B0B"/>
    <w:rsid w:val="00F65BAA"/>
    <w:rsid w:val="00F65CAF"/>
    <w:rsid w:val="00F65D03"/>
    <w:rsid w:val="00F65D4D"/>
    <w:rsid w:val="00F65D55"/>
    <w:rsid w:val="00F65EA7"/>
    <w:rsid w:val="00F65FF5"/>
    <w:rsid w:val="00F66068"/>
    <w:rsid w:val="00F6609C"/>
    <w:rsid w:val="00F661F0"/>
    <w:rsid w:val="00F662C5"/>
    <w:rsid w:val="00F6630B"/>
    <w:rsid w:val="00F6639A"/>
    <w:rsid w:val="00F66522"/>
    <w:rsid w:val="00F66574"/>
    <w:rsid w:val="00F665E5"/>
    <w:rsid w:val="00F666A4"/>
    <w:rsid w:val="00F66769"/>
    <w:rsid w:val="00F667A3"/>
    <w:rsid w:val="00F6681C"/>
    <w:rsid w:val="00F66955"/>
    <w:rsid w:val="00F66AB9"/>
    <w:rsid w:val="00F66AFD"/>
    <w:rsid w:val="00F66B3B"/>
    <w:rsid w:val="00F66B71"/>
    <w:rsid w:val="00F66C17"/>
    <w:rsid w:val="00F66C4E"/>
    <w:rsid w:val="00F66CE4"/>
    <w:rsid w:val="00F66CFF"/>
    <w:rsid w:val="00F66E4C"/>
    <w:rsid w:val="00F66F5E"/>
    <w:rsid w:val="00F66FB5"/>
    <w:rsid w:val="00F67090"/>
    <w:rsid w:val="00F670E8"/>
    <w:rsid w:val="00F67132"/>
    <w:rsid w:val="00F67279"/>
    <w:rsid w:val="00F6727B"/>
    <w:rsid w:val="00F672A0"/>
    <w:rsid w:val="00F67320"/>
    <w:rsid w:val="00F673BB"/>
    <w:rsid w:val="00F674C9"/>
    <w:rsid w:val="00F674F5"/>
    <w:rsid w:val="00F67501"/>
    <w:rsid w:val="00F67693"/>
    <w:rsid w:val="00F6779B"/>
    <w:rsid w:val="00F677E5"/>
    <w:rsid w:val="00F67875"/>
    <w:rsid w:val="00F6787A"/>
    <w:rsid w:val="00F678AC"/>
    <w:rsid w:val="00F67949"/>
    <w:rsid w:val="00F67A18"/>
    <w:rsid w:val="00F67A8F"/>
    <w:rsid w:val="00F67AAC"/>
    <w:rsid w:val="00F67B16"/>
    <w:rsid w:val="00F67BE6"/>
    <w:rsid w:val="00F67C18"/>
    <w:rsid w:val="00F67D42"/>
    <w:rsid w:val="00F67E8D"/>
    <w:rsid w:val="00F67F5D"/>
    <w:rsid w:val="00F70062"/>
    <w:rsid w:val="00F70148"/>
    <w:rsid w:val="00F70201"/>
    <w:rsid w:val="00F70242"/>
    <w:rsid w:val="00F70316"/>
    <w:rsid w:val="00F704C9"/>
    <w:rsid w:val="00F704E7"/>
    <w:rsid w:val="00F70541"/>
    <w:rsid w:val="00F705AB"/>
    <w:rsid w:val="00F7068B"/>
    <w:rsid w:val="00F706EB"/>
    <w:rsid w:val="00F70906"/>
    <w:rsid w:val="00F70C55"/>
    <w:rsid w:val="00F70D86"/>
    <w:rsid w:val="00F70D9D"/>
    <w:rsid w:val="00F70DA9"/>
    <w:rsid w:val="00F70E6D"/>
    <w:rsid w:val="00F70E8C"/>
    <w:rsid w:val="00F70EB3"/>
    <w:rsid w:val="00F70FCB"/>
    <w:rsid w:val="00F710D7"/>
    <w:rsid w:val="00F71285"/>
    <w:rsid w:val="00F712FC"/>
    <w:rsid w:val="00F713EB"/>
    <w:rsid w:val="00F7142D"/>
    <w:rsid w:val="00F71518"/>
    <w:rsid w:val="00F7151E"/>
    <w:rsid w:val="00F71528"/>
    <w:rsid w:val="00F71550"/>
    <w:rsid w:val="00F71579"/>
    <w:rsid w:val="00F715BA"/>
    <w:rsid w:val="00F715E3"/>
    <w:rsid w:val="00F71636"/>
    <w:rsid w:val="00F7167B"/>
    <w:rsid w:val="00F716CE"/>
    <w:rsid w:val="00F718BA"/>
    <w:rsid w:val="00F71996"/>
    <w:rsid w:val="00F719CB"/>
    <w:rsid w:val="00F71A09"/>
    <w:rsid w:val="00F71A68"/>
    <w:rsid w:val="00F71A77"/>
    <w:rsid w:val="00F71C37"/>
    <w:rsid w:val="00F71C65"/>
    <w:rsid w:val="00F71CB0"/>
    <w:rsid w:val="00F71D0B"/>
    <w:rsid w:val="00F71E43"/>
    <w:rsid w:val="00F71F13"/>
    <w:rsid w:val="00F71FC0"/>
    <w:rsid w:val="00F7203D"/>
    <w:rsid w:val="00F7203E"/>
    <w:rsid w:val="00F7205A"/>
    <w:rsid w:val="00F7212A"/>
    <w:rsid w:val="00F722BC"/>
    <w:rsid w:val="00F722BE"/>
    <w:rsid w:val="00F725DB"/>
    <w:rsid w:val="00F725DD"/>
    <w:rsid w:val="00F726AA"/>
    <w:rsid w:val="00F7276A"/>
    <w:rsid w:val="00F727A2"/>
    <w:rsid w:val="00F727B4"/>
    <w:rsid w:val="00F72821"/>
    <w:rsid w:val="00F728C8"/>
    <w:rsid w:val="00F7297F"/>
    <w:rsid w:val="00F72A07"/>
    <w:rsid w:val="00F72A45"/>
    <w:rsid w:val="00F72A94"/>
    <w:rsid w:val="00F72BD1"/>
    <w:rsid w:val="00F72BD6"/>
    <w:rsid w:val="00F72C84"/>
    <w:rsid w:val="00F72D2F"/>
    <w:rsid w:val="00F72DA2"/>
    <w:rsid w:val="00F72EBF"/>
    <w:rsid w:val="00F72F4E"/>
    <w:rsid w:val="00F72F6E"/>
    <w:rsid w:val="00F7310E"/>
    <w:rsid w:val="00F7314D"/>
    <w:rsid w:val="00F7328D"/>
    <w:rsid w:val="00F73297"/>
    <w:rsid w:val="00F733B5"/>
    <w:rsid w:val="00F73452"/>
    <w:rsid w:val="00F735D8"/>
    <w:rsid w:val="00F7365C"/>
    <w:rsid w:val="00F73701"/>
    <w:rsid w:val="00F739F3"/>
    <w:rsid w:val="00F73A03"/>
    <w:rsid w:val="00F73A0B"/>
    <w:rsid w:val="00F73A11"/>
    <w:rsid w:val="00F73AD8"/>
    <w:rsid w:val="00F73B64"/>
    <w:rsid w:val="00F73CAB"/>
    <w:rsid w:val="00F73D2E"/>
    <w:rsid w:val="00F73F2C"/>
    <w:rsid w:val="00F73F3B"/>
    <w:rsid w:val="00F73FA1"/>
    <w:rsid w:val="00F74121"/>
    <w:rsid w:val="00F74184"/>
    <w:rsid w:val="00F741A8"/>
    <w:rsid w:val="00F74201"/>
    <w:rsid w:val="00F74352"/>
    <w:rsid w:val="00F74380"/>
    <w:rsid w:val="00F74439"/>
    <w:rsid w:val="00F74519"/>
    <w:rsid w:val="00F74536"/>
    <w:rsid w:val="00F74632"/>
    <w:rsid w:val="00F7468D"/>
    <w:rsid w:val="00F7475D"/>
    <w:rsid w:val="00F7483C"/>
    <w:rsid w:val="00F7484F"/>
    <w:rsid w:val="00F74928"/>
    <w:rsid w:val="00F74A7E"/>
    <w:rsid w:val="00F74ABC"/>
    <w:rsid w:val="00F74ACF"/>
    <w:rsid w:val="00F74CCD"/>
    <w:rsid w:val="00F74D30"/>
    <w:rsid w:val="00F74D32"/>
    <w:rsid w:val="00F74DDF"/>
    <w:rsid w:val="00F74F58"/>
    <w:rsid w:val="00F74F6A"/>
    <w:rsid w:val="00F74FF2"/>
    <w:rsid w:val="00F7506F"/>
    <w:rsid w:val="00F750BF"/>
    <w:rsid w:val="00F753C3"/>
    <w:rsid w:val="00F753C9"/>
    <w:rsid w:val="00F7564A"/>
    <w:rsid w:val="00F75718"/>
    <w:rsid w:val="00F75822"/>
    <w:rsid w:val="00F7593A"/>
    <w:rsid w:val="00F7596B"/>
    <w:rsid w:val="00F759A4"/>
    <w:rsid w:val="00F75A4F"/>
    <w:rsid w:val="00F75AAF"/>
    <w:rsid w:val="00F75AC4"/>
    <w:rsid w:val="00F75AEB"/>
    <w:rsid w:val="00F75B50"/>
    <w:rsid w:val="00F75C3E"/>
    <w:rsid w:val="00F75CE9"/>
    <w:rsid w:val="00F75D3E"/>
    <w:rsid w:val="00F75DBB"/>
    <w:rsid w:val="00F75E25"/>
    <w:rsid w:val="00F75E3E"/>
    <w:rsid w:val="00F75E45"/>
    <w:rsid w:val="00F75EA2"/>
    <w:rsid w:val="00F75EBA"/>
    <w:rsid w:val="00F75EBC"/>
    <w:rsid w:val="00F76073"/>
    <w:rsid w:val="00F76089"/>
    <w:rsid w:val="00F76370"/>
    <w:rsid w:val="00F7639F"/>
    <w:rsid w:val="00F76401"/>
    <w:rsid w:val="00F76436"/>
    <w:rsid w:val="00F76517"/>
    <w:rsid w:val="00F765F6"/>
    <w:rsid w:val="00F7669E"/>
    <w:rsid w:val="00F766D7"/>
    <w:rsid w:val="00F7676D"/>
    <w:rsid w:val="00F768D4"/>
    <w:rsid w:val="00F769A1"/>
    <w:rsid w:val="00F76A1B"/>
    <w:rsid w:val="00F76B95"/>
    <w:rsid w:val="00F76CB1"/>
    <w:rsid w:val="00F76CF7"/>
    <w:rsid w:val="00F76D1F"/>
    <w:rsid w:val="00F76DDC"/>
    <w:rsid w:val="00F76E33"/>
    <w:rsid w:val="00F76F0E"/>
    <w:rsid w:val="00F770B2"/>
    <w:rsid w:val="00F770B6"/>
    <w:rsid w:val="00F77111"/>
    <w:rsid w:val="00F77174"/>
    <w:rsid w:val="00F771FE"/>
    <w:rsid w:val="00F772E1"/>
    <w:rsid w:val="00F7746B"/>
    <w:rsid w:val="00F7751D"/>
    <w:rsid w:val="00F77586"/>
    <w:rsid w:val="00F77593"/>
    <w:rsid w:val="00F7760A"/>
    <w:rsid w:val="00F777C5"/>
    <w:rsid w:val="00F777EA"/>
    <w:rsid w:val="00F77844"/>
    <w:rsid w:val="00F77887"/>
    <w:rsid w:val="00F778E5"/>
    <w:rsid w:val="00F7793A"/>
    <w:rsid w:val="00F7796A"/>
    <w:rsid w:val="00F7797C"/>
    <w:rsid w:val="00F7798B"/>
    <w:rsid w:val="00F779DE"/>
    <w:rsid w:val="00F77A8C"/>
    <w:rsid w:val="00F77AC5"/>
    <w:rsid w:val="00F77C35"/>
    <w:rsid w:val="00F77C66"/>
    <w:rsid w:val="00F77CC6"/>
    <w:rsid w:val="00F77E6B"/>
    <w:rsid w:val="00F77F61"/>
    <w:rsid w:val="00F77F70"/>
    <w:rsid w:val="00F77FCA"/>
    <w:rsid w:val="00F80026"/>
    <w:rsid w:val="00F800AD"/>
    <w:rsid w:val="00F800F6"/>
    <w:rsid w:val="00F801F3"/>
    <w:rsid w:val="00F80308"/>
    <w:rsid w:val="00F8044D"/>
    <w:rsid w:val="00F804FB"/>
    <w:rsid w:val="00F805C4"/>
    <w:rsid w:val="00F807CE"/>
    <w:rsid w:val="00F80873"/>
    <w:rsid w:val="00F80901"/>
    <w:rsid w:val="00F809EC"/>
    <w:rsid w:val="00F80A55"/>
    <w:rsid w:val="00F80A73"/>
    <w:rsid w:val="00F80BCB"/>
    <w:rsid w:val="00F80C56"/>
    <w:rsid w:val="00F80CFA"/>
    <w:rsid w:val="00F80DAF"/>
    <w:rsid w:val="00F80DD8"/>
    <w:rsid w:val="00F80E55"/>
    <w:rsid w:val="00F80E67"/>
    <w:rsid w:val="00F80ED3"/>
    <w:rsid w:val="00F80F06"/>
    <w:rsid w:val="00F8101A"/>
    <w:rsid w:val="00F81063"/>
    <w:rsid w:val="00F811E0"/>
    <w:rsid w:val="00F8121E"/>
    <w:rsid w:val="00F8123E"/>
    <w:rsid w:val="00F81320"/>
    <w:rsid w:val="00F813BF"/>
    <w:rsid w:val="00F8140D"/>
    <w:rsid w:val="00F81418"/>
    <w:rsid w:val="00F81450"/>
    <w:rsid w:val="00F8150B"/>
    <w:rsid w:val="00F81559"/>
    <w:rsid w:val="00F81567"/>
    <w:rsid w:val="00F815F0"/>
    <w:rsid w:val="00F81765"/>
    <w:rsid w:val="00F81811"/>
    <w:rsid w:val="00F8190C"/>
    <w:rsid w:val="00F819D1"/>
    <w:rsid w:val="00F81A6F"/>
    <w:rsid w:val="00F81B6F"/>
    <w:rsid w:val="00F81BC3"/>
    <w:rsid w:val="00F81BCE"/>
    <w:rsid w:val="00F81CCC"/>
    <w:rsid w:val="00F81D43"/>
    <w:rsid w:val="00F81DBD"/>
    <w:rsid w:val="00F81DEC"/>
    <w:rsid w:val="00F81E33"/>
    <w:rsid w:val="00F81E6F"/>
    <w:rsid w:val="00F81EF4"/>
    <w:rsid w:val="00F81F90"/>
    <w:rsid w:val="00F82045"/>
    <w:rsid w:val="00F820DD"/>
    <w:rsid w:val="00F82137"/>
    <w:rsid w:val="00F82142"/>
    <w:rsid w:val="00F8218E"/>
    <w:rsid w:val="00F8218F"/>
    <w:rsid w:val="00F82190"/>
    <w:rsid w:val="00F8221A"/>
    <w:rsid w:val="00F82257"/>
    <w:rsid w:val="00F82262"/>
    <w:rsid w:val="00F82342"/>
    <w:rsid w:val="00F823CF"/>
    <w:rsid w:val="00F82473"/>
    <w:rsid w:val="00F82516"/>
    <w:rsid w:val="00F82547"/>
    <w:rsid w:val="00F825BE"/>
    <w:rsid w:val="00F8264D"/>
    <w:rsid w:val="00F82824"/>
    <w:rsid w:val="00F82922"/>
    <w:rsid w:val="00F82938"/>
    <w:rsid w:val="00F8295F"/>
    <w:rsid w:val="00F82963"/>
    <w:rsid w:val="00F829C1"/>
    <w:rsid w:val="00F829F1"/>
    <w:rsid w:val="00F82A9B"/>
    <w:rsid w:val="00F82B73"/>
    <w:rsid w:val="00F82BAF"/>
    <w:rsid w:val="00F82C4E"/>
    <w:rsid w:val="00F82C8E"/>
    <w:rsid w:val="00F82C9E"/>
    <w:rsid w:val="00F82D02"/>
    <w:rsid w:val="00F82D8D"/>
    <w:rsid w:val="00F82D96"/>
    <w:rsid w:val="00F82DAA"/>
    <w:rsid w:val="00F82DFB"/>
    <w:rsid w:val="00F82EA2"/>
    <w:rsid w:val="00F82F43"/>
    <w:rsid w:val="00F82F75"/>
    <w:rsid w:val="00F83066"/>
    <w:rsid w:val="00F83069"/>
    <w:rsid w:val="00F8317C"/>
    <w:rsid w:val="00F8359A"/>
    <w:rsid w:val="00F835BA"/>
    <w:rsid w:val="00F83648"/>
    <w:rsid w:val="00F837AC"/>
    <w:rsid w:val="00F83832"/>
    <w:rsid w:val="00F8385D"/>
    <w:rsid w:val="00F83AC9"/>
    <w:rsid w:val="00F83B55"/>
    <w:rsid w:val="00F83BE3"/>
    <w:rsid w:val="00F83CC4"/>
    <w:rsid w:val="00F83D7B"/>
    <w:rsid w:val="00F83D9B"/>
    <w:rsid w:val="00F83F22"/>
    <w:rsid w:val="00F84031"/>
    <w:rsid w:val="00F840D3"/>
    <w:rsid w:val="00F8414A"/>
    <w:rsid w:val="00F841BB"/>
    <w:rsid w:val="00F841F8"/>
    <w:rsid w:val="00F8433F"/>
    <w:rsid w:val="00F84355"/>
    <w:rsid w:val="00F843A5"/>
    <w:rsid w:val="00F843C3"/>
    <w:rsid w:val="00F84426"/>
    <w:rsid w:val="00F84447"/>
    <w:rsid w:val="00F844E6"/>
    <w:rsid w:val="00F84517"/>
    <w:rsid w:val="00F84585"/>
    <w:rsid w:val="00F8461D"/>
    <w:rsid w:val="00F8464A"/>
    <w:rsid w:val="00F847A7"/>
    <w:rsid w:val="00F847C8"/>
    <w:rsid w:val="00F849E7"/>
    <w:rsid w:val="00F84B4D"/>
    <w:rsid w:val="00F84BE4"/>
    <w:rsid w:val="00F84CB2"/>
    <w:rsid w:val="00F84D24"/>
    <w:rsid w:val="00F84D5D"/>
    <w:rsid w:val="00F84E5E"/>
    <w:rsid w:val="00F84EC2"/>
    <w:rsid w:val="00F84F26"/>
    <w:rsid w:val="00F850D9"/>
    <w:rsid w:val="00F851D0"/>
    <w:rsid w:val="00F85241"/>
    <w:rsid w:val="00F8524F"/>
    <w:rsid w:val="00F853EE"/>
    <w:rsid w:val="00F8546D"/>
    <w:rsid w:val="00F854DF"/>
    <w:rsid w:val="00F854E3"/>
    <w:rsid w:val="00F85553"/>
    <w:rsid w:val="00F855C5"/>
    <w:rsid w:val="00F8566B"/>
    <w:rsid w:val="00F85737"/>
    <w:rsid w:val="00F85754"/>
    <w:rsid w:val="00F857DC"/>
    <w:rsid w:val="00F85844"/>
    <w:rsid w:val="00F8599C"/>
    <w:rsid w:val="00F859D9"/>
    <w:rsid w:val="00F859DA"/>
    <w:rsid w:val="00F859F2"/>
    <w:rsid w:val="00F85AF2"/>
    <w:rsid w:val="00F85B4F"/>
    <w:rsid w:val="00F85B6E"/>
    <w:rsid w:val="00F85F0D"/>
    <w:rsid w:val="00F85F30"/>
    <w:rsid w:val="00F86086"/>
    <w:rsid w:val="00F8609E"/>
    <w:rsid w:val="00F86154"/>
    <w:rsid w:val="00F861D3"/>
    <w:rsid w:val="00F86200"/>
    <w:rsid w:val="00F862BB"/>
    <w:rsid w:val="00F862F9"/>
    <w:rsid w:val="00F863C0"/>
    <w:rsid w:val="00F863F5"/>
    <w:rsid w:val="00F86475"/>
    <w:rsid w:val="00F8649B"/>
    <w:rsid w:val="00F86559"/>
    <w:rsid w:val="00F86648"/>
    <w:rsid w:val="00F866A2"/>
    <w:rsid w:val="00F866A7"/>
    <w:rsid w:val="00F8677D"/>
    <w:rsid w:val="00F8679E"/>
    <w:rsid w:val="00F867FE"/>
    <w:rsid w:val="00F86855"/>
    <w:rsid w:val="00F86868"/>
    <w:rsid w:val="00F868C3"/>
    <w:rsid w:val="00F86958"/>
    <w:rsid w:val="00F86960"/>
    <w:rsid w:val="00F869D6"/>
    <w:rsid w:val="00F869D7"/>
    <w:rsid w:val="00F86A00"/>
    <w:rsid w:val="00F86A4E"/>
    <w:rsid w:val="00F86C5E"/>
    <w:rsid w:val="00F86C90"/>
    <w:rsid w:val="00F86CF2"/>
    <w:rsid w:val="00F86D33"/>
    <w:rsid w:val="00F86DC3"/>
    <w:rsid w:val="00F86E45"/>
    <w:rsid w:val="00F86FF5"/>
    <w:rsid w:val="00F871BD"/>
    <w:rsid w:val="00F871F0"/>
    <w:rsid w:val="00F87213"/>
    <w:rsid w:val="00F87223"/>
    <w:rsid w:val="00F87328"/>
    <w:rsid w:val="00F87407"/>
    <w:rsid w:val="00F8758D"/>
    <w:rsid w:val="00F875FB"/>
    <w:rsid w:val="00F8762E"/>
    <w:rsid w:val="00F8764A"/>
    <w:rsid w:val="00F87799"/>
    <w:rsid w:val="00F8782B"/>
    <w:rsid w:val="00F8783B"/>
    <w:rsid w:val="00F878BD"/>
    <w:rsid w:val="00F878DB"/>
    <w:rsid w:val="00F87905"/>
    <w:rsid w:val="00F879D4"/>
    <w:rsid w:val="00F87A40"/>
    <w:rsid w:val="00F87CA4"/>
    <w:rsid w:val="00F87CAC"/>
    <w:rsid w:val="00F87CDE"/>
    <w:rsid w:val="00F87D73"/>
    <w:rsid w:val="00F87EFB"/>
    <w:rsid w:val="00F87F98"/>
    <w:rsid w:val="00F87FF1"/>
    <w:rsid w:val="00F901D2"/>
    <w:rsid w:val="00F901DF"/>
    <w:rsid w:val="00F901E9"/>
    <w:rsid w:val="00F90265"/>
    <w:rsid w:val="00F902A7"/>
    <w:rsid w:val="00F9032C"/>
    <w:rsid w:val="00F903B9"/>
    <w:rsid w:val="00F903E8"/>
    <w:rsid w:val="00F9040A"/>
    <w:rsid w:val="00F904B5"/>
    <w:rsid w:val="00F905CA"/>
    <w:rsid w:val="00F90629"/>
    <w:rsid w:val="00F90666"/>
    <w:rsid w:val="00F90674"/>
    <w:rsid w:val="00F90690"/>
    <w:rsid w:val="00F906A1"/>
    <w:rsid w:val="00F90717"/>
    <w:rsid w:val="00F90740"/>
    <w:rsid w:val="00F907A4"/>
    <w:rsid w:val="00F907A8"/>
    <w:rsid w:val="00F9092A"/>
    <w:rsid w:val="00F909E5"/>
    <w:rsid w:val="00F90B0A"/>
    <w:rsid w:val="00F90B44"/>
    <w:rsid w:val="00F90B95"/>
    <w:rsid w:val="00F90BDA"/>
    <w:rsid w:val="00F90D98"/>
    <w:rsid w:val="00F90E3A"/>
    <w:rsid w:val="00F90E59"/>
    <w:rsid w:val="00F90E91"/>
    <w:rsid w:val="00F90F8D"/>
    <w:rsid w:val="00F90F98"/>
    <w:rsid w:val="00F90FDE"/>
    <w:rsid w:val="00F91022"/>
    <w:rsid w:val="00F91027"/>
    <w:rsid w:val="00F91029"/>
    <w:rsid w:val="00F911D1"/>
    <w:rsid w:val="00F91248"/>
    <w:rsid w:val="00F91258"/>
    <w:rsid w:val="00F912D1"/>
    <w:rsid w:val="00F9132C"/>
    <w:rsid w:val="00F91363"/>
    <w:rsid w:val="00F91496"/>
    <w:rsid w:val="00F914CE"/>
    <w:rsid w:val="00F91571"/>
    <w:rsid w:val="00F9157D"/>
    <w:rsid w:val="00F915C3"/>
    <w:rsid w:val="00F916C2"/>
    <w:rsid w:val="00F916EF"/>
    <w:rsid w:val="00F9178C"/>
    <w:rsid w:val="00F917A6"/>
    <w:rsid w:val="00F91805"/>
    <w:rsid w:val="00F9180B"/>
    <w:rsid w:val="00F9191C"/>
    <w:rsid w:val="00F919C5"/>
    <w:rsid w:val="00F919CB"/>
    <w:rsid w:val="00F91C42"/>
    <w:rsid w:val="00F91D90"/>
    <w:rsid w:val="00F91DD2"/>
    <w:rsid w:val="00F91DDB"/>
    <w:rsid w:val="00F91DF2"/>
    <w:rsid w:val="00F91DF5"/>
    <w:rsid w:val="00F91FF7"/>
    <w:rsid w:val="00F9208D"/>
    <w:rsid w:val="00F921D1"/>
    <w:rsid w:val="00F921D3"/>
    <w:rsid w:val="00F921D8"/>
    <w:rsid w:val="00F92214"/>
    <w:rsid w:val="00F922BC"/>
    <w:rsid w:val="00F922CF"/>
    <w:rsid w:val="00F92384"/>
    <w:rsid w:val="00F92398"/>
    <w:rsid w:val="00F923DF"/>
    <w:rsid w:val="00F923FF"/>
    <w:rsid w:val="00F92470"/>
    <w:rsid w:val="00F924E0"/>
    <w:rsid w:val="00F92519"/>
    <w:rsid w:val="00F925EC"/>
    <w:rsid w:val="00F92624"/>
    <w:rsid w:val="00F92733"/>
    <w:rsid w:val="00F927C5"/>
    <w:rsid w:val="00F92804"/>
    <w:rsid w:val="00F92844"/>
    <w:rsid w:val="00F92850"/>
    <w:rsid w:val="00F928E9"/>
    <w:rsid w:val="00F92A8B"/>
    <w:rsid w:val="00F92AB4"/>
    <w:rsid w:val="00F92BE0"/>
    <w:rsid w:val="00F92CB5"/>
    <w:rsid w:val="00F92D5D"/>
    <w:rsid w:val="00F92D6B"/>
    <w:rsid w:val="00F92DD7"/>
    <w:rsid w:val="00F92DDC"/>
    <w:rsid w:val="00F92E67"/>
    <w:rsid w:val="00F92EBF"/>
    <w:rsid w:val="00F92EC2"/>
    <w:rsid w:val="00F92EF4"/>
    <w:rsid w:val="00F930E5"/>
    <w:rsid w:val="00F9318D"/>
    <w:rsid w:val="00F93207"/>
    <w:rsid w:val="00F932E7"/>
    <w:rsid w:val="00F9334A"/>
    <w:rsid w:val="00F93494"/>
    <w:rsid w:val="00F9360E"/>
    <w:rsid w:val="00F93729"/>
    <w:rsid w:val="00F9397D"/>
    <w:rsid w:val="00F93984"/>
    <w:rsid w:val="00F93AD0"/>
    <w:rsid w:val="00F93B0B"/>
    <w:rsid w:val="00F93C94"/>
    <w:rsid w:val="00F93CCB"/>
    <w:rsid w:val="00F93CE1"/>
    <w:rsid w:val="00F93D46"/>
    <w:rsid w:val="00F93D63"/>
    <w:rsid w:val="00F93DB7"/>
    <w:rsid w:val="00F93DCC"/>
    <w:rsid w:val="00F93F64"/>
    <w:rsid w:val="00F94197"/>
    <w:rsid w:val="00F9420D"/>
    <w:rsid w:val="00F94298"/>
    <w:rsid w:val="00F942AF"/>
    <w:rsid w:val="00F9434B"/>
    <w:rsid w:val="00F94413"/>
    <w:rsid w:val="00F94481"/>
    <w:rsid w:val="00F944A7"/>
    <w:rsid w:val="00F944AC"/>
    <w:rsid w:val="00F94530"/>
    <w:rsid w:val="00F945AC"/>
    <w:rsid w:val="00F945E9"/>
    <w:rsid w:val="00F9461E"/>
    <w:rsid w:val="00F94687"/>
    <w:rsid w:val="00F946B6"/>
    <w:rsid w:val="00F94859"/>
    <w:rsid w:val="00F9498F"/>
    <w:rsid w:val="00F949E2"/>
    <w:rsid w:val="00F94ADD"/>
    <w:rsid w:val="00F94B00"/>
    <w:rsid w:val="00F94B41"/>
    <w:rsid w:val="00F94B5F"/>
    <w:rsid w:val="00F94C3F"/>
    <w:rsid w:val="00F94C8A"/>
    <w:rsid w:val="00F94CDC"/>
    <w:rsid w:val="00F94CF4"/>
    <w:rsid w:val="00F94D27"/>
    <w:rsid w:val="00F94DA1"/>
    <w:rsid w:val="00F94DCB"/>
    <w:rsid w:val="00F94DF7"/>
    <w:rsid w:val="00F94DFB"/>
    <w:rsid w:val="00F94E05"/>
    <w:rsid w:val="00F94E55"/>
    <w:rsid w:val="00F94E86"/>
    <w:rsid w:val="00F94E93"/>
    <w:rsid w:val="00F94EA0"/>
    <w:rsid w:val="00F94FF3"/>
    <w:rsid w:val="00F95079"/>
    <w:rsid w:val="00F950AB"/>
    <w:rsid w:val="00F950F4"/>
    <w:rsid w:val="00F95117"/>
    <w:rsid w:val="00F95133"/>
    <w:rsid w:val="00F9517C"/>
    <w:rsid w:val="00F951FE"/>
    <w:rsid w:val="00F952A4"/>
    <w:rsid w:val="00F952A6"/>
    <w:rsid w:val="00F95367"/>
    <w:rsid w:val="00F953AA"/>
    <w:rsid w:val="00F953C8"/>
    <w:rsid w:val="00F95463"/>
    <w:rsid w:val="00F9548F"/>
    <w:rsid w:val="00F9550C"/>
    <w:rsid w:val="00F95530"/>
    <w:rsid w:val="00F95542"/>
    <w:rsid w:val="00F95560"/>
    <w:rsid w:val="00F955D1"/>
    <w:rsid w:val="00F95607"/>
    <w:rsid w:val="00F95783"/>
    <w:rsid w:val="00F9579A"/>
    <w:rsid w:val="00F9580B"/>
    <w:rsid w:val="00F95875"/>
    <w:rsid w:val="00F958FD"/>
    <w:rsid w:val="00F9591F"/>
    <w:rsid w:val="00F95BE8"/>
    <w:rsid w:val="00F95C44"/>
    <w:rsid w:val="00F95C72"/>
    <w:rsid w:val="00F95CB2"/>
    <w:rsid w:val="00F95D51"/>
    <w:rsid w:val="00F95D8A"/>
    <w:rsid w:val="00F95E22"/>
    <w:rsid w:val="00F95EC5"/>
    <w:rsid w:val="00F95F93"/>
    <w:rsid w:val="00F95FC6"/>
    <w:rsid w:val="00F9603A"/>
    <w:rsid w:val="00F9609D"/>
    <w:rsid w:val="00F9627E"/>
    <w:rsid w:val="00F963B4"/>
    <w:rsid w:val="00F9643E"/>
    <w:rsid w:val="00F9646A"/>
    <w:rsid w:val="00F964D0"/>
    <w:rsid w:val="00F96690"/>
    <w:rsid w:val="00F966A5"/>
    <w:rsid w:val="00F967A7"/>
    <w:rsid w:val="00F968DE"/>
    <w:rsid w:val="00F9690C"/>
    <w:rsid w:val="00F96A40"/>
    <w:rsid w:val="00F96BC5"/>
    <w:rsid w:val="00F96BDE"/>
    <w:rsid w:val="00F96CA6"/>
    <w:rsid w:val="00F96CBB"/>
    <w:rsid w:val="00F96DD5"/>
    <w:rsid w:val="00F96E30"/>
    <w:rsid w:val="00F96E91"/>
    <w:rsid w:val="00F96EC9"/>
    <w:rsid w:val="00F96EE3"/>
    <w:rsid w:val="00F96FCA"/>
    <w:rsid w:val="00F9700B"/>
    <w:rsid w:val="00F970CB"/>
    <w:rsid w:val="00F970EC"/>
    <w:rsid w:val="00F9711D"/>
    <w:rsid w:val="00F9718C"/>
    <w:rsid w:val="00F972A7"/>
    <w:rsid w:val="00F97393"/>
    <w:rsid w:val="00F975A5"/>
    <w:rsid w:val="00F975C8"/>
    <w:rsid w:val="00F97683"/>
    <w:rsid w:val="00F976A9"/>
    <w:rsid w:val="00F9770A"/>
    <w:rsid w:val="00F9788D"/>
    <w:rsid w:val="00F97951"/>
    <w:rsid w:val="00F97AB7"/>
    <w:rsid w:val="00F97B1F"/>
    <w:rsid w:val="00F97C59"/>
    <w:rsid w:val="00F97D76"/>
    <w:rsid w:val="00F97D80"/>
    <w:rsid w:val="00F97D91"/>
    <w:rsid w:val="00F97E14"/>
    <w:rsid w:val="00F97E1B"/>
    <w:rsid w:val="00F97E34"/>
    <w:rsid w:val="00F97F04"/>
    <w:rsid w:val="00F97F69"/>
    <w:rsid w:val="00F97F93"/>
    <w:rsid w:val="00FA004C"/>
    <w:rsid w:val="00FA0065"/>
    <w:rsid w:val="00FA0087"/>
    <w:rsid w:val="00FA008F"/>
    <w:rsid w:val="00FA0094"/>
    <w:rsid w:val="00FA021A"/>
    <w:rsid w:val="00FA02CA"/>
    <w:rsid w:val="00FA0392"/>
    <w:rsid w:val="00FA04AE"/>
    <w:rsid w:val="00FA0507"/>
    <w:rsid w:val="00FA064F"/>
    <w:rsid w:val="00FA07E8"/>
    <w:rsid w:val="00FA0851"/>
    <w:rsid w:val="00FA0879"/>
    <w:rsid w:val="00FA0965"/>
    <w:rsid w:val="00FA0C71"/>
    <w:rsid w:val="00FA0C91"/>
    <w:rsid w:val="00FA0D47"/>
    <w:rsid w:val="00FA0D7D"/>
    <w:rsid w:val="00FA0EC8"/>
    <w:rsid w:val="00FA0F24"/>
    <w:rsid w:val="00FA0F61"/>
    <w:rsid w:val="00FA0FC3"/>
    <w:rsid w:val="00FA1053"/>
    <w:rsid w:val="00FA11EC"/>
    <w:rsid w:val="00FA12D1"/>
    <w:rsid w:val="00FA1364"/>
    <w:rsid w:val="00FA1477"/>
    <w:rsid w:val="00FA147A"/>
    <w:rsid w:val="00FA14D9"/>
    <w:rsid w:val="00FA1768"/>
    <w:rsid w:val="00FA17BE"/>
    <w:rsid w:val="00FA18B4"/>
    <w:rsid w:val="00FA18BC"/>
    <w:rsid w:val="00FA18D0"/>
    <w:rsid w:val="00FA1928"/>
    <w:rsid w:val="00FA1934"/>
    <w:rsid w:val="00FA1A9A"/>
    <w:rsid w:val="00FA1B7F"/>
    <w:rsid w:val="00FA1CF8"/>
    <w:rsid w:val="00FA1DE5"/>
    <w:rsid w:val="00FA1EB2"/>
    <w:rsid w:val="00FA1EEC"/>
    <w:rsid w:val="00FA1F7A"/>
    <w:rsid w:val="00FA1F7F"/>
    <w:rsid w:val="00FA2073"/>
    <w:rsid w:val="00FA208B"/>
    <w:rsid w:val="00FA213D"/>
    <w:rsid w:val="00FA2155"/>
    <w:rsid w:val="00FA21EE"/>
    <w:rsid w:val="00FA220A"/>
    <w:rsid w:val="00FA227C"/>
    <w:rsid w:val="00FA233C"/>
    <w:rsid w:val="00FA2428"/>
    <w:rsid w:val="00FA2452"/>
    <w:rsid w:val="00FA25C5"/>
    <w:rsid w:val="00FA2628"/>
    <w:rsid w:val="00FA26B2"/>
    <w:rsid w:val="00FA26E6"/>
    <w:rsid w:val="00FA273E"/>
    <w:rsid w:val="00FA2762"/>
    <w:rsid w:val="00FA2970"/>
    <w:rsid w:val="00FA29FF"/>
    <w:rsid w:val="00FA2AFF"/>
    <w:rsid w:val="00FA2B1F"/>
    <w:rsid w:val="00FA2B66"/>
    <w:rsid w:val="00FA2B9F"/>
    <w:rsid w:val="00FA2C57"/>
    <w:rsid w:val="00FA2E2E"/>
    <w:rsid w:val="00FA2E53"/>
    <w:rsid w:val="00FA2F8C"/>
    <w:rsid w:val="00FA2F8E"/>
    <w:rsid w:val="00FA3155"/>
    <w:rsid w:val="00FA31E4"/>
    <w:rsid w:val="00FA3216"/>
    <w:rsid w:val="00FA3335"/>
    <w:rsid w:val="00FA3361"/>
    <w:rsid w:val="00FA3387"/>
    <w:rsid w:val="00FA3586"/>
    <w:rsid w:val="00FA373E"/>
    <w:rsid w:val="00FA37CD"/>
    <w:rsid w:val="00FA3888"/>
    <w:rsid w:val="00FA38DE"/>
    <w:rsid w:val="00FA38E1"/>
    <w:rsid w:val="00FA38EB"/>
    <w:rsid w:val="00FA3A34"/>
    <w:rsid w:val="00FA3B42"/>
    <w:rsid w:val="00FA3B92"/>
    <w:rsid w:val="00FA3CCE"/>
    <w:rsid w:val="00FA3DA3"/>
    <w:rsid w:val="00FA3E08"/>
    <w:rsid w:val="00FA3E8F"/>
    <w:rsid w:val="00FA3E90"/>
    <w:rsid w:val="00FA3EB6"/>
    <w:rsid w:val="00FA3FA7"/>
    <w:rsid w:val="00FA40F1"/>
    <w:rsid w:val="00FA4104"/>
    <w:rsid w:val="00FA4336"/>
    <w:rsid w:val="00FA43FE"/>
    <w:rsid w:val="00FA4587"/>
    <w:rsid w:val="00FA45F2"/>
    <w:rsid w:val="00FA4601"/>
    <w:rsid w:val="00FA460C"/>
    <w:rsid w:val="00FA4630"/>
    <w:rsid w:val="00FA4723"/>
    <w:rsid w:val="00FA4853"/>
    <w:rsid w:val="00FA487E"/>
    <w:rsid w:val="00FA492A"/>
    <w:rsid w:val="00FA4970"/>
    <w:rsid w:val="00FA49FE"/>
    <w:rsid w:val="00FA4A6B"/>
    <w:rsid w:val="00FA4A7F"/>
    <w:rsid w:val="00FA4B5D"/>
    <w:rsid w:val="00FA4D80"/>
    <w:rsid w:val="00FA4E12"/>
    <w:rsid w:val="00FA4E1A"/>
    <w:rsid w:val="00FA4E7E"/>
    <w:rsid w:val="00FA501F"/>
    <w:rsid w:val="00FA511A"/>
    <w:rsid w:val="00FA517C"/>
    <w:rsid w:val="00FA524F"/>
    <w:rsid w:val="00FA5372"/>
    <w:rsid w:val="00FA53AF"/>
    <w:rsid w:val="00FA5522"/>
    <w:rsid w:val="00FA55B8"/>
    <w:rsid w:val="00FA5652"/>
    <w:rsid w:val="00FA56CE"/>
    <w:rsid w:val="00FA57A7"/>
    <w:rsid w:val="00FA57C7"/>
    <w:rsid w:val="00FA58AF"/>
    <w:rsid w:val="00FA593D"/>
    <w:rsid w:val="00FA5A26"/>
    <w:rsid w:val="00FA5A44"/>
    <w:rsid w:val="00FA5B54"/>
    <w:rsid w:val="00FA5CC3"/>
    <w:rsid w:val="00FA5D3C"/>
    <w:rsid w:val="00FA5E49"/>
    <w:rsid w:val="00FA5EAB"/>
    <w:rsid w:val="00FA5ECB"/>
    <w:rsid w:val="00FA5F92"/>
    <w:rsid w:val="00FA624C"/>
    <w:rsid w:val="00FA625D"/>
    <w:rsid w:val="00FA6274"/>
    <w:rsid w:val="00FA6441"/>
    <w:rsid w:val="00FA644F"/>
    <w:rsid w:val="00FA64A4"/>
    <w:rsid w:val="00FA6560"/>
    <w:rsid w:val="00FA659B"/>
    <w:rsid w:val="00FA6662"/>
    <w:rsid w:val="00FA679A"/>
    <w:rsid w:val="00FA67E6"/>
    <w:rsid w:val="00FA6913"/>
    <w:rsid w:val="00FA6993"/>
    <w:rsid w:val="00FA69A8"/>
    <w:rsid w:val="00FA69CC"/>
    <w:rsid w:val="00FA6ABF"/>
    <w:rsid w:val="00FA6ACB"/>
    <w:rsid w:val="00FA6BB4"/>
    <w:rsid w:val="00FA6D6F"/>
    <w:rsid w:val="00FA6DA8"/>
    <w:rsid w:val="00FA6E4B"/>
    <w:rsid w:val="00FA6F7C"/>
    <w:rsid w:val="00FA705D"/>
    <w:rsid w:val="00FA7065"/>
    <w:rsid w:val="00FA72EB"/>
    <w:rsid w:val="00FA73BC"/>
    <w:rsid w:val="00FA7615"/>
    <w:rsid w:val="00FA7672"/>
    <w:rsid w:val="00FA7704"/>
    <w:rsid w:val="00FA7710"/>
    <w:rsid w:val="00FA77AA"/>
    <w:rsid w:val="00FA78B9"/>
    <w:rsid w:val="00FA78E7"/>
    <w:rsid w:val="00FA7BA7"/>
    <w:rsid w:val="00FA7BB1"/>
    <w:rsid w:val="00FA7C32"/>
    <w:rsid w:val="00FA7C3A"/>
    <w:rsid w:val="00FA7C49"/>
    <w:rsid w:val="00FA7D9D"/>
    <w:rsid w:val="00FA7E72"/>
    <w:rsid w:val="00FA7E73"/>
    <w:rsid w:val="00FA7ED8"/>
    <w:rsid w:val="00FB004F"/>
    <w:rsid w:val="00FB0195"/>
    <w:rsid w:val="00FB041F"/>
    <w:rsid w:val="00FB04F5"/>
    <w:rsid w:val="00FB0513"/>
    <w:rsid w:val="00FB0525"/>
    <w:rsid w:val="00FB053A"/>
    <w:rsid w:val="00FB05A0"/>
    <w:rsid w:val="00FB0644"/>
    <w:rsid w:val="00FB06B5"/>
    <w:rsid w:val="00FB06C8"/>
    <w:rsid w:val="00FB0700"/>
    <w:rsid w:val="00FB0A32"/>
    <w:rsid w:val="00FB0BFC"/>
    <w:rsid w:val="00FB0CBA"/>
    <w:rsid w:val="00FB0D1F"/>
    <w:rsid w:val="00FB0D6A"/>
    <w:rsid w:val="00FB0F0B"/>
    <w:rsid w:val="00FB0F14"/>
    <w:rsid w:val="00FB0F3A"/>
    <w:rsid w:val="00FB0F5A"/>
    <w:rsid w:val="00FB0F6E"/>
    <w:rsid w:val="00FB0F6F"/>
    <w:rsid w:val="00FB0FB3"/>
    <w:rsid w:val="00FB0FC5"/>
    <w:rsid w:val="00FB0FD3"/>
    <w:rsid w:val="00FB100A"/>
    <w:rsid w:val="00FB1032"/>
    <w:rsid w:val="00FB1143"/>
    <w:rsid w:val="00FB122F"/>
    <w:rsid w:val="00FB1256"/>
    <w:rsid w:val="00FB1316"/>
    <w:rsid w:val="00FB1327"/>
    <w:rsid w:val="00FB1336"/>
    <w:rsid w:val="00FB13EB"/>
    <w:rsid w:val="00FB14A2"/>
    <w:rsid w:val="00FB14F6"/>
    <w:rsid w:val="00FB1555"/>
    <w:rsid w:val="00FB1599"/>
    <w:rsid w:val="00FB15F2"/>
    <w:rsid w:val="00FB165E"/>
    <w:rsid w:val="00FB1667"/>
    <w:rsid w:val="00FB16E0"/>
    <w:rsid w:val="00FB177D"/>
    <w:rsid w:val="00FB17E8"/>
    <w:rsid w:val="00FB184D"/>
    <w:rsid w:val="00FB1871"/>
    <w:rsid w:val="00FB18E5"/>
    <w:rsid w:val="00FB1966"/>
    <w:rsid w:val="00FB1A25"/>
    <w:rsid w:val="00FB1AED"/>
    <w:rsid w:val="00FB1C38"/>
    <w:rsid w:val="00FB1D25"/>
    <w:rsid w:val="00FB1D5C"/>
    <w:rsid w:val="00FB1E1A"/>
    <w:rsid w:val="00FB1EC9"/>
    <w:rsid w:val="00FB1FDC"/>
    <w:rsid w:val="00FB202F"/>
    <w:rsid w:val="00FB206F"/>
    <w:rsid w:val="00FB2094"/>
    <w:rsid w:val="00FB20A6"/>
    <w:rsid w:val="00FB20D1"/>
    <w:rsid w:val="00FB2121"/>
    <w:rsid w:val="00FB2149"/>
    <w:rsid w:val="00FB21A3"/>
    <w:rsid w:val="00FB21DA"/>
    <w:rsid w:val="00FB21E7"/>
    <w:rsid w:val="00FB2320"/>
    <w:rsid w:val="00FB2322"/>
    <w:rsid w:val="00FB23B8"/>
    <w:rsid w:val="00FB23CE"/>
    <w:rsid w:val="00FB243D"/>
    <w:rsid w:val="00FB2480"/>
    <w:rsid w:val="00FB2606"/>
    <w:rsid w:val="00FB267C"/>
    <w:rsid w:val="00FB2A14"/>
    <w:rsid w:val="00FB2A67"/>
    <w:rsid w:val="00FB2A9F"/>
    <w:rsid w:val="00FB2BFB"/>
    <w:rsid w:val="00FB2C7F"/>
    <w:rsid w:val="00FB2CF2"/>
    <w:rsid w:val="00FB2D87"/>
    <w:rsid w:val="00FB2FA4"/>
    <w:rsid w:val="00FB300D"/>
    <w:rsid w:val="00FB3184"/>
    <w:rsid w:val="00FB3238"/>
    <w:rsid w:val="00FB32AA"/>
    <w:rsid w:val="00FB336E"/>
    <w:rsid w:val="00FB344A"/>
    <w:rsid w:val="00FB3452"/>
    <w:rsid w:val="00FB34C9"/>
    <w:rsid w:val="00FB36B3"/>
    <w:rsid w:val="00FB381D"/>
    <w:rsid w:val="00FB382F"/>
    <w:rsid w:val="00FB3858"/>
    <w:rsid w:val="00FB3894"/>
    <w:rsid w:val="00FB3AB9"/>
    <w:rsid w:val="00FB3BF6"/>
    <w:rsid w:val="00FB3BF9"/>
    <w:rsid w:val="00FB3CE6"/>
    <w:rsid w:val="00FB3D42"/>
    <w:rsid w:val="00FB3D58"/>
    <w:rsid w:val="00FB3D5F"/>
    <w:rsid w:val="00FB3DA9"/>
    <w:rsid w:val="00FB3E28"/>
    <w:rsid w:val="00FB3F8D"/>
    <w:rsid w:val="00FB3FC1"/>
    <w:rsid w:val="00FB4001"/>
    <w:rsid w:val="00FB400A"/>
    <w:rsid w:val="00FB4054"/>
    <w:rsid w:val="00FB4105"/>
    <w:rsid w:val="00FB414A"/>
    <w:rsid w:val="00FB41AA"/>
    <w:rsid w:val="00FB4220"/>
    <w:rsid w:val="00FB42FD"/>
    <w:rsid w:val="00FB4502"/>
    <w:rsid w:val="00FB4514"/>
    <w:rsid w:val="00FB453C"/>
    <w:rsid w:val="00FB46C0"/>
    <w:rsid w:val="00FB4754"/>
    <w:rsid w:val="00FB4886"/>
    <w:rsid w:val="00FB488C"/>
    <w:rsid w:val="00FB4903"/>
    <w:rsid w:val="00FB4938"/>
    <w:rsid w:val="00FB4989"/>
    <w:rsid w:val="00FB49AB"/>
    <w:rsid w:val="00FB49F7"/>
    <w:rsid w:val="00FB4ABE"/>
    <w:rsid w:val="00FB4B09"/>
    <w:rsid w:val="00FB4B15"/>
    <w:rsid w:val="00FB4E1C"/>
    <w:rsid w:val="00FB4F28"/>
    <w:rsid w:val="00FB4F77"/>
    <w:rsid w:val="00FB5031"/>
    <w:rsid w:val="00FB5067"/>
    <w:rsid w:val="00FB509B"/>
    <w:rsid w:val="00FB509E"/>
    <w:rsid w:val="00FB51FA"/>
    <w:rsid w:val="00FB5230"/>
    <w:rsid w:val="00FB52B4"/>
    <w:rsid w:val="00FB52C2"/>
    <w:rsid w:val="00FB52E7"/>
    <w:rsid w:val="00FB5368"/>
    <w:rsid w:val="00FB5386"/>
    <w:rsid w:val="00FB53F3"/>
    <w:rsid w:val="00FB5429"/>
    <w:rsid w:val="00FB5430"/>
    <w:rsid w:val="00FB54F0"/>
    <w:rsid w:val="00FB55AA"/>
    <w:rsid w:val="00FB55B8"/>
    <w:rsid w:val="00FB5654"/>
    <w:rsid w:val="00FB56D2"/>
    <w:rsid w:val="00FB5857"/>
    <w:rsid w:val="00FB586B"/>
    <w:rsid w:val="00FB599C"/>
    <w:rsid w:val="00FB59BF"/>
    <w:rsid w:val="00FB59D0"/>
    <w:rsid w:val="00FB5A4D"/>
    <w:rsid w:val="00FB5AB6"/>
    <w:rsid w:val="00FB5ABA"/>
    <w:rsid w:val="00FB5AFF"/>
    <w:rsid w:val="00FB5B45"/>
    <w:rsid w:val="00FB5C84"/>
    <w:rsid w:val="00FB5C8D"/>
    <w:rsid w:val="00FB5E09"/>
    <w:rsid w:val="00FB5ECA"/>
    <w:rsid w:val="00FB5ED2"/>
    <w:rsid w:val="00FB5EEC"/>
    <w:rsid w:val="00FB5F93"/>
    <w:rsid w:val="00FB60C1"/>
    <w:rsid w:val="00FB6150"/>
    <w:rsid w:val="00FB61ED"/>
    <w:rsid w:val="00FB6228"/>
    <w:rsid w:val="00FB6243"/>
    <w:rsid w:val="00FB6262"/>
    <w:rsid w:val="00FB62D5"/>
    <w:rsid w:val="00FB63ED"/>
    <w:rsid w:val="00FB65FD"/>
    <w:rsid w:val="00FB6607"/>
    <w:rsid w:val="00FB6658"/>
    <w:rsid w:val="00FB6727"/>
    <w:rsid w:val="00FB6790"/>
    <w:rsid w:val="00FB6C14"/>
    <w:rsid w:val="00FB6CB9"/>
    <w:rsid w:val="00FB6CBF"/>
    <w:rsid w:val="00FB6D22"/>
    <w:rsid w:val="00FB6D35"/>
    <w:rsid w:val="00FB7077"/>
    <w:rsid w:val="00FB70D7"/>
    <w:rsid w:val="00FB7106"/>
    <w:rsid w:val="00FB714C"/>
    <w:rsid w:val="00FB733F"/>
    <w:rsid w:val="00FB7370"/>
    <w:rsid w:val="00FB7396"/>
    <w:rsid w:val="00FB747A"/>
    <w:rsid w:val="00FB74FC"/>
    <w:rsid w:val="00FB7635"/>
    <w:rsid w:val="00FB76E5"/>
    <w:rsid w:val="00FB78C8"/>
    <w:rsid w:val="00FB7B11"/>
    <w:rsid w:val="00FB7B54"/>
    <w:rsid w:val="00FB7D4C"/>
    <w:rsid w:val="00FB7F20"/>
    <w:rsid w:val="00FB7F28"/>
    <w:rsid w:val="00FB7F7E"/>
    <w:rsid w:val="00FC00D0"/>
    <w:rsid w:val="00FC0159"/>
    <w:rsid w:val="00FC0175"/>
    <w:rsid w:val="00FC02E7"/>
    <w:rsid w:val="00FC0328"/>
    <w:rsid w:val="00FC03F0"/>
    <w:rsid w:val="00FC040C"/>
    <w:rsid w:val="00FC04E9"/>
    <w:rsid w:val="00FC0553"/>
    <w:rsid w:val="00FC056E"/>
    <w:rsid w:val="00FC0661"/>
    <w:rsid w:val="00FC0683"/>
    <w:rsid w:val="00FC06D1"/>
    <w:rsid w:val="00FC07E6"/>
    <w:rsid w:val="00FC0800"/>
    <w:rsid w:val="00FC0841"/>
    <w:rsid w:val="00FC08AE"/>
    <w:rsid w:val="00FC093E"/>
    <w:rsid w:val="00FC09AC"/>
    <w:rsid w:val="00FC0A1B"/>
    <w:rsid w:val="00FC0A27"/>
    <w:rsid w:val="00FC0AC2"/>
    <w:rsid w:val="00FC0AF4"/>
    <w:rsid w:val="00FC0AFA"/>
    <w:rsid w:val="00FC0B27"/>
    <w:rsid w:val="00FC0C9B"/>
    <w:rsid w:val="00FC0CCF"/>
    <w:rsid w:val="00FC0CEE"/>
    <w:rsid w:val="00FC0D38"/>
    <w:rsid w:val="00FC0D51"/>
    <w:rsid w:val="00FC0DA6"/>
    <w:rsid w:val="00FC0E32"/>
    <w:rsid w:val="00FC0FC3"/>
    <w:rsid w:val="00FC1006"/>
    <w:rsid w:val="00FC10FD"/>
    <w:rsid w:val="00FC124E"/>
    <w:rsid w:val="00FC1273"/>
    <w:rsid w:val="00FC1287"/>
    <w:rsid w:val="00FC13B1"/>
    <w:rsid w:val="00FC13E2"/>
    <w:rsid w:val="00FC140F"/>
    <w:rsid w:val="00FC1434"/>
    <w:rsid w:val="00FC1444"/>
    <w:rsid w:val="00FC1537"/>
    <w:rsid w:val="00FC15C7"/>
    <w:rsid w:val="00FC15CD"/>
    <w:rsid w:val="00FC160B"/>
    <w:rsid w:val="00FC1610"/>
    <w:rsid w:val="00FC166C"/>
    <w:rsid w:val="00FC1786"/>
    <w:rsid w:val="00FC18AE"/>
    <w:rsid w:val="00FC18B1"/>
    <w:rsid w:val="00FC1A8F"/>
    <w:rsid w:val="00FC1AA7"/>
    <w:rsid w:val="00FC1AD7"/>
    <w:rsid w:val="00FC1B10"/>
    <w:rsid w:val="00FC1B90"/>
    <w:rsid w:val="00FC1C32"/>
    <w:rsid w:val="00FC1C3D"/>
    <w:rsid w:val="00FC1CE9"/>
    <w:rsid w:val="00FC1D91"/>
    <w:rsid w:val="00FC1E0D"/>
    <w:rsid w:val="00FC20B0"/>
    <w:rsid w:val="00FC2188"/>
    <w:rsid w:val="00FC21C3"/>
    <w:rsid w:val="00FC21D0"/>
    <w:rsid w:val="00FC2264"/>
    <w:rsid w:val="00FC22AC"/>
    <w:rsid w:val="00FC2311"/>
    <w:rsid w:val="00FC249D"/>
    <w:rsid w:val="00FC2540"/>
    <w:rsid w:val="00FC2559"/>
    <w:rsid w:val="00FC2642"/>
    <w:rsid w:val="00FC2682"/>
    <w:rsid w:val="00FC26B4"/>
    <w:rsid w:val="00FC26B7"/>
    <w:rsid w:val="00FC2753"/>
    <w:rsid w:val="00FC2813"/>
    <w:rsid w:val="00FC2853"/>
    <w:rsid w:val="00FC29F6"/>
    <w:rsid w:val="00FC2A1B"/>
    <w:rsid w:val="00FC2A93"/>
    <w:rsid w:val="00FC2BE9"/>
    <w:rsid w:val="00FC2C90"/>
    <w:rsid w:val="00FC2D2D"/>
    <w:rsid w:val="00FC2EA6"/>
    <w:rsid w:val="00FC2EB0"/>
    <w:rsid w:val="00FC2EE7"/>
    <w:rsid w:val="00FC2EFB"/>
    <w:rsid w:val="00FC2F7F"/>
    <w:rsid w:val="00FC2FCE"/>
    <w:rsid w:val="00FC315B"/>
    <w:rsid w:val="00FC31AA"/>
    <w:rsid w:val="00FC32D7"/>
    <w:rsid w:val="00FC336A"/>
    <w:rsid w:val="00FC34AD"/>
    <w:rsid w:val="00FC363E"/>
    <w:rsid w:val="00FC363F"/>
    <w:rsid w:val="00FC3770"/>
    <w:rsid w:val="00FC37B1"/>
    <w:rsid w:val="00FC3800"/>
    <w:rsid w:val="00FC380D"/>
    <w:rsid w:val="00FC3831"/>
    <w:rsid w:val="00FC3891"/>
    <w:rsid w:val="00FC38E6"/>
    <w:rsid w:val="00FC396D"/>
    <w:rsid w:val="00FC3ADE"/>
    <w:rsid w:val="00FC3AFB"/>
    <w:rsid w:val="00FC3B52"/>
    <w:rsid w:val="00FC3B6F"/>
    <w:rsid w:val="00FC3C12"/>
    <w:rsid w:val="00FC3C4E"/>
    <w:rsid w:val="00FC3C65"/>
    <w:rsid w:val="00FC3CA5"/>
    <w:rsid w:val="00FC3DE4"/>
    <w:rsid w:val="00FC3DFF"/>
    <w:rsid w:val="00FC3EE3"/>
    <w:rsid w:val="00FC3F47"/>
    <w:rsid w:val="00FC3F50"/>
    <w:rsid w:val="00FC3FBB"/>
    <w:rsid w:val="00FC4100"/>
    <w:rsid w:val="00FC4195"/>
    <w:rsid w:val="00FC4281"/>
    <w:rsid w:val="00FC4293"/>
    <w:rsid w:val="00FC441B"/>
    <w:rsid w:val="00FC4487"/>
    <w:rsid w:val="00FC4491"/>
    <w:rsid w:val="00FC44A7"/>
    <w:rsid w:val="00FC4513"/>
    <w:rsid w:val="00FC458F"/>
    <w:rsid w:val="00FC4613"/>
    <w:rsid w:val="00FC4720"/>
    <w:rsid w:val="00FC47FD"/>
    <w:rsid w:val="00FC486C"/>
    <w:rsid w:val="00FC4883"/>
    <w:rsid w:val="00FC490C"/>
    <w:rsid w:val="00FC49BA"/>
    <w:rsid w:val="00FC4A16"/>
    <w:rsid w:val="00FC4A34"/>
    <w:rsid w:val="00FC4A7F"/>
    <w:rsid w:val="00FC4AEF"/>
    <w:rsid w:val="00FC4AF9"/>
    <w:rsid w:val="00FC4B34"/>
    <w:rsid w:val="00FC4C28"/>
    <w:rsid w:val="00FC4C5F"/>
    <w:rsid w:val="00FC4D0A"/>
    <w:rsid w:val="00FC4D99"/>
    <w:rsid w:val="00FC4DF1"/>
    <w:rsid w:val="00FC4DFB"/>
    <w:rsid w:val="00FC4EBF"/>
    <w:rsid w:val="00FC4EEA"/>
    <w:rsid w:val="00FC4F24"/>
    <w:rsid w:val="00FC4F90"/>
    <w:rsid w:val="00FC50CE"/>
    <w:rsid w:val="00FC515B"/>
    <w:rsid w:val="00FC51BD"/>
    <w:rsid w:val="00FC52A9"/>
    <w:rsid w:val="00FC5348"/>
    <w:rsid w:val="00FC5361"/>
    <w:rsid w:val="00FC54E4"/>
    <w:rsid w:val="00FC5510"/>
    <w:rsid w:val="00FC569C"/>
    <w:rsid w:val="00FC56EB"/>
    <w:rsid w:val="00FC5700"/>
    <w:rsid w:val="00FC5748"/>
    <w:rsid w:val="00FC57B8"/>
    <w:rsid w:val="00FC57C3"/>
    <w:rsid w:val="00FC57DB"/>
    <w:rsid w:val="00FC5837"/>
    <w:rsid w:val="00FC5865"/>
    <w:rsid w:val="00FC5887"/>
    <w:rsid w:val="00FC58E9"/>
    <w:rsid w:val="00FC58FE"/>
    <w:rsid w:val="00FC5976"/>
    <w:rsid w:val="00FC5979"/>
    <w:rsid w:val="00FC599D"/>
    <w:rsid w:val="00FC599E"/>
    <w:rsid w:val="00FC5A16"/>
    <w:rsid w:val="00FC5A1A"/>
    <w:rsid w:val="00FC5A69"/>
    <w:rsid w:val="00FC5AD9"/>
    <w:rsid w:val="00FC5ADF"/>
    <w:rsid w:val="00FC5B2B"/>
    <w:rsid w:val="00FC5B45"/>
    <w:rsid w:val="00FC5BB0"/>
    <w:rsid w:val="00FC5BF2"/>
    <w:rsid w:val="00FC5C0B"/>
    <w:rsid w:val="00FC5C10"/>
    <w:rsid w:val="00FC5D42"/>
    <w:rsid w:val="00FC5DA8"/>
    <w:rsid w:val="00FC5DD1"/>
    <w:rsid w:val="00FC5DD3"/>
    <w:rsid w:val="00FC5EF2"/>
    <w:rsid w:val="00FC609E"/>
    <w:rsid w:val="00FC614E"/>
    <w:rsid w:val="00FC615E"/>
    <w:rsid w:val="00FC6226"/>
    <w:rsid w:val="00FC6314"/>
    <w:rsid w:val="00FC638F"/>
    <w:rsid w:val="00FC647A"/>
    <w:rsid w:val="00FC658D"/>
    <w:rsid w:val="00FC65DE"/>
    <w:rsid w:val="00FC6639"/>
    <w:rsid w:val="00FC663A"/>
    <w:rsid w:val="00FC66FA"/>
    <w:rsid w:val="00FC6735"/>
    <w:rsid w:val="00FC6772"/>
    <w:rsid w:val="00FC684B"/>
    <w:rsid w:val="00FC68CF"/>
    <w:rsid w:val="00FC68D2"/>
    <w:rsid w:val="00FC6951"/>
    <w:rsid w:val="00FC69FA"/>
    <w:rsid w:val="00FC6AB1"/>
    <w:rsid w:val="00FC6B02"/>
    <w:rsid w:val="00FC6BA3"/>
    <w:rsid w:val="00FC6CE4"/>
    <w:rsid w:val="00FC6D45"/>
    <w:rsid w:val="00FC6D5C"/>
    <w:rsid w:val="00FC6F92"/>
    <w:rsid w:val="00FC6FB4"/>
    <w:rsid w:val="00FC6FBA"/>
    <w:rsid w:val="00FC6FD2"/>
    <w:rsid w:val="00FC7075"/>
    <w:rsid w:val="00FC7104"/>
    <w:rsid w:val="00FC7199"/>
    <w:rsid w:val="00FC7245"/>
    <w:rsid w:val="00FC7256"/>
    <w:rsid w:val="00FC7335"/>
    <w:rsid w:val="00FC7353"/>
    <w:rsid w:val="00FC739F"/>
    <w:rsid w:val="00FC73A4"/>
    <w:rsid w:val="00FC7426"/>
    <w:rsid w:val="00FC744F"/>
    <w:rsid w:val="00FC7553"/>
    <w:rsid w:val="00FC7637"/>
    <w:rsid w:val="00FC76C8"/>
    <w:rsid w:val="00FC7748"/>
    <w:rsid w:val="00FC776E"/>
    <w:rsid w:val="00FC783F"/>
    <w:rsid w:val="00FC784E"/>
    <w:rsid w:val="00FC7877"/>
    <w:rsid w:val="00FC7903"/>
    <w:rsid w:val="00FC793B"/>
    <w:rsid w:val="00FC79A9"/>
    <w:rsid w:val="00FC7A00"/>
    <w:rsid w:val="00FC7B6A"/>
    <w:rsid w:val="00FC7DD1"/>
    <w:rsid w:val="00FC7E87"/>
    <w:rsid w:val="00FD0150"/>
    <w:rsid w:val="00FD01F6"/>
    <w:rsid w:val="00FD02E2"/>
    <w:rsid w:val="00FD02FD"/>
    <w:rsid w:val="00FD0360"/>
    <w:rsid w:val="00FD03BF"/>
    <w:rsid w:val="00FD04E9"/>
    <w:rsid w:val="00FD073A"/>
    <w:rsid w:val="00FD082B"/>
    <w:rsid w:val="00FD09A5"/>
    <w:rsid w:val="00FD09F7"/>
    <w:rsid w:val="00FD0A04"/>
    <w:rsid w:val="00FD0A80"/>
    <w:rsid w:val="00FD0B3E"/>
    <w:rsid w:val="00FD0B4C"/>
    <w:rsid w:val="00FD0CA6"/>
    <w:rsid w:val="00FD0D4B"/>
    <w:rsid w:val="00FD0D65"/>
    <w:rsid w:val="00FD0DCB"/>
    <w:rsid w:val="00FD0DDA"/>
    <w:rsid w:val="00FD0F9E"/>
    <w:rsid w:val="00FD10A1"/>
    <w:rsid w:val="00FD110A"/>
    <w:rsid w:val="00FD1130"/>
    <w:rsid w:val="00FD11AC"/>
    <w:rsid w:val="00FD11B4"/>
    <w:rsid w:val="00FD1213"/>
    <w:rsid w:val="00FD1261"/>
    <w:rsid w:val="00FD12B4"/>
    <w:rsid w:val="00FD131E"/>
    <w:rsid w:val="00FD13D0"/>
    <w:rsid w:val="00FD144C"/>
    <w:rsid w:val="00FD158C"/>
    <w:rsid w:val="00FD15B3"/>
    <w:rsid w:val="00FD161E"/>
    <w:rsid w:val="00FD165E"/>
    <w:rsid w:val="00FD169D"/>
    <w:rsid w:val="00FD1749"/>
    <w:rsid w:val="00FD17C7"/>
    <w:rsid w:val="00FD17C8"/>
    <w:rsid w:val="00FD1890"/>
    <w:rsid w:val="00FD18D3"/>
    <w:rsid w:val="00FD1B9C"/>
    <w:rsid w:val="00FD1C00"/>
    <w:rsid w:val="00FD1C19"/>
    <w:rsid w:val="00FD1C5B"/>
    <w:rsid w:val="00FD1D0A"/>
    <w:rsid w:val="00FD1D42"/>
    <w:rsid w:val="00FD1DEC"/>
    <w:rsid w:val="00FD1F12"/>
    <w:rsid w:val="00FD1FDF"/>
    <w:rsid w:val="00FD1FF9"/>
    <w:rsid w:val="00FD2112"/>
    <w:rsid w:val="00FD21CA"/>
    <w:rsid w:val="00FD21DE"/>
    <w:rsid w:val="00FD2264"/>
    <w:rsid w:val="00FD22B0"/>
    <w:rsid w:val="00FD2375"/>
    <w:rsid w:val="00FD2431"/>
    <w:rsid w:val="00FD2488"/>
    <w:rsid w:val="00FD2519"/>
    <w:rsid w:val="00FD2554"/>
    <w:rsid w:val="00FD25B8"/>
    <w:rsid w:val="00FD264F"/>
    <w:rsid w:val="00FD288D"/>
    <w:rsid w:val="00FD28B0"/>
    <w:rsid w:val="00FD291D"/>
    <w:rsid w:val="00FD29C9"/>
    <w:rsid w:val="00FD2C81"/>
    <w:rsid w:val="00FD2CC0"/>
    <w:rsid w:val="00FD2DC4"/>
    <w:rsid w:val="00FD2E36"/>
    <w:rsid w:val="00FD2E50"/>
    <w:rsid w:val="00FD2F9F"/>
    <w:rsid w:val="00FD2FB6"/>
    <w:rsid w:val="00FD2FDE"/>
    <w:rsid w:val="00FD3113"/>
    <w:rsid w:val="00FD32F3"/>
    <w:rsid w:val="00FD32F9"/>
    <w:rsid w:val="00FD3377"/>
    <w:rsid w:val="00FD3683"/>
    <w:rsid w:val="00FD3702"/>
    <w:rsid w:val="00FD3806"/>
    <w:rsid w:val="00FD3914"/>
    <w:rsid w:val="00FD3942"/>
    <w:rsid w:val="00FD3A40"/>
    <w:rsid w:val="00FD3B4B"/>
    <w:rsid w:val="00FD3C70"/>
    <w:rsid w:val="00FD3CDF"/>
    <w:rsid w:val="00FD3E31"/>
    <w:rsid w:val="00FD3E43"/>
    <w:rsid w:val="00FD3EAD"/>
    <w:rsid w:val="00FD3EF2"/>
    <w:rsid w:val="00FD3FC5"/>
    <w:rsid w:val="00FD40AC"/>
    <w:rsid w:val="00FD4126"/>
    <w:rsid w:val="00FD4142"/>
    <w:rsid w:val="00FD41D1"/>
    <w:rsid w:val="00FD41E9"/>
    <w:rsid w:val="00FD424C"/>
    <w:rsid w:val="00FD4250"/>
    <w:rsid w:val="00FD42F6"/>
    <w:rsid w:val="00FD4313"/>
    <w:rsid w:val="00FD4341"/>
    <w:rsid w:val="00FD4354"/>
    <w:rsid w:val="00FD438A"/>
    <w:rsid w:val="00FD4448"/>
    <w:rsid w:val="00FD4484"/>
    <w:rsid w:val="00FD4600"/>
    <w:rsid w:val="00FD4921"/>
    <w:rsid w:val="00FD4A5A"/>
    <w:rsid w:val="00FD4A6E"/>
    <w:rsid w:val="00FD4B8E"/>
    <w:rsid w:val="00FD4BCE"/>
    <w:rsid w:val="00FD4C8F"/>
    <w:rsid w:val="00FD4CC2"/>
    <w:rsid w:val="00FD4D18"/>
    <w:rsid w:val="00FD4E21"/>
    <w:rsid w:val="00FD4E2A"/>
    <w:rsid w:val="00FD4F1F"/>
    <w:rsid w:val="00FD4FEC"/>
    <w:rsid w:val="00FD5013"/>
    <w:rsid w:val="00FD50CD"/>
    <w:rsid w:val="00FD515A"/>
    <w:rsid w:val="00FD5255"/>
    <w:rsid w:val="00FD5262"/>
    <w:rsid w:val="00FD52CD"/>
    <w:rsid w:val="00FD54C8"/>
    <w:rsid w:val="00FD54F8"/>
    <w:rsid w:val="00FD5563"/>
    <w:rsid w:val="00FD55B4"/>
    <w:rsid w:val="00FD55DB"/>
    <w:rsid w:val="00FD5758"/>
    <w:rsid w:val="00FD5763"/>
    <w:rsid w:val="00FD57A1"/>
    <w:rsid w:val="00FD57A4"/>
    <w:rsid w:val="00FD57E3"/>
    <w:rsid w:val="00FD58BC"/>
    <w:rsid w:val="00FD58D3"/>
    <w:rsid w:val="00FD58EF"/>
    <w:rsid w:val="00FD59FA"/>
    <w:rsid w:val="00FD5A39"/>
    <w:rsid w:val="00FD5A7C"/>
    <w:rsid w:val="00FD5AC9"/>
    <w:rsid w:val="00FD5ADE"/>
    <w:rsid w:val="00FD5ADF"/>
    <w:rsid w:val="00FD5B16"/>
    <w:rsid w:val="00FD5C31"/>
    <w:rsid w:val="00FD5C49"/>
    <w:rsid w:val="00FD5DE0"/>
    <w:rsid w:val="00FD6034"/>
    <w:rsid w:val="00FD60CF"/>
    <w:rsid w:val="00FD6161"/>
    <w:rsid w:val="00FD6169"/>
    <w:rsid w:val="00FD6215"/>
    <w:rsid w:val="00FD63DC"/>
    <w:rsid w:val="00FD644F"/>
    <w:rsid w:val="00FD6466"/>
    <w:rsid w:val="00FD6506"/>
    <w:rsid w:val="00FD662A"/>
    <w:rsid w:val="00FD66B2"/>
    <w:rsid w:val="00FD670B"/>
    <w:rsid w:val="00FD679B"/>
    <w:rsid w:val="00FD6861"/>
    <w:rsid w:val="00FD6876"/>
    <w:rsid w:val="00FD69D1"/>
    <w:rsid w:val="00FD6A27"/>
    <w:rsid w:val="00FD6B37"/>
    <w:rsid w:val="00FD6C08"/>
    <w:rsid w:val="00FD6D4E"/>
    <w:rsid w:val="00FD6D65"/>
    <w:rsid w:val="00FD6D71"/>
    <w:rsid w:val="00FD6D86"/>
    <w:rsid w:val="00FD6DAF"/>
    <w:rsid w:val="00FD6DD2"/>
    <w:rsid w:val="00FD6EB9"/>
    <w:rsid w:val="00FD6F2C"/>
    <w:rsid w:val="00FD6FCB"/>
    <w:rsid w:val="00FD704A"/>
    <w:rsid w:val="00FD7099"/>
    <w:rsid w:val="00FD71CD"/>
    <w:rsid w:val="00FD7363"/>
    <w:rsid w:val="00FD7387"/>
    <w:rsid w:val="00FD74DB"/>
    <w:rsid w:val="00FD7636"/>
    <w:rsid w:val="00FD7672"/>
    <w:rsid w:val="00FD76D0"/>
    <w:rsid w:val="00FD7737"/>
    <w:rsid w:val="00FD77A2"/>
    <w:rsid w:val="00FD7895"/>
    <w:rsid w:val="00FD7934"/>
    <w:rsid w:val="00FD79D3"/>
    <w:rsid w:val="00FD7B34"/>
    <w:rsid w:val="00FD7C24"/>
    <w:rsid w:val="00FD7C80"/>
    <w:rsid w:val="00FD7C81"/>
    <w:rsid w:val="00FD7D9B"/>
    <w:rsid w:val="00FD7F58"/>
    <w:rsid w:val="00FD7F8A"/>
    <w:rsid w:val="00FD7FE1"/>
    <w:rsid w:val="00FE002F"/>
    <w:rsid w:val="00FE019D"/>
    <w:rsid w:val="00FE01F2"/>
    <w:rsid w:val="00FE0274"/>
    <w:rsid w:val="00FE0307"/>
    <w:rsid w:val="00FE043C"/>
    <w:rsid w:val="00FE043F"/>
    <w:rsid w:val="00FE04DB"/>
    <w:rsid w:val="00FE05AA"/>
    <w:rsid w:val="00FE0695"/>
    <w:rsid w:val="00FE06CD"/>
    <w:rsid w:val="00FE06E9"/>
    <w:rsid w:val="00FE084B"/>
    <w:rsid w:val="00FE0A16"/>
    <w:rsid w:val="00FE0A17"/>
    <w:rsid w:val="00FE0AF5"/>
    <w:rsid w:val="00FE0B46"/>
    <w:rsid w:val="00FE0C1E"/>
    <w:rsid w:val="00FE0D1D"/>
    <w:rsid w:val="00FE0D22"/>
    <w:rsid w:val="00FE0D6D"/>
    <w:rsid w:val="00FE0DA4"/>
    <w:rsid w:val="00FE0DCF"/>
    <w:rsid w:val="00FE0E54"/>
    <w:rsid w:val="00FE0E77"/>
    <w:rsid w:val="00FE104A"/>
    <w:rsid w:val="00FE10D3"/>
    <w:rsid w:val="00FE1226"/>
    <w:rsid w:val="00FE126D"/>
    <w:rsid w:val="00FE12B9"/>
    <w:rsid w:val="00FE1310"/>
    <w:rsid w:val="00FE13A4"/>
    <w:rsid w:val="00FE14E5"/>
    <w:rsid w:val="00FE14EB"/>
    <w:rsid w:val="00FE1517"/>
    <w:rsid w:val="00FE153A"/>
    <w:rsid w:val="00FE15BF"/>
    <w:rsid w:val="00FE1629"/>
    <w:rsid w:val="00FE1717"/>
    <w:rsid w:val="00FE17BC"/>
    <w:rsid w:val="00FE17C5"/>
    <w:rsid w:val="00FE17E0"/>
    <w:rsid w:val="00FE184A"/>
    <w:rsid w:val="00FE1862"/>
    <w:rsid w:val="00FE1913"/>
    <w:rsid w:val="00FE1915"/>
    <w:rsid w:val="00FE19C7"/>
    <w:rsid w:val="00FE1AEA"/>
    <w:rsid w:val="00FE1B7B"/>
    <w:rsid w:val="00FE1BF2"/>
    <w:rsid w:val="00FE1BF4"/>
    <w:rsid w:val="00FE1CBA"/>
    <w:rsid w:val="00FE1D08"/>
    <w:rsid w:val="00FE1D8F"/>
    <w:rsid w:val="00FE1EC4"/>
    <w:rsid w:val="00FE1EDB"/>
    <w:rsid w:val="00FE2059"/>
    <w:rsid w:val="00FE20CD"/>
    <w:rsid w:val="00FE211E"/>
    <w:rsid w:val="00FE22F8"/>
    <w:rsid w:val="00FE2527"/>
    <w:rsid w:val="00FE258B"/>
    <w:rsid w:val="00FE25B8"/>
    <w:rsid w:val="00FE26CB"/>
    <w:rsid w:val="00FE27A5"/>
    <w:rsid w:val="00FE27E9"/>
    <w:rsid w:val="00FE2878"/>
    <w:rsid w:val="00FE290F"/>
    <w:rsid w:val="00FE293A"/>
    <w:rsid w:val="00FE296A"/>
    <w:rsid w:val="00FE2996"/>
    <w:rsid w:val="00FE2999"/>
    <w:rsid w:val="00FE29A8"/>
    <w:rsid w:val="00FE2B1F"/>
    <w:rsid w:val="00FE2C2B"/>
    <w:rsid w:val="00FE2CC8"/>
    <w:rsid w:val="00FE2EF5"/>
    <w:rsid w:val="00FE3028"/>
    <w:rsid w:val="00FE3049"/>
    <w:rsid w:val="00FE3145"/>
    <w:rsid w:val="00FE3147"/>
    <w:rsid w:val="00FE3212"/>
    <w:rsid w:val="00FE343C"/>
    <w:rsid w:val="00FE346C"/>
    <w:rsid w:val="00FE3534"/>
    <w:rsid w:val="00FE35F5"/>
    <w:rsid w:val="00FE3621"/>
    <w:rsid w:val="00FE368D"/>
    <w:rsid w:val="00FE36B5"/>
    <w:rsid w:val="00FE3796"/>
    <w:rsid w:val="00FE37EC"/>
    <w:rsid w:val="00FE37FF"/>
    <w:rsid w:val="00FE386E"/>
    <w:rsid w:val="00FE3A23"/>
    <w:rsid w:val="00FE3AE5"/>
    <w:rsid w:val="00FE3B44"/>
    <w:rsid w:val="00FE3CA8"/>
    <w:rsid w:val="00FE3D0A"/>
    <w:rsid w:val="00FE3D72"/>
    <w:rsid w:val="00FE3DDE"/>
    <w:rsid w:val="00FE3DF2"/>
    <w:rsid w:val="00FE3E27"/>
    <w:rsid w:val="00FE3EC2"/>
    <w:rsid w:val="00FE3FFD"/>
    <w:rsid w:val="00FE4097"/>
    <w:rsid w:val="00FE4107"/>
    <w:rsid w:val="00FE43EA"/>
    <w:rsid w:val="00FE44FF"/>
    <w:rsid w:val="00FE4582"/>
    <w:rsid w:val="00FE45F5"/>
    <w:rsid w:val="00FE4768"/>
    <w:rsid w:val="00FE488E"/>
    <w:rsid w:val="00FE4946"/>
    <w:rsid w:val="00FE4B2E"/>
    <w:rsid w:val="00FE4B82"/>
    <w:rsid w:val="00FE4BF1"/>
    <w:rsid w:val="00FE4D4D"/>
    <w:rsid w:val="00FE4DCE"/>
    <w:rsid w:val="00FE4E1A"/>
    <w:rsid w:val="00FE4EF5"/>
    <w:rsid w:val="00FE4EF8"/>
    <w:rsid w:val="00FE4F2C"/>
    <w:rsid w:val="00FE5018"/>
    <w:rsid w:val="00FE50CE"/>
    <w:rsid w:val="00FE5137"/>
    <w:rsid w:val="00FE51CA"/>
    <w:rsid w:val="00FE5292"/>
    <w:rsid w:val="00FE54C6"/>
    <w:rsid w:val="00FE5650"/>
    <w:rsid w:val="00FE5688"/>
    <w:rsid w:val="00FE571C"/>
    <w:rsid w:val="00FE577E"/>
    <w:rsid w:val="00FE57E1"/>
    <w:rsid w:val="00FE5815"/>
    <w:rsid w:val="00FE581D"/>
    <w:rsid w:val="00FE5878"/>
    <w:rsid w:val="00FE5958"/>
    <w:rsid w:val="00FE5A69"/>
    <w:rsid w:val="00FE5BBD"/>
    <w:rsid w:val="00FE5BCB"/>
    <w:rsid w:val="00FE5C46"/>
    <w:rsid w:val="00FE5C5C"/>
    <w:rsid w:val="00FE5CC6"/>
    <w:rsid w:val="00FE5FD2"/>
    <w:rsid w:val="00FE60FB"/>
    <w:rsid w:val="00FE62F6"/>
    <w:rsid w:val="00FE63A4"/>
    <w:rsid w:val="00FE63A7"/>
    <w:rsid w:val="00FE645F"/>
    <w:rsid w:val="00FE646F"/>
    <w:rsid w:val="00FE649C"/>
    <w:rsid w:val="00FE6561"/>
    <w:rsid w:val="00FE6577"/>
    <w:rsid w:val="00FE6641"/>
    <w:rsid w:val="00FE666A"/>
    <w:rsid w:val="00FE669B"/>
    <w:rsid w:val="00FE674C"/>
    <w:rsid w:val="00FE67DC"/>
    <w:rsid w:val="00FE695A"/>
    <w:rsid w:val="00FE69D3"/>
    <w:rsid w:val="00FE69DC"/>
    <w:rsid w:val="00FE6A2E"/>
    <w:rsid w:val="00FE6B29"/>
    <w:rsid w:val="00FE6CC2"/>
    <w:rsid w:val="00FE6CD4"/>
    <w:rsid w:val="00FE6D2D"/>
    <w:rsid w:val="00FE6E96"/>
    <w:rsid w:val="00FE6EBF"/>
    <w:rsid w:val="00FE6ED9"/>
    <w:rsid w:val="00FE6F93"/>
    <w:rsid w:val="00FE7007"/>
    <w:rsid w:val="00FE709B"/>
    <w:rsid w:val="00FE727E"/>
    <w:rsid w:val="00FE72A0"/>
    <w:rsid w:val="00FE738A"/>
    <w:rsid w:val="00FE7617"/>
    <w:rsid w:val="00FE764A"/>
    <w:rsid w:val="00FE76C5"/>
    <w:rsid w:val="00FE76D7"/>
    <w:rsid w:val="00FE77A3"/>
    <w:rsid w:val="00FE77A9"/>
    <w:rsid w:val="00FE7827"/>
    <w:rsid w:val="00FE782B"/>
    <w:rsid w:val="00FE7868"/>
    <w:rsid w:val="00FE7970"/>
    <w:rsid w:val="00FE7A23"/>
    <w:rsid w:val="00FE7A3A"/>
    <w:rsid w:val="00FE7AF9"/>
    <w:rsid w:val="00FE7B17"/>
    <w:rsid w:val="00FE7B1E"/>
    <w:rsid w:val="00FE7C4B"/>
    <w:rsid w:val="00FE7D0B"/>
    <w:rsid w:val="00FE7DA6"/>
    <w:rsid w:val="00FE7E3B"/>
    <w:rsid w:val="00FE7EB6"/>
    <w:rsid w:val="00FE7EF0"/>
    <w:rsid w:val="00FF0092"/>
    <w:rsid w:val="00FF00B5"/>
    <w:rsid w:val="00FF01FF"/>
    <w:rsid w:val="00FF020C"/>
    <w:rsid w:val="00FF022F"/>
    <w:rsid w:val="00FF02FC"/>
    <w:rsid w:val="00FF0411"/>
    <w:rsid w:val="00FF045F"/>
    <w:rsid w:val="00FF06B8"/>
    <w:rsid w:val="00FF0705"/>
    <w:rsid w:val="00FF0878"/>
    <w:rsid w:val="00FF08EE"/>
    <w:rsid w:val="00FF08F4"/>
    <w:rsid w:val="00FF0939"/>
    <w:rsid w:val="00FF0A70"/>
    <w:rsid w:val="00FF0A7F"/>
    <w:rsid w:val="00FF0AD3"/>
    <w:rsid w:val="00FF0B05"/>
    <w:rsid w:val="00FF0B23"/>
    <w:rsid w:val="00FF0C7E"/>
    <w:rsid w:val="00FF0CB2"/>
    <w:rsid w:val="00FF0CC6"/>
    <w:rsid w:val="00FF0DB1"/>
    <w:rsid w:val="00FF0EDA"/>
    <w:rsid w:val="00FF0F85"/>
    <w:rsid w:val="00FF0FA9"/>
    <w:rsid w:val="00FF108E"/>
    <w:rsid w:val="00FF1264"/>
    <w:rsid w:val="00FF144A"/>
    <w:rsid w:val="00FF1626"/>
    <w:rsid w:val="00FF17C8"/>
    <w:rsid w:val="00FF17D6"/>
    <w:rsid w:val="00FF18FD"/>
    <w:rsid w:val="00FF193B"/>
    <w:rsid w:val="00FF1988"/>
    <w:rsid w:val="00FF1A86"/>
    <w:rsid w:val="00FF1BFB"/>
    <w:rsid w:val="00FF1C04"/>
    <w:rsid w:val="00FF1C99"/>
    <w:rsid w:val="00FF1CA8"/>
    <w:rsid w:val="00FF1CDA"/>
    <w:rsid w:val="00FF1D08"/>
    <w:rsid w:val="00FF1DB5"/>
    <w:rsid w:val="00FF1DBD"/>
    <w:rsid w:val="00FF1E52"/>
    <w:rsid w:val="00FF1F85"/>
    <w:rsid w:val="00FF1FE9"/>
    <w:rsid w:val="00FF20D7"/>
    <w:rsid w:val="00FF20DC"/>
    <w:rsid w:val="00FF20F4"/>
    <w:rsid w:val="00FF231E"/>
    <w:rsid w:val="00FF23DF"/>
    <w:rsid w:val="00FF24CD"/>
    <w:rsid w:val="00FF24F1"/>
    <w:rsid w:val="00FF2563"/>
    <w:rsid w:val="00FF2567"/>
    <w:rsid w:val="00FF271E"/>
    <w:rsid w:val="00FF2769"/>
    <w:rsid w:val="00FF27D5"/>
    <w:rsid w:val="00FF27F5"/>
    <w:rsid w:val="00FF2824"/>
    <w:rsid w:val="00FF282F"/>
    <w:rsid w:val="00FF2924"/>
    <w:rsid w:val="00FF2A68"/>
    <w:rsid w:val="00FF2A74"/>
    <w:rsid w:val="00FF2F05"/>
    <w:rsid w:val="00FF2F35"/>
    <w:rsid w:val="00FF303E"/>
    <w:rsid w:val="00FF3090"/>
    <w:rsid w:val="00FF3093"/>
    <w:rsid w:val="00FF31B7"/>
    <w:rsid w:val="00FF31F5"/>
    <w:rsid w:val="00FF3275"/>
    <w:rsid w:val="00FF32BD"/>
    <w:rsid w:val="00FF3321"/>
    <w:rsid w:val="00FF3385"/>
    <w:rsid w:val="00FF33B3"/>
    <w:rsid w:val="00FF341E"/>
    <w:rsid w:val="00FF3478"/>
    <w:rsid w:val="00FF34CC"/>
    <w:rsid w:val="00FF367A"/>
    <w:rsid w:val="00FF3702"/>
    <w:rsid w:val="00FF373F"/>
    <w:rsid w:val="00FF3798"/>
    <w:rsid w:val="00FF38DA"/>
    <w:rsid w:val="00FF39D0"/>
    <w:rsid w:val="00FF39DD"/>
    <w:rsid w:val="00FF3B42"/>
    <w:rsid w:val="00FF3C08"/>
    <w:rsid w:val="00FF3DCF"/>
    <w:rsid w:val="00FF3E6C"/>
    <w:rsid w:val="00FF3F0A"/>
    <w:rsid w:val="00FF3F8B"/>
    <w:rsid w:val="00FF4010"/>
    <w:rsid w:val="00FF41E8"/>
    <w:rsid w:val="00FF420C"/>
    <w:rsid w:val="00FF42F5"/>
    <w:rsid w:val="00FF4365"/>
    <w:rsid w:val="00FF4413"/>
    <w:rsid w:val="00FF4531"/>
    <w:rsid w:val="00FF4655"/>
    <w:rsid w:val="00FF46EA"/>
    <w:rsid w:val="00FF475A"/>
    <w:rsid w:val="00FF496E"/>
    <w:rsid w:val="00FF49D8"/>
    <w:rsid w:val="00FF4A17"/>
    <w:rsid w:val="00FF4A9A"/>
    <w:rsid w:val="00FF4AAD"/>
    <w:rsid w:val="00FF4AB0"/>
    <w:rsid w:val="00FF4B5E"/>
    <w:rsid w:val="00FF4B7B"/>
    <w:rsid w:val="00FF4B81"/>
    <w:rsid w:val="00FF4BBF"/>
    <w:rsid w:val="00FF4BEE"/>
    <w:rsid w:val="00FF4C98"/>
    <w:rsid w:val="00FF4D72"/>
    <w:rsid w:val="00FF4F50"/>
    <w:rsid w:val="00FF4F87"/>
    <w:rsid w:val="00FF50EE"/>
    <w:rsid w:val="00FF511F"/>
    <w:rsid w:val="00FF5133"/>
    <w:rsid w:val="00FF527C"/>
    <w:rsid w:val="00FF5314"/>
    <w:rsid w:val="00FF534B"/>
    <w:rsid w:val="00FF5468"/>
    <w:rsid w:val="00FF551A"/>
    <w:rsid w:val="00FF553B"/>
    <w:rsid w:val="00FF55D3"/>
    <w:rsid w:val="00FF5630"/>
    <w:rsid w:val="00FF58B7"/>
    <w:rsid w:val="00FF59F9"/>
    <w:rsid w:val="00FF5B47"/>
    <w:rsid w:val="00FF5CDB"/>
    <w:rsid w:val="00FF5ECF"/>
    <w:rsid w:val="00FF5ED0"/>
    <w:rsid w:val="00FF602A"/>
    <w:rsid w:val="00FF6060"/>
    <w:rsid w:val="00FF6132"/>
    <w:rsid w:val="00FF61A7"/>
    <w:rsid w:val="00FF61B6"/>
    <w:rsid w:val="00FF61E2"/>
    <w:rsid w:val="00FF6203"/>
    <w:rsid w:val="00FF62AE"/>
    <w:rsid w:val="00FF631D"/>
    <w:rsid w:val="00FF6360"/>
    <w:rsid w:val="00FF639D"/>
    <w:rsid w:val="00FF6432"/>
    <w:rsid w:val="00FF65AD"/>
    <w:rsid w:val="00FF66A1"/>
    <w:rsid w:val="00FF66ED"/>
    <w:rsid w:val="00FF676C"/>
    <w:rsid w:val="00FF68B3"/>
    <w:rsid w:val="00FF68B8"/>
    <w:rsid w:val="00FF68C9"/>
    <w:rsid w:val="00FF694C"/>
    <w:rsid w:val="00FF6A35"/>
    <w:rsid w:val="00FF6ACA"/>
    <w:rsid w:val="00FF6AF9"/>
    <w:rsid w:val="00FF6BCF"/>
    <w:rsid w:val="00FF6BE2"/>
    <w:rsid w:val="00FF6C71"/>
    <w:rsid w:val="00FF6CA6"/>
    <w:rsid w:val="00FF6EDF"/>
    <w:rsid w:val="00FF6F32"/>
    <w:rsid w:val="00FF6FBD"/>
    <w:rsid w:val="00FF7082"/>
    <w:rsid w:val="00FF7098"/>
    <w:rsid w:val="00FF71F0"/>
    <w:rsid w:val="00FF7224"/>
    <w:rsid w:val="00FF723D"/>
    <w:rsid w:val="00FF7273"/>
    <w:rsid w:val="00FF727F"/>
    <w:rsid w:val="00FF73BC"/>
    <w:rsid w:val="00FF741C"/>
    <w:rsid w:val="00FF742F"/>
    <w:rsid w:val="00FF76AE"/>
    <w:rsid w:val="00FF7721"/>
    <w:rsid w:val="00FF77EE"/>
    <w:rsid w:val="00FF7826"/>
    <w:rsid w:val="00FF78C1"/>
    <w:rsid w:val="00FF7922"/>
    <w:rsid w:val="00FF7939"/>
    <w:rsid w:val="00FF7A65"/>
    <w:rsid w:val="00FF7A79"/>
    <w:rsid w:val="00FF7BCC"/>
    <w:rsid w:val="00FF7D04"/>
    <w:rsid w:val="00FF7D0C"/>
    <w:rsid w:val="00FF7D7F"/>
    <w:rsid w:val="00FF7EF9"/>
    <w:rsid w:val="00FF7FB0"/>
    <w:rsid w:val="00FF7FD0"/>
    <w:rsid w:val="00FF7FF1"/>
    <w:rsid w:val="00FF7F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E9AD8"/>
  <w15:chartTrackingRefBased/>
  <w15:docId w15:val="{90A5152A-0E19-4638-9970-82B8689A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2ECC"/>
    <w:pPr>
      <w:spacing w:after="0" w:line="240" w:lineRule="auto"/>
    </w:pPr>
    <w:rPr>
      <w:rFonts w:ascii="Calibri" w:eastAsia="Calibri" w:hAnsi="Calibri" w:cs="Calibri"/>
      <w:sz w:val="24"/>
      <w:szCs w:val="24"/>
      <w:lang w:val="en-GB"/>
    </w:rPr>
  </w:style>
  <w:style w:type="paragraph" w:styleId="Heading1">
    <w:name w:val="heading 1"/>
    <w:basedOn w:val="Normal"/>
    <w:next w:val="Normal"/>
    <w:link w:val="Heading1Char"/>
    <w:uiPriority w:val="9"/>
    <w:qFormat/>
    <w:rsid w:val="002B3B2D"/>
    <w:pPr>
      <w:keepNext/>
      <w:keepLines/>
      <w:spacing w:before="240"/>
      <w:outlineLvl w:val="0"/>
    </w:pPr>
    <w:rPr>
      <w:color w:val="2F5496"/>
      <w:sz w:val="32"/>
      <w:szCs w:val="32"/>
    </w:rPr>
  </w:style>
  <w:style w:type="paragraph" w:styleId="Heading2">
    <w:name w:val="heading 2"/>
    <w:basedOn w:val="Normal"/>
    <w:next w:val="Normal"/>
    <w:link w:val="Heading2Char"/>
    <w:uiPriority w:val="9"/>
    <w:unhideWhenUsed/>
    <w:qFormat/>
    <w:rsid w:val="007F4DCA"/>
    <w:pPr>
      <w:keepNext/>
      <w:keepLines/>
      <w:bidi/>
      <w:spacing w:before="40" w:line="276"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qFormat/>
    <w:rsid w:val="002B3B2D"/>
    <w:pPr>
      <w:keepNext/>
      <w:keepLines/>
      <w:spacing w:before="280" w:after="80"/>
      <w:outlineLvl w:val="2"/>
    </w:pPr>
    <w:rPr>
      <w:b/>
      <w:sz w:val="28"/>
      <w:szCs w:val="28"/>
    </w:rPr>
  </w:style>
  <w:style w:type="paragraph" w:styleId="Heading4">
    <w:name w:val="heading 4"/>
    <w:basedOn w:val="Normal"/>
    <w:next w:val="Normal"/>
    <w:link w:val="Heading4Char"/>
    <w:uiPriority w:val="9"/>
    <w:qFormat/>
    <w:rsid w:val="002B3B2D"/>
    <w:pPr>
      <w:keepNext/>
      <w:keepLines/>
      <w:spacing w:before="240" w:after="40"/>
      <w:outlineLvl w:val="3"/>
    </w:pPr>
    <w:rPr>
      <w:b/>
    </w:rPr>
  </w:style>
  <w:style w:type="paragraph" w:styleId="Heading5">
    <w:name w:val="heading 5"/>
    <w:basedOn w:val="Normal"/>
    <w:next w:val="Normal"/>
    <w:link w:val="Heading5Char"/>
    <w:uiPriority w:val="9"/>
    <w:qFormat/>
    <w:rsid w:val="002B3B2D"/>
    <w:pPr>
      <w:keepNext/>
      <w:keepLines/>
      <w:spacing w:before="220" w:after="40"/>
      <w:outlineLvl w:val="4"/>
    </w:pPr>
    <w:rPr>
      <w:b/>
      <w:sz w:val="22"/>
      <w:szCs w:val="22"/>
    </w:rPr>
  </w:style>
  <w:style w:type="paragraph" w:styleId="Heading6">
    <w:name w:val="heading 6"/>
    <w:basedOn w:val="Normal"/>
    <w:next w:val="Normal"/>
    <w:link w:val="Heading6Char"/>
    <w:uiPriority w:val="9"/>
    <w:qFormat/>
    <w:rsid w:val="002B3B2D"/>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9405C7"/>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semiHidden/>
    <w:unhideWhenUsed/>
    <w:qFormat/>
    <w:rsid w:val="009405C7"/>
    <w:pPr>
      <w:keepNext/>
      <w:keepLines/>
      <w:spacing w:before="200" w:line="276" w:lineRule="auto"/>
      <w:outlineLvl w:val="7"/>
    </w:pPr>
    <w:rPr>
      <w:rFonts w:asciiTheme="majorHAnsi" w:eastAsiaTheme="majorEastAsia" w:hAnsiTheme="majorHAnsi" w:cstheme="majorBidi"/>
      <w:color w:val="4472C4" w:themeColor="accent1"/>
      <w:sz w:val="20"/>
      <w:szCs w:val="20"/>
      <w:lang w:val="en-US"/>
    </w:rPr>
  </w:style>
  <w:style w:type="paragraph" w:styleId="Heading9">
    <w:name w:val="heading 9"/>
    <w:basedOn w:val="Normal"/>
    <w:next w:val="Normal"/>
    <w:link w:val="Heading9Char"/>
    <w:uiPriority w:val="9"/>
    <w:semiHidden/>
    <w:unhideWhenUsed/>
    <w:qFormat/>
    <w:rsid w:val="009405C7"/>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3B32"/>
    <w:rPr>
      <w:color w:val="0563C1"/>
      <w:u w:val="single"/>
    </w:rPr>
  </w:style>
  <w:style w:type="paragraph" w:customStyle="1" w:styleId="MDPI13authornames">
    <w:name w:val="MDPI_1.3_authornames"/>
    <w:next w:val="Normal"/>
    <w:qFormat/>
    <w:rsid w:val="00312EF2"/>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qFormat/>
    <w:rsid w:val="00C22700"/>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styleId="Header">
    <w:name w:val="header"/>
    <w:basedOn w:val="Normal"/>
    <w:link w:val="HeaderChar"/>
    <w:uiPriority w:val="99"/>
    <w:unhideWhenUsed/>
    <w:rsid w:val="00514D10"/>
    <w:pPr>
      <w:tabs>
        <w:tab w:val="center" w:pos="4680"/>
        <w:tab w:val="right" w:pos="9360"/>
      </w:tabs>
    </w:pPr>
  </w:style>
  <w:style w:type="character" w:customStyle="1" w:styleId="HeaderChar">
    <w:name w:val="Header Char"/>
    <w:basedOn w:val="DefaultParagraphFont"/>
    <w:link w:val="Header"/>
    <w:uiPriority w:val="99"/>
    <w:rsid w:val="00514D10"/>
    <w:rPr>
      <w:rFonts w:ascii="Calibri" w:eastAsia="Calibri" w:hAnsi="Calibri" w:cs="Calibri"/>
      <w:sz w:val="24"/>
      <w:szCs w:val="24"/>
      <w:lang w:val="en-GB"/>
    </w:rPr>
  </w:style>
  <w:style w:type="paragraph" w:styleId="Footer">
    <w:name w:val="footer"/>
    <w:basedOn w:val="Normal"/>
    <w:link w:val="FooterChar"/>
    <w:uiPriority w:val="99"/>
    <w:unhideWhenUsed/>
    <w:rsid w:val="00514D10"/>
    <w:pPr>
      <w:tabs>
        <w:tab w:val="center" w:pos="4680"/>
        <w:tab w:val="right" w:pos="9360"/>
      </w:tabs>
    </w:pPr>
  </w:style>
  <w:style w:type="character" w:customStyle="1" w:styleId="FooterChar">
    <w:name w:val="Footer Char"/>
    <w:basedOn w:val="DefaultParagraphFont"/>
    <w:link w:val="Footer"/>
    <w:uiPriority w:val="99"/>
    <w:rsid w:val="00514D10"/>
    <w:rPr>
      <w:rFonts w:ascii="Calibri" w:eastAsia="Calibri" w:hAnsi="Calibri" w:cs="Calibri"/>
      <w:sz w:val="24"/>
      <w:szCs w:val="24"/>
      <w:lang w:val="en-GB"/>
    </w:rPr>
  </w:style>
  <w:style w:type="paragraph" w:customStyle="1" w:styleId="MDPI17abstract">
    <w:name w:val="MDPI_1.7_abstract"/>
    <w:next w:val="Normal"/>
    <w:qFormat/>
    <w:rsid w:val="00514D10"/>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character" w:customStyle="1" w:styleId="Heading2Char">
    <w:name w:val="Heading 2 Char"/>
    <w:basedOn w:val="DefaultParagraphFont"/>
    <w:link w:val="Heading2"/>
    <w:uiPriority w:val="9"/>
    <w:rsid w:val="007F4DCA"/>
    <w:rPr>
      <w:rFonts w:asciiTheme="majorHAnsi" w:eastAsiaTheme="majorEastAsia" w:hAnsiTheme="majorHAnsi" w:cstheme="majorBidi"/>
      <w:color w:val="2F5496" w:themeColor="accent1" w:themeShade="BF"/>
      <w:sz w:val="26"/>
      <w:szCs w:val="26"/>
    </w:rPr>
  </w:style>
  <w:style w:type="paragraph" w:customStyle="1" w:styleId="MDPI31text">
    <w:name w:val="MDPI_3.1_text"/>
    <w:link w:val="MDPI31textChar"/>
    <w:qFormat/>
    <w:rsid w:val="00935704"/>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BC4473"/>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22heading2">
    <w:name w:val="MDPI_2.2_heading2"/>
    <w:qFormat/>
    <w:rsid w:val="00BC4473"/>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character" w:customStyle="1" w:styleId="Heading1Char">
    <w:name w:val="Heading 1 Char"/>
    <w:basedOn w:val="DefaultParagraphFont"/>
    <w:link w:val="Heading1"/>
    <w:uiPriority w:val="9"/>
    <w:rsid w:val="002B3B2D"/>
    <w:rPr>
      <w:rFonts w:ascii="Calibri" w:eastAsia="Calibri" w:hAnsi="Calibri" w:cs="Calibri"/>
      <w:color w:val="2F5496"/>
      <w:sz w:val="32"/>
      <w:szCs w:val="32"/>
      <w:lang w:val="en-GB"/>
    </w:rPr>
  </w:style>
  <w:style w:type="character" w:customStyle="1" w:styleId="Heading3Char">
    <w:name w:val="Heading 3 Char"/>
    <w:basedOn w:val="DefaultParagraphFont"/>
    <w:link w:val="Heading3"/>
    <w:uiPriority w:val="9"/>
    <w:rsid w:val="002B3B2D"/>
    <w:rPr>
      <w:rFonts w:ascii="Calibri" w:eastAsia="Calibri" w:hAnsi="Calibri" w:cs="Calibri"/>
      <w:b/>
      <w:sz w:val="28"/>
      <w:szCs w:val="28"/>
      <w:lang w:val="en-GB"/>
    </w:rPr>
  </w:style>
  <w:style w:type="character" w:customStyle="1" w:styleId="Heading4Char">
    <w:name w:val="Heading 4 Char"/>
    <w:basedOn w:val="DefaultParagraphFont"/>
    <w:link w:val="Heading4"/>
    <w:uiPriority w:val="9"/>
    <w:rsid w:val="002B3B2D"/>
    <w:rPr>
      <w:rFonts w:ascii="Calibri" w:eastAsia="Calibri" w:hAnsi="Calibri" w:cs="Calibri"/>
      <w:b/>
      <w:sz w:val="24"/>
      <w:szCs w:val="24"/>
      <w:lang w:val="en-GB"/>
    </w:rPr>
  </w:style>
  <w:style w:type="character" w:customStyle="1" w:styleId="Heading5Char">
    <w:name w:val="Heading 5 Char"/>
    <w:basedOn w:val="DefaultParagraphFont"/>
    <w:link w:val="Heading5"/>
    <w:uiPriority w:val="9"/>
    <w:rsid w:val="002B3B2D"/>
    <w:rPr>
      <w:rFonts w:ascii="Calibri" w:eastAsia="Calibri" w:hAnsi="Calibri" w:cs="Calibri"/>
      <w:b/>
      <w:lang w:val="en-GB"/>
    </w:rPr>
  </w:style>
  <w:style w:type="character" w:customStyle="1" w:styleId="Heading6Char">
    <w:name w:val="Heading 6 Char"/>
    <w:basedOn w:val="DefaultParagraphFont"/>
    <w:link w:val="Heading6"/>
    <w:uiPriority w:val="9"/>
    <w:rsid w:val="002B3B2D"/>
    <w:rPr>
      <w:rFonts w:ascii="Calibri" w:eastAsia="Calibri" w:hAnsi="Calibri" w:cs="Calibri"/>
      <w:b/>
      <w:sz w:val="20"/>
      <w:szCs w:val="20"/>
      <w:lang w:val="en-GB"/>
    </w:rPr>
  </w:style>
  <w:style w:type="paragraph" w:customStyle="1" w:styleId="MDPI11articletype">
    <w:name w:val="MDPI_1.1_article_type"/>
    <w:next w:val="Normal"/>
    <w:qFormat/>
    <w:rsid w:val="002B3B2D"/>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
    <w:qFormat/>
    <w:rsid w:val="002B3B2D"/>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4history">
    <w:name w:val="MDPI_1.4_history"/>
    <w:basedOn w:val="Normal"/>
    <w:next w:val="Normal"/>
    <w:qFormat/>
    <w:rsid w:val="002B3B2D"/>
    <w:pPr>
      <w:adjustRightInd w:val="0"/>
      <w:snapToGrid w:val="0"/>
      <w:spacing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8keywords">
    <w:name w:val="MDPI_1.8_keywords"/>
    <w:next w:val="Normal"/>
    <w:qFormat/>
    <w:rsid w:val="002B3B2D"/>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2B3B2D"/>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eastAsia="de-DE" w:bidi="en-US"/>
    </w:rPr>
  </w:style>
  <w:style w:type="paragraph" w:customStyle="1" w:styleId="MDPIheaderjournallogo">
    <w:name w:val="MDPI_header_journal_logo"/>
    <w:qFormat/>
    <w:rsid w:val="002B3B2D"/>
    <w:pPr>
      <w:adjustRightInd w:val="0"/>
      <w:snapToGrid w:val="0"/>
      <w:spacing w:after="0" w:line="260" w:lineRule="atLeast"/>
      <w:jc w:val="both"/>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2B3B2D"/>
    <w:pPr>
      <w:ind w:firstLine="0"/>
    </w:pPr>
  </w:style>
  <w:style w:type="paragraph" w:customStyle="1" w:styleId="MDPI33textspaceafter">
    <w:name w:val="MDPI_3.3_text_space_after"/>
    <w:qFormat/>
    <w:rsid w:val="002B3B2D"/>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4textspacebefore">
    <w:name w:val="MDPI_3.4_text_space_before"/>
    <w:qFormat/>
    <w:rsid w:val="002B3B2D"/>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2B3B2D"/>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6textafterlist">
    <w:name w:val="MDPI_3.6_text_after_list"/>
    <w:qFormat/>
    <w:rsid w:val="002B3B2D"/>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2B3B2D"/>
    <w:pPr>
      <w:numPr>
        <w:numId w:val="18"/>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2B3B2D"/>
    <w:pPr>
      <w:numPr>
        <w:numId w:val="7"/>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2B3B2D"/>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2B3B2D"/>
    <w:pPr>
      <w:spacing w:before="120" w:after="120" w:line="240" w:lineRule="auto"/>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2B3B2D"/>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2B3B2D"/>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2B3B2D"/>
    <w:pPr>
      <w:adjustRightInd w:val="0"/>
      <w:snapToGrid w:val="0"/>
      <w:spacing w:after="0" w:line="228" w:lineRule="auto"/>
      <w:ind w:left="2608"/>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2B3B2D"/>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2B3B2D"/>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paragraph" w:customStyle="1" w:styleId="MDPI81theorem">
    <w:name w:val="MDPI_8.1_theorem"/>
    <w:qFormat/>
    <w:rsid w:val="002B3B2D"/>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2B3B2D"/>
    <w:pPr>
      <w:adjustRightInd w:val="0"/>
      <w:snapToGrid w:val="0"/>
      <w:spacing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footerfirstpage">
    <w:name w:val="MDPI_footer_firstpage"/>
    <w:qFormat/>
    <w:rsid w:val="002B3B2D"/>
    <w:pPr>
      <w:tabs>
        <w:tab w:val="right" w:pos="8845"/>
      </w:tabs>
      <w:spacing w:after="0" w:line="160" w:lineRule="exact"/>
    </w:pPr>
    <w:rPr>
      <w:rFonts w:ascii="Palatino Linotype" w:eastAsia="Times New Roman" w:hAnsi="Palatino Linotype" w:cs="Times New Roman"/>
      <w:color w:val="000000"/>
      <w:sz w:val="16"/>
      <w:szCs w:val="20"/>
      <w:lang w:eastAsia="de-DE"/>
    </w:rPr>
  </w:style>
  <w:style w:type="paragraph" w:customStyle="1" w:styleId="MDPI23heading3">
    <w:name w:val="MDPI_2.3_heading3"/>
    <w:qFormat/>
    <w:rsid w:val="002B3B2D"/>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71References">
    <w:name w:val="MDPI_7.1_References"/>
    <w:qFormat/>
    <w:rsid w:val="002B3B2D"/>
    <w:pPr>
      <w:numPr>
        <w:numId w:val="9"/>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paragraph" w:styleId="BalloonText">
    <w:name w:val="Balloon Text"/>
    <w:basedOn w:val="Normal"/>
    <w:link w:val="BalloonTextChar"/>
    <w:uiPriority w:val="99"/>
    <w:rsid w:val="002B3B2D"/>
    <w:pPr>
      <w:spacing w:line="260" w:lineRule="atLeast"/>
      <w:jc w:val="both"/>
    </w:pPr>
    <w:rPr>
      <w:rFonts w:ascii="Palatino Linotype" w:eastAsia="SimSun" w:hAnsi="Palatino Linotype" w:cs="Tahoma"/>
      <w:noProof/>
      <w:color w:val="000000"/>
      <w:sz w:val="20"/>
      <w:szCs w:val="18"/>
      <w:lang w:val="en-US" w:eastAsia="zh-CN"/>
    </w:rPr>
  </w:style>
  <w:style w:type="character" w:customStyle="1" w:styleId="BalloonTextChar">
    <w:name w:val="Balloon Text Char"/>
    <w:basedOn w:val="DefaultParagraphFont"/>
    <w:link w:val="BalloonText"/>
    <w:uiPriority w:val="99"/>
    <w:rsid w:val="002B3B2D"/>
    <w:rPr>
      <w:rFonts w:ascii="Palatino Linotype" w:eastAsia="SimSun" w:hAnsi="Palatino Linotype" w:cs="Tahoma"/>
      <w:noProof/>
      <w:color w:val="000000"/>
      <w:sz w:val="20"/>
      <w:szCs w:val="18"/>
      <w:lang w:eastAsia="zh-CN"/>
    </w:rPr>
  </w:style>
  <w:style w:type="character" w:styleId="LineNumber">
    <w:name w:val="line number"/>
    <w:uiPriority w:val="99"/>
    <w:rsid w:val="002B3B2D"/>
    <w:rPr>
      <w:rFonts w:ascii="Palatino Linotype" w:hAnsi="Palatino Linotype"/>
      <w:sz w:val="16"/>
    </w:rPr>
  </w:style>
  <w:style w:type="table" w:customStyle="1" w:styleId="MDPI41threelinetable">
    <w:name w:val="MDPI_4.1_three_line_table"/>
    <w:basedOn w:val="TableNormal"/>
    <w:uiPriority w:val="99"/>
    <w:rsid w:val="002B3B2D"/>
    <w:pPr>
      <w:adjustRightInd w:val="0"/>
      <w:snapToGrid w:val="0"/>
      <w:spacing w:after="0" w:line="240" w:lineRule="auto"/>
      <w:jc w:val="center"/>
    </w:pPr>
    <w:rPr>
      <w:rFonts w:ascii="Palatino Linotype" w:eastAsia="SimSun"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UnresolvedMention">
    <w:name w:val="Unresolved Mention"/>
    <w:uiPriority w:val="99"/>
    <w:semiHidden/>
    <w:unhideWhenUsed/>
    <w:rsid w:val="002B3B2D"/>
    <w:rPr>
      <w:color w:val="605E5C"/>
      <w:shd w:val="clear" w:color="auto" w:fill="E1DFDD"/>
    </w:rPr>
  </w:style>
  <w:style w:type="table" w:styleId="TableGrid">
    <w:name w:val="Table Grid"/>
    <w:basedOn w:val="TableNormal"/>
    <w:uiPriority w:val="59"/>
    <w:rsid w:val="002B3B2D"/>
    <w:pPr>
      <w:spacing w:after="0"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B3B2D"/>
    <w:pPr>
      <w:spacing w:after="0" w:line="240" w:lineRule="auto"/>
    </w:pPr>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2B3B2D"/>
    <w:pPr>
      <w:adjustRightInd w:val="0"/>
      <w:snapToGrid w:val="0"/>
      <w:spacing w:after="0" w:line="240" w:lineRule="atLeast"/>
      <w:ind w:right="113"/>
    </w:pPr>
    <w:rPr>
      <w:rFonts w:ascii="Palatino Linotype" w:eastAsia="SimSun" w:hAnsi="Palatino Linotype" w:cs="Cordia New"/>
      <w:sz w:val="14"/>
      <w:lang w:eastAsia="zh-CN"/>
    </w:rPr>
  </w:style>
  <w:style w:type="paragraph" w:customStyle="1" w:styleId="MDPI62BackMatter">
    <w:name w:val="MDPI_6.2_BackMatter"/>
    <w:qFormat/>
    <w:rsid w:val="002B3B2D"/>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2B3B2D"/>
    <w:pPr>
      <w:adjustRightInd w:val="0"/>
      <w:snapToGrid w:val="0"/>
      <w:spacing w:after="120" w:line="240" w:lineRule="atLeast"/>
      <w:ind w:right="113"/>
    </w:pPr>
    <w:rPr>
      <w:rFonts w:ascii="Palatino Linotype" w:eastAsia="SimSun" w:hAnsi="Palatino Linotype" w:cs="Times New Roman"/>
      <w:snapToGrid w:val="0"/>
      <w:color w:val="000000"/>
      <w:sz w:val="14"/>
      <w:szCs w:val="20"/>
      <w:lang w:bidi="en-US"/>
    </w:rPr>
  </w:style>
  <w:style w:type="paragraph" w:customStyle="1" w:styleId="MDPI15academiceditor">
    <w:name w:val="MDPI_1.5_academic_editor"/>
    <w:qFormat/>
    <w:rsid w:val="002B3B2D"/>
    <w:pPr>
      <w:adjustRightInd w:val="0"/>
      <w:snapToGrid w:val="0"/>
      <w:spacing w:before="24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19classification">
    <w:name w:val="MDPI_1.9_classification"/>
    <w:qFormat/>
    <w:rsid w:val="002B3B2D"/>
    <w:pPr>
      <w:spacing w:before="240" w:after="0" w:line="260" w:lineRule="atLeast"/>
      <w:ind w:left="113"/>
      <w:jc w:val="both"/>
    </w:pPr>
    <w:rPr>
      <w:rFonts w:ascii="Palatino Linotype" w:eastAsia="Times New Roman" w:hAnsi="Palatino Linotype" w:cs="Times New Roman"/>
      <w:b/>
      <w:color w:val="000000"/>
      <w:sz w:val="20"/>
      <w:lang w:eastAsia="de-DE" w:bidi="en-US"/>
    </w:rPr>
  </w:style>
  <w:style w:type="paragraph" w:customStyle="1" w:styleId="MDPI411onetablecaption">
    <w:name w:val="MDPI_4.1.1_one_table_caption"/>
    <w:qFormat/>
    <w:rsid w:val="002B3B2D"/>
    <w:pPr>
      <w:adjustRightInd w:val="0"/>
      <w:snapToGrid w:val="0"/>
      <w:spacing w:before="240" w:after="120" w:line="260" w:lineRule="atLeast"/>
      <w:jc w:val="center"/>
    </w:pPr>
    <w:rPr>
      <w:rFonts w:ascii="Palatino Linotype" w:eastAsia="SimSun" w:hAnsi="Palatino Linotype" w:cs="Cordia New"/>
      <w:noProof/>
      <w:color w:val="000000"/>
      <w:sz w:val="18"/>
      <w:lang w:eastAsia="zh-CN" w:bidi="en-US"/>
    </w:rPr>
  </w:style>
  <w:style w:type="paragraph" w:customStyle="1" w:styleId="MDPI511onefigurecaption">
    <w:name w:val="MDPI_5.1.1_one_figure_caption"/>
    <w:qFormat/>
    <w:rsid w:val="002B3B2D"/>
    <w:pPr>
      <w:adjustRightInd w:val="0"/>
      <w:snapToGrid w:val="0"/>
      <w:spacing w:before="240" w:after="120" w:line="260" w:lineRule="atLeast"/>
      <w:jc w:val="center"/>
    </w:pPr>
    <w:rPr>
      <w:rFonts w:ascii="Palatino Linotype" w:eastAsia="SimSun" w:hAnsi="Palatino Linotype" w:cs="Times New Roman"/>
      <w:noProof/>
      <w:color w:val="000000"/>
      <w:sz w:val="18"/>
      <w:szCs w:val="20"/>
      <w:lang w:eastAsia="zh-CN" w:bidi="en-US"/>
    </w:rPr>
  </w:style>
  <w:style w:type="paragraph" w:customStyle="1" w:styleId="MDPI72Copyright">
    <w:name w:val="MDPI_7.2_Copyright"/>
    <w:qFormat/>
    <w:rsid w:val="002B3B2D"/>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2B3B2D"/>
    <w:pPr>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2B3B2D"/>
    <w:pPr>
      <w:adjustRightInd w:val="0"/>
      <w:snapToGrid w:val="0"/>
      <w:spacing w:before="120" w:after="120" w:line="240" w:lineRule="auto"/>
      <w:jc w:val="center"/>
    </w:pPr>
    <w:rPr>
      <w:rFonts w:ascii="Palatino Linotype" w:eastAsia="Times New Roman" w:hAnsi="Palatino Linotype" w:cs="Times New Roman"/>
      <w:snapToGrid w:val="0"/>
      <w:color w:val="000000"/>
      <w:sz w:val="20"/>
      <w:lang w:eastAsia="de-DE" w:bidi="en-US"/>
    </w:rPr>
  </w:style>
  <w:style w:type="paragraph" w:customStyle="1" w:styleId="MDPIfooter">
    <w:name w:val="MDPI_footer"/>
    <w:qFormat/>
    <w:rsid w:val="002B3B2D"/>
    <w:pPr>
      <w:adjustRightInd w:val="0"/>
      <w:snapToGrid w:val="0"/>
      <w:spacing w:before="120"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header">
    <w:name w:val="MDPI_header"/>
    <w:qFormat/>
    <w:rsid w:val="002B3B2D"/>
    <w:pPr>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2B3B2D"/>
    <w:pPr>
      <w:spacing w:after="240" w:line="240" w:lineRule="auto"/>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2B3B2D"/>
    <w:pPr>
      <w:adjustRightInd w:val="0"/>
      <w:snapToGrid w:val="0"/>
      <w:spacing w:after="0" w:line="260" w:lineRule="atLeast"/>
      <w:jc w:val="right"/>
    </w:pPr>
    <w:rPr>
      <w:rFonts w:ascii="Palatino Linotype" w:eastAsia="Times New Roman" w:hAnsi="Palatino Linotype" w:cs="Times New Roman"/>
      <w:color w:val="000000"/>
      <w:sz w:val="24"/>
      <w:lang w:eastAsia="de-CH"/>
    </w:rPr>
  </w:style>
  <w:style w:type="table" w:customStyle="1" w:styleId="MDPITable">
    <w:name w:val="MDPI_Table"/>
    <w:basedOn w:val="TableNormal"/>
    <w:uiPriority w:val="99"/>
    <w:rsid w:val="002B3B2D"/>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2B3B2D"/>
    <w:pPr>
      <w:spacing w:after="0" w:line="260" w:lineRule="atLeast"/>
      <w:ind w:left="425" w:right="425" w:firstLine="284"/>
      <w:jc w:val="both"/>
    </w:pPr>
    <w:rPr>
      <w:rFonts w:ascii="Times New Roman" w:eastAsia="Times New Roman" w:hAnsi="Times New Roman" w:cs="Times New Roman"/>
      <w:noProof/>
      <w:snapToGrid w:val="0"/>
      <w:color w:val="000000"/>
      <w:lang w:eastAsia="de-DE" w:bidi="en-US"/>
    </w:rPr>
  </w:style>
  <w:style w:type="paragraph" w:customStyle="1" w:styleId="MDPItitle">
    <w:name w:val="MDPI_title"/>
    <w:qFormat/>
    <w:rsid w:val="002B3B2D"/>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character" w:customStyle="1" w:styleId="apple-converted-space">
    <w:name w:val="apple-converted-space"/>
    <w:rsid w:val="002B3B2D"/>
  </w:style>
  <w:style w:type="paragraph" w:styleId="Bibliography">
    <w:name w:val="Bibliography"/>
    <w:basedOn w:val="Normal"/>
    <w:next w:val="Normal"/>
    <w:uiPriority w:val="37"/>
    <w:semiHidden/>
    <w:unhideWhenUsed/>
    <w:rsid w:val="002B3B2D"/>
    <w:pPr>
      <w:spacing w:line="260" w:lineRule="atLeast"/>
      <w:jc w:val="both"/>
    </w:pPr>
    <w:rPr>
      <w:rFonts w:ascii="Palatino Linotype" w:eastAsia="SimSun" w:hAnsi="Palatino Linotype" w:cs="Times New Roman"/>
      <w:noProof/>
      <w:color w:val="000000"/>
      <w:sz w:val="20"/>
      <w:szCs w:val="20"/>
      <w:lang w:val="en-US" w:eastAsia="zh-CN"/>
    </w:rPr>
  </w:style>
  <w:style w:type="paragraph" w:styleId="BodyText">
    <w:name w:val="Body Text"/>
    <w:link w:val="BodyTextChar"/>
    <w:uiPriority w:val="99"/>
    <w:rsid w:val="002B3B2D"/>
    <w:pPr>
      <w:spacing w:after="120" w:line="340" w:lineRule="atLeast"/>
      <w:jc w:val="both"/>
    </w:pPr>
    <w:rPr>
      <w:rFonts w:ascii="Palatino Linotype" w:eastAsia="SimSun" w:hAnsi="Palatino Linotype" w:cs="Times New Roman"/>
      <w:color w:val="000000"/>
      <w:sz w:val="24"/>
      <w:szCs w:val="20"/>
      <w:lang w:eastAsia="de-DE"/>
    </w:rPr>
  </w:style>
  <w:style w:type="character" w:customStyle="1" w:styleId="BodyTextChar">
    <w:name w:val="Body Text Char"/>
    <w:basedOn w:val="DefaultParagraphFont"/>
    <w:link w:val="BodyText"/>
    <w:uiPriority w:val="99"/>
    <w:rsid w:val="002B3B2D"/>
    <w:rPr>
      <w:rFonts w:ascii="Palatino Linotype" w:eastAsia="SimSun" w:hAnsi="Palatino Linotype" w:cs="Times New Roman"/>
      <w:color w:val="000000"/>
      <w:sz w:val="24"/>
      <w:szCs w:val="20"/>
      <w:lang w:eastAsia="de-DE"/>
    </w:rPr>
  </w:style>
  <w:style w:type="character" w:styleId="CommentReference">
    <w:name w:val="annotation reference"/>
    <w:uiPriority w:val="99"/>
    <w:rsid w:val="002B3B2D"/>
    <w:rPr>
      <w:sz w:val="21"/>
      <w:szCs w:val="21"/>
    </w:rPr>
  </w:style>
  <w:style w:type="paragraph" w:styleId="CommentText">
    <w:name w:val="annotation text"/>
    <w:basedOn w:val="Normal"/>
    <w:link w:val="CommentTextChar"/>
    <w:uiPriority w:val="99"/>
    <w:rsid w:val="002B3B2D"/>
    <w:pPr>
      <w:spacing w:line="260" w:lineRule="atLeast"/>
      <w:jc w:val="both"/>
    </w:pPr>
    <w:rPr>
      <w:rFonts w:ascii="Palatino Linotype" w:eastAsia="SimSun" w:hAnsi="Palatino Linotype" w:cs="Times New Roman"/>
      <w:noProof/>
      <w:color w:val="000000"/>
      <w:sz w:val="20"/>
      <w:szCs w:val="20"/>
      <w:lang w:val="en-US" w:eastAsia="zh-CN"/>
    </w:rPr>
  </w:style>
  <w:style w:type="character" w:customStyle="1" w:styleId="CommentTextChar">
    <w:name w:val="Comment Text Char"/>
    <w:basedOn w:val="DefaultParagraphFont"/>
    <w:link w:val="CommentText"/>
    <w:uiPriority w:val="99"/>
    <w:rsid w:val="002B3B2D"/>
    <w:rPr>
      <w:rFonts w:ascii="Palatino Linotype" w:eastAsia="SimSun" w:hAnsi="Palatino Linotype" w:cs="Times New Roman"/>
      <w:noProof/>
      <w:color w:val="000000"/>
      <w:sz w:val="20"/>
      <w:szCs w:val="20"/>
      <w:lang w:eastAsia="zh-CN"/>
    </w:rPr>
  </w:style>
  <w:style w:type="paragraph" w:styleId="CommentSubject">
    <w:name w:val="annotation subject"/>
    <w:basedOn w:val="CommentText"/>
    <w:next w:val="CommentText"/>
    <w:link w:val="CommentSubjectChar"/>
    <w:uiPriority w:val="99"/>
    <w:rsid w:val="002B3B2D"/>
    <w:rPr>
      <w:b/>
      <w:bCs/>
    </w:rPr>
  </w:style>
  <w:style w:type="character" w:customStyle="1" w:styleId="CommentSubjectChar">
    <w:name w:val="Comment Subject Char"/>
    <w:basedOn w:val="CommentTextChar"/>
    <w:link w:val="CommentSubject"/>
    <w:uiPriority w:val="99"/>
    <w:rsid w:val="002B3B2D"/>
    <w:rPr>
      <w:rFonts w:ascii="Palatino Linotype" w:eastAsia="SimSun" w:hAnsi="Palatino Linotype" w:cs="Times New Roman"/>
      <w:b/>
      <w:bCs/>
      <w:noProof/>
      <w:color w:val="000000"/>
      <w:sz w:val="20"/>
      <w:szCs w:val="20"/>
      <w:lang w:eastAsia="zh-CN"/>
    </w:rPr>
  </w:style>
  <w:style w:type="character" w:styleId="EndnoteReference">
    <w:name w:val="endnote reference"/>
    <w:rsid w:val="002B3B2D"/>
    <w:rPr>
      <w:vertAlign w:val="superscript"/>
    </w:rPr>
  </w:style>
  <w:style w:type="paragraph" w:styleId="EndnoteText">
    <w:name w:val="endnote text"/>
    <w:basedOn w:val="Normal"/>
    <w:link w:val="EndnoteTextChar"/>
    <w:semiHidden/>
    <w:unhideWhenUsed/>
    <w:rsid w:val="002B3B2D"/>
    <w:pPr>
      <w:jc w:val="both"/>
    </w:pPr>
    <w:rPr>
      <w:rFonts w:ascii="Palatino Linotype" w:eastAsia="SimSun" w:hAnsi="Palatino Linotype" w:cs="Times New Roman"/>
      <w:noProof/>
      <w:color w:val="000000"/>
      <w:sz w:val="20"/>
      <w:szCs w:val="20"/>
      <w:lang w:val="en-US" w:eastAsia="zh-CN"/>
    </w:rPr>
  </w:style>
  <w:style w:type="character" w:customStyle="1" w:styleId="EndnoteTextChar">
    <w:name w:val="Endnote Text Char"/>
    <w:basedOn w:val="DefaultParagraphFont"/>
    <w:link w:val="EndnoteText"/>
    <w:semiHidden/>
    <w:rsid w:val="002B3B2D"/>
    <w:rPr>
      <w:rFonts w:ascii="Palatino Linotype" w:eastAsia="SimSun" w:hAnsi="Palatino Linotype" w:cs="Times New Roman"/>
      <w:noProof/>
      <w:color w:val="000000"/>
      <w:sz w:val="20"/>
      <w:szCs w:val="20"/>
      <w:lang w:eastAsia="zh-CN"/>
    </w:rPr>
  </w:style>
  <w:style w:type="character" w:styleId="FollowedHyperlink">
    <w:name w:val="FollowedHyperlink"/>
    <w:uiPriority w:val="99"/>
    <w:rsid w:val="002B3B2D"/>
    <w:rPr>
      <w:color w:val="954F72"/>
      <w:u w:val="single"/>
    </w:rPr>
  </w:style>
  <w:style w:type="paragraph" w:styleId="FootnoteText">
    <w:name w:val="footnote text"/>
    <w:basedOn w:val="Normal"/>
    <w:link w:val="FootnoteTextChar"/>
    <w:semiHidden/>
    <w:unhideWhenUsed/>
    <w:rsid w:val="002B3B2D"/>
    <w:pPr>
      <w:jc w:val="both"/>
    </w:pPr>
    <w:rPr>
      <w:rFonts w:ascii="Palatino Linotype" w:eastAsia="SimSun" w:hAnsi="Palatino Linotype" w:cs="Times New Roman"/>
      <w:noProof/>
      <w:color w:val="000000"/>
      <w:sz w:val="20"/>
      <w:szCs w:val="20"/>
      <w:lang w:val="en-US" w:eastAsia="zh-CN"/>
    </w:rPr>
  </w:style>
  <w:style w:type="character" w:customStyle="1" w:styleId="FootnoteTextChar">
    <w:name w:val="Footnote Text Char"/>
    <w:basedOn w:val="DefaultParagraphFont"/>
    <w:link w:val="FootnoteText"/>
    <w:semiHidden/>
    <w:rsid w:val="002B3B2D"/>
    <w:rPr>
      <w:rFonts w:ascii="Palatino Linotype" w:eastAsia="SimSun" w:hAnsi="Palatino Linotype" w:cs="Times New Roman"/>
      <w:noProof/>
      <w:color w:val="000000"/>
      <w:sz w:val="20"/>
      <w:szCs w:val="20"/>
      <w:lang w:eastAsia="zh-CN"/>
    </w:rPr>
  </w:style>
  <w:style w:type="paragraph" w:styleId="NormalWeb">
    <w:name w:val="Normal (Web)"/>
    <w:basedOn w:val="Normal"/>
    <w:uiPriority w:val="99"/>
    <w:rsid w:val="002B3B2D"/>
    <w:pPr>
      <w:spacing w:line="260" w:lineRule="atLeast"/>
      <w:jc w:val="both"/>
    </w:pPr>
    <w:rPr>
      <w:rFonts w:ascii="Palatino Linotype" w:eastAsia="SimSun" w:hAnsi="Palatino Linotype" w:cs="Times New Roman"/>
      <w:noProof/>
      <w:color w:val="000000"/>
      <w:sz w:val="20"/>
      <w:lang w:val="en-US" w:eastAsia="zh-CN"/>
    </w:rPr>
  </w:style>
  <w:style w:type="paragraph" w:customStyle="1" w:styleId="MsoFootnoteText0">
    <w:name w:val="MsoFootnoteText"/>
    <w:basedOn w:val="NormalWeb"/>
    <w:qFormat/>
    <w:rsid w:val="002B3B2D"/>
    <w:rPr>
      <w:rFonts w:ascii="Times New Roman" w:hAnsi="Times New Roman"/>
    </w:rPr>
  </w:style>
  <w:style w:type="character" w:styleId="PageNumber">
    <w:name w:val="page number"/>
    <w:rsid w:val="002B3B2D"/>
  </w:style>
  <w:style w:type="character" w:styleId="PlaceholderText">
    <w:name w:val="Placeholder Text"/>
    <w:uiPriority w:val="99"/>
    <w:semiHidden/>
    <w:rsid w:val="002B3B2D"/>
    <w:rPr>
      <w:color w:val="808080"/>
    </w:rPr>
  </w:style>
  <w:style w:type="paragraph" w:customStyle="1" w:styleId="MDPI71FootNotes">
    <w:name w:val="MDPI_7.1_FootNotes"/>
    <w:qFormat/>
    <w:rsid w:val="002B3B2D"/>
    <w:pPr>
      <w:numPr>
        <w:numId w:val="10"/>
      </w:numPr>
      <w:adjustRightInd w:val="0"/>
      <w:snapToGrid w:val="0"/>
      <w:spacing w:after="0" w:line="228" w:lineRule="auto"/>
      <w:jc w:val="both"/>
    </w:pPr>
    <w:rPr>
      <w:rFonts w:ascii="Palatino Linotype" w:eastAsiaTheme="minorEastAsia" w:hAnsi="Palatino Linotype" w:cs="Times New Roman"/>
      <w:noProof/>
      <w:color w:val="000000"/>
      <w:sz w:val="18"/>
      <w:szCs w:val="20"/>
      <w:lang w:eastAsia="zh-CN"/>
    </w:rPr>
  </w:style>
  <w:style w:type="table" w:customStyle="1" w:styleId="TableNormal1">
    <w:name w:val="Table Normal1"/>
    <w:rsid w:val="002B3B2D"/>
    <w:pPr>
      <w:spacing w:after="0" w:line="240" w:lineRule="auto"/>
    </w:pPr>
    <w:rPr>
      <w:rFonts w:ascii="Calibri" w:eastAsia="Calibri" w:hAnsi="Calibri" w:cs="Calibri"/>
      <w:sz w:val="24"/>
      <w:szCs w:val="24"/>
      <w:lang w:val="en-GB"/>
    </w:rPr>
    <w:tblPr>
      <w:tblCellMar>
        <w:top w:w="0" w:type="dxa"/>
        <w:left w:w="0" w:type="dxa"/>
        <w:bottom w:w="0" w:type="dxa"/>
        <w:right w:w="0" w:type="dxa"/>
      </w:tblCellMar>
    </w:tblPr>
  </w:style>
  <w:style w:type="paragraph" w:styleId="Title">
    <w:name w:val="Title"/>
    <w:basedOn w:val="Normal"/>
    <w:next w:val="Normal"/>
    <w:link w:val="TitleChar"/>
    <w:uiPriority w:val="10"/>
    <w:qFormat/>
    <w:rsid w:val="002B3B2D"/>
    <w:pPr>
      <w:keepNext/>
      <w:keepLines/>
      <w:spacing w:before="480" w:after="120"/>
    </w:pPr>
    <w:rPr>
      <w:b/>
      <w:sz w:val="72"/>
      <w:szCs w:val="72"/>
    </w:rPr>
  </w:style>
  <w:style w:type="character" w:customStyle="1" w:styleId="TitleChar">
    <w:name w:val="Title Char"/>
    <w:basedOn w:val="DefaultParagraphFont"/>
    <w:link w:val="Title"/>
    <w:uiPriority w:val="10"/>
    <w:rsid w:val="002B3B2D"/>
    <w:rPr>
      <w:rFonts w:ascii="Calibri" w:eastAsia="Calibri" w:hAnsi="Calibri" w:cs="Calibri"/>
      <w:b/>
      <w:sz w:val="72"/>
      <w:szCs w:val="72"/>
      <w:lang w:val="en-GB"/>
    </w:rPr>
  </w:style>
  <w:style w:type="paragraph" w:styleId="Subtitle">
    <w:name w:val="Subtitle"/>
    <w:basedOn w:val="Normal"/>
    <w:next w:val="Normal"/>
    <w:link w:val="SubtitleChar"/>
    <w:uiPriority w:val="11"/>
    <w:qFormat/>
    <w:rsid w:val="002B3B2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B3B2D"/>
    <w:rPr>
      <w:rFonts w:ascii="Georgia" w:eastAsia="Georgia" w:hAnsi="Georgia" w:cs="Georgia"/>
      <w:i/>
      <w:color w:val="666666"/>
      <w:sz w:val="48"/>
      <w:szCs w:val="48"/>
      <w:lang w:val="en-GB"/>
    </w:rPr>
  </w:style>
  <w:style w:type="paragraph" w:styleId="ListParagraph">
    <w:name w:val="List Paragraph"/>
    <w:basedOn w:val="Normal"/>
    <w:uiPriority w:val="34"/>
    <w:qFormat/>
    <w:rsid w:val="002B3B2D"/>
    <w:pPr>
      <w:ind w:left="720"/>
      <w:contextualSpacing/>
    </w:pPr>
    <w:rPr>
      <w:lang w:val="en-US"/>
    </w:rPr>
  </w:style>
  <w:style w:type="character" w:customStyle="1" w:styleId="lrzxr">
    <w:name w:val="lrzxr"/>
    <w:basedOn w:val="DefaultParagraphFont"/>
    <w:rsid w:val="002B3B2D"/>
  </w:style>
  <w:style w:type="paragraph" w:customStyle="1" w:styleId="Figure1">
    <w:name w:val="Figure 1"/>
    <w:basedOn w:val="Normal"/>
    <w:link w:val="Figure1Char"/>
    <w:qFormat/>
    <w:rsid w:val="002B3B2D"/>
    <w:pPr>
      <w:outlineLvl w:val="5"/>
    </w:pPr>
    <w:rPr>
      <w:rFonts w:ascii="Arial" w:eastAsia="Times New Roman" w:hAnsi="Arial" w:cs="Arial"/>
      <w:bCs/>
      <w:sz w:val="20"/>
    </w:rPr>
  </w:style>
  <w:style w:type="character" w:customStyle="1" w:styleId="Figure1Char">
    <w:name w:val="Figure 1 Char"/>
    <w:link w:val="Figure1"/>
    <w:rsid w:val="002B3B2D"/>
    <w:rPr>
      <w:rFonts w:ascii="Arial" w:eastAsia="Times New Roman" w:hAnsi="Arial" w:cs="Arial"/>
      <w:bCs/>
      <w:sz w:val="20"/>
      <w:szCs w:val="24"/>
      <w:lang w:val="en-GB"/>
    </w:rPr>
  </w:style>
  <w:style w:type="character" w:styleId="Emphasis">
    <w:name w:val="Emphasis"/>
    <w:basedOn w:val="DefaultParagraphFont"/>
    <w:uiPriority w:val="20"/>
    <w:qFormat/>
    <w:rsid w:val="002B3B2D"/>
    <w:rPr>
      <w:i/>
      <w:iCs/>
    </w:rPr>
  </w:style>
  <w:style w:type="paragraph" w:styleId="Revision">
    <w:name w:val="Revision"/>
    <w:hidden/>
    <w:uiPriority w:val="99"/>
    <w:semiHidden/>
    <w:rsid w:val="002B3B2D"/>
    <w:pPr>
      <w:spacing w:after="0" w:line="240" w:lineRule="auto"/>
    </w:pPr>
    <w:rPr>
      <w:rFonts w:ascii="Calibri" w:eastAsia="Calibri" w:hAnsi="Calibri" w:cs="Calibri"/>
      <w:sz w:val="24"/>
      <w:szCs w:val="24"/>
      <w:lang w:val="en-GB"/>
    </w:rPr>
  </w:style>
  <w:style w:type="character" w:customStyle="1" w:styleId="UnresolvedMention1">
    <w:name w:val="Unresolved Mention1"/>
    <w:basedOn w:val="DefaultParagraphFont"/>
    <w:uiPriority w:val="99"/>
    <w:semiHidden/>
    <w:unhideWhenUsed/>
    <w:rsid w:val="002B3B2D"/>
    <w:rPr>
      <w:color w:val="605E5C"/>
      <w:shd w:val="clear" w:color="auto" w:fill="E1DFDD"/>
    </w:rPr>
  </w:style>
  <w:style w:type="character" w:customStyle="1" w:styleId="ej-keyword">
    <w:name w:val="ej-keyword"/>
    <w:basedOn w:val="DefaultParagraphFont"/>
    <w:rsid w:val="002B3B2D"/>
  </w:style>
  <w:style w:type="paragraph" w:customStyle="1" w:styleId="EndNoteBibliographyTitle">
    <w:name w:val="EndNote Bibliography Title"/>
    <w:basedOn w:val="Normal"/>
    <w:link w:val="EndNoteBibliographyTitleChar"/>
    <w:rsid w:val="002B3B2D"/>
    <w:pPr>
      <w:jc w:val="center"/>
    </w:pPr>
    <w:rPr>
      <w:noProof/>
      <w:lang w:val="en-US"/>
    </w:rPr>
  </w:style>
  <w:style w:type="character" w:customStyle="1" w:styleId="EndNoteBibliographyTitleChar">
    <w:name w:val="EndNote Bibliography Title Char"/>
    <w:basedOn w:val="DefaultParagraphFont"/>
    <w:link w:val="EndNoteBibliographyTitle"/>
    <w:rsid w:val="002B3B2D"/>
    <w:rPr>
      <w:rFonts w:ascii="Calibri" w:eastAsia="Calibri" w:hAnsi="Calibri" w:cs="Calibri"/>
      <w:noProof/>
      <w:sz w:val="24"/>
      <w:szCs w:val="24"/>
    </w:rPr>
  </w:style>
  <w:style w:type="paragraph" w:customStyle="1" w:styleId="EndNoteBibliography">
    <w:name w:val="EndNote Bibliography"/>
    <w:basedOn w:val="Normal"/>
    <w:link w:val="EndNoteBibliographyChar"/>
    <w:rsid w:val="002B3B2D"/>
    <w:pPr>
      <w:jc w:val="both"/>
    </w:pPr>
    <w:rPr>
      <w:noProof/>
      <w:lang w:val="en-US"/>
    </w:rPr>
  </w:style>
  <w:style w:type="character" w:customStyle="1" w:styleId="EndNoteBibliographyChar">
    <w:name w:val="EndNote Bibliography Char"/>
    <w:basedOn w:val="DefaultParagraphFont"/>
    <w:link w:val="EndNoteBibliography"/>
    <w:rsid w:val="002B3B2D"/>
    <w:rPr>
      <w:rFonts w:ascii="Calibri" w:eastAsia="Calibri" w:hAnsi="Calibri" w:cs="Calibri"/>
      <w:noProof/>
      <w:sz w:val="24"/>
      <w:szCs w:val="24"/>
    </w:rPr>
  </w:style>
  <w:style w:type="paragraph" w:customStyle="1" w:styleId="Default">
    <w:name w:val="Default"/>
    <w:rsid w:val="002B3B2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PlainTable2">
    <w:name w:val="Plain Table 2"/>
    <w:basedOn w:val="TableNormal"/>
    <w:uiPriority w:val="99"/>
    <w:rsid w:val="002B3B2D"/>
    <w:pPr>
      <w:spacing w:after="0" w:line="240" w:lineRule="auto"/>
    </w:pPr>
    <w:rPr>
      <w:rFonts w:ascii="Calibri" w:eastAsia="Calibri" w:hAnsi="Calibri" w:cs="Calibri"/>
      <w:sz w:val="24"/>
      <w:szCs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deck5tablebodythreelines">
    <w:name w:val="M_deck_5_table_body_three_lines"/>
    <w:basedOn w:val="TableNormal"/>
    <w:uiPriority w:val="99"/>
    <w:rsid w:val="002A4DC3"/>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p">
    <w:name w:val="p"/>
    <w:basedOn w:val="Normal"/>
    <w:rsid w:val="00DB589B"/>
    <w:pPr>
      <w:spacing w:before="100" w:beforeAutospacing="1" w:after="100" w:afterAutospacing="1"/>
    </w:pPr>
    <w:rPr>
      <w:rFonts w:ascii="Times New Roman" w:eastAsia="Times New Roman" w:hAnsi="Times New Roman" w:cs="Times New Roman"/>
      <w:lang w:val="en-US"/>
    </w:rPr>
  </w:style>
  <w:style w:type="character" w:customStyle="1" w:styleId="html-italic">
    <w:name w:val="html-italic"/>
    <w:basedOn w:val="DefaultParagraphFont"/>
    <w:rsid w:val="00EF1EA4"/>
  </w:style>
  <w:style w:type="paragraph" w:styleId="ListBullet">
    <w:name w:val="List Bullet"/>
    <w:basedOn w:val="Normal"/>
    <w:uiPriority w:val="99"/>
    <w:unhideWhenUsed/>
    <w:rsid w:val="002C7962"/>
    <w:pPr>
      <w:numPr>
        <w:numId w:val="20"/>
      </w:numPr>
      <w:contextualSpacing/>
    </w:pPr>
  </w:style>
  <w:style w:type="character" w:customStyle="1" w:styleId="MDPI31textChar">
    <w:name w:val="MDPI_3.1_text Char"/>
    <w:basedOn w:val="DefaultParagraphFont"/>
    <w:link w:val="MDPI31text"/>
    <w:rsid w:val="00410641"/>
    <w:rPr>
      <w:rFonts w:ascii="Palatino Linotype" w:eastAsia="Times New Roman" w:hAnsi="Palatino Linotype" w:cs="Times New Roman"/>
      <w:snapToGrid w:val="0"/>
      <w:color w:val="000000"/>
      <w:sz w:val="20"/>
      <w:lang w:eastAsia="de-DE" w:bidi="en-US"/>
    </w:rPr>
  </w:style>
  <w:style w:type="character" w:customStyle="1" w:styleId="A5">
    <w:name w:val="A5"/>
    <w:uiPriority w:val="99"/>
    <w:rsid w:val="00F35529"/>
    <w:rPr>
      <w:rFonts w:cs="Mattioli1885 Regular"/>
      <w:color w:val="221E1F"/>
      <w:sz w:val="21"/>
      <w:szCs w:val="21"/>
    </w:rPr>
  </w:style>
  <w:style w:type="character" w:styleId="Strong">
    <w:name w:val="Strong"/>
    <w:basedOn w:val="DefaultParagraphFont"/>
    <w:uiPriority w:val="22"/>
    <w:qFormat/>
    <w:rsid w:val="00EF280F"/>
    <w:rPr>
      <w:b/>
      <w:bCs/>
    </w:rPr>
  </w:style>
  <w:style w:type="character" w:customStyle="1" w:styleId="Heading7Char">
    <w:name w:val="Heading 7 Char"/>
    <w:basedOn w:val="DefaultParagraphFont"/>
    <w:link w:val="Heading7"/>
    <w:uiPriority w:val="9"/>
    <w:semiHidden/>
    <w:rsid w:val="009405C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405C7"/>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9405C7"/>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9405C7"/>
    <w:pPr>
      <w:spacing w:after="0" w:line="240" w:lineRule="auto"/>
    </w:pPr>
    <w:rPr>
      <w:rFonts w:eastAsiaTheme="minorEastAsia"/>
    </w:rPr>
  </w:style>
  <w:style w:type="paragraph" w:styleId="BodyText2">
    <w:name w:val="Body Text 2"/>
    <w:basedOn w:val="Normal"/>
    <w:link w:val="BodyText2Char"/>
    <w:uiPriority w:val="99"/>
    <w:unhideWhenUsed/>
    <w:rsid w:val="009405C7"/>
    <w:pPr>
      <w:spacing w:after="120" w:line="480" w:lineRule="auto"/>
    </w:pPr>
    <w:rPr>
      <w:rFonts w:asciiTheme="minorHAnsi" w:eastAsiaTheme="minorEastAsia" w:hAnsiTheme="minorHAnsi" w:cstheme="minorBidi"/>
      <w:sz w:val="22"/>
      <w:szCs w:val="22"/>
      <w:lang w:val="en-US"/>
    </w:rPr>
  </w:style>
  <w:style w:type="character" w:customStyle="1" w:styleId="BodyText2Char">
    <w:name w:val="Body Text 2 Char"/>
    <w:basedOn w:val="DefaultParagraphFont"/>
    <w:link w:val="BodyText2"/>
    <w:uiPriority w:val="99"/>
    <w:rsid w:val="009405C7"/>
    <w:rPr>
      <w:rFonts w:eastAsiaTheme="minorEastAsia"/>
    </w:rPr>
  </w:style>
  <w:style w:type="paragraph" w:styleId="BodyText3">
    <w:name w:val="Body Text 3"/>
    <w:basedOn w:val="Normal"/>
    <w:link w:val="BodyText3Char"/>
    <w:uiPriority w:val="99"/>
    <w:unhideWhenUsed/>
    <w:rsid w:val="009405C7"/>
    <w:pPr>
      <w:spacing w:after="120" w:line="276" w:lineRule="auto"/>
    </w:pPr>
    <w:rPr>
      <w:rFonts w:asciiTheme="minorHAnsi" w:eastAsiaTheme="minorEastAsia" w:hAnsiTheme="minorHAnsi" w:cstheme="minorBidi"/>
      <w:sz w:val="16"/>
      <w:szCs w:val="16"/>
      <w:lang w:val="en-US"/>
    </w:rPr>
  </w:style>
  <w:style w:type="character" w:customStyle="1" w:styleId="BodyText3Char">
    <w:name w:val="Body Text 3 Char"/>
    <w:basedOn w:val="DefaultParagraphFont"/>
    <w:link w:val="BodyText3"/>
    <w:uiPriority w:val="99"/>
    <w:rsid w:val="009405C7"/>
    <w:rPr>
      <w:rFonts w:eastAsiaTheme="minorEastAsia"/>
      <w:sz w:val="16"/>
      <w:szCs w:val="16"/>
    </w:rPr>
  </w:style>
  <w:style w:type="paragraph" w:styleId="List">
    <w:name w:val="List"/>
    <w:basedOn w:val="Normal"/>
    <w:uiPriority w:val="99"/>
    <w:unhideWhenUsed/>
    <w:rsid w:val="009405C7"/>
    <w:pPr>
      <w:spacing w:after="200" w:line="276" w:lineRule="auto"/>
      <w:ind w:left="360" w:hanging="360"/>
      <w:contextualSpacing/>
    </w:pPr>
    <w:rPr>
      <w:rFonts w:asciiTheme="minorHAnsi" w:eastAsiaTheme="minorEastAsia" w:hAnsiTheme="minorHAnsi" w:cstheme="minorBidi"/>
      <w:sz w:val="22"/>
      <w:szCs w:val="22"/>
      <w:lang w:val="en-US"/>
    </w:rPr>
  </w:style>
  <w:style w:type="paragraph" w:styleId="List2">
    <w:name w:val="List 2"/>
    <w:basedOn w:val="Normal"/>
    <w:uiPriority w:val="99"/>
    <w:unhideWhenUsed/>
    <w:rsid w:val="009405C7"/>
    <w:pPr>
      <w:spacing w:after="200" w:line="276" w:lineRule="auto"/>
      <w:ind w:left="720" w:hanging="360"/>
      <w:contextualSpacing/>
    </w:pPr>
    <w:rPr>
      <w:rFonts w:asciiTheme="minorHAnsi" w:eastAsiaTheme="minorEastAsia" w:hAnsiTheme="minorHAnsi" w:cstheme="minorBidi"/>
      <w:sz w:val="22"/>
      <w:szCs w:val="22"/>
      <w:lang w:val="en-US"/>
    </w:rPr>
  </w:style>
  <w:style w:type="paragraph" w:styleId="List3">
    <w:name w:val="List 3"/>
    <w:basedOn w:val="Normal"/>
    <w:uiPriority w:val="99"/>
    <w:unhideWhenUsed/>
    <w:rsid w:val="009405C7"/>
    <w:pPr>
      <w:spacing w:after="200" w:line="276" w:lineRule="auto"/>
      <w:ind w:left="1080" w:hanging="360"/>
      <w:contextualSpacing/>
    </w:pPr>
    <w:rPr>
      <w:rFonts w:asciiTheme="minorHAnsi" w:eastAsiaTheme="minorEastAsia" w:hAnsiTheme="minorHAnsi" w:cstheme="minorBidi"/>
      <w:sz w:val="22"/>
      <w:szCs w:val="22"/>
      <w:lang w:val="en-US"/>
    </w:rPr>
  </w:style>
  <w:style w:type="paragraph" w:styleId="ListBullet2">
    <w:name w:val="List Bullet 2"/>
    <w:basedOn w:val="Normal"/>
    <w:uiPriority w:val="99"/>
    <w:unhideWhenUsed/>
    <w:rsid w:val="009405C7"/>
    <w:pPr>
      <w:numPr>
        <w:numId w:val="31"/>
      </w:numPr>
      <w:tabs>
        <w:tab w:val="clear" w:pos="720"/>
      </w:tabs>
      <w:spacing w:after="200" w:line="276" w:lineRule="auto"/>
      <w:ind w:left="0" w:firstLine="0"/>
      <w:contextualSpacing/>
    </w:pPr>
    <w:rPr>
      <w:rFonts w:asciiTheme="minorHAnsi" w:eastAsiaTheme="minorEastAsia" w:hAnsiTheme="minorHAnsi" w:cstheme="minorBidi"/>
      <w:sz w:val="22"/>
      <w:szCs w:val="22"/>
      <w:lang w:val="en-US"/>
    </w:rPr>
  </w:style>
  <w:style w:type="paragraph" w:styleId="ListBullet3">
    <w:name w:val="List Bullet 3"/>
    <w:basedOn w:val="Normal"/>
    <w:uiPriority w:val="99"/>
    <w:unhideWhenUsed/>
    <w:rsid w:val="009405C7"/>
    <w:pPr>
      <w:numPr>
        <w:numId w:val="32"/>
      </w:numPr>
      <w:tabs>
        <w:tab w:val="clear" w:pos="1080"/>
      </w:tabs>
      <w:spacing w:after="200" w:line="276" w:lineRule="auto"/>
      <w:ind w:left="0" w:firstLine="0"/>
      <w:contextualSpacing/>
    </w:pPr>
    <w:rPr>
      <w:rFonts w:asciiTheme="minorHAnsi" w:eastAsiaTheme="minorEastAsia" w:hAnsiTheme="minorHAnsi" w:cstheme="minorBidi"/>
      <w:sz w:val="22"/>
      <w:szCs w:val="22"/>
      <w:lang w:val="en-US"/>
    </w:rPr>
  </w:style>
  <w:style w:type="paragraph" w:styleId="ListNumber">
    <w:name w:val="List Number"/>
    <w:basedOn w:val="Normal"/>
    <w:uiPriority w:val="99"/>
    <w:unhideWhenUsed/>
    <w:rsid w:val="009405C7"/>
    <w:pPr>
      <w:numPr>
        <w:numId w:val="34"/>
      </w:numPr>
      <w:tabs>
        <w:tab w:val="clear" w:pos="360"/>
      </w:tabs>
      <w:spacing w:after="200" w:line="276" w:lineRule="auto"/>
      <w:ind w:left="0" w:firstLine="0"/>
      <w:contextualSpacing/>
    </w:pPr>
    <w:rPr>
      <w:rFonts w:asciiTheme="minorHAnsi" w:eastAsiaTheme="minorEastAsia" w:hAnsiTheme="minorHAnsi" w:cstheme="minorBidi"/>
      <w:sz w:val="22"/>
      <w:szCs w:val="22"/>
      <w:lang w:val="en-US"/>
    </w:rPr>
  </w:style>
  <w:style w:type="paragraph" w:styleId="ListNumber2">
    <w:name w:val="List Number 2"/>
    <w:basedOn w:val="Normal"/>
    <w:uiPriority w:val="99"/>
    <w:unhideWhenUsed/>
    <w:rsid w:val="009405C7"/>
    <w:pPr>
      <w:numPr>
        <w:numId w:val="35"/>
      </w:numPr>
      <w:tabs>
        <w:tab w:val="clear" w:pos="720"/>
      </w:tabs>
      <w:spacing w:after="200" w:line="276" w:lineRule="auto"/>
      <w:ind w:left="0" w:firstLine="0"/>
      <w:contextualSpacing/>
    </w:pPr>
    <w:rPr>
      <w:rFonts w:asciiTheme="minorHAnsi" w:eastAsiaTheme="minorEastAsia" w:hAnsiTheme="minorHAnsi" w:cstheme="minorBidi"/>
      <w:sz w:val="22"/>
      <w:szCs w:val="22"/>
      <w:lang w:val="en-US"/>
    </w:rPr>
  </w:style>
  <w:style w:type="paragraph" w:styleId="ListNumber3">
    <w:name w:val="List Number 3"/>
    <w:basedOn w:val="Normal"/>
    <w:uiPriority w:val="99"/>
    <w:unhideWhenUsed/>
    <w:rsid w:val="009405C7"/>
    <w:pPr>
      <w:numPr>
        <w:numId w:val="36"/>
      </w:numPr>
      <w:tabs>
        <w:tab w:val="clear" w:pos="1080"/>
      </w:tabs>
      <w:spacing w:after="200" w:line="276" w:lineRule="auto"/>
      <w:ind w:left="0" w:firstLine="0"/>
      <w:contextualSpacing/>
    </w:pPr>
    <w:rPr>
      <w:rFonts w:asciiTheme="minorHAnsi" w:eastAsiaTheme="minorEastAsia" w:hAnsiTheme="minorHAnsi" w:cstheme="minorBidi"/>
      <w:sz w:val="22"/>
      <w:szCs w:val="22"/>
      <w:lang w:val="en-US"/>
    </w:rPr>
  </w:style>
  <w:style w:type="paragraph" w:styleId="ListContinue">
    <w:name w:val="List Continue"/>
    <w:basedOn w:val="Normal"/>
    <w:uiPriority w:val="99"/>
    <w:unhideWhenUsed/>
    <w:rsid w:val="009405C7"/>
    <w:pPr>
      <w:spacing w:after="120" w:line="276" w:lineRule="auto"/>
      <w:ind w:left="360"/>
      <w:contextualSpacing/>
    </w:pPr>
    <w:rPr>
      <w:rFonts w:asciiTheme="minorHAnsi" w:eastAsiaTheme="minorEastAsia" w:hAnsiTheme="minorHAnsi" w:cstheme="minorBidi"/>
      <w:sz w:val="22"/>
      <w:szCs w:val="22"/>
      <w:lang w:val="en-US"/>
    </w:rPr>
  </w:style>
  <w:style w:type="paragraph" w:styleId="ListContinue2">
    <w:name w:val="List Continue 2"/>
    <w:basedOn w:val="Normal"/>
    <w:uiPriority w:val="99"/>
    <w:unhideWhenUsed/>
    <w:rsid w:val="009405C7"/>
    <w:pPr>
      <w:spacing w:after="120" w:line="276" w:lineRule="auto"/>
      <w:ind w:left="720"/>
      <w:contextualSpacing/>
    </w:pPr>
    <w:rPr>
      <w:rFonts w:asciiTheme="minorHAnsi" w:eastAsiaTheme="minorEastAsia" w:hAnsiTheme="minorHAnsi" w:cstheme="minorBidi"/>
      <w:sz w:val="22"/>
      <w:szCs w:val="22"/>
      <w:lang w:val="en-US"/>
    </w:rPr>
  </w:style>
  <w:style w:type="paragraph" w:styleId="ListContinue3">
    <w:name w:val="List Continue 3"/>
    <w:basedOn w:val="Normal"/>
    <w:uiPriority w:val="99"/>
    <w:unhideWhenUsed/>
    <w:rsid w:val="009405C7"/>
    <w:pPr>
      <w:spacing w:after="120" w:line="276" w:lineRule="auto"/>
      <w:ind w:left="1080"/>
      <w:contextualSpacing/>
    </w:pPr>
    <w:rPr>
      <w:rFonts w:asciiTheme="minorHAnsi" w:eastAsiaTheme="minorEastAsia" w:hAnsiTheme="minorHAnsi" w:cstheme="minorBidi"/>
      <w:sz w:val="22"/>
      <w:szCs w:val="22"/>
      <w:lang w:val="en-US"/>
    </w:rPr>
  </w:style>
  <w:style w:type="paragraph" w:styleId="MacroText">
    <w:name w:val="macro"/>
    <w:link w:val="MacroTextChar"/>
    <w:uiPriority w:val="99"/>
    <w:unhideWhenUsed/>
    <w:rsid w:val="009405C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rPr>
  </w:style>
  <w:style w:type="character" w:customStyle="1" w:styleId="MacroTextChar">
    <w:name w:val="Macro Text Char"/>
    <w:basedOn w:val="DefaultParagraphFont"/>
    <w:link w:val="MacroText"/>
    <w:uiPriority w:val="99"/>
    <w:rsid w:val="009405C7"/>
    <w:rPr>
      <w:rFonts w:ascii="Courier" w:eastAsiaTheme="minorEastAsia" w:hAnsi="Courier"/>
      <w:sz w:val="20"/>
      <w:szCs w:val="20"/>
    </w:rPr>
  </w:style>
  <w:style w:type="paragraph" w:styleId="Quote">
    <w:name w:val="Quote"/>
    <w:basedOn w:val="Normal"/>
    <w:next w:val="Normal"/>
    <w:link w:val="QuoteChar"/>
    <w:uiPriority w:val="29"/>
    <w:qFormat/>
    <w:rsid w:val="009405C7"/>
    <w:pPr>
      <w:spacing w:after="200" w:line="276" w:lineRule="auto"/>
    </w:pPr>
    <w:rPr>
      <w:rFonts w:asciiTheme="minorHAnsi" w:eastAsiaTheme="minorEastAsia" w:hAnsiTheme="minorHAnsi" w:cstheme="minorBidi"/>
      <w:i/>
      <w:iCs/>
      <w:color w:val="000000" w:themeColor="text1"/>
      <w:sz w:val="22"/>
      <w:szCs w:val="22"/>
      <w:lang w:val="en-US"/>
    </w:rPr>
  </w:style>
  <w:style w:type="character" w:customStyle="1" w:styleId="QuoteChar">
    <w:name w:val="Quote Char"/>
    <w:basedOn w:val="DefaultParagraphFont"/>
    <w:link w:val="Quote"/>
    <w:uiPriority w:val="29"/>
    <w:rsid w:val="009405C7"/>
    <w:rPr>
      <w:rFonts w:eastAsiaTheme="minorEastAsia"/>
      <w:i/>
      <w:iCs/>
      <w:color w:val="000000" w:themeColor="text1"/>
    </w:rPr>
  </w:style>
  <w:style w:type="paragraph" w:styleId="Caption">
    <w:name w:val="caption"/>
    <w:basedOn w:val="Normal"/>
    <w:next w:val="Normal"/>
    <w:uiPriority w:val="35"/>
    <w:semiHidden/>
    <w:unhideWhenUsed/>
    <w:qFormat/>
    <w:rsid w:val="009405C7"/>
    <w:pPr>
      <w:spacing w:after="200"/>
    </w:pPr>
    <w:rPr>
      <w:rFonts w:asciiTheme="minorHAnsi" w:eastAsiaTheme="minorEastAsia" w:hAnsiTheme="minorHAnsi" w:cstheme="minorBidi"/>
      <w:b/>
      <w:bCs/>
      <w:color w:val="4472C4" w:themeColor="accent1"/>
      <w:sz w:val="18"/>
      <w:szCs w:val="18"/>
      <w:lang w:val="en-US"/>
    </w:rPr>
  </w:style>
  <w:style w:type="paragraph" w:styleId="IntenseQuote">
    <w:name w:val="Intense Quote"/>
    <w:basedOn w:val="Normal"/>
    <w:next w:val="Normal"/>
    <w:link w:val="IntenseQuoteChar"/>
    <w:uiPriority w:val="30"/>
    <w:qFormat/>
    <w:rsid w:val="009405C7"/>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lang w:val="en-US"/>
    </w:rPr>
  </w:style>
  <w:style w:type="character" w:customStyle="1" w:styleId="IntenseQuoteChar">
    <w:name w:val="Intense Quote Char"/>
    <w:basedOn w:val="DefaultParagraphFont"/>
    <w:link w:val="IntenseQuote"/>
    <w:uiPriority w:val="30"/>
    <w:rsid w:val="009405C7"/>
    <w:rPr>
      <w:rFonts w:eastAsiaTheme="minorEastAsia"/>
      <w:b/>
      <w:bCs/>
      <w:i/>
      <w:iCs/>
      <w:color w:val="4472C4" w:themeColor="accent1"/>
    </w:rPr>
  </w:style>
  <w:style w:type="character" w:styleId="SubtleEmphasis">
    <w:name w:val="Subtle Emphasis"/>
    <w:basedOn w:val="DefaultParagraphFont"/>
    <w:uiPriority w:val="19"/>
    <w:qFormat/>
    <w:rsid w:val="009405C7"/>
    <w:rPr>
      <w:i/>
      <w:iCs/>
      <w:color w:val="808080" w:themeColor="text1" w:themeTint="7F"/>
    </w:rPr>
  </w:style>
  <w:style w:type="character" w:styleId="IntenseEmphasis">
    <w:name w:val="Intense Emphasis"/>
    <w:basedOn w:val="DefaultParagraphFont"/>
    <w:uiPriority w:val="21"/>
    <w:qFormat/>
    <w:rsid w:val="009405C7"/>
    <w:rPr>
      <w:b/>
      <w:bCs/>
      <w:i/>
      <w:iCs/>
      <w:color w:val="4472C4" w:themeColor="accent1"/>
    </w:rPr>
  </w:style>
  <w:style w:type="character" w:styleId="SubtleReference">
    <w:name w:val="Subtle Reference"/>
    <w:basedOn w:val="DefaultParagraphFont"/>
    <w:uiPriority w:val="31"/>
    <w:qFormat/>
    <w:rsid w:val="009405C7"/>
    <w:rPr>
      <w:smallCaps/>
      <w:color w:val="ED7D31" w:themeColor="accent2"/>
      <w:u w:val="single"/>
    </w:rPr>
  </w:style>
  <w:style w:type="character" w:styleId="IntenseReference">
    <w:name w:val="Intense Reference"/>
    <w:basedOn w:val="DefaultParagraphFont"/>
    <w:uiPriority w:val="32"/>
    <w:qFormat/>
    <w:rsid w:val="009405C7"/>
    <w:rPr>
      <w:b/>
      <w:bCs/>
      <w:smallCaps/>
      <w:color w:val="ED7D31" w:themeColor="accent2"/>
      <w:spacing w:val="5"/>
      <w:u w:val="single"/>
    </w:rPr>
  </w:style>
  <w:style w:type="character" w:styleId="BookTitle">
    <w:name w:val="Book Title"/>
    <w:basedOn w:val="DefaultParagraphFont"/>
    <w:uiPriority w:val="33"/>
    <w:qFormat/>
    <w:rsid w:val="009405C7"/>
    <w:rPr>
      <w:b/>
      <w:bCs/>
      <w:smallCaps/>
      <w:spacing w:val="5"/>
    </w:rPr>
  </w:style>
  <w:style w:type="paragraph" w:styleId="TOCHeading">
    <w:name w:val="TOC Heading"/>
    <w:basedOn w:val="Heading1"/>
    <w:next w:val="Normal"/>
    <w:uiPriority w:val="39"/>
    <w:semiHidden/>
    <w:unhideWhenUsed/>
    <w:qFormat/>
    <w:rsid w:val="009405C7"/>
    <w:pPr>
      <w:spacing w:before="480" w:line="276" w:lineRule="auto"/>
      <w:outlineLvl w:val="9"/>
    </w:pPr>
    <w:rPr>
      <w:rFonts w:asciiTheme="majorHAnsi" w:eastAsiaTheme="majorEastAsia" w:hAnsiTheme="majorHAnsi" w:cstheme="majorBidi"/>
      <w:b/>
      <w:bCs/>
      <w:color w:val="2F5496" w:themeColor="accent1" w:themeShade="BF"/>
      <w:sz w:val="28"/>
      <w:szCs w:val="28"/>
      <w:lang w:val="en-US"/>
    </w:rPr>
  </w:style>
  <w:style w:type="table" w:styleId="LightShading">
    <w:name w:val="Light Shading"/>
    <w:basedOn w:val="TableNormal"/>
    <w:uiPriority w:val="60"/>
    <w:rsid w:val="009405C7"/>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405C7"/>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405C7"/>
    <w:pPr>
      <w:spacing w:after="0" w:line="240" w:lineRule="auto"/>
    </w:pPr>
    <w:rPr>
      <w:rFonts w:eastAsiaTheme="minorEastAsia"/>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405C7"/>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405C7"/>
    <w:pPr>
      <w:spacing w:after="0" w:line="240" w:lineRule="auto"/>
    </w:pPr>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405C7"/>
    <w:pPr>
      <w:spacing w:after="0" w:line="240" w:lineRule="auto"/>
    </w:pPr>
    <w:rPr>
      <w:rFonts w:eastAsiaTheme="minorEastAsia"/>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405C7"/>
    <w:pPr>
      <w:spacing w:after="0" w:line="240" w:lineRule="auto"/>
    </w:pPr>
    <w:rPr>
      <w:rFonts w:eastAsiaTheme="minorEastAsia"/>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9405C7"/>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405C7"/>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405C7"/>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405C7"/>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405C7"/>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405C7"/>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405C7"/>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9405C7"/>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405C7"/>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405C7"/>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405C7"/>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405C7"/>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405C7"/>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405C7"/>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9405C7"/>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405C7"/>
    <w:pPr>
      <w:spacing w:after="0" w:line="240" w:lineRule="auto"/>
    </w:pPr>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405C7"/>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405C7"/>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405C7"/>
    <w:pPr>
      <w:spacing w:after="0" w:line="240" w:lineRule="auto"/>
    </w:pPr>
    <w:rPr>
      <w:rFonts w:eastAsiaTheme="minorEastAsi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405C7"/>
    <w:pPr>
      <w:spacing w:after="0" w:line="240" w:lineRule="auto"/>
    </w:pPr>
    <w:rPr>
      <w:rFonts w:eastAsiaTheme="minorEastAsi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405C7"/>
    <w:pPr>
      <w:spacing w:after="0" w:line="240" w:lineRule="auto"/>
    </w:pPr>
    <w:rPr>
      <w:rFonts w:eastAsiaTheme="minorEastAsi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9405C7"/>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405C7"/>
    <w:pPr>
      <w:spacing w:after="0" w:line="240" w:lineRule="auto"/>
    </w:pPr>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405C7"/>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405C7"/>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405C7"/>
    <w:pPr>
      <w:spacing w:after="0" w:line="240" w:lineRule="auto"/>
    </w:pPr>
    <w:rPr>
      <w:rFonts w:eastAsiaTheme="minorEastAsi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405C7"/>
    <w:pPr>
      <w:spacing w:after="0" w:line="240" w:lineRule="auto"/>
    </w:pPr>
    <w:rPr>
      <w:rFonts w:eastAsiaTheme="minorEastAsi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405C7"/>
    <w:pPr>
      <w:spacing w:after="0" w:line="240" w:lineRule="auto"/>
    </w:pPr>
    <w:rPr>
      <w:rFonts w:eastAsiaTheme="minorEastAsi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61947">
      <w:bodyDiv w:val="1"/>
      <w:marLeft w:val="0"/>
      <w:marRight w:val="0"/>
      <w:marTop w:val="0"/>
      <w:marBottom w:val="0"/>
      <w:divBdr>
        <w:top w:val="none" w:sz="0" w:space="0" w:color="auto"/>
        <w:left w:val="none" w:sz="0" w:space="0" w:color="auto"/>
        <w:bottom w:val="none" w:sz="0" w:space="0" w:color="auto"/>
        <w:right w:val="none" w:sz="0" w:space="0" w:color="auto"/>
      </w:divBdr>
    </w:div>
    <w:div w:id="181866129">
      <w:bodyDiv w:val="1"/>
      <w:marLeft w:val="0"/>
      <w:marRight w:val="0"/>
      <w:marTop w:val="0"/>
      <w:marBottom w:val="0"/>
      <w:divBdr>
        <w:top w:val="none" w:sz="0" w:space="0" w:color="auto"/>
        <w:left w:val="none" w:sz="0" w:space="0" w:color="auto"/>
        <w:bottom w:val="none" w:sz="0" w:space="0" w:color="auto"/>
        <w:right w:val="none" w:sz="0" w:space="0" w:color="auto"/>
      </w:divBdr>
    </w:div>
    <w:div w:id="233970907">
      <w:bodyDiv w:val="1"/>
      <w:marLeft w:val="0"/>
      <w:marRight w:val="0"/>
      <w:marTop w:val="0"/>
      <w:marBottom w:val="0"/>
      <w:divBdr>
        <w:top w:val="none" w:sz="0" w:space="0" w:color="auto"/>
        <w:left w:val="none" w:sz="0" w:space="0" w:color="auto"/>
        <w:bottom w:val="none" w:sz="0" w:space="0" w:color="auto"/>
        <w:right w:val="none" w:sz="0" w:space="0" w:color="auto"/>
      </w:divBdr>
    </w:div>
    <w:div w:id="254755284">
      <w:bodyDiv w:val="1"/>
      <w:marLeft w:val="0"/>
      <w:marRight w:val="0"/>
      <w:marTop w:val="0"/>
      <w:marBottom w:val="0"/>
      <w:divBdr>
        <w:top w:val="none" w:sz="0" w:space="0" w:color="auto"/>
        <w:left w:val="none" w:sz="0" w:space="0" w:color="auto"/>
        <w:bottom w:val="none" w:sz="0" w:space="0" w:color="auto"/>
        <w:right w:val="none" w:sz="0" w:space="0" w:color="auto"/>
      </w:divBdr>
    </w:div>
    <w:div w:id="284241806">
      <w:bodyDiv w:val="1"/>
      <w:marLeft w:val="0"/>
      <w:marRight w:val="0"/>
      <w:marTop w:val="0"/>
      <w:marBottom w:val="0"/>
      <w:divBdr>
        <w:top w:val="none" w:sz="0" w:space="0" w:color="auto"/>
        <w:left w:val="none" w:sz="0" w:space="0" w:color="auto"/>
        <w:bottom w:val="none" w:sz="0" w:space="0" w:color="auto"/>
        <w:right w:val="none" w:sz="0" w:space="0" w:color="auto"/>
      </w:divBdr>
    </w:div>
    <w:div w:id="300230744">
      <w:bodyDiv w:val="1"/>
      <w:marLeft w:val="0"/>
      <w:marRight w:val="0"/>
      <w:marTop w:val="0"/>
      <w:marBottom w:val="0"/>
      <w:divBdr>
        <w:top w:val="none" w:sz="0" w:space="0" w:color="auto"/>
        <w:left w:val="none" w:sz="0" w:space="0" w:color="auto"/>
        <w:bottom w:val="none" w:sz="0" w:space="0" w:color="auto"/>
        <w:right w:val="none" w:sz="0" w:space="0" w:color="auto"/>
      </w:divBdr>
    </w:div>
    <w:div w:id="401408705">
      <w:bodyDiv w:val="1"/>
      <w:marLeft w:val="0"/>
      <w:marRight w:val="0"/>
      <w:marTop w:val="0"/>
      <w:marBottom w:val="0"/>
      <w:divBdr>
        <w:top w:val="none" w:sz="0" w:space="0" w:color="auto"/>
        <w:left w:val="none" w:sz="0" w:space="0" w:color="auto"/>
        <w:bottom w:val="none" w:sz="0" w:space="0" w:color="auto"/>
        <w:right w:val="none" w:sz="0" w:space="0" w:color="auto"/>
      </w:divBdr>
    </w:div>
    <w:div w:id="616641649">
      <w:bodyDiv w:val="1"/>
      <w:marLeft w:val="0"/>
      <w:marRight w:val="0"/>
      <w:marTop w:val="0"/>
      <w:marBottom w:val="0"/>
      <w:divBdr>
        <w:top w:val="none" w:sz="0" w:space="0" w:color="auto"/>
        <w:left w:val="none" w:sz="0" w:space="0" w:color="auto"/>
        <w:bottom w:val="none" w:sz="0" w:space="0" w:color="auto"/>
        <w:right w:val="none" w:sz="0" w:space="0" w:color="auto"/>
      </w:divBdr>
    </w:div>
    <w:div w:id="743721421">
      <w:bodyDiv w:val="1"/>
      <w:marLeft w:val="0"/>
      <w:marRight w:val="0"/>
      <w:marTop w:val="0"/>
      <w:marBottom w:val="0"/>
      <w:divBdr>
        <w:top w:val="none" w:sz="0" w:space="0" w:color="auto"/>
        <w:left w:val="none" w:sz="0" w:space="0" w:color="auto"/>
        <w:bottom w:val="none" w:sz="0" w:space="0" w:color="auto"/>
        <w:right w:val="none" w:sz="0" w:space="0" w:color="auto"/>
      </w:divBdr>
    </w:div>
    <w:div w:id="767039806">
      <w:bodyDiv w:val="1"/>
      <w:marLeft w:val="0"/>
      <w:marRight w:val="0"/>
      <w:marTop w:val="0"/>
      <w:marBottom w:val="0"/>
      <w:divBdr>
        <w:top w:val="none" w:sz="0" w:space="0" w:color="auto"/>
        <w:left w:val="none" w:sz="0" w:space="0" w:color="auto"/>
        <w:bottom w:val="none" w:sz="0" w:space="0" w:color="auto"/>
        <w:right w:val="none" w:sz="0" w:space="0" w:color="auto"/>
      </w:divBdr>
    </w:div>
    <w:div w:id="809900188">
      <w:bodyDiv w:val="1"/>
      <w:marLeft w:val="0"/>
      <w:marRight w:val="0"/>
      <w:marTop w:val="0"/>
      <w:marBottom w:val="0"/>
      <w:divBdr>
        <w:top w:val="none" w:sz="0" w:space="0" w:color="auto"/>
        <w:left w:val="none" w:sz="0" w:space="0" w:color="auto"/>
        <w:bottom w:val="none" w:sz="0" w:space="0" w:color="auto"/>
        <w:right w:val="none" w:sz="0" w:space="0" w:color="auto"/>
      </w:divBdr>
    </w:div>
    <w:div w:id="883908841">
      <w:bodyDiv w:val="1"/>
      <w:marLeft w:val="0"/>
      <w:marRight w:val="0"/>
      <w:marTop w:val="0"/>
      <w:marBottom w:val="0"/>
      <w:divBdr>
        <w:top w:val="none" w:sz="0" w:space="0" w:color="auto"/>
        <w:left w:val="none" w:sz="0" w:space="0" w:color="auto"/>
        <w:bottom w:val="none" w:sz="0" w:space="0" w:color="auto"/>
        <w:right w:val="none" w:sz="0" w:space="0" w:color="auto"/>
      </w:divBdr>
    </w:div>
    <w:div w:id="893345258">
      <w:bodyDiv w:val="1"/>
      <w:marLeft w:val="0"/>
      <w:marRight w:val="0"/>
      <w:marTop w:val="0"/>
      <w:marBottom w:val="0"/>
      <w:divBdr>
        <w:top w:val="none" w:sz="0" w:space="0" w:color="auto"/>
        <w:left w:val="none" w:sz="0" w:space="0" w:color="auto"/>
        <w:bottom w:val="none" w:sz="0" w:space="0" w:color="auto"/>
        <w:right w:val="none" w:sz="0" w:space="0" w:color="auto"/>
      </w:divBdr>
    </w:div>
    <w:div w:id="915896799">
      <w:bodyDiv w:val="1"/>
      <w:marLeft w:val="0"/>
      <w:marRight w:val="0"/>
      <w:marTop w:val="0"/>
      <w:marBottom w:val="0"/>
      <w:divBdr>
        <w:top w:val="none" w:sz="0" w:space="0" w:color="auto"/>
        <w:left w:val="none" w:sz="0" w:space="0" w:color="auto"/>
        <w:bottom w:val="none" w:sz="0" w:space="0" w:color="auto"/>
        <w:right w:val="none" w:sz="0" w:space="0" w:color="auto"/>
      </w:divBdr>
    </w:div>
    <w:div w:id="955912900">
      <w:bodyDiv w:val="1"/>
      <w:marLeft w:val="0"/>
      <w:marRight w:val="0"/>
      <w:marTop w:val="0"/>
      <w:marBottom w:val="0"/>
      <w:divBdr>
        <w:top w:val="none" w:sz="0" w:space="0" w:color="auto"/>
        <w:left w:val="none" w:sz="0" w:space="0" w:color="auto"/>
        <w:bottom w:val="none" w:sz="0" w:space="0" w:color="auto"/>
        <w:right w:val="none" w:sz="0" w:space="0" w:color="auto"/>
      </w:divBdr>
    </w:div>
    <w:div w:id="1081484899">
      <w:bodyDiv w:val="1"/>
      <w:marLeft w:val="0"/>
      <w:marRight w:val="0"/>
      <w:marTop w:val="0"/>
      <w:marBottom w:val="0"/>
      <w:divBdr>
        <w:top w:val="none" w:sz="0" w:space="0" w:color="auto"/>
        <w:left w:val="none" w:sz="0" w:space="0" w:color="auto"/>
        <w:bottom w:val="none" w:sz="0" w:space="0" w:color="auto"/>
        <w:right w:val="none" w:sz="0" w:space="0" w:color="auto"/>
      </w:divBdr>
    </w:div>
    <w:div w:id="1165976734">
      <w:bodyDiv w:val="1"/>
      <w:marLeft w:val="0"/>
      <w:marRight w:val="0"/>
      <w:marTop w:val="0"/>
      <w:marBottom w:val="0"/>
      <w:divBdr>
        <w:top w:val="none" w:sz="0" w:space="0" w:color="auto"/>
        <w:left w:val="none" w:sz="0" w:space="0" w:color="auto"/>
        <w:bottom w:val="none" w:sz="0" w:space="0" w:color="auto"/>
        <w:right w:val="none" w:sz="0" w:space="0" w:color="auto"/>
      </w:divBdr>
    </w:div>
    <w:div w:id="1213273730">
      <w:bodyDiv w:val="1"/>
      <w:marLeft w:val="0"/>
      <w:marRight w:val="0"/>
      <w:marTop w:val="0"/>
      <w:marBottom w:val="0"/>
      <w:divBdr>
        <w:top w:val="none" w:sz="0" w:space="0" w:color="auto"/>
        <w:left w:val="none" w:sz="0" w:space="0" w:color="auto"/>
        <w:bottom w:val="none" w:sz="0" w:space="0" w:color="auto"/>
        <w:right w:val="none" w:sz="0" w:space="0" w:color="auto"/>
      </w:divBdr>
    </w:div>
    <w:div w:id="1468159764">
      <w:bodyDiv w:val="1"/>
      <w:marLeft w:val="0"/>
      <w:marRight w:val="0"/>
      <w:marTop w:val="0"/>
      <w:marBottom w:val="0"/>
      <w:divBdr>
        <w:top w:val="none" w:sz="0" w:space="0" w:color="auto"/>
        <w:left w:val="none" w:sz="0" w:space="0" w:color="auto"/>
        <w:bottom w:val="none" w:sz="0" w:space="0" w:color="auto"/>
        <w:right w:val="none" w:sz="0" w:space="0" w:color="auto"/>
      </w:divBdr>
    </w:div>
    <w:div w:id="1502698345">
      <w:bodyDiv w:val="1"/>
      <w:marLeft w:val="0"/>
      <w:marRight w:val="0"/>
      <w:marTop w:val="0"/>
      <w:marBottom w:val="0"/>
      <w:divBdr>
        <w:top w:val="none" w:sz="0" w:space="0" w:color="auto"/>
        <w:left w:val="none" w:sz="0" w:space="0" w:color="auto"/>
        <w:bottom w:val="none" w:sz="0" w:space="0" w:color="auto"/>
        <w:right w:val="none" w:sz="0" w:space="0" w:color="auto"/>
      </w:divBdr>
    </w:div>
    <w:div w:id="1568612865">
      <w:bodyDiv w:val="1"/>
      <w:marLeft w:val="0"/>
      <w:marRight w:val="0"/>
      <w:marTop w:val="0"/>
      <w:marBottom w:val="0"/>
      <w:divBdr>
        <w:top w:val="none" w:sz="0" w:space="0" w:color="auto"/>
        <w:left w:val="none" w:sz="0" w:space="0" w:color="auto"/>
        <w:bottom w:val="none" w:sz="0" w:space="0" w:color="auto"/>
        <w:right w:val="none" w:sz="0" w:space="0" w:color="auto"/>
      </w:divBdr>
    </w:div>
    <w:div w:id="1614820553">
      <w:bodyDiv w:val="1"/>
      <w:marLeft w:val="0"/>
      <w:marRight w:val="0"/>
      <w:marTop w:val="0"/>
      <w:marBottom w:val="0"/>
      <w:divBdr>
        <w:top w:val="none" w:sz="0" w:space="0" w:color="auto"/>
        <w:left w:val="none" w:sz="0" w:space="0" w:color="auto"/>
        <w:bottom w:val="none" w:sz="0" w:space="0" w:color="auto"/>
        <w:right w:val="none" w:sz="0" w:space="0" w:color="auto"/>
      </w:divBdr>
    </w:div>
    <w:div w:id="1726952299">
      <w:bodyDiv w:val="1"/>
      <w:marLeft w:val="0"/>
      <w:marRight w:val="0"/>
      <w:marTop w:val="0"/>
      <w:marBottom w:val="0"/>
      <w:divBdr>
        <w:top w:val="none" w:sz="0" w:space="0" w:color="auto"/>
        <w:left w:val="none" w:sz="0" w:space="0" w:color="auto"/>
        <w:bottom w:val="none" w:sz="0" w:space="0" w:color="auto"/>
        <w:right w:val="none" w:sz="0" w:space="0" w:color="auto"/>
      </w:divBdr>
    </w:div>
    <w:div w:id="2002654170">
      <w:bodyDiv w:val="1"/>
      <w:marLeft w:val="0"/>
      <w:marRight w:val="0"/>
      <w:marTop w:val="0"/>
      <w:marBottom w:val="0"/>
      <w:divBdr>
        <w:top w:val="none" w:sz="0" w:space="0" w:color="auto"/>
        <w:left w:val="none" w:sz="0" w:space="0" w:color="auto"/>
        <w:bottom w:val="none" w:sz="0" w:space="0" w:color="auto"/>
        <w:right w:val="none" w:sz="0" w:space="0" w:color="auto"/>
      </w:divBdr>
    </w:div>
    <w:div w:id="2043440012">
      <w:bodyDiv w:val="1"/>
      <w:marLeft w:val="0"/>
      <w:marRight w:val="0"/>
      <w:marTop w:val="0"/>
      <w:marBottom w:val="0"/>
      <w:divBdr>
        <w:top w:val="none" w:sz="0" w:space="0" w:color="auto"/>
        <w:left w:val="none" w:sz="0" w:space="0" w:color="auto"/>
        <w:bottom w:val="none" w:sz="0" w:space="0" w:color="auto"/>
        <w:right w:val="none" w:sz="0" w:space="0" w:color="auto"/>
      </w:divBdr>
    </w:div>
    <w:div w:id="2063822037">
      <w:bodyDiv w:val="1"/>
      <w:marLeft w:val="0"/>
      <w:marRight w:val="0"/>
      <w:marTop w:val="0"/>
      <w:marBottom w:val="0"/>
      <w:divBdr>
        <w:top w:val="none" w:sz="0" w:space="0" w:color="auto"/>
        <w:left w:val="none" w:sz="0" w:space="0" w:color="auto"/>
        <w:bottom w:val="none" w:sz="0" w:space="0" w:color="auto"/>
        <w:right w:val="none" w:sz="0" w:space="0" w:color="auto"/>
      </w:divBdr>
    </w:div>
    <w:div w:id="210371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F130B-5F55-42B9-8291-467396180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28100</TotalTime>
  <Pages>66</Pages>
  <Words>41135</Words>
  <Characters>234470</Characters>
  <Application>Microsoft Office Word</Application>
  <DocSecurity>0</DocSecurity>
  <Lines>1953</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dc:creator>
  <cp:keywords/>
  <dc:description/>
  <cp:lastModifiedBy>Saad Alhumaid</cp:lastModifiedBy>
  <cp:revision>18327</cp:revision>
  <cp:lastPrinted>2024-02-18T22:47:00Z</cp:lastPrinted>
  <dcterms:created xsi:type="dcterms:W3CDTF">2023-05-03T03:24:00Z</dcterms:created>
  <dcterms:modified xsi:type="dcterms:W3CDTF">2026-03-30T08:33:00Z</dcterms:modified>
</cp:coreProperties>
</file>