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D974" w14:textId="77777777" w:rsidR="00BF112B" w:rsidRPr="0096106A" w:rsidRDefault="00AC23F1">
      <w:pPr>
        <w:spacing w:line="360" w:lineRule="auto"/>
        <w:rPr>
          <w:rFonts w:eastAsia="Times New Roman"/>
          <w:b/>
          <w:bCs/>
        </w:rPr>
      </w:pPr>
      <w:r w:rsidRPr="0096106A">
        <w:rPr>
          <w:rFonts w:eastAsia="Times New Roman"/>
          <w:b/>
          <w:bCs/>
        </w:rPr>
        <w:t>Supplementary materials</w:t>
      </w:r>
    </w:p>
    <w:p w14:paraId="7C7DD975" w14:textId="14B5190D" w:rsidR="00BF112B" w:rsidRPr="0096106A" w:rsidRDefault="00AC23F1">
      <w:pPr>
        <w:spacing w:line="360" w:lineRule="auto"/>
        <w:rPr>
          <w:rFonts w:eastAsia="Times New Roman"/>
          <w:b/>
          <w:bCs/>
        </w:rPr>
      </w:pPr>
      <w:r w:rsidRPr="0096106A">
        <w:rPr>
          <w:rFonts w:eastAsia="Times New Roman"/>
          <w:b/>
          <w:bCs/>
        </w:rPr>
        <w:t xml:space="preserve">Supplementary Figure </w:t>
      </w:r>
      <w:r w:rsidR="00384D1F">
        <w:rPr>
          <w:rFonts w:hint="eastAsia"/>
          <w:b/>
          <w:bCs/>
        </w:rPr>
        <w:t>S</w:t>
      </w:r>
      <w:r w:rsidRPr="0096106A">
        <w:rPr>
          <w:rFonts w:eastAsia="Times New Roman"/>
          <w:b/>
          <w:bCs/>
        </w:rPr>
        <w:t>1. Flowchart of Patient Selection for Inclusion and Exclusion in the Study of Confirmed MRSA Bacteremia</w:t>
      </w:r>
    </w:p>
    <w:p w14:paraId="7C7DD976" w14:textId="22007871" w:rsidR="00BF112B" w:rsidRPr="00BB3BA0" w:rsidRDefault="00AC23F1" w:rsidP="00BB3BA0">
      <w:pPr>
        <w:spacing w:after="180" w:line="360" w:lineRule="auto"/>
      </w:pPr>
      <w:r w:rsidRPr="0096106A">
        <w:rPr>
          <w:rFonts w:eastAsia="Times New Roman"/>
        </w:rPr>
        <w:t xml:space="preserve">Abbreviation: </w:t>
      </w:r>
      <w:r w:rsidR="00BB3BA0" w:rsidRPr="0096106A">
        <w:rPr>
          <w:rFonts w:eastAsia="Times New Roman"/>
        </w:rPr>
        <w:t xml:space="preserve">BSI, Bloodstream </w:t>
      </w:r>
      <w:r w:rsidR="00BB3BA0">
        <w:rPr>
          <w:rFonts w:hint="eastAsia"/>
        </w:rPr>
        <w:t>infection;</w:t>
      </w:r>
      <w:r w:rsidR="00BB3BA0" w:rsidRPr="0096106A">
        <w:rPr>
          <w:rFonts w:eastAsia="Times New Roman"/>
        </w:rPr>
        <w:t xml:space="preserve"> </w:t>
      </w:r>
      <w:r w:rsidRPr="0096106A">
        <w:rPr>
          <w:rFonts w:eastAsia="Times New Roman"/>
        </w:rPr>
        <w:t>MRSA, Methicillin-resistant Staphylococcus aureus</w:t>
      </w:r>
      <w:r w:rsidR="00BB3BA0">
        <w:rPr>
          <w:rFonts w:hint="eastAsia"/>
        </w:rPr>
        <w:t>.</w:t>
      </w:r>
    </w:p>
    <w:p w14:paraId="7C7DD977" w14:textId="77777777" w:rsidR="00BF112B" w:rsidRPr="0096106A" w:rsidRDefault="00AC23F1">
      <w:pPr>
        <w:jc w:val="center"/>
        <w:rPr>
          <w:rFonts w:eastAsia="Times New Roman"/>
          <w:b/>
          <w:bCs/>
        </w:rPr>
        <w:sectPr w:rsidR="00BF112B" w:rsidRPr="0096106A">
          <w:headerReference w:type="default" r:id="rId7"/>
          <w:footerReference w:type="default" r:id="rId8"/>
          <w:pgSz w:w="16838" w:h="11906" w:orient="landscape"/>
          <w:pgMar w:top="1418" w:right="1418" w:bottom="1418" w:left="1418" w:header="851" w:footer="992" w:gutter="0"/>
          <w:cols w:space="720"/>
        </w:sectPr>
      </w:pPr>
      <w:r w:rsidRPr="0096106A">
        <w:rPr>
          <w:rFonts w:eastAsia="Times New Roman"/>
          <w:b/>
          <w:bCs/>
          <w:noProof/>
        </w:rPr>
        <w:drawing>
          <wp:inline distT="0" distB="0" distL="0" distR="0" wp14:anchorId="7C7DDA1F" wp14:editId="7C7DDA20">
            <wp:extent cx="6326141" cy="3633397"/>
            <wp:effectExtent l="0" t="0" r="0" b="0"/>
            <wp:docPr id="8355952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6141" cy="36333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7DD978" w14:textId="028EC4DE" w:rsidR="00BF112B" w:rsidRPr="0096106A" w:rsidRDefault="00AC23F1" w:rsidP="00826164">
      <w:pPr>
        <w:spacing w:after="180" w:line="360" w:lineRule="exact"/>
        <w:jc w:val="both"/>
        <w:rPr>
          <w:rFonts w:eastAsia="Times New Roman"/>
          <w:b/>
          <w:bCs/>
        </w:rPr>
      </w:pPr>
      <w:r w:rsidRPr="0096106A">
        <w:rPr>
          <w:rFonts w:eastAsia="Times New Roman"/>
          <w:b/>
          <w:bCs/>
        </w:rPr>
        <w:lastRenderedPageBreak/>
        <w:t xml:space="preserve">Supplementary Table </w:t>
      </w:r>
      <w:r w:rsidR="00384D1F">
        <w:rPr>
          <w:rFonts w:hint="eastAsia"/>
          <w:b/>
          <w:bCs/>
        </w:rPr>
        <w:t>S</w:t>
      </w:r>
      <w:r w:rsidRPr="0096106A">
        <w:rPr>
          <w:rFonts w:eastAsia="Times New Roman"/>
          <w:b/>
          <w:bCs/>
        </w:rPr>
        <w:t>1. Comparison of Baseline Patient Characteristics Between Mortality and Non-Mortality Groups Among Patients With MRSA Bacteremia</w:t>
      </w:r>
    </w:p>
    <w:tbl>
      <w:tblPr>
        <w:tblStyle w:val="aff2"/>
        <w:tblpPr w:leftFromText="180" w:rightFromText="180" w:vertAnchor="text" w:tblpX="357" w:tblpY="14"/>
        <w:tblW w:w="83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43"/>
        <w:gridCol w:w="2037"/>
        <w:gridCol w:w="2073"/>
        <w:gridCol w:w="1103"/>
      </w:tblGrid>
      <w:tr w:rsidR="00BF112B" w:rsidRPr="0096106A" w14:paraId="7C7DD97E" w14:textId="77777777" w:rsidTr="00BF6008">
        <w:trPr>
          <w:trHeight w:val="556"/>
        </w:trPr>
        <w:tc>
          <w:tcPr>
            <w:tcW w:w="3143" w:type="dxa"/>
            <w:tcBorders>
              <w:top w:val="single" w:sz="12" w:space="0" w:color="000000"/>
              <w:bottom w:val="single" w:sz="4" w:space="0" w:color="000000" w:themeColor="text1"/>
            </w:tcBorders>
            <w:vAlign w:val="center"/>
          </w:tcPr>
          <w:p w14:paraId="7C7DD979" w14:textId="77777777" w:rsidR="00BF112B" w:rsidRPr="0096106A" w:rsidRDefault="00BF112B" w:rsidP="00BF600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12" w:space="0" w:color="000000"/>
              <w:bottom w:val="single" w:sz="4" w:space="0" w:color="000000" w:themeColor="text1"/>
            </w:tcBorders>
            <w:vAlign w:val="center"/>
          </w:tcPr>
          <w:p w14:paraId="7C7DD97A" w14:textId="77777777" w:rsidR="00BF112B" w:rsidRPr="0096106A" w:rsidRDefault="00AC23F1" w:rsidP="00BF600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white"/>
              </w:rPr>
              <w:t>Mortality</w:t>
            </w:r>
          </w:p>
          <w:p w14:paraId="7C7DD97B" w14:textId="77777777" w:rsidR="00BF112B" w:rsidRPr="0096106A" w:rsidRDefault="00AC23F1" w:rsidP="00BF60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white"/>
              </w:rPr>
              <w:t>(</w:t>
            </w:r>
            <w:r w:rsidRPr="0096106A"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  <w:highlight w:val="white"/>
              </w:rPr>
              <w:t>n</w:t>
            </w: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white"/>
              </w:rPr>
              <w:t>=91)</w:t>
            </w:r>
          </w:p>
        </w:tc>
        <w:tc>
          <w:tcPr>
            <w:tcW w:w="2073" w:type="dxa"/>
            <w:tcBorders>
              <w:top w:val="single" w:sz="12" w:space="0" w:color="000000"/>
              <w:bottom w:val="single" w:sz="4" w:space="0" w:color="000000" w:themeColor="text1"/>
            </w:tcBorders>
            <w:vAlign w:val="center"/>
          </w:tcPr>
          <w:p w14:paraId="7C7DD97C" w14:textId="77777777" w:rsidR="00BF112B" w:rsidRPr="0096106A" w:rsidRDefault="00AC23F1" w:rsidP="00BF6008">
            <w:pPr>
              <w:shd w:val="clear" w:color="auto" w:fill="FFFFFF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sz w:val="20"/>
                <w:szCs w:val="20"/>
                <w:highlight w:val="white"/>
              </w:rPr>
              <w:t>Non-Mortality (</w:t>
            </w:r>
            <w:r w:rsidRPr="0096106A">
              <w:rPr>
                <w:rFonts w:eastAsia="Times New Roman"/>
                <w:b/>
                <w:bCs/>
                <w:i/>
                <w:iCs/>
                <w:sz w:val="20"/>
                <w:szCs w:val="20"/>
                <w:highlight w:val="white"/>
              </w:rPr>
              <w:t>n</w:t>
            </w:r>
            <w:r w:rsidRPr="0096106A">
              <w:rPr>
                <w:rFonts w:eastAsia="Times New Roman"/>
                <w:b/>
                <w:bCs/>
                <w:sz w:val="20"/>
                <w:szCs w:val="20"/>
                <w:highlight w:val="white"/>
              </w:rPr>
              <w:t>=319)</w:t>
            </w:r>
          </w:p>
        </w:tc>
        <w:tc>
          <w:tcPr>
            <w:tcW w:w="1103" w:type="dxa"/>
            <w:tcBorders>
              <w:top w:val="single" w:sz="12" w:space="0" w:color="000000"/>
              <w:bottom w:val="single" w:sz="4" w:space="0" w:color="000000" w:themeColor="text1"/>
            </w:tcBorders>
            <w:vAlign w:val="center"/>
          </w:tcPr>
          <w:p w14:paraId="7C7DD97D" w14:textId="7FAC1BF2" w:rsidR="00BF112B" w:rsidRPr="0096106A" w:rsidRDefault="00826164" w:rsidP="00BF60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hint="eastAsia"/>
                <w:b/>
                <w:bCs/>
                <w:i/>
                <w:iCs/>
                <w:color w:val="000000"/>
                <w:sz w:val="20"/>
                <w:szCs w:val="20"/>
                <w:highlight w:val="white"/>
              </w:rPr>
              <w:t>p</w:t>
            </w:r>
            <w:r w:rsidR="00AC23F1" w:rsidRPr="0096106A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white"/>
              </w:rPr>
              <w:t>-value</w:t>
            </w:r>
          </w:p>
        </w:tc>
      </w:tr>
      <w:tr w:rsidR="00BF112B" w:rsidRPr="0096106A" w14:paraId="7C7DD983" w14:textId="77777777" w:rsidTr="00BF6008">
        <w:trPr>
          <w:trHeight w:val="315"/>
        </w:trPr>
        <w:tc>
          <w:tcPr>
            <w:tcW w:w="3143" w:type="dxa"/>
            <w:tcBorders>
              <w:top w:val="single" w:sz="4" w:space="0" w:color="000000" w:themeColor="text1"/>
            </w:tcBorders>
            <w:vAlign w:val="center"/>
          </w:tcPr>
          <w:p w14:paraId="7C7DD97F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2037" w:type="dxa"/>
            <w:tcBorders>
              <w:top w:val="single" w:sz="4" w:space="0" w:color="000000" w:themeColor="text1"/>
            </w:tcBorders>
            <w:vAlign w:val="center"/>
          </w:tcPr>
          <w:p w14:paraId="7C7DD980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78.01 </w:t>
            </w:r>
            <w:r w:rsidRPr="0096106A">
              <w:rPr>
                <w:rFonts w:eastAsia="Times New Roman"/>
                <w:sz w:val="20"/>
                <w:szCs w:val="20"/>
                <w:highlight w:val="white"/>
              </w:rPr>
              <w:t xml:space="preserve">± </w:t>
            </w:r>
            <w:r w:rsidRPr="0096106A">
              <w:rPr>
                <w:rFonts w:eastAsia="Times New Roman"/>
                <w:sz w:val="20"/>
                <w:szCs w:val="20"/>
              </w:rPr>
              <w:t>11.78</w:t>
            </w:r>
          </w:p>
        </w:tc>
        <w:tc>
          <w:tcPr>
            <w:tcW w:w="2073" w:type="dxa"/>
            <w:tcBorders>
              <w:top w:val="single" w:sz="4" w:space="0" w:color="000000" w:themeColor="text1"/>
            </w:tcBorders>
            <w:vAlign w:val="center"/>
          </w:tcPr>
          <w:p w14:paraId="7C7DD981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68.96 </w:t>
            </w:r>
            <w:r w:rsidRPr="0096106A">
              <w:rPr>
                <w:rFonts w:eastAsia="Times New Roman"/>
                <w:sz w:val="20"/>
                <w:szCs w:val="20"/>
                <w:highlight w:val="white"/>
              </w:rPr>
              <w:t xml:space="preserve">± </w:t>
            </w:r>
            <w:r w:rsidRPr="0096106A">
              <w:rPr>
                <w:rFonts w:eastAsia="Times New Roman"/>
                <w:sz w:val="20"/>
                <w:szCs w:val="20"/>
              </w:rPr>
              <w:t>17.11</w:t>
            </w:r>
          </w:p>
        </w:tc>
        <w:tc>
          <w:tcPr>
            <w:tcW w:w="1103" w:type="dxa"/>
            <w:tcBorders>
              <w:top w:val="single" w:sz="4" w:space="0" w:color="000000" w:themeColor="text1"/>
            </w:tcBorders>
            <w:vAlign w:val="center"/>
          </w:tcPr>
          <w:p w14:paraId="7C7DD982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&lt;0.001</w:t>
            </w:r>
          </w:p>
        </w:tc>
      </w:tr>
      <w:tr w:rsidR="00BF112B" w:rsidRPr="0096106A" w14:paraId="7C7DD988" w14:textId="77777777">
        <w:trPr>
          <w:trHeight w:val="345"/>
        </w:trPr>
        <w:tc>
          <w:tcPr>
            <w:tcW w:w="3143" w:type="dxa"/>
            <w:vAlign w:val="center"/>
          </w:tcPr>
          <w:p w14:paraId="7C7DD984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Sex, male</w:t>
            </w:r>
          </w:p>
        </w:tc>
        <w:tc>
          <w:tcPr>
            <w:tcW w:w="2037" w:type="dxa"/>
            <w:vAlign w:val="center"/>
          </w:tcPr>
          <w:p w14:paraId="7C7DD985" w14:textId="3997DF5B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55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(60.4%)</w:t>
            </w:r>
          </w:p>
        </w:tc>
        <w:tc>
          <w:tcPr>
            <w:tcW w:w="2073" w:type="dxa"/>
            <w:vAlign w:val="center"/>
          </w:tcPr>
          <w:p w14:paraId="7C7DD986" w14:textId="126065D3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203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(63.6%)</w:t>
            </w:r>
          </w:p>
        </w:tc>
        <w:tc>
          <w:tcPr>
            <w:tcW w:w="1103" w:type="dxa"/>
            <w:vAlign w:val="center"/>
          </w:tcPr>
          <w:p w14:paraId="7C7DD987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0.579</w:t>
            </w:r>
          </w:p>
        </w:tc>
      </w:tr>
      <w:tr w:rsidR="00BF112B" w:rsidRPr="0096106A" w14:paraId="7C7DD98D" w14:textId="77777777">
        <w:trPr>
          <w:trHeight w:val="345"/>
        </w:trPr>
        <w:tc>
          <w:tcPr>
            <w:tcW w:w="3143" w:type="dxa"/>
            <w:vAlign w:val="center"/>
          </w:tcPr>
          <w:p w14:paraId="7C7DD989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Body mass index, kg m</w:t>
            </w: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2037" w:type="dxa"/>
            <w:vAlign w:val="center"/>
          </w:tcPr>
          <w:p w14:paraId="7C7DD98A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21.10 </w:t>
            </w: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± 4.</w:t>
            </w:r>
            <w:r w:rsidRPr="0096106A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2073" w:type="dxa"/>
            <w:vAlign w:val="center"/>
          </w:tcPr>
          <w:p w14:paraId="7C7DD98B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22.68 </w:t>
            </w: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± 5.</w:t>
            </w:r>
            <w:r w:rsidRPr="0096106A"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1103" w:type="dxa"/>
            <w:vAlign w:val="center"/>
          </w:tcPr>
          <w:p w14:paraId="7C7DD98C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0.009</w:t>
            </w:r>
          </w:p>
        </w:tc>
      </w:tr>
      <w:tr w:rsidR="00BF112B" w:rsidRPr="0096106A" w14:paraId="7C7DD992" w14:textId="77777777">
        <w:trPr>
          <w:trHeight w:val="345"/>
        </w:trPr>
        <w:tc>
          <w:tcPr>
            <w:tcW w:w="3143" w:type="dxa"/>
            <w:vAlign w:val="center"/>
          </w:tcPr>
          <w:p w14:paraId="7C7DD98E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Coexisting diseases</w:t>
            </w:r>
          </w:p>
        </w:tc>
        <w:tc>
          <w:tcPr>
            <w:tcW w:w="2037" w:type="dxa"/>
            <w:vAlign w:val="center"/>
          </w:tcPr>
          <w:p w14:paraId="7C7DD98F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073" w:type="dxa"/>
            <w:vAlign w:val="center"/>
          </w:tcPr>
          <w:p w14:paraId="7C7DD990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103" w:type="dxa"/>
            <w:vAlign w:val="center"/>
          </w:tcPr>
          <w:p w14:paraId="7C7DD991" w14:textId="77777777" w:rsidR="00BF112B" w:rsidRPr="0096106A" w:rsidRDefault="00BF112B">
            <w:pPr>
              <w:ind w:left="-12" w:right="34"/>
              <w:jc w:val="center"/>
              <w:rPr>
                <w:rFonts w:eastAsia="Times New Roman"/>
                <w:sz w:val="20"/>
                <w:szCs w:val="20"/>
                <w:highlight w:val="white"/>
              </w:rPr>
            </w:pPr>
          </w:p>
        </w:tc>
      </w:tr>
      <w:tr w:rsidR="00BF112B" w:rsidRPr="0096106A" w14:paraId="7C7DD997" w14:textId="77777777">
        <w:trPr>
          <w:trHeight w:val="345"/>
        </w:trPr>
        <w:tc>
          <w:tcPr>
            <w:tcW w:w="3143" w:type="dxa"/>
            <w:vAlign w:val="center"/>
          </w:tcPr>
          <w:p w14:paraId="7C7DD993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037" w:type="dxa"/>
            <w:vAlign w:val="center"/>
          </w:tcPr>
          <w:p w14:paraId="7C7DD994" w14:textId="71AD7F0F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58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(63.7%)</w:t>
            </w:r>
          </w:p>
        </w:tc>
        <w:tc>
          <w:tcPr>
            <w:tcW w:w="2073" w:type="dxa"/>
            <w:vAlign w:val="center"/>
          </w:tcPr>
          <w:p w14:paraId="7C7DD995" w14:textId="172F193C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199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(62.4%)</w:t>
            </w:r>
          </w:p>
        </w:tc>
        <w:tc>
          <w:tcPr>
            <w:tcW w:w="1103" w:type="dxa"/>
            <w:vAlign w:val="center"/>
          </w:tcPr>
          <w:p w14:paraId="7C7DD996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0.814</w:t>
            </w:r>
          </w:p>
        </w:tc>
      </w:tr>
      <w:tr w:rsidR="00BF112B" w:rsidRPr="0096106A" w14:paraId="7C7DD99C" w14:textId="77777777">
        <w:trPr>
          <w:trHeight w:val="345"/>
        </w:trPr>
        <w:tc>
          <w:tcPr>
            <w:tcW w:w="3143" w:type="dxa"/>
            <w:vAlign w:val="center"/>
          </w:tcPr>
          <w:p w14:paraId="7C7DD998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2037" w:type="dxa"/>
            <w:vAlign w:val="center"/>
          </w:tcPr>
          <w:p w14:paraId="7C7DD999" w14:textId="27F0517F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37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(40.7%)</w:t>
            </w:r>
          </w:p>
        </w:tc>
        <w:tc>
          <w:tcPr>
            <w:tcW w:w="2073" w:type="dxa"/>
            <w:vAlign w:val="center"/>
          </w:tcPr>
          <w:p w14:paraId="7C7DD99A" w14:textId="04E7D483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128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(40.1%)</w:t>
            </w:r>
          </w:p>
        </w:tc>
        <w:tc>
          <w:tcPr>
            <w:tcW w:w="1103" w:type="dxa"/>
            <w:vAlign w:val="center"/>
          </w:tcPr>
          <w:p w14:paraId="7C7DD99B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0.927</w:t>
            </w:r>
          </w:p>
        </w:tc>
      </w:tr>
      <w:tr w:rsidR="00BF112B" w:rsidRPr="0096106A" w14:paraId="7C7DD9A1" w14:textId="77777777">
        <w:trPr>
          <w:trHeight w:val="345"/>
        </w:trPr>
        <w:tc>
          <w:tcPr>
            <w:tcW w:w="3143" w:type="dxa"/>
            <w:vAlign w:val="center"/>
          </w:tcPr>
          <w:p w14:paraId="7C7DD99D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Cardiovascular disease</w:t>
            </w:r>
          </w:p>
        </w:tc>
        <w:tc>
          <w:tcPr>
            <w:tcW w:w="2037" w:type="dxa"/>
            <w:vAlign w:val="center"/>
          </w:tcPr>
          <w:p w14:paraId="7C7DD99E" w14:textId="4973301B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57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(62.6%)</w:t>
            </w:r>
          </w:p>
        </w:tc>
        <w:tc>
          <w:tcPr>
            <w:tcW w:w="2073" w:type="dxa"/>
            <w:vAlign w:val="center"/>
          </w:tcPr>
          <w:p w14:paraId="7C7DD99F" w14:textId="4CD0648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205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(64.3%)</w:t>
            </w:r>
          </w:p>
        </w:tc>
        <w:tc>
          <w:tcPr>
            <w:tcW w:w="1103" w:type="dxa"/>
            <w:vAlign w:val="center"/>
          </w:tcPr>
          <w:p w14:paraId="7C7DD9A0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0.776</w:t>
            </w:r>
          </w:p>
        </w:tc>
      </w:tr>
      <w:tr w:rsidR="00BF112B" w:rsidRPr="0096106A" w14:paraId="7C7DD9A6" w14:textId="77777777">
        <w:trPr>
          <w:trHeight w:val="90"/>
        </w:trPr>
        <w:tc>
          <w:tcPr>
            <w:tcW w:w="3143" w:type="dxa"/>
            <w:vAlign w:val="center"/>
          </w:tcPr>
          <w:p w14:paraId="7C7DD9A2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Vital signs</w:t>
            </w:r>
          </w:p>
        </w:tc>
        <w:tc>
          <w:tcPr>
            <w:tcW w:w="2037" w:type="dxa"/>
            <w:vAlign w:val="center"/>
          </w:tcPr>
          <w:p w14:paraId="7C7DD9A3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C7DD9A4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7C7DD9A5" w14:textId="77777777" w:rsidR="00BF112B" w:rsidRPr="0096106A" w:rsidRDefault="00BF112B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F112B" w:rsidRPr="0096106A" w14:paraId="7C7DD9AB" w14:textId="77777777">
        <w:trPr>
          <w:trHeight w:val="330"/>
        </w:trPr>
        <w:tc>
          <w:tcPr>
            <w:tcW w:w="3143" w:type="dxa"/>
            <w:vAlign w:val="center"/>
          </w:tcPr>
          <w:p w14:paraId="7C7DD9A7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Respiratory rate, breaths·min</w:t>
            </w:r>
            <w:r w:rsidRPr="0096106A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2037" w:type="dxa"/>
            <w:vAlign w:val="center"/>
          </w:tcPr>
          <w:p w14:paraId="7C7DD9A8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21.67 ± 10.50</w:t>
            </w:r>
          </w:p>
        </w:tc>
        <w:tc>
          <w:tcPr>
            <w:tcW w:w="2073" w:type="dxa"/>
            <w:vAlign w:val="center"/>
          </w:tcPr>
          <w:p w14:paraId="7C7DD9A9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19.40 ± 5.25</w:t>
            </w:r>
          </w:p>
        </w:tc>
        <w:tc>
          <w:tcPr>
            <w:tcW w:w="1103" w:type="dxa"/>
            <w:vAlign w:val="center"/>
          </w:tcPr>
          <w:p w14:paraId="7C7DD9AA" w14:textId="77777777" w:rsidR="00BF112B" w:rsidRPr="0096106A" w:rsidRDefault="00AC23F1">
            <w:pPr>
              <w:ind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</w:t>
            </w:r>
            <w:r w:rsidRPr="0096106A">
              <w:rPr>
                <w:rFonts w:eastAsia="Times New Roman"/>
                <w:sz w:val="20"/>
                <w:szCs w:val="20"/>
              </w:rPr>
              <w:t>005</w:t>
            </w:r>
          </w:p>
        </w:tc>
      </w:tr>
      <w:tr w:rsidR="00BF112B" w:rsidRPr="0096106A" w14:paraId="7C7DD9B0" w14:textId="77777777">
        <w:trPr>
          <w:trHeight w:val="330"/>
        </w:trPr>
        <w:tc>
          <w:tcPr>
            <w:tcW w:w="3143" w:type="dxa"/>
            <w:vAlign w:val="center"/>
          </w:tcPr>
          <w:p w14:paraId="7C7DD9AC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Systolic blood pressure, mm Hg</w:t>
            </w:r>
          </w:p>
        </w:tc>
        <w:tc>
          <w:tcPr>
            <w:tcW w:w="2037" w:type="dxa"/>
            <w:vAlign w:val="center"/>
          </w:tcPr>
          <w:p w14:paraId="7C7DD9AD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119.24 ± 27.39</w:t>
            </w:r>
          </w:p>
        </w:tc>
        <w:tc>
          <w:tcPr>
            <w:tcW w:w="2073" w:type="dxa"/>
            <w:vAlign w:val="center"/>
          </w:tcPr>
          <w:p w14:paraId="7C7DD9AE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124.46 ± 25.13</w:t>
            </w:r>
          </w:p>
        </w:tc>
        <w:tc>
          <w:tcPr>
            <w:tcW w:w="1103" w:type="dxa"/>
            <w:vAlign w:val="center"/>
          </w:tcPr>
          <w:p w14:paraId="7C7DD9AF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0.088</w:t>
            </w:r>
          </w:p>
        </w:tc>
      </w:tr>
      <w:tr w:rsidR="00BF112B" w:rsidRPr="0096106A" w14:paraId="7C7DD9B5" w14:textId="77777777">
        <w:trPr>
          <w:trHeight w:val="330"/>
        </w:trPr>
        <w:tc>
          <w:tcPr>
            <w:tcW w:w="3143" w:type="dxa"/>
            <w:vAlign w:val="center"/>
          </w:tcPr>
          <w:p w14:paraId="7C7DD9B1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Heart rate, bpm</w:t>
            </w:r>
          </w:p>
        </w:tc>
        <w:tc>
          <w:tcPr>
            <w:tcW w:w="2037" w:type="dxa"/>
            <w:vAlign w:val="center"/>
          </w:tcPr>
          <w:p w14:paraId="7C7DD9B2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90.49 ± 29.26</w:t>
            </w:r>
          </w:p>
        </w:tc>
        <w:tc>
          <w:tcPr>
            <w:tcW w:w="2073" w:type="dxa"/>
            <w:vAlign w:val="center"/>
          </w:tcPr>
          <w:p w14:paraId="7C7DD9B3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88.79 ± 20.27</w:t>
            </w:r>
          </w:p>
        </w:tc>
        <w:tc>
          <w:tcPr>
            <w:tcW w:w="1103" w:type="dxa"/>
            <w:vAlign w:val="center"/>
          </w:tcPr>
          <w:p w14:paraId="7C7DD9B4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0.525</w:t>
            </w:r>
          </w:p>
        </w:tc>
      </w:tr>
      <w:tr w:rsidR="00BF112B" w:rsidRPr="0096106A" w14:paraId="7C7DD9BA" w14:textId="77777777">
        <w:trPr>
          <w:trHeight w:val="330"/>
        </w:trPr>
        <w:tc>
          <w:tcPr>
            <w:tcW w:w="3143" w:type="dxa"/>
            <w:vAlign w:val="center"/>
          </w:tcPr>
          <w:p w14:paraId="7C7DD9B6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Body temperature, °C</w:t>
            </w:r>
          </w:p>
        </w:tc>
        <w:tc>
          <w:tcPr>
            <w:tcW w:w="2037" w:type="dxa"/>
            <w:vAlign w:val="center"/>
          </w:tcPr>
          <w:p w14:paraId="7C7DD9B7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36.60 (36.10–37.00)</w:t>
            </w:r>
          </w:p>
        </w:tc>
        <w:tc>
          <w:tcPr>
            <w:tcW w:w="2073" w:type="dxa"/>
            <w:vAlign w:val="center"/>
          </w:tcPr>
          <w:p w14:paraId="7C7DD9B8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36.70 (36.40–37.00)</w:t>
            </w:r>
          </w:p>
        </w:tc>
        <w:tc>
          <w:tcPr>
            <w:tcW w:w="1103" w:type="dxa"/>
            <w:vAlign w:val="center"/>
          </w:tcPr>
          <w:p w14:paraId="7C7DD9B9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0.189</w:t>
            </w:r>
          </w:p>
        </w:tc>
      </w:tr>
      <w:tr w:rsidR="00BF112B" w:rsidRPr="0096106A" w14:paraId="7C7DD9BF" w14:textId="77777777">
        <w:trPr>
          <w:trHeight w:val="330"/>
        </w:trPr>
        <w:tc>
          <w:tcPr>
            <w:tcW w:w="3143" w:type="dxa"/>
            <w:vAlign w:val="center"/>
          </w:tcPr>
          <w:p w14:paraId="7C7DD9BB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Pulmonary infection</w:t>
            </w:r>
          </w:p>
        </w:tc>
        <w:tc>
          <w:tcPr>
            <w:tcW w:w="2037" w:type="dxa"/>
            <w:vAlign w:val="center"/>
          </w:tcPr>
          <w:p w14:paraId="7C7DD9BC" w14:textId="630953C6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47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(51.6%)</w:t>
            </w:r>
          </w:p>
        </w:tc>
        <w:tc>
          <w:tcPr>
            <w:tcW w:w="2073" w:type="dxa"/>
            <w:vAlign w:val="center"/>
          </w:tcPr>
          <w:p w14:paraId="7C7DD9BD" w14:textId="5C5E02F1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83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(26.0%)</w:t>
            </w:r>
          </w:p>
        </w:tc>
        <w:tc>
          <w:tcPr>
            <w:tcW w:w="1103" w:type="dxa"/>
            <w:vAlign w:val="center"/>
          </w:tcPr>
          <w:p w14:paraId="7C7DD9BE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&lt;0.001</w:t>
            </w:r>
          </w:p>
        </w:tc>
      </w:tr>
      <w:tr w:rsidR="00BF112B" w:rsidRPr="0096106A" w14:paraId="7C7DD9C4" w14:textId="77777777">
        <w:trPr>
          <w:trHeight w:val="330"/>
        </w:trPr>
        <w:tc>
          <w:tcPr>
            <w:tcW w:w="3143" w:type="dxa"/>
            <w:vAlign w:val="center"/>
          </w:tcPr>
          <w:p w14:paraId="7C7DD9C0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Urinary tract infection</w:t>
            </w:r>
          </w:p>
        </w:tc>
        <w:tc>
          <w:tcPr>
            <w:tcW w:w="2037" w:type="dxa"/>
            <w:vAlign w:val="center"/>
          </w:tcPr>
          <w:p w14:paraId="7C7DD9C1" w14:textId="77DFB635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47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96106A">
              <w:rPr>
                <w:rFonts w:eastAsia="Times New Roman"/>
                <w:sz w:val="20"/>
                <w:szCs w:val="20"/>
              </w:rPr>
              <w:t>51.6%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73" w:type="dxa"/>
            <w:vAlign w:val="center"/>
          </w:tcPr>
          <w:p w14:paraId="7C7DD9C2" w14:textId="1DA3C2C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155</w:t>
            </w:r>
            <w:r w:rsidR="00642448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96106A">
              <w:rPr>
                <w:rFonts w:eastAsia="Times New Roman"/>
                <w:sz w:val="20"/>
                <w:szCs w:val="20"/>
              </w:rPr>
              <w:t>48.6%</w:t>
            </w:r>
            <w:r w:rsidRPr="0096106A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3" w:type="dxa"/>
            <w:vAlign w:val="center"/>
          </w:tcPr>
          <w:p w14:paraId="7C7DD9C3" w14:textId="77777777" w:rsidR="00BF112B" w:rsidRPr="0096106A" w:rsidRDefault="00AC23F1">
            <w:pPr>
              <w:ind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0.029</w:t>
            </w:r>
          </w:p>
        </w:tc>
      </w:tr>
      <w:tr w:rsidR="00BF112B" w:rsidRPr="0096106A" w14:paraId="7C7DD9C9" w14:textId="77777777">
        <w:trPr>
          <w:trHeight w:val="330"/>
        </w:trPr>
        <w:tc>
          <w:tcPr>
            <w:tcW w:w="3143" w:type="dxa"/>
            <w:vAlign w:val="center"/>
          </w:tcPr>
          <w:p w14:paraId="7C7DD9C5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Laboratory blood testing</w:t>
            </w:r>
          </w:p>
        </w:tc>
        <w:tc>
          <w:tcPr>
            <w:tcW w:w="2037" w:type="dxa"/>
            <w:vAlign w:val="center"/>
          </w:tcPr>
          <w:p w14:paraId="7C7DD9C6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C7DD9C7" w14:textId="77777777" w:rsidR="00BF112B" w:rsidRPr="0096106A" w:rsidRDefault="00BF112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7C7DD9C8" w14:textId="77777777" w:rsidR="00BF112B" w:rsidRPr="0096106A" w:rsidRDefault="00BF112B">
            <w:pPr>
              <w:ind w:left="-12" w:right="34"/>
              <w:jc w:val="center"/>
              <w:rPr>
                <w:rFonts w:eastAsia="Times New Roman"/>
                <w:sz w:val="20"/>
                <w:szCs w:val="20"/>
                <w:highlight w:val="white"/>
              </w:rPr>
            </w:pPr>
          </w:p>
        </w:tc>
      </w:tr>
      <w:tr w:rsidR="00BF112B" w:rsidRPr="0096106A" w14:paraId="7C7DD9CE" w14:textId="77777777">
        <w:trPr>
          <w:trHeight w:val="330"/>
        </w:trPr>
        <w:tc>
          <w:tcPr>
            <w:tcW w:w="3143" w:type="dxa"/>
            <w:vAlign w:val="center"/>
          </w:tcPr>
          <w:p w14:paraId="7C7DD9CA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BAR</w:t>
            </w:r>
          </w:p>
        </w:tc>
        <w:tc>
          <w:tcPr>
            <w:tcW w:w="2037" w:type="dxa"/>
            <w:vAlign w:val="center"/>
          </w:tcPr>
          <w:p w14:paraId="7C7DD9CB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24.74 (14.29–36.00)</w:t>
            </w:r>
          </w:p>
        </w:tc>
        <w:tc>
          <w:tcPr>
            <w:tcW w:w="2073" w:type="dxa"/>
            <w:vAlign w:val="center"/>
          </w:tcPr>
          <w:p w14:paraId="7C7DD9CC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5.37 (3.75–12.86)</w:t>
            </w:r>
          </w:p>
        </w:tc>
        <w:tc>
          <w:tcPr>
            <w:tcW w:w="1103" w:type="dxa"/>
            <w:vAlign w:val="center"/>
          </w:tcPr>
          <w:p w14:paraId="7C7DD9CD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&lt;0.001</w:t>
            </w:r>
          </w:p>
        </w:tc>
      </w:tr>
      <w:tr w:rsidR="00BF112B" w:rsidRPr="0096106A" w14:paraId="7C7DD9D3" w14:textId="77777777">
        <w:trPr>
          <w:trHeight w:val="330"/>
        </w:trPr>
        <w:tc>
          <w:tcPr>
            <w:tcW w:w="3143" w:type="dxa"/>
            <w:vAlign w:val="center"/>
          </w:tcPr>
          <w:p w14:paraId="7C7DD9CF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B</w:t>
            </w:r>
            <w:r w:rsidRPr="0096106A">
              <w:rPr>
                <w:rFonts w:eastAsia="Times New Roman"/>
                <w:sz w:val="20"/>
                <w:szCs w:val="20"/>
              </w:rPr>
              <w:t>lood urea nitrogen, mg/dL</w:t>
            </w:r>
          </w:p>
        </w:tc>
        <w:tc>
          <w:tcPr>
            <w:tcW w:w="2037" w:type="dxa"/>
            <w:vAlign w:val="center"/>
          </w:tcPr>
          <w:p w14:paraId="7C7DD9D0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51.50 (30.00–91.75)</w:t>
            </w:r>
          </w:p>
        </w:tc>
        <w:tc>
          <w:tcPr>
            <w:tcW w:w="2073" w:type="dxa"/>
            <w:vAlign w:val="center"/>
          </w:tcPr>
          <w:p w14:paraId="7C7DD9D1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19.00 (13.00–40.00)</w:t>
            </w:r>
          </w:p>
        </w:tc>
        <w:tc>
          <w:tcPr>
            <w:tcW w:w="1103" w:type="dxa"/>
            <w:vAlign w:val="center"/>
          </w:tcPr>
          <w:p w14:paraId="7C7DD9D2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&lt;0.001</w:t>
            </w:r>
          </w:p>
        </w:tc>
      </w:tr>
      <w:tr w:rsidR="00BF112B" w:rsidRPr="0096106A" w14:paraId="7C7DD9D8" w14:textId="77777777">
        <w:trPr>
          <w:trHeight w:val="330"/>
        </w:trPr>
        <w:tc>
          <w:tcPr>
            <w:tcW w:w="3143" w:type="dxa"/>
            <w:vAlign w:val="center"/>
          </w:tcPr>
          <w:p w14:paraId="7C7DD9D4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Albumin, g/dL</w:t>
            </w:r>
          </w:p>
        </w:tc>
        <w:tc>
          <w:tcPr>
            <w:tcW w:w="2037" w:type="dxa"/>
            <w:vAlign w:val="center"/>
          </w:tcPr>
          <w:p w14:paraId="7C7DD9D5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2.30 ± 0.66</w:t>
            </w:r>
          </w:p>
        </w:tc>
        <w:tc>
          <w:tcPr>
            <w:tcW w:w="2073" w:type="dxa"/>
            <w:vAlign w:val="center"/>
          </w:tcPr>
          <w:p w14:paraId="7C7DD9D6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3.12 ± 0.66</w:t>
            </w:r>
          </w:p>
        </w:tc>
        <w:tc>
          <w:tcPr>
            <w:tcW w:w="1103" w:type="dxa"/>
            <w:vAlign w:val="center"/>
          </w:tcPr>
          <w:p w14:paraId="7C7DD9D7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&lt;0.001</w:t>
            </w:r>
          </w:p>
        </w:tc>
      </w:tr>
      <w:tr w:rsidR="00BF112B" w:rsidRPr="0096106A" w14:paraId="7C7DD9DD" w14:textId="77777777">
        <w:trPr>
          <w:trHeight w:val="330"/>
        </w:trPr>
        <w:tc>
          <w:tcPr>
            <w:tcW w:w="3143" w:type="dxa"/>
            <w:vAlign w:val="center"/>
          </w:tcPr>
          <w:p w14:paraId="7C7DD9D9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R</w:t>
            </w:r>
            <w:r w:rsidRPr="0096106A">
              <w:rPr>
                <w:rFonts w:eastAsia="Times New Roman"/>
                <w:sz w:val="20"/>
                <w:szCs w:val="20"/>
              </w:rPr>
              <w:t>ed blood cell count, ×10⁶/µL</w:t>
            </w:r>
          </w:p>
        </w:tc>
        <w:tc>
          <w:tcPr>
            <w:tcW w:w="2037" w:type="dxa"/>
            <w:vAlign w:val="center"/>
          </w:tcPr>
          <w:p w14:paraId="7C7DD9DA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3.36 ± 1.07</w:t>
            </w:r>
          </w:p>
        </w:tc>
        <w:tc>
          <w:tcPr>
            <w:tcW w:w="2073" w:type="dxa"/>
            <w:vAlign w:val="center"/>
          </w:tcPr>
          <w:p w14:paraId="7C7DD9DB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3.63 ± 0.89</w:t>
            </w:r>
          </w:p>
        </w:tc>
        <w:tc>
          <w:tcPr>
            <w:tcW w:w="1103" w:type="dxa"/>
            <w:vAlign w:val="center"/>
          </w:tcPr>
          <w:p w14:paraId="7C7DD9DC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</w:t>
            </w:r>
            <w:r w:rsidRPr="0096106A">
              <w:rPr>
                <w:rFonts w:eastAsia="Times New Roman"/>
                <w:sz w:val="20"/>
                <w:szCs w:val="20"/>
              </w:rPr>
              <w:t>012</w:t>
            </w:r>
          </w:p>
        </w:tc>
      </w:tr>
      <w:tr w:rsidR="00BF112B" w:rsidRPr="0096106A" w14:paraId="7C7DD9E2" w14:textId="77777777">
        <w:trPr>
          <w:trHeight w:val="330"/>
        </w:trPr>
        <w:tc>
          <w:tcPr>
            <w:tcW w:w="3143" w:type="dxa"/>
            <w:vAlign w:val="center"/>
          </w:tcPr>
          <w:p w14:paraId="7C7DD9DE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White blood cell count, ×10³/µL</w:t>
            </w:r>
          </w:p>
        </w:tc>
        <w:tc>
          <w:tcPr>
            <w:tcW w:w="2037" w:type="dxa"/>
            <w:vAlign w:val="center"/>
          </w:tcPr>
          <w:p w14:paraId="7C7DD9DF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14.27 ± 9.22</w:t>
            </w:r>
          </w:p>
        </w:tc>
        <w:tc>
          <w:tcPr>
            <w:tcW w:w="2073" w:type="dxa"/>
            <w:vAlign w:val="center"/>
          </w:tcPr>
          <w:p w14:paraId="7C7DD9E0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13.34 ± 6.31</w:t>
            </w:r>
          </w:p>
        </w:tc>
        <w:tc>
          <w:tcPr>
            <w:tcW w:w="1103" w:type="dxa"/>
            <w:vAlign w:val="center"/>
          </w:tcPr>
          <w:p w14:paraId="7C7DD9E1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</w:t>
            </w:r>
            <w:r w:rsidRPr="0096106A">
              <w:rPr>
                <w:rFonts w:eastAsia="Times New Roman"/>
                <w:sz w:val="20"/>
                <w:szCs w:val="20"/>
              </w:rPr>
              <w:t>267</w:t>
            </w:r>
          </w:p>
        </w:tc>
      </w:tr>
      <w:tr w:rsidR="00BF112B" w:rsidRPr="0096106A" w14:paraId="7C7DD9E7" w14:textId="77777777">
        <w:trPr>
          <w:trHeight w:val="330"/>
        </w:trPr>
        <w:tc>
          <w:tcPr>
            <w:tcW w:w="3143" w:type="dxa"/>
            <w:vAlign w:val="center"/>
          </w:tcPr>
          <w:p w14:paraId="7C7DD9E3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Hemoglobin, g/dL</w:t>
            </w:r>
          </w:p>
        </w:tc>
        <w:tc>
          <w:tcPr>
            <w:tcW w:w="2037" w:type="dxa"/>
            <w:vAlign w:val="center"/>
          </w:tcPr>
          <w:p w14:paraId="7C7DD9E4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9.83 ± 2.34</w:t>
            </w:r>
          </w:p>
        </w:tc>
        <w:tc>
          <w:tcPr>
            <w:tcW w:w="2073" w:type="dxa"/>
            <w:vAlign w:val="center"/>
          </w:tcPr>
          <w:p w14:paraId="7C7DD9E5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10.53 ± 2.49</w:t>
            </w:r>
          </w:p>
        </w:tc>
        <w:tc>
          <w:tcPr>
            <w:tcW w:w="1103" w:type="dxa"/>
            <w:vAlign w:val="center"/>
          </w:tcPr>
          <w:p w14:paraId="7C7DD9E6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0.017</w:t>
            </w:r>
          </w:p>
        </w:tc>
      </w:tr>
      <w:tr w:rsidR="00BF112B" w:rsidRPr="0096106A" w14:paraId="7C7DD9EC" w14:textId="77777777">
        <w:trPr>
          <w:trHeight w:val="330"/>
        </w:trPr>
        <w:tc>
          <w:tcPr>
            <w:tcW w:w="3143" w:type="dxa"/>
            <w:vAlign w:val="center"/>
          </w:tcPr>
          <w:p w14:paraId="7C7DD9E8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I</w:t>
            </w:r>
            <w:r w:rsidRPr="0096106A">
              <w:rPr>
                <w:rFonts w:eastAsia="Times New Roman"/>
                <w:sz w:val="20"/>
                <w:szCs w:val="20"/>
              </w:rPr>
              <w:t>nternational normalized ratio</w:t>
            </w:r>
          </w:p>
        </w:tc>
        <w:tc>
          <w:tcPr>
            <w:tcW w:w="2037" w:type="dxa"/>
            <w:vAlign w:val="center"/>
          </w:tcPr>
          <w:p w14:paraId="7C7DD9E9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1.69 ± 0.93</w:t>
            </w:r>
          </w:p>
        </w:tc>
        <w:tc>
          <w:tcPr>
            <w:tcW w:w="2073" w:type="dxa"/>
            <w:vAlign w:val="center"/>
          </w:tcPr>
          <w:p w14:paraId="7C7DD9EA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1.32 ± 0.55</w:t>
            </w:r>
          </w:p>
        </w:tc>
        <w:tc>
          <w:tcPr>
            <w:tcW w:w="1103" w:type="dxa"/>
            <w:vAlign w:val="center"/>
          </w:tcPr>
          <w:p w14:paraId="7C7DD9EB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&lt;0.001</w:t>
            </w:r>
          </w:p>
        </w:tc>
      </w:tr>
      <w:tr w:rsidR="00BF112B" w:rsidRPr="0096106A" w14:paraId="7C7DD9F1" w14:textId="77777777">
        <w:trPr>
          <w:trHeight w:val="330"/>
        </w:trPr>
        <w:tc>
          <w:tcPr>
            <w:tcW w:w="3143" w:type="dxa"/>
            <w:vAlign w:val="center"/>
          </w:tcPr>
          <w:p w14:paraId="7C7DD9ED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aPTT, seconds</w:t>
            </w:r>
          </w:p>
        </w:tc>
        <w:tc>
          <w:tcPr>
            <w:tcW w:w="2037" w:type="dxa"/>
            <w:vAlign w:val="center"/>
          </w:tcPr>
          <w:p w14:paraId="7C7DD9EE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61.60 ± 55.24</w:t>
            </w:r>
          </w:p>
        </w:tc>
        <w:tc>
          <w:tcPr>
            <w:tcW w:w="2073" w:type="dxa"/>
            <w:vAlign w:val="center"/>
          </w:tcPr>
          <w:p w14:paraId="7C7DD9EF" w14:textId="77777777" w:rsidR="00BF112B" w:rsidRPr="0096106A" w:rsidRDefault="00AC23F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46.57 ± 29.77</w:t>
            </w:r>
          </w:p>
        </w:tc>
        <w:tc>
          <w:tcPr>
            <w:tcW w:w="1103" w:type="dxa"/>
            <w:vAlign w:val="center"/>
          </w:tcPr>
          <w:p w14:paraId="7C7DD9F0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0.005</w:t>
            </w:r>
            <w:r w:rsidRPr="0096106A">
              <w:rPr>
                <w:rFonts w:eastAsia="Times New Roman"/>
                <w:sz w:val="20"/>
                <w:szCs w:val="20"/>
                <w:highlight w:val="white"/>
                <w:vertAlign w:val="superscript"/>
              </w:rPr>
              <w:t>*</w:t>
            </w:r>
          </w:p>
        </w:tc>
      </w:tr>
      <w:tr w:rsidR="00BF112B" w:rsidRPr="0096106A" w14:paraId="7C7DD9F6" w14:textId="77777777">
        <w:trPr>
          <w:trHeight w:val="330"/>
        </w:trPr>
        <w:tc>
          <w:tcPr>
            <w:tcW w:w="3143" w:type="dxa"/>
            <w:vAlign w:val="center"/>
          </w:tcPr>
          <w:p w14:paraId="7C7DD9F2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C-reactive protein, mg/L</w:t>
            </w:r>
          </w:p>
        </w:tc>
        <w:tc>
          <w:tcPr>
            <w:tcW w:w="2037" w:type="dxa"/>
            <w:vAlign w:val="center"/>
          </w:tcPr>
          <w:p w14:paraId="7C7DD9F3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15.10 ± 11.64</w:t>
            </w:r>
          </w:p>
        </w:tc>
        <w:tc>
          <w:tcPr>
            <w:tcW w:w="2073" w:type="dxa"/>
            <w:vAlign w:val="center"/>
          </w:tcPr>
          <w:p w14:paraId="7C7DD9F4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13.37 ± 11.42</w:t>
            </w:r>
          </w:p>
        </w:tc>
        <w:tc>
          <w:tcPr>
            <w:tcW w:w="1103" w:type="dxa"/>
            <w:vAlign w:val="center"/>
          </w:tcPr>
          <w:p w14:paraId="7C7DD9F5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0.239</w:t>
            </w:r>
          </w:p>
        </w:tc>
      </w:tr>
      <w:tr w:rsidR="00BF112B" w:rsidRPr="0096106A" w14:paraId="7C7DD9FB" w14:textId="77777777">
        <w:trPr>
          <w:trHeight w:val="330"/>
        </w:trPr>
        <w:tc>
          <w:tcPr>
            <w:tcW w:w="3143" w:type="dxa"/>
            <w:vAlign w:val="center"/>
          </w:tcPr>
          <w:p w14:paraId="7C7DD9F7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Creatinine, mg/dL</w:t>
            </w:r>
          </w:p>
        </w:tc>
        <w:tc>
          <w:tcPr>
            <w:tcW w:w="2037" w:type="dxa"/>
            <w:vAlign w:val="center"/>
          </w:tcPr>
          <w:p w14:paraId="7C7DD9F8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2.87 ± 2.35</w:t>
            </w:r>
          </w:p>
        </w:tc>
        <w:tc>
          <w:tcPr>
            <w:tcW w:w="2073" w:type="dxa"/>
            <w:vAlign w:val="center"/>
          </w:tcPr>
          <w:p w14:paraId="7C7DD9F9" w14:textId="77777777" w:rsidR="00BF112B" w:rsidRPr="0096106A" w:rsidRDefault="00AC23F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2.33 ± 2.75</w:t>
            </w:r>
          </w:p>
        </w:tc>
        <w:tc>
          <w:tcPr>
            <w:tcW w:w="1103" w:type="dxa"/>
            <w:vAlign w:val="center"/>
          </w:tcPr>
          <w:p w14:paraId="7C7DD9FA" w14:textId="77777777" w:rsidR="00BF112B" w:rsidRPr="0096106A" w:rsidRDefault="00AC23F1">
            <w:pPr>
              <w:ind w:left="-12" w:right="34"/>
              <w:jc w:val="center"/>
              <w:rPr>
                <w:rFonts w:eastAsia="Times New Roman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  <w:highlight w:val="white"/>
              </w:rPr>
              <w:t>0.098</w:t>
            </w:r>
          </w:p>
        </w:tc>
      </w:tr>
      <w:tr w:rsidR="00BF112B" w:rsidRPr="0096106A" w14:paraId="7C7DDA00" w14:textId="77777777">
        <w:trPr>
          <w:trHeight w:val="330"/>
        </w:trPr>
        <w:tc>
          <w:tcPr>
            <w:tcW w:w="3143" w:type="dxa"/>
            <w:vAlign w:val="center"/>
          </w:tcPr>
          <w:p w14:paraId="7C7DD9FC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Troponin-I, ng/mL</w:t>
            </w:r>
          </w:p>
        </w:tc>
        <w:tc>
          <w:tcPr>
            <w:tcW w:w="2037" w:type="dxa"/>
            <w:vAlign w:val="center"/>
          </w:tcPr>
          <w:p w14:paraId="7C7DD9FD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70.60 (22.30–174.83)</w:t>
            </w:r>
          </w:p>
        </w:tc>
        <w:tc>
          <w:tcPr>
            <w:tcW w:w="2073" w:type="dxa"/>
            <w:vAlign w:val="center"/>
          </w:tcPr>
          <w:p w14:paraId="7C7DD9FE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27.40 (10.00–89.60)</w:t>
            </w:r>
          </w:p>
        </w:tc>
        <w:tc>
          <w:tcPr>
            <w:tcW w:w="1103" w:type="dxa"/>
            <w:vAlign w:val="center"/>
          </w:tcPr>
          <w:p w14:paraId="7C7DD9FF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0.010</w:t>
            </w:r>
          </w:p>
        </w:tc>
      </w:tr>
      <w:tr w:rsidR="00BF112B" w:rsidRPr="0096106A" w14:paraId="7C7DDA05" w14:textId="77777777">
        <w:trPr>
          <w:trHeight w:val="330"/>
        </w:trPr>
        <w:tc>
          <w:tcPr>
            <w:tcW w:w="3143" w:type="dxa"/>
            <w:vAlign w:val="center"/>
          </w:tcPr>
          <w:p w14:paraId="7C7DDA01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sz w:val="20"/>
                <w:szCs w:val="20"/>
              </w:rPr>
              <w:t>Creatine kinase-MB, ng/mL</w:t>
            </w:r>
          </w:p>
        </w:tc>
        <w:tc>
          <w:tcPr>
            <w:tcW w:w="2037" w:type="dxa"/>
            <w:vAlign w:val="center"/>
          </w:tcPr>
          <w:p w14:paraId="7C7DDA02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2.90 (1.30–7.70)</w:t>
            </w:r>
          </w:p>
        </w:tc>
        <w:tc>
          <w:tcPr>
            <w:tcW w:w="2073" w:type="dxa"/>
            <w:vAlign w:val="center"/>
          </w:tcPr>
          <w:p w14:paraId="7C7DDA03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2.54 (1.30–5.10)</w:t>
            </w:r>
          </w:p>
        </w:tc>
        <w:tc>
          <w:tcPr>
            <w:tcW w:w="1103" w:type="dxa"/>
            <w:vAlign w:val="center"/>
          </w:tcPr>
          <w:p w14:paraId="7C7DDA04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0.094</w:t>
            </w:r>
          </w:p>
        </w:tc>
      </w:tr>
      <w:tr w:rsidR="00BF112B" w:rsidRPr="0096106A" w14:paraId="7C7DDA0A" w14:textId="77777777">
        <w:trPr>
          <w:trHeight w:val="330"/>
        </w:trPr>
        <w:tc>
          <w:tcPr>
            <w:tcW w:w="3143" w:type="dxa"/>
            <w:vAlign w:val="center"/>
          </w:tcPr>
          <w:p w14:paraId="7C7DDA06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Lactate, mmol/L</w:t>
            </w:r>
          </w:p>
        </w:tc>
        <w:tc>
          <w:tcPr>
            <w:tcW w:w="2037" w:type="dxa"/>
            <w:vAlign w:val="center"/>
          </w:tcPr>
          <w:p w14:paraId="7C7DDA07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3.70 (1.90–9.30)</w:t>
            </w:r>
          </w:p>
        </w:tc>
        <w:tc>
          <w:tcPr>
            <w:tcW w:w="2073" w:type="dxa"/>
            <w:vAlign w:val="center"/>
          </w:tcPr>
          <w:p w14:paraId="7C7DDA08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1.74 (1.20–3.30)</w:t>
            </w:r>
          </w:p>
        </w:tc>
        <w:tc>
          <w:tcPr>
            <w:tcW w:w="1103" w:type="dxa"/>
            <w:vAlign w:val="center"/>
          </w:tcPr>
          <w:p w14:paraId="7C7DDA09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&lt;0.001</w:t>
            </w:r>
          </w:p>
        </w:tc>
      </w:tr>
      <w:tr w:rsidR="00BF112B" w:rsidRPr="0096106A" w14:paraId="7C7DDA0F" w14:textId="77777777">
        <w:trPr>
          <w:trHeight w:val="330"/>
        </w:trPr>
        <w:tc>
          <w:tcPr>
            <w:tcW w:w="3143" w:type="dxa"/>
            <w:vAlign w:val="center"/>
          </w:tcPr>
          <w:p w14:paraId="7C7DDA0B" w14:textId="77777777" w:rsidR="00BF112B" w:rsidRPr="0096106A" w:rsidRDefault="00AC23F1">
            <w:pPr>
              <w:ind w:firstLine="20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color w:val="000000"/>
                <w:sz w:val="20"/>
                <w:szCs w:val="20"/>
              </w:rPr>
              <w:t>Total</w:t>
            </w:r>
            <w:r w:rsidRPr="0096106A">
              <w:rPr>
                <w:rFonts w:eastAsia="Times New Roman"/>
                <w:sz w:val="20"/>
                <w:szCs w:val="20"/>
              </w:rPr>
              <w:t xml:space="preserve"> bilirubin, mg/dL</w:t>
            </w:r>
          </w:p>
        </w:tc>
        <w:tc>
          <w:tcPr>
            <w:tcW w:w="2037" w:type="dxa"/>
            <w:vAlign w:val="center"/>
          </w:tcPr>
          <w:p w14:paraId="7C7DDA0C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0.80 (0.50–2.00)</w:t>
            </w:r>
          </w:p>
        </w:tc>
        <w:tc>
          <w:tcPr>
            <w:tcW w:w="2073" w:type="dxa"/>
            <w:vAlign w:val="center"/>
          </w:tcPr>
          <w:p w14:paraId="7C7DDA0D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0.70 (0.40–1.10)</w:t>
            </w:r>
          </w:p>
        </w:tc>
        <w:tc>
          <w:tcPr>
            <w:tcW w:w="1103" w:type="dxa"/>
            <w:vAlign w:val="center"/>
          </w:tcPr>
          <w:p w14:paraId="7C7DDA0E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0.001</w:t>
            </w:r>
          </w:p>
        </w:tc>
      </w:tr>
      <w:tr w:rsidR="00BF112B" w:rsidRPr="0096106A" w14:paraId="7C7DDA14" w14:textId="77777777">
        <w:trPr>
          <w:trHeight w:val="330"/>
        </w:trPr>
        <w:tc>
          <w:tcPr>
            <w:tcW w:w="3143" w:type="dxa"/>
            <w:vAlign w:val="center"/>
          </w:tcPr>
          <w:p w14:paraId="7C7DDA10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Length of Hospital Stay, days</w:t>
            </w:r>
          </w:p>
        </w:tc>
        <w:tc>
          <w:tcPr>
            <w:tcW w:w="2037" w:type="dxa"/>
            <w:vAlign w:val="center"/>
          </w:tcPr>
          <w:p w14:paraId="7C7DDA11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11.00 (3.00–23.00)</w:t>
            </w:r>
          </w:p>
        </w:tc>
        <w:tc>
          <w:tcPr>
            <w:tcW w:w="2073" w:type="dxa"/>
            <w:vAlign w:val="center"/>
          </w:tcPr>
          <w:p w14:paraId="7C7DDA12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19.00 (10.00–32.00)</w:t>
            </w:r>
          </w:p>
        </w:tc>
        <w:tc>
          <w:tcPr>
            <w:tcW w:w="1103" w:type="dxa"/>
            <w:vAlign w:val="center"/>
          </w:tcPr>
          <w:p w14:paraId="7C7DDA13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</w:t>
            </w:r>
            <w:r w:rsidRPr="00642448">
              <w:rPr>
                <w:rFonts w:eastAsia="Times New Roman"/>
                <w:color w:val="0000FF"/>
                <w:sz w:val="20"/>
                <w:szCs w:val="20"/>
              </w:rPr>
              <w:t>001</w:t>
            </w:r>
          </w:p>
        </w:tc>
      </w:tr>
      <w:tr w:rsidR="00BF112B" w:rsidRPr="0096106A" w14:paraId="7C7DDA19" w14:textId="77777777">
        <w:trPr>
          <w:trHeight w:val="330"/>
        </w:trPr>
        <w:tc>
          <w:tcPr>
            <w:tcW w:w="3143" w:type="dxa"/>
            <w:tcBorders>
              <w:bottom w:val="single" w:sz="12" w:space="0" w:color="000000"/>
            </w:tcBorders>
            <w:vAlign w:val="center"/>
          </w:tcPr>
          <w:p w14:paraId="7C7DDA15" w14:textId="77777777" w:rsidR="00BF112B" w:rsidRPr="0096106A" w:rsidRDefault="00AC23F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6106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Antibiotic therapy duration, days</w:t>
            </w:r>
          </w:p>
        </w:tc>
        <w:tc>
          <w:tcPr>
            <w:tcW w:w="2037" w:type="dxa"/>
            <w:tcBorders>
              <w:bottom w:val="single" w:sz="12" w:space="0" w:color="000000"/>
            </w:tcBorders>
            <w:vAlign w:val="center"/>
          </w:tcPr>
          <w:p w14:paraId="7C7DDA16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11.00 (3.00–23.00)</w:t>
            </w:r>
          </w:p>
        </w:tc>
        <w:tc>
          <w:tcPr>
            <w:tcW w:w="2073" w:type="dxa"/>
            <w:tcBorders>
              <w:bottom w:val="single" w:sz="12" w:space="0" w:color="000000"/>
            </w:tcBorders>
            <w:vAlign w:val="center"/>
          </w:tcPr>
          <w:p w14:paraId="7C7DDA17" w14:textId="77777777" w:rsidR="00BF112B" w:rsidRPr="00642448" w:rsidRDefault="00AC23F1">
            <w:pPr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</w:rPr>
              <w:t>18.00 (10.00–31.00)</w:t>
            </w:r>
          </w:p>
        </w:tc>
        <w:tc>
          <w:tcPr>
            <w:tcW w:w="1103" w:type="dxa"/>
            <w:tcBorders>
              <w:bottom w:val="single" w:sz="12" w:space="0" w:color="000000"/>
            </w:tcBorders>
            <w:vAlign w:val="center"/>
          </w:tcPr>
          <w:p w14:paraId="7C7DDA18" w14:textId="77777777" w:rsidR="00BF112B" w:rsidRPr="00642448" w:rsidRDefault="00AC23F1">
            <w:pPr>
              <w:ind w:left="-12" w:right="34"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  <w:r w:rsidRPr="00642448">
              <w:rPr>
                <w:rFonts w:eastAsia="Times New Roman"/>
                <w:color w:val="0000FF"/>
                <w:sz w:val="20"/>
                <w:szCs w:val="20"/>
                <w:highlight w:val="white"/>
              </w:rPr>
              <w:t>0.</w:t>
            </w:r>
            <w:r w:rsidRPr="00642448">
              <w:rPr>
                <w:rFonts w:eastAsia="Times New Roman"/>
                <w:color w:val="0000FF"/>
                <w:sz w:val="20"/>
                <w:szCs w:val="20"/>
              </w:rPr>
              <w:t>002</w:t>
            </w:r>
          </w:p>
        </w:tc>
      </w:tr>
    </w:tbl>
    <w:p w14:paraId="7C7DDA1A" w14:textId="77777777" w:rsidR="00BF112B" w:rsidRPr="00642448" w:rsidRDefault="00AC23F1" w:rsidP="00642448">
      <w:pPr>
        <w:ind w:left="461" w:rightChars="186" w:right="446"/>
        <w:jc w:val="both"/>
        <w:rPr>
          <w:rFonts w:eastAsia="Times New Roman"/>
          <w:sz w:val="22"/>
          <w:szCs w:val="22"/>
        </w:rPr>
      </w:pPr>
      <w:r w:rsidRPr="00642448">
        <w:rPr>
          <w:rFonts w:eastAsia="Times New Roman"/>
          <w:sz w:val="22"/>
          <w:szCs w:val="22"/>
        </w:rPr>
        <w:t xml:space="preserve">Abbreviations: aPTT, activated partial thromboplastin time; BAR, blood urea nitrogen-to-albumin ratio. Data are presented as mean ± standard deviation or median (interquartile range), as appropriate. </w:t>
      </w:r>
      <w:r w:rsidRPr="00642448">
        <w:rPr>
          <w:rFonts w:eastAsia="Times New Roman"/>
          <w:color w:val="0000FF"/>
          <w:sz w:val="22"/>
          <w:szCs w:val="22"/>
        </w:rPr>
        <w:t>Skewed continuous variables were compared using the Mann–Whitney U test</w:t>
      </w:r>
      <w:r w:rsidRPr="00642448">
        <w:rPr>
          <w:rFonts w:eastAsia="Times New Roman"/>
          <w:sz w:val="22"/>
          <w:szCs w:val="22"/>
        </w:rPr>
        <w:t>, and categorical variables were compared using the chi-square test or Fisher’s exact test, as appropriate.</w:t>
      </w:r>
    </w:p>
    <w:sectPr w:rsidR="00BF112B" w:rsidRPr="00642448">
      <w:headerReference w:type="default" r:id="rId10"/>
      <w:footerReference w:type="default" r:id="rId11"/>
      <w:pgSz w:w="11906" w:h="16838"/>
      <w:pgMar w:top="1418" w:right="1418" w:bottom="1418" w:left="1418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0FFD" w14:textId="77777777" w:rsidR="00B252F0" w:rsidRDefault="00B252F0">
      <w:r>
        <w:separator/>
      </w:r>
    </w:p>
  </w:endnote>
  <w:endnote w:type="continuationSeparator" w:id="0">
    <w:p w14:paraId="262EE385" w14:textId="77777777" w:rsidR="00B252F0" w:rsidRDefault="00B2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49113F-1856-4D25-B18D-D0E4DB446103}"/>
    <w:embedBold r:id="rId2" w:fontKey="{888F7B21-278B-450E-95FB-CD1E72D337E8}"/>
    <w:embedItalic r:id="rId3" w:fontKey="{7AF652D5-4765-4AA1-8378-C543ACF43CB4}"/>
    <w:embedBoldItalic r:id="rId4" w:fontKey="{A39EBF02-A076-4ABE-B089-6F76C4AC3E2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8"/>
    <w:family w:val="swiss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AFF8DA33-004F-44B4-9A3C-A78CDFA276E9}"/>
    <w:embedItalic r:id="rId6" w:fontKey="{F6B72291-BBD3-4D85-B3A4-B0167956F9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46F7692-AD00-4FEC-98D4-BF4CBA8FF1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B600DFCD-7838-4402-866D-0150FE5398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DA27" w14:textId="62843355" w:rsidR="00BF112B" w:rsidRDefault="00AC23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B76A5">
      <w:rPr>
        <w:noProof/>
        <w:color w:val="000000"/>
        <w:sz w:val="20"/>
        <w:szCs w:val="20"/>
      </w:rPr>
      <w:t>24</w:t>
    </w:r>
    <w:r>
      <w:rPr>
        <w:color w:val="000000"/>
        <w:sz w:val="20"/>
        <w:szCs w:val="20"/>
      </w:rPr>
      <w:fldChar w:fldCharType="end"/>
    </w:r>
  </w:p>
  <w:p w14:paraId="7C7DDA28" w14:textId="77777777" w:rsidR="00BF112B" w:rsidRDefault="00BF11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DA2A" w14:textId="04B23327" w:rsidR="00BF112B" w:rsidRDefault="00AC23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B76A5">
      <w:rPr>
        <w:noProof/>
        <w:color w:val="000000"/>
        <w:sz w:val="20"/>
        <w:szCs w:val="20"/>
      </w:rPr>
      <w:t>29</w:t>
    </w:r>
    <w:r>
      <w:rPr>
        <w:color w:val="000000"/>
        <w:sz w:val="20"/>
        <w:szCs w:val="20"/>
      </w:rPr>
      <w:fldChar w:fldCharType="end"/>
    </w:r>
  </w:p>
  <w:p w14:paraId="7C7DDA2B" w14:textId="77777777" w:rsidR="00BF112B" w:rsidRDefault="00BF11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E738" w14:textId="77777777" w:rsidR="00B252F0" w:rsidRDefault="00B252F0">
      <w:r>
        <w:separator/>
      </w:r>
    </w:p>
  </w:footnote>
  <w:footnote w:type="continuationSeparator" w:id="0">
    <w:p w14:paraId="0F721FF5" w14:textId="77777777" w:rsidR="00B252F0" w:rsidRDefault="00B2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DA26" w14:textId="77777777" w:rsidR="00BF112B" w:rsidRDefault="00BF11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DA29" w14:textId="77777777" w:rsidR="00BF112B" w:rsidRDefault="00BF11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2B"/>
    <w:rsid w:val="00022621"/>
    <w:rsid w:val="00025F10"/>
    <w:rsid w:val="000346BE"/>
    <w:rsid w:val="00037720"/>
    <w:rsid w:val="00067A3C"/>
    <w:rsid w:val="000954AB"/>
    <w:rsid w:val="000D2C73"/>
    <w:rsid w:val="000F4424"/>
    <w:rsid w:val="00180FA4"/>
    <w:rsid w:val="001A7281"/>
    <w:rsid w:val="001B6BD8"/>
    <w:rsid w:val="001C6565"/>
    <w:rsid w:val="001D20B8"/>
    <w:rsid w:val="00217BBD"/>
    <w:rsid w:val="00256306"/>
    <w:rsid w:val="00276FC9"/>
    <w:rsid w:val="002975A9"/>
    <w:rsid w:val="003007C1"/>
    <w:rsid w:val="00384D1F"/>
    <w:rsid w:val="003B645F"/>
    <w:rsid w:val="003E54D2"/>
    <w:rsid w:val="00404E99"/>
    <w:rsid w:val="004167B3"/>
    <w:rsid w:val="00446351"/>
    <w:rsid w:val="00456B97"/>
    <w:rsid w:val="004970EB"/>
    <w:rsid w:val="004F0615"/>
    <w:rsid w:val="004F2A5A"/>
    <w:rsid w:val="00515F94"/>
    <w:rsid w:val="00530AEF"/>
    <w:rsid w:val="00587593"/>
    <w:rsid w:val="005A084C"/>
    <w:rsid w:val="005A15C3"/>
    <w:rsid w:val="005B2C92"/>
    <w:rsid w:val="005B3D43"/>
    <w:rsid w:val="005C00D5"/>
    <w:rsid w:val="005C6F1D"/>
    <w:rsid w:val="005D1DC9"/>
    <w:rsid w:val="005D5970"/>
    <w:rsid w:val="00625F40"/>
    <w:rsid w:val="00626749"/>
    <w:rsid w:val="006370F4"/>
    <w:rsid w:val="00642448"/>
    <w:rsid w:val="0066345C"/>
    <w:rsid w:val="006747A0"/>
    <w:rsid w:val="00677C1E"/>
    <w:rsid w:val="00692C8E"/>
    <w:rsid w:val="006B76A5"/>
    <w:rsid w:val="006D7901"/>
    <w:rsid w:val="007275B4"/>
    <w:rsid w:val="00756108"/>
    <w:rsid w:val="007816CC"/>
    <w:rsid w:val="00810201"/>
    <w:rsid w:val="00826164"/>
    <w:rsid w:val="0083044E"/>
    <w:rsid w:val="0085695E"/>
    <w:rsid w:val="0088365B"/>
    <w:rsid w:val="0088664D"/>
    <w:rsid w:val="008879A9"/>
    <w:rsid w:val="00890D30"/>
    <w:rsid w:val="008924F4"/>
    <w:rsid w:val="00895D49"/>
    <w:rsid w:val="008B1998"/>
    <w:rsid w:val="008C2EBB"/>
    <w:rsid w:val="008D33AA"/>
    <w:rsid w:val="008E5060"/>
    <w:rsid w:val="008F1354"/>
    <w:rsid w:val="00902023"/>
    <w:rsid w:val="0096106A"/>
    <w:rsid w:val="009A3753"/>
    <w:rsid w:val="009C5072"/>
    <w:rsid w:val="009E3FDF"/>
    <w:rsid w:val="009E566C"/>
    <w:rsid w:val="00A12AE9"/>
    <w:rsid w:val="00A65BF9"/>
    <w:rsid w:val="00A761BF"/>
    <w:rsid w:val="00AA140F"/>
    <w:rsid w:val="00AC23F1"/>
    <w:rsid w:val="00B168A1"/>
    <w:rsid w:val="00B1730D"/>
    <w:rsid w:val="00B17C7C"/>
    <w:rsid w:val="00B252F0"/>
    <w:rsid w:val="00B34475"/>
    <w:rsid w:val="00B44DD2"/>
    <w:rsid w:val="00BA1A46"/>
    <w:rsid w:val="00BB3BA0"/>
    <w:rsid w:val="00BE641A"/>
    <w:rsid w:val="00BE7739"/>
    <w:rsid w:val="00BF112B"/>
    <w:rsid w:val="00BF6008"/>
    <w:rsid w:val="00C046D6"/>
    <w:rsid w:val="00C10359"/>
    <w:rsid w:val="00C25B54"/>
    <w:rsid w:val="00C711E8"/>
    <w:rsid w:val="00C76C67"/>
    <w:rsid w:val="00CA10D5"/>
    <w:rsid w:val="00CF40B8"/>
    <w:rsid w:val="00D146E3"/>
    <w:rsid w:val="00D306F6"/>
    <w:rsid w:val="00D42430"/>
    <w:rsid w:val="00D47700"/>
    <w:rsid w:val="00D517BE"/>
    <w:rsid w:val="00D60953"/>
    <w:rsid w:val="00D65D16"/>
    <w:rsid w:val="00D82A1C"/>
    <w:rsid w:val="00DA762E"/>
    <w:rsid w:val="00DD4E89"/>
    <w:rsid w:val="00DE0B17"/>
    <w:rsid w:val="00DF5B4E"/>
    <w:rsid w:val="00E722FB"/>
    <w:rsid w:val="00EA4EA7"/>
    <w:rsid w:val="00EB5C5F"/>
    <w:rsid w:val="00ED68BB"/>
    <w:rsid w:val="00EE152F"/>
    <w:rsid w:val="00F01497"/>
    <w:rsid w:val="00F3759D"/>
    <w:rsid w:val="00F4088F"/>
    <w:rsid w:val="00F6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DD776"/>
  <w15:docId w15:val="{7A4F965E-93AF-45DB-8DA1-76526A73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widowControl/>
      <w:outlineLvl w:val="1"/>
    </w:pPr>
    <w:rPr>
      <w:rFonts w:ascii="新細明體" w:eastAsia="新細明體" w:hAnsi="新細明體" w:cs="新細明體"/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widowControl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4">
    <w:name w:val="頁首 字元"/>
    <w:basedOn w:val="a0"/>
    <w:link w:val="a5"/>
    <w:uiPriority w:val="99"/>
    <w:qFormat/>
    <w:rsid w:val="00694D94"/>
    <w:rPr>
      <w:sz w:val="20"/>
      <w:szCs w:val="20"/>
    </w:rPr>
  </w:style>
  <w:style w:type="character" w:customStyle="1" w:styleId="a6">
    <w:name w:val="頁尾 字元"/>
    <w:basedOn w:val="a0"/>
    <w:link w:val="a7"/>
    <w:uiPriority w:val="99"/>
    <w:qFormat/>
    <w:rsid w:val="00694D94"/>
    <w:rPr>
      <w:sz w:val="20"/>
      <w:szCs w:val="20"/>
    </w:rPr>
  </w:style>
  <w:style w:type="character" w:customStyle="1" w:styleId="20">
    <w:name w:val="標題 2 字元"/>
    <w:basedOn w:val="a0"/>
    <w:uiPriority w:val="9"/>
    <w:qFormat/>
    <w:rsid w:val="00694D9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uiPriority w:val="9"/>
    <w:qFormat/>
    <w:rsid w:val="00694D9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Strong"/>
    <w:basedOn w:val="a0"/>
    <w:uiPriority w:val="22"/>
    <w:qFormat/>
    <w:rsid w:val="00694D94"/>
    <w:rPr>
      <w:b/>
      <w:bCs/>
    </w:rPr>
  </w:style>
  <w:style w:type="character" w:customStyle="1" w:styleId="a9">
    <w:name w:val="強調"/>
    <w:basedOn w:val="a0"/>
    <w:uiPriority w:val="20"/>
    <w:qFormat/>
    <w:rsid w:val="00694D94"/>
    <w:rPr>
      <w:i/>
      <w:iCs/>
    </w:rPr>
  </w:style>
  <w:style w:type="character" w:customStyle="1" w:styleId="aa">
    <w:name w:val="網際網路連結"/>
    <w:basedOn w:val="a0"/>
    <w:uiPriority w:val="99"/>
    <w:unhideWhenUsed/>
    <w:rsid w:val="00446132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qFormat/>
    <w:rsid w:val="006C75D1"/>
    <w:rPr>
      <w:sz w:val="18"/>
      <w:szCs w:val="18"/>
    </w:rPr>
  </w:style>
  <w:style w:type="character" w:customStyle="1" w:styleId="ac">
    <w:name w:val="註解文字 字元"/>
    <w:basedOn w:val="a0"/>
    <w:link w:val="ad"/>
    <w:uiPriority w:val="99"/>
    <w:qFormat/>
    <w:rsid w:val="006C75D1"/>
  </w:style>
  <w:style w:type="character" w:customStyle="1" w:styleId="ae">
    <w:name w:val="註解主旨 字元"/>
    <w:basedOn w:val="ac"/>
    <w:link w:val="af"/>
    <w:uiPriority w:val="99"/>
    <w:semiHidden/>
    <w:qFormat/>
    <w:rsid w:val="006C75D1"/>
    <w:rPr>
      <w:b/>
      <w:bCs/>
    </w:rPr>
  </w:style>
  <w:style w:type="character" w:customStyle="1" w:styleId="10">
    <w:name w:val="未解析的提及1"/>
    <w:basedOn w:val="a0"/>
    <w:uiPriority w:val="99"/>
    <w:semiHidden/>
    <w:unhideWhenUsed/>
    <w:qFormat/>
    <w:rsid w:val="002146D1"/>
    <w:rPr>
      <w:color w:val="605E5C"/>
      <w:shd w:val="clear" w:color="auto" w:fill="E1DFDD"/>
    </w:rPr>
  </w:style>
  <w:style w:type="paragraph" w:styleId="af0">
    <w:name w:val="Body Text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3">
    <w:name w:val="索引"/>
    <w:qFormat/>
    <w:pPr>
      <w:suppressLineNumbers/>
    </w:pPr>
    <w:rPr>
      <w:rFonts w:cs="Lucida Sans"/>
    </w:rPr>
  </w:style>
  <w:style w:type="paragraph" w:customStyle="1" w:styleId="af4">
    <w:name w:val="頁首與頁尾"/>
    <w:qFormat/>
  </w:style>
  <w:style w:type="paragraph" w:styleId="a5">
    <w:name w:val="header"/>
    <w:link w:val="a4"/>
    <w:uiPriority w:val="99"/>
    <w:unhideWhenUsed/>
    <w:rsid w:val="00694D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link w:val="a6"/>
    <w:uiPriority w:val="99"/>
    <w:unhideWhenUsed/>
    <w:rsid w:val="00694D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uiPriority w:val="99"/>
    <w:unhideWhenUsed/>
    <w:qFormat/>
    <w:rsid w:val="00694D94"/>
    <w:pPr>
      <w:widowControl/>
      <w:spacing w:beforeAutospacing="1" w:afterAutospacing="1"/>
    </w:pPr>
    <w:rPr>
      <w:rFonts w:ascii="新細明體" w:eastAsia="新細明體" w:hAnsi="新細明體" w:cs="新細明體"/>
    </w:rPr>
  </w:style>
  <w:style w:type="paragraph" w:styleId="af5">
    <w:name w:val="No Spacing"/>
    <w:uiPriority w:val="1"/>
    <w:qFormat/>
    <w:rsid w:val="00896233"/>
    <w:rPr>
      <w:sz w:val="22"/>
      <w:lang w:eastAsia="en-US"/>
    </w:rPr>
  </w:style>
  <w:style w:type="paragraph" w:styleId="ad">
    <w:name w:val="annotation text"/>
    <w:link w:val="ac"/>
    <w:uiPriority w:val="99"/>
    <w:unhideWhenUsed/>
    <w:qFormat/>
    <w:rsid w:val="006C75D1"/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C75D1"/>
    <w:rPr>
      <w:b/>
      <w:bCs/>
    </w:rPr>
  </w:style>
  <w:style w:type="table" w:styleId="af6">
    <w:name w:val="Table Grid"/>
    <w:basedOn w:val="a1"/>
    <w:uiPriority w:val="39"/>
    <w:rsid w:val="00446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link w:val="af8"/>
    <w:uiPriority w:val="99"/>
    <w:semiHidden/>
    <w:unhideWhenUsed/>
    <w:rsid w:val="00B901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B901E3"/>
    <w:rPr>
      <w:rFonts w:asciiTheme="majorHAnsi" w:eastAsiaTheme="majorEastAsia" w:hAnsiTheme="majorHAnsi" w:cstheme="majorBidi"/>
      <w:sz w:val="18"/>
      <w:szCs w:val="18"/>
    </w:rPr>
  </w:style>
  <w:style w:type="character" w:styleId="af9">
    <w:name w:val="Hyperlink"/>
    <w:basedOn w:val="a0"/>
    <w:uiPriority w:val="99"/>
    <w:unhideWhenUsed/>
    <w:rsid w:val="00F30CD3"/>
    <w:rPr>
      <w:color w:val="0563C1" w:themeColor="hyperlink"/>
      <w:u w:val="single"/>
    </w:rPr>
  </w:style>
  <w:style w:type="character" w:customStyle="1" w:styleId="21">
    <w:name w:val="未解析的提及2"/>
    <w:basedOn w:val="a0"/>
    <w:uiPriority w:val="99"/>
    <w:semiHidden/>
    <w:unhideWhenUsed/>
    <w:rsid w:val="0091237B"/>
    <w:rPr>
      <w:color w:val="605E5C"/>
      <w:shd w:val="clear" w:color="auto" w:fill="E1DFDD"/>
    </w:r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f3">
    <w:name w:val="line number"/>
    <w:basedOn w:val="a0"/>
    <w:uiPriority w:val="99"/>
    <w:semiHidden/>
    <w:unhideWhenUsed/>
    <w:rsid w:val="008B1998"/>
  </w:style>
  <w:style w:type="character" w:styleId="aff4">
    <w:name w:val="Unresolved Mention"/>
    <w:basedOn w:val="a0"/>
    <w:uiPriority w:val="99"/>
    <w:semiHidden/>
    <w:unhideWhenUsed/>
    <w:rsid w:val="004F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7XGOjHVGLEictzeH+mmVlA06A==">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英軒 戴</cp:lastModifiedBy>
  <cp:revision>3</cp:revision>
  <dcterms:created xsi:type="dcterms:W3CDTF">2026-02-27T21:38:00Z</dcterms:created>
  <dcterms:modified xsi:type="dcterms:W3CDTF">2026-02-27T21:52:00Z</dcterms:modified>
</cp:coreProperties>
</file>