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9E84D" w14:textId="154BC1A4" w:rsidR="00926F0B" w:rsidRPr="00AE371D" w:rsidRDefault="00DF5C82" w:rsidP="00A2316B">
      <w:pPr>
        <w:spacing w:after="0" w:line="480" w:lineRule="auto"/>
        <w:rPr>
          <w:rFonts w:ascii="Times New Roman" w:hAnsi="Times New Roman" w:cs="Times New Roman"/>
          <w:b/>
          <w:bCs/>
          <w:sz w:val="24"/>
          <w:szCs w:val="24"/>
        </w:rPr>
      </w:pPr>
      <w:r w:rsidRPr="00AE371D">
        <w:rPr>
          <w:rFonts w:ascii="Times New Roman" w:hAnsi="Times New Roman" w:cs="Times New Roman"/>
          <w:b/>
          <w:bCs/>
          <w:sz w:val="24"/>
          <w:szCs w:val="24"/>
        </w:rPr>
        <w:t>High-Resolution Mapping of Onchocerciasis Risk in Ghana Using Spatial Machine Learning Models</w:t>
      </w:r>
    </w:p>
    <w:p w14:paraId="6D771551" w14:textId="4BA92283" w:rsidR="00DC593C" w:rsidRPr="00AE371D" w:rsidRDefault="00F00DA4" w:rsidP="00A2316B">
      <w:pPr>
        <w:spacing w:after="0" w:line="480" w:lineRule="auto"/>
        <w:rPr>
          <w:rFonts w:ascii="Times New Roman" w:hAnsi="Times New Roman" w:cs="Times New Roman"/>
          <w:sz w:val="24"/>
          <w:szCs w:val="24"/>
          <w:vertAlign w:val="superscript"/>
        </w:rPr>
      </w:pPr>
      <w:bookmarkStart w:id="0" w:name="_Hlk213722414"/>
      <w:r w:rsidRPr="00AE371D">
        <w:rPr>
          <w:rFonts w:ascii="Times New Roman" w:hAnsi="Times New Roman" w:cs="Times New Roman"/>
          <w:sz w:val="24"/>
          <w:szCs w:val="24"/>
        </w:rPr>
        <w:t>Monica Ahiadorme</w:t>
      </w:r>
      <w:r w:rsidRPr="00AE371D">
        <w:rPr>
          <w:rFonts w:ascii="Times New Roman" w:hAnsi="Times New Roman" w:cs="Times New Roman"/>
          <w:sz w:val="24"/>
          <w:szCs w:val="24"/>
          <w:vertAlign w:val="superscript"/>
        </w:rPr>
        <w:t>1</w:t>
      </w:r>
      <w:r w:rsidRPr="00AE371D">
        <w:rPr>
          <w:rFonts w:ascii="Times New Roman" w:hAnsi="Times New Roman" w:cs="Times New Roman"/>
          <w:sz w:val="24"/>
          <w:szCs w:val="24"/>
        </w:rPr>
        <w:t>, Moses Asori</w:t>
      </w:r>
      <w:r w:rsidRPr="00AE371D">
        <w:rPr>
          <w:rFonts w:ascii="Times New Roman" w:hAnsi="Times New Roman" w:cs="Times New Roman"/>
          <w:sz w:val="24"/>
          <w:szCs w:val="24"/>
          <w:vertAlign w:val="superscript"/>
        </w:rPr>
        <w:t>2,3</w:t>
      </w:r>
      <w:r w:rsidRPr="00AE371D">
        <w:rPr>
          <w:rFonts w:ascii="Times New Roman" w:hAnsi="Times New Roman" w:cs="Times New Roman"/>
          <w:sz w:val="24"/>
          <w:szCs w:val="24"/>
        </w:rPr>
        <w:t>, Alfred Kwasi Manyeh</w:t>
      </w:r>
      <w:r w:rsidRPr="00AE371D">
        <w:rPr>
          <w:rFonts w:ascii="Times New Roman" w:hAnsi="Times New Roman" w:cs="Times New Roman"/>
          <w:sz w:val="24"/>
          <w:szCs w:val="24"/>
          <w:vertAlign w:val="superscript"/>
        </w:rPr>
        <w:t>4</w:t>
      </w:r>
      <w:r w:rsidR="0054233D" w:rsidRPr="00AE371D">
        <w:rPr>
          <w:rFonts w:ascii="Times New Roman" w:hAnsi="Times New Roman" w:cs="Times New Roman"/>
          <w:sz w:val="24"/>
          <w:szCs w:val="24"/>
          <w:vertAlign w:val="superscript"/>
        </w:rPr>
        <w:t>*</w:t>
      </w:r>
      <w:bookmarkEnd w:id="0"/>
    </w:p>
    <w:p w14:paraId="329DD92D" w14:textId="77777777" w:rsidR="00056F38" w:rsidRPr="00AE371D" w:rsidRDefault="00056F38" w:rsidP="00A2316B">
      <w:pPr>
        <w:spacing w:after="0" w:line="480" w:lineRule="auto"/>
        <w:rPr>
          <w:rFonts w:ascii="Times New Roman" w:hAnsi="Times New Roman" w:cs="Times New Roman"/>
          <w:sz w:val="24"/>
          <w:szCs w:val="24"/>
          <w:vertAlign w:val="superscript"/>
        </w:rPr>
      </w:pPr>
    </w:p>
    <w:p w14:paraId="628261D4" w14:textId="77777777" w:rsidR="00DC593C" w:rsidRPr="00AE371D" w:rsidRDefault="00F00DA4" w:rsidP="00A2316B">
      <w:pPr>
        <w:spacing w:after="0" w:line="480" w:lineRule="auto"/>
        <w:rPr>
          <w:rFonts w:ascii="Times New Roman" w:hAnsi="Times New Roman" w:cs="Times New Roman"/>
          <w:sz w:val="24"/>
          <w:szCs w:val="24"/>
        </w:rPr>
      </w:pPr>
      <w:r w:rsidRPr="00AE371D">
        <w:rPr>
          <w:rFonts w:ascii="Times New Roman" w:hAnsi="Times New Roman" w:cs="Times New Roman"/>
          <w:sz w:val="24"/>
          <w:szCs w:val="24"/>
          <w:vertAlign w:val="superscript"/>
        </w:rPr>
        <w:t>1</w:t>
      </w:r>
      <w:r w:rsidRPr="00AE371D">
        <w:rPr>
          <w:rFonts w:ascii="Times New Roman" w:hAnsi="Times New Roman" w:cs="Times New Roman"/>
          <w:sz w:val="24"/>
          <w:szCs w:val="24"/>
        </w:rPr>
        <w:t xml:space="preserve">Department of Basic Sciences, School of Basic and Biomedical Sciences, University of Health and Allied Sciences, Ho, Ghana </w:t>
      </w:r>
    </w:p>
    <w:p w14:paraId="250DC47C" w14:textId="77777777" w:rsidR="00DC593C" w:rsidRPr="00AE371D" w:rsidRDefault="00F00DA4" w:rsidP="00A2316B">
      <w:pPr>
        <w:spacing w:after="0" w:line="480" w:lineRule="auto"/>
        <w:rPr>
          <w:rFonts w:ascii="Times New Roman" w:hAnsi="Times New Roman" w:cs="Times New Roman"/>
          <w:sz w:val="24"/>
          <w:szCs w:val="24"/>
        </w:rPr>
      </w:pPr>
      <w:r w:rsidRPr="00AE371D">
        <w:rPr>
          <w:rFonts w:ascii="Times New Roman" w:hAnsi="Times New Roman" w:cs="Times New Roman"/>
          <w:sz w:val="24"/>
          <w:szCs w:val="24"/>
          <w:vertAlign w:val="superscript"/>
        </w:rPr>
        <w:t>2</w:t>
      </w:r>
      <w:r w:rsidRPr="00AE371D">
        <w:rPr>
          <w:rFonts w:ascii="Times New Roman" w:hAnsi="Times New Roman" w:cs="Times New Roman"/>
          <w:sz w:val="24"/>
          <w:szCs w:val="24"/>
        </w:rPr>
        <w:t xml:space="preserve">Department of Earth, Environmental and Geographical Sciences, University of North Carolina, Charlotte, USA </w:t>
      </w:r>
    </w:p>
    <w:p w14:paraId="6D7838AD" w14:textId="77777777" w:rsidR="00DC593C" w:rsidRPr="00AE371D" w:rsidRDefault="00F00DA4" w:rsidP="00A2316B">
      <w:pPr>
        <w:spacing w:after="0" w:line="480" w:lineRule="auto"/>
        <w:rPr>
          <w:rFonts w:ascii="Times New Roman" w:hAnsi="Times New Roman" w:cs="Times New Roman"/>
          <w:sz w:val="24"/>
          <w:szCs w:val="24"/>
        </w:rPr>
      </w:pPr>
      <w:r w:rsidRPr="00AE371D">
        <w:rPr>
          <w:rFonts w:ascii="Times New Roman" w:hAnsi="Times New Roman" w:cs="Times New Roman"/>
          <w:sz w:val="24"/>
          <w:szCs w:val="24"/>
          <w:vertAlign w:val="superscript"/>
        </w:rPr>
        <w:t>3</w:t>
      </w:r>
      <w:r w:rsidRPr="00AE371D">
        <w:rPr>
          <w:rFonts w:ascii="Times New Roman" w:hAnsi="Times New Roman" w:cs="Times New Roman"/>
          <w:sz w:val="24"/>
          <w:szCs w:val="24"/>
        </w:rPr>
        <w:t xml:space="preserve">Center for Applied Geographic Information Science, University of North Carolina, Charlotte, USA </w:t>
      </w:r>
    </w:p>
    <w:p w14:paraId="4A6E83BD" w14:textId="2719B439" w:rsidR="00F00DA4" w:rsidRPr="00AE371D" w:rsidRDefault="00F00DA4" w:rsidP="00A2316B">
      <w:pPr>
        <w:spacing w:after="0" w:line="480" w:lineRule="auto"/>
        <w:rPr>
          <w:rFonts w:ascii="Times New Roman" w:hAnsi="Times New Roman" w:cs="Times New Roman"/>
          <w:sz w:val="24"/>
          <w:szCs w:val="24"/>
        </w:rPr>
      </w:pPr>
      <w:r w:rsidRPr="00AE371D">
        <w:rPr>
          <w:rFonts w:ascii="Times New Roman" w:hAnsi="Times New Roman" w:cs="Times New Roman"/>
          <w:sz w:val="24"/>
          <w:szCs w:val="24"/>
          <w:vertAlign w:val="superscript"/>
        </w:rPr>
        <w:t>4</w:t>
      </w:r>
      <w:r w:rsidR="0090287A" w:rsidRPr="00AE371D">
        <w:rPr>
          <w:rFonts w:ascii="Times New Roman" w:hAnsi="Times New Roman" w:cs="Times New Roman"/>
          <w:sz w:val="24"/>
          <w:szCs w:val="24"/>
          <w:vertAlign w:val="superscript"/>
        </w:rPr>
        <w:t>*</w:t>
      </w:r>
      <w:r w:rsidRPr="00AE371D">
        <w:rPr>
          <w:rFonts w:ascii="Times New Roman" w:hAnsi="Times New Roman" w:cs="Times New Roman"/>
          <w:sz w:val="24"/>
          <w:szCs w:val="24"/>
        </w:rPr>
        <w:t>Centre for Neglected Tropical Diseases Research, Institute of Health Research, University of Health and Allied Sciences, Ho, Ghana.</w:t>
      </w:r>
    </w:p>
    <w:p w14:paraId="190E999D" w14:textId="1E0E5C6F" w:rsidR="00F00DA4" w:rsidRPr="00AE371D" w:rsidRDefault="00F00DA4" w:rsidP="00A2316B">
      <w:pPr>
        <w:spacing w:after="0" w:line="480" w:lineRule="auto"/>
        <w:rPr>
          <w:rFonts w:ascii="Times New Roman" w:hAnsi="Times New Roman" w:cs="Times New Roman"/>
          <w:sz w:val="24"/>
          <w:szCs w:val="24"/>
        </w:rPr>
      </w:pPr>
      <w:r w:rsidRPr="00AE371D">
        <w:rPr>
          <w:rFonts w:ascii="Times New Roman" w:hAnsi="Times New Roman" w:cs="Times New Roman"/>
          <w:sz w:val="24"/>
          <w:szCs w:val="24"/>
        </w:rPr>
        <w:t>*Corresponding Author</w:t>
      </w:r>
    </w:p>
    <w:p w14:paraId="0641E8EB" w14:textId="0DA7380A" w:rsidR="0054233D" w:rsidRPr="00AE371D" w:rsidRDefault="00F00DA4" w:rsidP="00A2316B">
      <w:pPr>
        <w:spacing w:after="0" w:line="480" w:lineRule="auto"/>
        <w:rPr>
          <w:rFonts w:ascii="Times New Roman" w:hAnsi="Times New Roman" w:cs="Times New Roman"/>
          <w:sz w:val="24"/>
          <w:szCs w:val="24"/>
        </w:rPr>
      </w:pPr>
      <w:r w:rsidRPr="00AE371D">
        <w:rPr>
          <w:rFonts w:ascii="Times New Roman" w:hAnsi="Times New Roman" w:cs="Times New Roman"/>
          <w:sz w:val="24"/>
          <w:szCs w:val="24"/>
        </w:rPr>
        <w:t xml:space="preserve">Email: </w:t>
      </w:r>
      <w:hyperlink r:id="rId8" w:history="1">
        <w:r w:rsidR="0054233D" w:rsidRPr="00AE371D">
          <w:rPr>
            <w:rStyle w:val="Hyperlink"/>
            <w:rFonts w:ascii="Times New Roman" w:hAnsi="Times New Roman" w:cs="Times New Roman"/>
            <w:color w:val="auto"/>
            <w:sz w:val="24"/>
            <w:szCs w:val="24"/>
          </w:rPr>
          <w:t>akmanyeh@uhas.edu.gh</w:t>
        </w:r>
      </w:hyperlink>
      <w:r w:rsidR="0054233D" w:rsidRPr="00AE371D">
        <w:rPr>
          <w:rFonts w:ascii="Times New Roman" w:hAnsi="Times New Roman" w:cs="Times New Roman"/>
          <w:sz w:val="24"/>
          <w:szCs w:val="24"/>
        </w:rPr>
        <w:t xml:space="preserve"> </w:t>
      </w:r>
      <w:r w:rsidRPr="00AE371D">
        <w:rPr>
          <w:rFonts w:ascii="Times New Roman" w:hAnsi="Times New Roman" w:cs="Times New Roman"/>
          <w:sz w:val="24"/>
          <w:szCs w:val="24"/>
        </w:rPr>
        <w:t>(</w:t>
      </w:r>
      <w:r w:rsidR="0054233D" w:rsidRPr="00AE371D">
        <w:rPr>
          <w:rFonts w:ascii="Times New Roman" w:hAnsi="Times New Roman" w:cs="Times New Roman"/>
          <w:sz w:val="24"/>
          <w:szCs w:val="24"/>
        </w:rPr>
        <w:t>AKM</w:t>
      </w:r>
      <w:r w:rsidRPr="00AE371D">
        <w:rPr>
          <w:rFonts w:ascii="Times New Roman" w:hAnsi="Times New Roman" w:cs="Times New Roman"/>
          <w:sz w:val="24"/>
          <w:szCs w:val="24"/>
        </w:rPr>
        <w:t>)</w:t>
      </w:r>
    </w:p>
    <w:p w14:paraId="56837F65" w14:textId="04EEEE6D" w:rsidR="00637AF9" w:rsidRPr="00AE371D" w:rsidRDefault="00637AF9" w:rsidP="00A2316B">
      <w:pPr>
        <w:spacing w:after="0" w:line="480" w:lineRule="auto"/>
        <w:rPr>
          <w:rFonts w:ascii="Times New Roman" w:hAnsi="Times New Roman" w:cs="Times New Roman"/>
          <w:sz w:val="24"/>
          <w:szCs w:val="24"/>
        </w:rPr>
      </w:pPr>
      <w:r w:rsidRPr="00AE371D">
        <w:rPr>
          <w:rFonts w:ascii="Times New Roman" w:hAnsi="Times New Roman" w:cs="Times New Roman"/>
          <w:sz w:val="24"/>
          <w:szCs w:val="24"/>
        </w:rPr>
        <w:t>ORCID: 0000-0002-7005-5707</w:t>
      </w:r>
    </w:p>
    <w:p w14:paraId="0B891B0C" w14:textId="77777777" w:rsidR="006F7045" w:rsidRDefault="006F7045" w:rsidP="00A2316B">
      <w:pPr>
        <w:spacing w:after="0" w:line="480" w:lineRule="auto"/>
        <w:rPr>
          <w:rFonts w:ascii="Times New Roman" w:hAnsi="Times New Roman" w:cs="Times New Roman"/>
          <w:b/>
          <w:bCs/>
          <w:sz w:val="24"/>
          <w:szCs w:val="24"/>
        </w:rPr>
      </w:pPr>
    </w:p>
    <w:p w14:paraId="241348D0" w14:textId="77777777" w:rsidR="006F7045" w:rsidRDefault="006F7045" w:rsidP="00A2316B">
      <w:pPr>
        <w:spacing w:after="0" w:line="480" w:lineRule="auto"/>
        <w:rPr>
          <w:rFonts w:ascii="Times New Roman" w:hAnsi="Times New Roman" w:cs="Times New Roman"/>
          <w:b/>
          <w:bCs/>
          <w:sz w:val="24"/>
          <w:szCs w:val="24"/>
        </w:rPr>
      </w:pPr>
    </w:p>
    <w:p w14:paraId="089069D5" w14:textId="77777777" w:rsidR="006F7045" w:rsidRDefault="006F7045" w:rsidP="00A2316B">
      <w:pPr>
        <w:spacing w:after="0" w:line="480" w:lineRule="auto"/>
        <w:rPr>
          <w:rFonts w:ascii="Times New Roman" w:hAnsi="Times New Roman" w:cs="Times New Roman"/>
          <w:b/>
          <w:bCs/>
          <w:sz w:val="24"/>
          <w:szCs w:val="24"/>
        </w:rPr>
      </w:pPr>
    </w:p>
    <w:p w14:paraId="1B91831C" w14:textId="77777777" w:rsidR="006F7045" w:rsidRDefault="006F7045" w:rsidP="00A2316B">
      <w:pPr>
        <w:spacing w:after="0" w:line="480" w:lineRule="auto"/>
        <w:rPr>
          <w:rFonts w:ascii="Times New Roman" w:hAnsi="Times New Roman" w:cs="Times New Roman"/>
          <w:b/>
          <w:bCs/>
          <w:sz w:val="24"/>
          <w:szCs w:val="24"/>
        </w:rPr>
      </w:pPr>
    </w:p>
    <w:p w14:paraId="7F41471D" w14:textId="77777777" w:rsidR="006F7045" w:rsidRDefault="006F7045" w:rsidP="00A2316B">
      <w:pPr>
        <w:spacing w:after="0" w:line="480" w:lineRule="auto"/>
        <w:rPr>
          <w:rFonts w:ascii="Times New Roman" w:hAnsi="Times New Roman" w:cs="Times New Roman"/>
          <w:b/>
          <w:bCs/>
          <w:sz w:val="24"/>
          <w:szCs w:val="24"/>
        </w:rPr>
      </w:pPr>
    </w:p>
    <w:p w14:paraId="1C1FEE93" w14:textId="77777777" w:rsidR="006F7045" w:rsidRDefault="006F7045" w:rsidP="00A2316B">
      <w:pPr>
        <w:spacing w:after="0" w:line="480" w:lineRule="auto"/>
        <w:rPr>
          <w:rFonts w:ascii="Times New Roman" w:hAnsi="Times New Roman" w:cs="Times New Roman"/>
          <w:b/>
          <w:bCs/>
          <w:sz w:val="24"/>
          <w:szCs w:val="24"/>
        </w:rPr>
      </w:pPr>
    </w:p>
    <w:p w14:paraId="720093CF" w14:textId="77777777" w:rsidR="006F7045" w:rsidRDefault="006F7045" w:rsidP="00A2316B">
      <w:pPr>
        <w:spacing w:after="0" w:line="480" w:lineRule="auto"/>
        <w:rPr>
          <w:rFonts w:ascii="Times New Roman" w:hAnsi="Times New Roman" w:cs="Times New Roman"/>
          <w:b/>
          <w:bCs/>
          <w:sz w:val="24"/>
          <w:szCs w:val="24"/>
        </w:rPr>
      </w:pPr>
    </w:p>
    <w:p w14:paraId="218B48B9" w14:textId="77777777" w:rsidR="006F7045" w:rsidRDefault="006F7045" w:rsidP="00A2316B">
      <w:pPr>
        <w:spacing w:after="0" w:line="480" w:lineRule="auto"/>
        <w:rPr>
          <w:rFonts w:ascii="Times New Roman" w:hAnsi="Times New Roman" w:cs="Times New Roman"/>
          <w:b/>
          <w:bCs/>
          <w:sz w:val="24"/>
          <w:szCs w:val="24"/>
        </w:rPr>
      </w:pPr>
    </w:p>
    <w:p w14:paraId="367AEDE2" w14:textId="77777777" w:rsidR="006F7045" w:rsidRDefault="006F7045" w:rsidP="00A2316B">
      <w:pPr>
        <w:spacing w:after="0" w:line="480" w:lineRule="auto"/>
        <w:rPr>
          <w:rFonts w:ascii="Times New Roman" w:hAnsi="Times New Roman" w:cs="Times New Roman"/>
          <w:b/>
          <w:bCs/>
          <w:sz w:val="24"/>
          <w:szCs w:val="24"/>
        </w:rPr>
      </w:pPr>
    </w:p>
    <w:p w14:paraId="1A00992B" w14:textId="77777777" w:rsidR="006F7045" w:rsidRDefault="006F7045" w:rsidP="00A2316B">
      <w:pPr>
        <w:spacing w:after="0" w:line="480" w:lineRule="auto"/>
        <w:rPr>
          <w:rFonts w:ascii="Times New Roman" w:hAnsi="Times New Roman" w:cs="Times New Roman"/>
          <w:b/>
          <w:bCs/>
          <w:sz w:val="24"/>
          <w:szCs w:val="24"/>
        </w:rPr>
      </w:pPr>
    </w:p>
    <w:p w14:paraId="56925E9D" w14:textId="77777777" w:rsidR="006F7045" w:rsidRDefault="006F7045" w:rsidP="00A2316B">
      <w:pPr>
        <w:spacing w:after="0" w:line="480" w:lineRule="auto"/>
        <w:rPr>
          <w:rFonts w:ascii="Times New Roman" w:hAnsi="Times New Roman" w:cs="Times New Roman"/>
          <w:b/>
          <w:bCs/>
          <w:sz w:val="24"/>
          <w:szCs w:val="24"/>
        </w:rPr>
      </w:pPr>
    </w:p>
    <w:p w14:paraId="5264A12A" w14:textId="77777777" w:rsidR="006F7045" w:rsidRDefault="006F7045" w:rsidP="00A2316B">
      <w:pPr>
        <w:spacing w:after="0" w:line="480" w:lineRule="auto"/>
        <w:rPr>
          <w:rFonts w:ascii="Times New Roman" w:hAnsi="Times New Roman" w:cs="Times New Roman"/>
          <w:b/>
          <w:bCs/>
          <w:sz w:val="24"/>
          <w:szCs w:val="24"/>
        </w:rPr>
      </w:pPr>
    </w:p>
    <w:p w14:paraId="7A59E563" w14:textId="5F40C223" w:rsidR="00461A2D" w:rsidRPr="00AE371D" w:rsidRDefault="00461A2D" w:rsidP="00A2316B">
      <w:pPr>
        <w:spacing w:after="0" w:line="480" w:lineRule="auto"/>
        <w:rPr>
          <w:rFonts w:ascii="Times New Roman" w:hAnsi="Times New Roman" w:cs="Times New Roman"/>
          <w:b/>
          <w:bCs/>
          <w:sz w:val="24"/>
          <w:szCs w:val="24"/>
        </w:rPr>
      </w:pPr>
      <w:r w:rsidRPr="00AE371D">
        <w:rPr>
          <w:rFonts w:ascii="Times New Roman" w:hAnsi="Times New Roman" w:cs="Times New Roman"/>
          <w:b/>
          <w:bCs/>
          <w:sz w:val="24"/>
          <w:szCs w:val="24"/>
        </w:rPr>
        <w:lastRenderedPageBreak/>
        <w:t>Supporting information</w:t>
      </w:r>
    </w:p>
    <w:p w14:paraId="65C1F435" w14:textId="77777777" w:rsidR="00461A2D" w:rsidRPr="00AE371D" w:rsidRDefault="00461A2D" w:rsidP="00A2316B">
      <w:pPr>
        <w:spacing w:after="0" w:line="480" w:lineRule="auto"/>
        <w:rPr>
          <w:rFonts w:ascii="Times New Roman" w:hAnsi="Times New Roman" w:cs="Times New Roman"/>
          <w:sz w:val="24"/>
          <w:szCs w:val="24"/>
        </w:rPr>
      </w:pPr>
    </w:p>
    <w:p w14:paraId="2EFB060A" w14:textId="244019D8" w:rsidR="00461A2D" w:rsidRPr="00AE371D" w:rsidRDefault="00461A2D" w:rsidP="00A2316B">
      <w:pPr>
        <w:spacing w:after="0" w:line="480" w:lineRule="auto"/>
        <w:rPr>
          <w:rFonts w:ascii="Times New Roman" w:hAnsi="Times New Roman" w:cs="Times New Roman"/>
          <w:sz w:val="24"/>
          <w:szCs w:val="24"/>
        </w:rPr>
      </w:pPr>
      <w:r w:rsidRPr="00AE371D">
        <w:rPr>
          <w:rFonts w:ascii="Times New Roman" w:hAnsi="Times New Roman" w:cs="Times New Roman"/>
          <w:noProof/>
        </w:rPr>
        <mc:AlternateContent>
          <mc:Choice Requires="wpg">
            <w:drawing>
              <wp:inline distT="0" distB="0" distL="0" distR="0" wp14:anchorId="5E325BB2" wp14:editId="4CF4B13A">
                <wp:extent cx="5943600" cy="3233420"/>
                <wp:effectExtent l="0" t="0" r="19050" b="24130"/>
                <wp:docPr id="716817935" name="Group 14"/>
                <wp:cNvGraphicFramePr/>
                <a:graphic xmlns:a="http://schemas.openxmlformats.org/drawingml/2006/main">
                  <a:graphicData uri="http://schemas.microsoft.com/office/word/2010/wordprocessingGroup">
                    <wpg:wgp>
                      <wpg:cNvGrpSpPr/>
                      <wpg:grpSpPr>
                        <a:xfrm>
                          <a:off x="0" y="0"/>
                          <a:ext cx="5943600" cy="3233420"/>
                          <a:chOff x="0" y="0"/>
                          <a:chExt cx="6316980" cy="3436620"/>
                        </a:xfrm>
                      </wpg:grpSpPr>
                      <wps:wsp>
                        <wps:cNvPr id="1598176210" name="Text Box 1"/>
                        <wps:cNvSpPr txBox="1"/>
                        <wps:spPr>
                          <a:xfrm>
                            <a:off x="1996440" y="1866900"/>
                            <a:ext cx="3078480" cy="342900"/>
                          </a:xfrm>
                          <a:prstGeom prst="rect">
                            <a:avLst/>
                          </a:prstGeom>
                          <a:solidFill>
                            <a:schemeClr val="lt1"/>
                          </a:solidFill>
                          <a:ln w="6350">
                            <a:solidFill>
                              <a:prstClr val="black"/>
                            </a:solidFill>
                          </a:ln>
                        </wps:spPr>
                        <wps:txbx>
                          <w:txbxContent>
                            <w:p w14:paraId="337537FF" w14:textId="77777777" w:rsidR="00461A2D" w:rsidRDefault="00461A2D" w:rsidP="00461A2D">
                              <w:pPr>
                                <w:spacing w:after="0" w:line="240" w:lineRule="auto"/>
                                <w:jc w:val="center"/>
                                <w:rPr>
                                  <w:rFonts w:ascii="Times New Roman" w:hAnsi="Times New Roman" w:cs="Times New Roman"/>
                                </w:rPr>
                              </w:pPr>
                              <w:r>
                                <w:rPr>
                                  <w:rFonts w:ascii="Times New Roman" w:hAnsi="Times New Roman" w:cs="Times New Roman"/>
                                </w:rPr>
                                <w:t>F</w:t>
                              </w:r>
                              <w:r w:rsidRPr="008F5F70">
                                <w:rPr>
                                  <w:rFonts w:ascii="Times New Roman" w:hAnsi="Times New Roman" w:cs="Times New Roman"/>
                                </w:rPr>
                                <w:t>ull</w:t>
                              </w:r>
                              <w:r>
                                <w:rPr>
                                  <w:rFonts w:ascii="Times New Roman" w:hAnsi="Times New Roman" w:cs="Times New Roman"/>
                                </w:rPr>
                                <w:t xml:space="preserve"> </w:t>
                              </w:r>
                              <w:r w:rsidRPr="008F5F70">
                                <w:rPr>
                                  <w:rFonts w:ascii="Times New Roman" w:hAnsi="Times New Roman" w:cs="Times New Roman"/>
                                </w:rPr>
                                <w:t>text</w:t>
                              </w:r>
                              <w:r>
                                <w:rPr>
                                  <w:rFonts w:ascii="Times New Roman" w:hAnsi="Times New Roman" w:cs="Times New Roman"/>
                                </w:rPr>
                                <w:t xml:space="preserve"> records assessed for eligibility</w:t>
                              </w:r>
                              <w:r w:rsidRPr="008F5F70">
                                <w:rPr>
                                  <w:rFonts w:ascii="Times New Roman" w:hAnsi="Times New Roman" w:cs="Times New Roman"/>
                                </w:rPr>
                                <w:t xml:space="preserve"> (n=99)</w:t>
                              </w:r>
                            </w:p>
                            <w:p w14:paraId="32F1F872" w14:textId="77777777" w:rsidR="00461A2D" w:rsidRPr="008F5F70" w:rsidRDefault="00461A2D" w:rsidP="00461A2D">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1309476" name="Text Box 1"/>
                        <wps:cNvSpPr txBox="1"/>
                        <wps:spPr>
                          <a:xfrm>
                            <a:off x="175260" y="2644140"/>
                            <a:ext cx="2720340" cy="792480"/>
                          </a:xfrm>
                          <a:prstGeom prst="rect">
                            <a:avLst/>
                          </a:prstGeom>
                          <a:solidFill>
                            <a:schemeClr val="lt1"/>
                          </a:solidFill>
                          <a:ln w="6350">
                            <a:solidFill>
                              <a:prstClr val="black"/>
                            </a:solidFill>
                          </a:ln>
                        </wps:spPr>
                        <wps:txbx>
                          <w:txbxContent>
                            <w:p w14:paraId="10819170" w14:textId="77777777" w:rsidR="00461A2D" w:rsidRPr="008F5F70" w:rsidRDefault="00461A2D" w:rsidP="00461A2D">
                              <w:pPr>
                                <w:spacing w:after="0" w:line="240" w:lineRule="auto"/>
                                <w:rPr>
                                  <w:rFonts w:ascii="Times New Roman" w:hAnsi="Times New Roman" w:cs="Times New Roman"/>
                                </w:rPr>
                              </w:pPr>
                              <w:r>
                                <w:rPr>
                                  <w:rFonts w:ascii="Times New Roman" w:hAnsi="Times New Roman" w:cs="Times New Roman"/>
                                </w:rPr>
                                <w:t>Full text articles e</w:t>
                              </w:r>
                              <w:r w:rsidRPr="008F5F70">
                                <w:rPr>
                                  <w:rFonts w:ascii="Times New Roman" w:hAnsi="Times New Roman" w:cs="Times New Roman"/>
                                </w:rPr>
                                <w:t>xcluded (n=2</w:t>
                              </w:r>
                              <w:r>
                                <w:rPr>
                                  <w:rFonts w:ascii="Times New Roman" w:hAnsi="Times New Roman" w:cs="Times New Roman"/>
                                </w:rPr>
                                <w:t>7</w:t>
                              </w:r>
                              <w:r w:rsidRPr="008F5F70">
                                <w:rPr>
                                  <w:rFonts w:ascii="Times New Roman" w:hAnsi="Times New Roman" w:cs="Times New Roman"/>
                                </w:rPr>
                                <w:t>)</w:t>
                              </w:r>
                            </w:p>
                            <w:p w14:paraId="55B5317B" w14:textId="77777777" w:rsidR="00461A2D" w:rsidRPr="008F5F70" w:rsidRDefault="00461A2D" w:rsidP="00461A2D">
                              <w:pPr>
                                <w:spacing w:after="0" w:line="240" w:lineRule="auto"/>
                                <w:ind w:left="720"/>
                                <w:rPr>
                                  <w:rFonts w:ascii="Times New Roman" w:hAnsi="Times New Roman" w:cs="Times New Roman"/>
                                </w:rPr>
                              </w:pPr>
                              <w:r w:rsidRPr="008F5F70">
                                <w:rPr>
                                  <w:rFonts w:ascii="Times New Roman" w:hAnsi="Times New Roman" w:cs="Times New Roman"/>
                                </w:rPr>
                                <w:t xml:space="preserve">No prevalence </w:t>
                              </w:r>
                              <w:r>
                                <w:rPr>
                                  <w:rFonts w:ascii="Times New Roman" w:hAnsi="Times New Roman" w:cs="Times New Roman"/>
                                </w:rPr>
                                <w:t>data</w:t>
                              </w:r>
                              <w:r w:rsidRPr="008F5F70">
                                <w:rPr>
                                  <w:rFonts w:ascii="Times New Roman" w:hAnsi="Times New Roman" w:cs="Times New Roman"/>
                                </w:rPr>
                                <w:t xml:space="preserve"> (n=</w:t>
                              </w:r>
                              <w:r>
                                <w:rPr>
                                  <w:rFonts w:ascii="Times New Roman" w:hAnsi="Times New Roman" w:cs="Times New Roman"/>
                                </w:rPr>
                                <w:t>21</w:t>
                              </w:r>
                              <w:r w:rsidRPr="008F5F70">
                                <w:rPr>
                                  <w:rFonts w:ascii="Times New Roman" w:hAnsi="Times New Roman" w:cs="Times New Roman"/>
                                </w:rPr>
                                <w:t>)</w:t>
                              </w:r>
                            </w:p>
                            <w:p w14:paraId="23381394" w14:textId="77777777" w:rsidR="00461A2D" w:rsidRPr="008F5F70" w:rsidRDefault="00461A2D" w:rsidP="00461A2D">
                              <w:pPr>
                                <w:spacing w:after="0" w:line="240" w:lineRule="auto"/>
                                <w:ind w:left="720"/>
                                <w:rPr>
                                  <w:rFonts w:ascii="Times New Roman" w:hAnsi="Times New Roman" w:cs="Times New Roman"/>
                                </w:rPr>
                              </w:pPr>
                              <w:r>
                                <w:rPr>
                                  <w:rFonts w:ascii="Times New Roman" w:hAnsi="Times New Roman" w:cs="Times New Roman"/>
                                </w:rPr>
                                <w:t xml:space="preserve">Not </w:t>
                              </w:r>
                              <w:r w:rsidRPr="008F5F70">
                                <w:rPr>
                                  <w:rFonts w:ascii="Times New Roman" w:hAnsi="Times New Roman" w:cs="Times New Roman"/>
                                </w:rPr>
                                <w:t>geographic</w:t>
                              </w:r>
                              <w:r>
                                <w:rPr>
                                  <w:rFonts w:ascii="Times New Roman" w:hAnsi="Times New Roman" w:cs="Times New Roman"/>
                                </w:rPr>
                                <w:t>ally</w:t>
                              </w:r>
                              <w:r w:rsidRPr="008F5F70">
                                <w:rPr>
                                  <w:rFonts w:ascii="Times New Roman" w:hAnsi="Times New Roman" w:cs="Times New Roman"/>
                                </w:rPr>
                                <w:t xml:space="preserve"> specific (n=</w:t>
                              </w:r>
                              <w:r>
                                <w:rPr>
                                  <w:rFonts w:ascii="Times New Roman" w:hAnsi="Times New Roman" w:cs="Times New Roman"/>
                                </w:rPr>
                                <w:t>6</w:t>
                              </w:r>
                              <w:r w:rsidRPr="008F5F70">
                                <w:rPr>
                                  <w:rFonts w:ascii="Times New Roman" w:hAnsi="Times New Roman" w:cs="Times New Roman"/>
                                </w:rPr>
                                <w:t>)</w:t>
                              </w:r>
                            </w:p>
                            <w:p w14:paraId="3953CAB7" w14:textId="77777777" w:rsidR="00461A2D" w:rsidRPr="008F5F70" w:rsidRDefault="00461A2D" w:rsidP="00461A2D">
                              <w:pPr>
                                <w:spacing w:after="0" w:line="240" w:lineRule="auto"/>
                                <w:rPr>
                                  <w:rFonts w:ascii="Times New Roman" w:hAnsi="Times New Roman" w:cs="Times New Roman"/>
                                </w:rPr>
                              </w:pPr>
                            </w:p>
                            <w:p w14:paraId="5E949FED" w14:textId="77777777" w:rsidR="00461A2D" w:rsidRPr="008F5F70" w:rsidRDefault="00461A2D" w:rsidP="00461A2D">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3275036" name="Text Box 1"/>
                        <wps:cNvSpPr txBox="1"/>
                        <wps:spPr>
                          <a:xfrm>
                            <a:off x="3223260" y="2621280"/>
                            <a:ext cx="3093720" cy="800100"/>
                          </a:xfrm>
                          <a:prstGeom prst="rect">
                            <a:avLst/>
                          </a:prstGeom>
                          <a:solidFill>
                            <a:schemeClr val="lt1"/>
                          </a:solidFill>
                          <a:ln w="6350">
                            <a:solidFill>
                              <a:prstClr val="black"/>
                            </a:solidFill>
                          </a:ln>
                        </wps:spPr>
                        <wps:txbx>
                          <w:txbxContent>
                            <w:p w14:paraId="4930EB81" w14:textId="77777777" w:rsidR="00461A2D" w:rsidRPr="00707955" w:rsidRDefault="00461A2D" w:rsidP="00461A2D">
                              <w:pPr>
                                <w:spacing w:after="0" w:line="240" w:lineRule="auto"/>
                                <w:jc w:val="center"/>
                                <w:rPr>
                                  <w:rFonts w:ascii="Times New Roman" w:hAnsi="Times New Roman" w:cs="Times New Roman"/>
                                </w:rPr>
                              </w:pPr>
                              <w:r w:rsidRPr="00707955">
                                <w:rPr>
                                  <w:rFonts w:ascii="Times New Roman" w:hAnsi="Times New Roman" w:cs="Times New Roman"/>
                                </w:rPr>
                                <w:t xml:space="preserve">Studies </w:t>
                              </w:r>
                              <w:r>
                                <w:rPr>
                                  <w:rFonts w:ascii="Times New Roman" w:hAnsi="Times New Roman" w:cs="Times New Roman"/>
                                </w:rPr>
                                <w:t xml:space="preserve">included in geospatial modeling </w:t>
                              </w:r>
                              <w:r w:rsidRPr="00707955">
                                <w:rPr>
                                  <w:rFonts w:ascii="Times New Roman" w:hAnsi="Times New Roman" w:cs="Times New Roman"/>
                                </w:rPr>
                                <w:t>(n=7</w:t>
                              </w:r>
                              <w:r>
                                <w:rPr>
                                  <w:rFonts w:ascii="Times New Roman" w:hAnsi="Times New Roman" w:cs="Times New Roman"/>
                                </w:rPr>
                                <w:t>2</w:t>
                              </w:r>
                              <w:r w:rsidRPr="00707955">
                                <w:rPr>
                                  <w:rFonts w:ascii="Times New Roman" w:hAnsi="Times New Roman" w:cs="Times New Roman"/>
                                </w:rPr>
                                <w:t>)</w:t>
                              </w:r>
                            </w:p>
                            <w:p w14:paraId="74C77E7D" w14:textId="77777777" w:rsidR="00461A2D" w:rsidRPr="00707955" w:rsidRDefault="00461A2D" w:rsidP="00461A2D">
                              <w:pPr>
                                <w:spacing w:after="0" w:line="240" w:lineRule="auto"/>
                                <w:ind w:firstLine="720"/>
                                <w:jc w:val="center"/>
                                <w:rPr>
                                  <w:rFonts w:ascii="Times New Roman" w:hAnsi="Times New Roman" w:cs="Times New Roman"/>
                                </w:rPr>
                              </w:pPr>
                              <w:r w:rsidRPr="00707955">
                                <w:rPr>
                                  <w:rFonts w:ascii="Times New Roman" w:hAnsi="Times New Roman" w:cs="Times New Roman"/>
                                </w:rPr>
                                <w:t>Peer reviewed (n=6</w:t>
                              </w:r>
                              <w:r>
                                <w:rPr>
                                  <w:rFonts w:ascii="Times New Roman" w:hAnsi="Times New Roman" w:cs="Times New Roman"/>
                                </w:rPr>
                                <w:t>0</w:t>
                              </w:r>
                              <w:r w:rsidRPr="00707955">
                                <w:rPr>
                                  <w:rFonts w:ascii="Times New Roman" w:hAnsi="Times New Roman" w:cs="Times New Roman"/>
                                </w:rPr>
                                <w:t>)</w:t>
                              </w:r>
                            </w:p>
                            <w:p w14:paraId="244C7E51" w14:textId="77777777" w:rsidR="00461A2D" w:rsidRDefault="00461A2D" w:rsidP="00461A2D">
                              <w:pPr>
                                <w:spacing w:after="0" w:line="240" w:lineRule="auto"/>
                                <w:ind w:firstLine="720"/>
                                <w:jc w:val="center"/>
                                <w:rPr>
                                  <w:rFonts w:ascii="Times New Roman" w:hAnsi="Times New Roman" w:cs="Times New Roman"/>
                                </w:rPr>
                              </w:pPr>
                              <w:r>
                                <w:rPr>
                                  <w:rFonts w:ascii="Times New Roman" w:hAnsi="Times New Roman" w:cs="Times New Roman"/>
                                </w:rPr>
                                <w:t>T</w:t>
                              </w:r>
                              <w:r w:rsidRPr="00707955">
                                <w:rPr>
                                  <w:rFonts w:ascii="Times New Roman" w:hAnsi="Times New Roman" w:cs="Times New Roman"/>
                                </w:rPr>
                                <w:t>hesis (n=11)</w:t>
                              </w:r>
                            </w:p>
                            <w:p w14:paraId="2596BB79" w14:textId="77777777" w:rsidR="00461A2D" w:rsidRPr="00707955" w:rsidRDefault="00461A2D" w:rsidP="00461A2D">
                              <w:pPr>
                                <w:spacing w:after="0" w:line="240" w:lineRule="auto"/>
                                <w:ind w:firstLine="720"/>
                                <w:jc w:val="center"/>
                                <w:rPr>
                                  <w:rFonts w:ascii="Times New Roman" w:hAnsi="Times New Roman" w:cs="Times New Roman"/>
                                </w:rPr>
                              </w:pPr>
                              <w:r w:rsidRPr="00707955">
                                <w:rPr>
                                  <w:rFonts w:ascii="Times New Roman" w:hAnsi="Times New Roman" w:cs="Times New Roman"/>
                                </w:rPr>
                                <w:t>Pre-print (n=1)</w:t>
                              </w:r>
                            </w:p>
                            <w:p w14:paraId="22A2E6D4" w14:textId="77777777" w:rsidR="00461A2D" w:rsidRPr="00707955" w:rsidRDefault="00461A2D" w:rsidP="00461A2D">
                              <w:pPr>
                                <w:spacing w:after="0" w:line="240" w:lineRule="auto"/>
                                <w:ind w:firstLine="720"/>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8719756" name="Text Box 1"/>
                        <wps:cNvSpPr txBox="1"/>
                        <wps:spPr>
                          <a:xfrm>
                            <a:off x="647700" y="0"/>
                            <a:ext cx="4198620" cy="365760"/>
                          </a:xfrm>
                          <a:prstGeom prst="rect">
                            <a:avLst/>
                          </a:prstGeom>
                          <a:solidFill>
                            <a:schemeClr val="lt1"/>
                          </a:solidFill>
                          <a:ln w="6350">
                            <a:solidFill>
                              <a:prstClr val="black"/>
                            </a:solidFill>
                          </a:ln>
                        </wps:spPr>
                        <wps:txbx>
                          <w:txbxContent>
                            <w:p w14:paraId="24B796D8" w14:textId="77777777" w:rsidR="00461A2D" w:rsidRDefault="00461A2D" w:rsidP="00461A2D">
                              <w:pPr>
                                <w:spacing w:after="0" w:line="240" w:lineRule="auto"/>
                                <w:contextualSpacing/>
                                <w:jc w:val="center"/>
                                <w:rPr>
                                  <w:rFonts w:ascii="Times New Roman" w:hAnsi="Times New Roman" w:cs="Times New Roman"/>
                                </w:rPr>
                              </w:pPr>
                              <w:r>
                                <w:rPr>
                                  <w:rFonts w:ascii="Times New Roman" w:hAnsi="Times New Roman" w:cs="Times New Roman"/>
                                </w:rPr>
                                <w:t xml:space="preserve">Records identified through databases and other sources </w:t>
                              </w:r>
                              <w:r w:rsidRPr="008F5F70">
                                <w:rPr>
                                  <w:rFonts w:ascii="Times New Roman" w:hAnsi="Times New Roman" w:cs="Times New Roman"/>
                                </w:rPr>
                                <w:t>(n=</w:t>
                              </w:r>
                              <w:r>
                                <w:rPr>
                                  <w:rFonts w:ascii="Times New Roman" w:hAnsi="Times New Roman" w:cs="Times New Roman"/>
                                </w:rPr>
                                <w:t>1,753</w:t>
                              </w:r>
                              <w:r w:rsidRPr="008F5F70">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5823758" name="Text Box 1"/>
                        <wps:cNvSpPr txBox="1"/>
                        <wps:spPr>
                          <a:xfrm>
                            <a:off x="1905000" y="1280160"/>
                            <a:ext cx="1874520" cy="304800"/>
                          </a:xfrm>
                          <a:prstGeom prst="rect">
                            <a:avLst/>
                          </a:prstGeom>
                          <a:solidFill>
                            <a:schemeClr val="lt1"/>
                          </a:solidFill>
                          <a:ln w="6350">
                            <a:solidFill>
                              <a:prstClr val="black"/>
                            </a:solidFill>
                          </a:ln>
                        </wps:spPr>
                        <wps:txbx>
                          <w:txbxContent>
                            <w:p w14:paraId="74017CAF" w14:textId="77777777" w:rsidR="00461A2D" w:rsidRPr="008F5F70" w:rsidRDefault="00461A2D" w:rsidP="00461A2D">
                              <w:pPr>
                                <w:spacing w:after="0" w:line="240" w:lineRule="auto"/>
                                <w:contextualSpacing/>
                                <w:jc w:val="center"/>
                                <w:rPr>
                                  <w:rFonts w:ascii="Times New Roman" w:hAnsi="Times New Roman" w:cs="Times New Roman"/>
                                </w:rPr>
                              </w:pPr>
                              <w:r>
                                <w:rPr>
                                  <w:rFonts w:ascii="Times New Roman" w:hAnsi="Times New Roman" w:cs="Times New Roman"/>
                                </w:rPr>
                                <w:t>Records screened (n=1010)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6938918" name="Text Box 1"/>
                        <wps:cNvSpPr txBox="1"/>
                        <wps:spPr>
                          <a:xfrm>
                            <a:off x="1866900" y="685800"/>
                            <a:ext cx="1950720" cy="266700"/>
                          </a:xfrm>
                          <a:prstGeom prst="rect">
                            <a:avLst/>
                          </a:prstGeom>
                          <a:solidFill>
                            <a:schemeClr val="lt1"/>
                          </a:solidFill>
                          <a:ln w="6350">
                            <a:solidFill>
                              <a:prstClr val="black"/>
                            </a:solidFill>
                          </a:ln>
                        </wps:spPr>
                        <wps:txbx>
                          <w:txbxContent>
                            <w:p w14:paraId="7D31EE0E" w14:textId="77777777" w:rsidR="00461A2D" w:rsidRPr="008F5F70" w:rsidRDefault="00461A2D" w:rsidP="00461A2D">
                              <w:pPr>
                                <w:spacing w:after="0" w:line="240" w:lineRule="auto"/>
                                <w:contextualSpacing/>
                                <w:jc w:val="center"/>
                                <w:rPr>
                                  <w:rFonts w:ascii="Times New Roman" w:hAnsi="Times New Roman" w:cs="Times New Roman"/>
                                </w:rPr>
                              </w:pPr>
                              <w:r>
                                <w:rPr>
                                  <w:rFonts w:ascii="Times New Roman" w:hAnsi="Times New Roman" w:cs="Times New Roman"/>
                                </w:rPr>
                                <w:t>Duplicates removed (n=743)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276766" name="Text Box 1"/>
                        <wps:cNvSpPr txBox="1"/>
                        <wps:spPr>
                          <a:xfrm>
                            <a:off x="0" y="1866900"/>
                            <a:ext cx="1844040" cy="358140"/>
                          </a:xfrm>
                          <a:prstGeom prst="rect">
                            <a:avLst/>
                          </a:prstGeom>
                          <a:solidFill>
                            <a:schemeClr val="lt1"/>
                          </a:solidFill>
                          <a:ln w="6350">
                            <a:solidFill>
                              <a:prstClr val="black"/>
                            </a:solidFill>
                          </a:ln>
                        </wps:spPr>
                        <wps:txbx>
                          <w:txbxContent>
                            <w:p w14:paraId="64964545" w14:textId="77777777" w:rsidR="00461A2D" w:rsidRPr="008F5F70" w:rsidRDefault="00461A2D" w:rsidP="00461A2D">
                              <w:pPr>
                                <w:spacing w:after="0" w:line="240" w:lineRule="auto"/>
                                <w:contextualSpacing/>
                                <w:jc w:val="center"/>
                                <w:rPr>
                                  <w:rFonts w:ascii="Times New Roman" w:hAnsi="Times New Roman" w:cs="Times New Roman"/>
                                </w:rPr>
                              </w:pPr>
                              <w:r>
                                <w:rPr>
                                  <w:rFonts w:ascii="Times New Roman" w:hAnsi="Times New Roman" w:cs="Times New Roman"/>
                                </w:rPr>
                                <w:t>Records excluded (n=911)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3983771" name="Straight Arrow Connector 11"/>
                        <wps:cNvCnPr/>
                        <wps:spPr>
                          <a:xfrm flipH="1">
                            <a:off x="2834640" y="365760"/>
                            <a:ext cx="762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00924806" name="Straight Arrow Connector 11"/>
                        <wps:cNvCnPr/>
                        <wps:spPr>
                          <a:xfrm flipH="1">
                            <a:off x="2849880" y="960120"/>
                            <a:ext cx="762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88621735" name="Straight Arrow Connector 12"/>
                        <wps:cNvCnPr/>
                        <wps:spPr>
                          <a:xfrm flipH="1">
                            <a:off x="1371600" y="1584960"/>
                            <a:ext cx="144780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45870409" name="Straight Arrow Connector 12"/>
                        <wps:cNvCnPr/>
                        <wps:spPr>
                          <a:xfrm>
                            <a:off x="2788920" y="1584960"/>
                            <a:ext cx="1546860" cy="2819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39114931" name="Straight Arrow Connector 13"/>
                        <wps:cNvCnPr/>
                        <wps:spPr>
                          <a:xfrm flipH="1">
                            <a:off x="1501140" y="2217420"/>
                            <a:ext cx="1653540" cy="4267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00955986" name="Straight Arrow Connector 12"/>
                        <wps:cNvCnPr/>
                        <wps:spPr>
                          <a:xfrm>
                            <a:off x="3116580" y="2225040"/>
                            <a:ext cx="1706880" cy="3733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5E325BB2" id="Group 14" o:spid="_x0000_s1026" style="width:468pt;height:254.6pt;mso-position-horizontal-relative:char;mso-position-vertical-relative:line" coordsize="63169,3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">
                <v:shapetype id="_x0000_t202" coordsize="21600,21600" o:spt="202" path="m,l,21600r21600,l21600,xe">
                  <v:stroke joinstyle="miter"/>
                  <v:path gradientshapeok="t" o:connecttype="rect"/>
                </v:shapetype>
                <v:shape id="Text Box 1" o:spid="_x0000_s1027" type="#_x0000_t202" style="position:absolute;left:19964;top:18669;width:3078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" fillcolor="white [3201]" strokeweight=".5pt">
                  <v:textbox>
                    <w:txbxContent>
                      <w:p w14:paraId="337537FF" w14:textId="77777777" w:rsidR="00461A2D" w:rsidRDefault="00461A2D" w:rsidP="00461A2D">
                        <w:pPr>
                          <w:spacing w:after="0" w:line="240" w:lineRule="auto"/>
                          <w:jc w:val="center"/>
                          <w:rPr>
                            <w:rFonts w:ascii="Times New Roman" w:hAnsi="Times New Roman" w:cs="Times New Roman"/>
                          </w:rPr>
                        </w:pPr>
                        <w:r>
                          <w:rPr>
                            <w:rFonts w:ascii="Times New Roman" w:hAnsi="Times New Roman" w:cs="Times New Roman"/>
                          </w:rPr>
                          <w:t>F</w:t>
                        </w:r>
                        <w:r w:rsidRPr="008F5F70">
                          <w:rPr>
                            <w:rFonts w:ascii="Times New Roman" w:hAnsi="Times New Roman" w:cs="Times New Roman"/>
                          </w:rPr>
                          <w:t>ull</w:t>
                        </w:r>
                        <w:r>
                          <w:rPr>
                            <w:rFonts w:ascii="Times New Roman" w:hAnsi="Times New Roman" w:cs="Times New Roman"/>
                          </w:rPr>
                          <w:t xml:space="preserve"> </w:t>
                        </w:r>
                        <w:r w:rsidRPr="008F5F70">
                          <w:rPr>
                            <w:rFonts w:ascii="Times New Roman" w:hAnsi="Times New Roman" w:cs="Times New Roman"/>
                          </w:rPr>
                          <w:t>text</w:t>
                        </w:r>
                        <w:r>
                          <w:rPr>
                            <w:rFonts w:ascii="Times New Roman" w:hAnsi="Times New Roman" w:cs="Times New Roman"/>
                          </w:rPr>
                          <w:t xml:space="preserve"> records assessed for eligibility</w:t>
                        </w:r>
                        <w:r w:rsidRPr="008F5F70">
                          <w:rPr>
                            <w:rFonts w:ascii="Times New Roman" w:hAnsi="Times New Roman" w:cs="Times New Roman"/>
                          </w:rPr>
                          <w:t xml:space="preserve"> (n=99)</w:t>
                        </w:r>
                      </w:p>
                      <w:p w14:paraId="32F1F872" w14:textId="77777777" w:rsidR="00461A2D" w:rsidRPr="008F5F70" w:rsidRDefault="00461A2D" w:rsidP="00461A2D">
                        <w:pPr>
                          <w:spacing w:after="0" w:line="240" w:lineRule="auto"/>
                          <w:rPr>
                            <w:rFonts w:ascii="Times New Roman" w:hAnsi="Times New Roman" w:cs="Times New Roman"/>
                          </w:rPr>
                        </w:pPr>
                      </w:p>
                    </w:txbxContent>
                  </v:textbox>
                </v:shape>
                <v:shape id="Text Box 1" o:spid="_x0000_s1028" type="#_x0000_t202" style="position:absolute;left:1752;top:26441;width:27204;height:7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" fillcolor="white [3201]" strokeweight=".5pt">
                  <v:textbox>
                    <w:txbxContent>
                      <w:p w14:paraId="10819170" w14:textId="77777777" w:rsidR="00461A2D" w:rsidRPr="008F5F70" w:rsidRDefault="00461A2D" w:rsidP="00461A2D">
                        <w:pPr>
                          <w:spacing w:after="0" w:line="240" w:lineRule="auto"/>
                          <w:rPr>
                            <w:rFonts w:ascii="Times New Roman" w:hAnsi="Times New Roman" w:cs="Times New Roman"/>
                          </w:rPr>
                        </w:pPr>
                        <w:r>
                          <w:rPr>
                            <w:rFonts w:ascii="Times New Roman" w:hAnsi="Times New Roman" w:cs="Times New Roman"/>
                          </w:rPr>
                          <w:t>Full text articles e</w:t>
                        </w:r>
                        <w:r w:rsidRPr="008F5F70">
                          <w:rPr>
                            <w:rFonts w:ascii="Times New Roman" w:hAnsi="Times New Roman" w:cs="Times New Roman"/>
                          </w:rPr>
                          <w:t>xcluded (n=2</w:t>
                        </w:r>
                        <w:r>
                          <w:rPr>
                            <w:rFonts w:ascii="Times New Roman" w:hAnsi="Times New Roman" w:cs="Times New Roman"/>
                          </w:rPr>
                          <w:t>7</w:t>
                        </w:r>
                        <w:r w:rsidRPr="008F5F70">
                          <w:rPr>
                            <w:rFonts w:ascii="Times New Roman" w:hAnsi="Times New Roman" w:cs="Times New Roman"/>
                          </w:rPr>
                          <w:t>)</w:t>
                        </w:r>
                      </w:p>
                      <w:p w14:paraId="55B5317B" w14:textId="77777777" w:rsidR="00461A2D" w:rsidRPr="008F5F70" w:rsidRDefault="00461A2D" w:rsidP="00461A2D">
                        <w:pPr>
                          <w:spacing w:after="0" w:line="240" w:lineRule="auto"/>
                          <w:ind w:left="720"/>
                          <w:rPr>
                            <w:rFonts w:ascii="Times New Roman" w:hAnsi="Times New Roman" w:cs="Times New Roman"/>
                          </w:rPr>
                        </w:pPr>
                        <w:r w:rsidRPr="008F5F70">
                          <w:rPr>
                            <w:rFonts w:ascii="Times New Roman" w:hAnsi="Times New Roman" w:cs="Times New Roman"/>
                          </w:rPr>
                          <w:t xml:space="preserve">No prevalence </w:t>
                        </w:r>
                        <w:r>
                          <w:rPr>
                            <w:rFonts w:ascii="Times New Roman" w:hAnsi="Times New Roman" w:cs="Times New Roman"/>
                          </w:rPr>
                          <w:t>data</w:t>
                        </w:r>
                        <w:r w:rsidRPr="008F5F70">
                          <w:rPr>
                            <w:rFonts w:ascii="Times New Roman" w:hAnsi="Times New Roman" w:cs="Times New Roman"/>
                          </w:rPr>
                          <w:t xml:space="preserve"> (n=</w:t>
                        </w:r>
                        <w:r>
                          <w:rPr>
                            <w:rFonts w:ascii="Times New Roman" w:hAnsi="Times New Roman" w:cs="Times New Roman"/>
                          </w:rPr>
                          <w:t>21</w:t>
                        </w:r>
                        <w:r w:rsidRPr="008F5F70">
                          <w:rPr>
                            <w:rFonts w:ascii="Times New Roman" w:hAnsi="Times New Roman" w:cs="Times New Roman"/>
                          </w:rPr>
                          <w:t>)</w:t>
                        </w:r>
                      </w:p>
                      <w:p w14:paraId="23381394" w14:textId="77777777" w:rsidR="00461A2D" w:rsidRPr="008F5F70" w:rsidRDefault="00461A2D" w:rsidP="00461A2D">
                        <w:pPr>
                          <w:spacing w:after="0" w:line="240" w:lineRule="auto"/>
                          <w:ind w:left="720"/>
                          <w:rPr>
                            <w:rFonts w:ascii="Times New Roman" w:hAnsi="Times New Roman" w:cs="Times New Roman"/>
                          </w:rPr>
                        </w:pPr>
                        <w:r>
                          <w:rPr>
                            <w:rFonts w:ascii="Times New Roman" w:hAnsi="Times New Roman" w:cs="Times New Roman"/>
                          </w:rPr>
                          <w:t xml:space="preserve">Not </w:t>
                        </w:r>
                        <w:r w:rsidRPr="008F5F70">
                          <w:rPr>
                            <w:rFonts w:ascii="Times New Roman" w:hAnsi="Times New Roman" w:cs="Times New Roman"/>
                          </w:rPr>
                          <w:t>geographic</w:t>
                        </w:r>
                        <w:r>
                          <w:rPr>
                            <w:rFonts w:ascii="Times New Roman" w:hAnsi="Times New Roman" w:cs="Times New Roman"/>
                          </w:rPr>
                          <w:t>ally</w:t>
                        </w:r>
                        <w:r w:rsidRPr="008F5F70">
                          <w:rPr>
                            <w:rFonts w:ascii="Times New Roman" w:hAnsi="Times New Roman" w:cs="Times New Roman"/>
                          </w:rPr>
                          <w:t xml:space="preserve"> specific (n=</w:t>
                        </w:r>
                        <w:r>
                          <w:rPr>
                            <w:rFonts w:ascii="Times New Roman" w:hAnsi="Times New Roman" w:cs="Times New Roman"/>
                          </w:rPr>
                          <w:t>6</w:t>
                        </w:r>
                        <w:r w:rsidRPr="008F5F70">
                          <w:rPr>
                            <w:rFonts w:ascii="Times New Roman" w:hAnsi="Times New Roman" w:cs="Times New Roman"/>
                          </w:rPr>
                          <w:t>)</w:t>
                        </w:r>
                      </w:p>
                      <w:p w14:paraId="3953CAB7" w14:textId="77777777" w:rsidR="00461A2D" w:rsidRPr="008F5F70" w:rsidRDefault="00461A2D" w:rsidP="00461A2D">
                        <w:pPr>
                          <w:spacing w:after="0" w:line="240" w:lineRule="auto"/>
                          <w:rPr>
                            <w:rFonts w:ascii="Times New Roman" w:hAnsi="Times New Roman" w:cs="Times New Roman"/>
                          </w:rPr>
                        </w:pPr>
                      </w:p>
                      <w:p w14:paraId="5E949FED" w14:textId="77777777" w:rsidR="00461A2D" w:rsidRPr="008F5F70" w:rsidRDefault="00461A2D" w:rsidP="00461A2D">
                        <w:pPr>
                          <w:spacing w:after="0" w:line="240" w:lineRule="auto"/>
                          <w:rPr>
                            <w:rFonts w:ascii="Times New Roman" w:hAnsi="Times New Roman" w:cs="Times New Roman"/>
                          </w:rPr>
                        </w:pPr>
                      </w:p>
                    </w:txbxContent>
                  </v:textbox>
                </v:shape>
                <v:shape id="Text Box 1" o:spid="_x0000_s1029" type="#_x0000_t202" style="position:absolute;left:32232;top:26212;width:3093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" fillcolor="white [3201]" strokeweight=".5pt">
                  <v:textbox>
                    <w:txbxContent>
                      <w:p w14:paraId="4930EB81" w14:textId="77777777" w:rsidR="00461A2D" w:rsidRPr="00707955" w:rsidRDefault="00461A2D" w:rsidP="00461A2D">
                        <w:pPr>
                          <w:spacing w:after="0" w:line="240" w:lineRule="auto"/>
                          <w:jc w:val="center"/>
                          <w:rPr>
                            <w:rFonts w:ascii="Times New Roman" w:hAnsi="Times New Roman" w:cs="Times New Roman"/>
                          </w:rPr>
                        </w:pPr>
                        <w:r w:rsidRPr="00707955">
                          <w:rPr>
                            <w:rFonts w:ascii="Times New Roman" w:hAnsi="Times New Roman" w:cs="Times New Roman"/>
                          </w:rPr>
                          <w:t xml:space="preserve">Studies </w:t>
                        </w:r>
                        <w:r>
                          <w:rPr>
                            <w:rFonts w:ascii="Times New Roman" w:hAnsi="Times New Roman" w:cs="Times New Roman"/>
                          </w:rPr>
                          <w:t xml:space="preserve">included in geospatial modeling </w:t>
                        </w:r>
                        <w:r w:rsidRPr="00707955">
                          <w:rPr>
                            <w:rFonts w:ascii="Times New Roman" w:hAnsi="Times New Roman" w:cs="Times New Roman"/>
                          </w:rPr>
                          <w:t>(n=7</w:t>
                        </w:r>
                        <w:r>
                          <w:rPr>
                            <w:rFonts w:ascii="Times New Roman" w:hAnsi="Times New Roman" w:cs="Times New Roman"/>
                          </w:rPr>
                          <w:t>2</w:t>
                        </w:r>
                        <w:r w:rsidRPr="00707955">
                          <w:rPr>
                            <w:rFonts w:ascii="Times New Roman" w:hAnsi="Times New Roman" w:cs="Times New Roman"/>
                          </w:rPr>
                          <w:t>)</w:t>
                        </w:r>
                      </w:p>
                      <w:p w14:paraId="74C77E7D" w14:textId="77777777" w:rsidR="00461A2D" w:rsidRPr="00707955" w:rsidRDefault="00461A2D" w:rsidP="00461A2D">
                        <w:pPr>
                          <w:spacing w:after="0" w:line="240" w:lineRule="auto"/>
                          <w:ind w:firstLine="720"/>
                          <w:jc w:val="center"/>
                          <w:rPr>
                            <w:rFonts w:ascii="Times New Roman" w:hAnsi="Times New Roman" w:cs="Times New Roman"/>
                          </w:rPr>
                        </w:pPr>
                        <w:r w:rsidRPr="00707955">
                          <w:rPr>
                            <w:rFonts w:ascii="Times New Roman" w:hAnsi="Times New Roman" w:cs="Times New Roman"/>
                          </w:rPr>
                          <w:t>Peer reviewed (n=6</w:t>
                        </w:r>
                        <w:r>
                          <w:rPr>
                            <w:rFonts w:ascii="Times New Roman" w:hAnsi="Times New Roman" w:cs="Times New Roman"/>
                          </w:rPr>
                          <w:t>0</w:t>
                        </w:r>
                        <w:r w:rsidRPr="00707955">
                          <w:rPr>
                            <w:rFonts w:ascii="Times New Roman" w:hAnsi="Times New Roman" w:cs="Times New Roman"/>
                          </w:rPr>
                          <w:t>)</w:t>
                        </w:r>
                      </w:p>
                      <w:p w14:paraId="244C7E51" w14:textId="77777777" w:rsidR="00461A2D" w:rsidRDefault="00461A2D" w:rsidP="00461A2D">
                        <w:pPr>
                          <w:spacing w:after="0" w:line="240" w:lineRule="auto"/>
                          <w:ind w:firstLine="720"/>
                          <w:jc w:val="center"/>
                          <w:rPr>
                            <w:rFonts w:ascii="Times New Roman" w:hAnsi="Times New Roman" w:cs="Times New Roman"/>
                          </w:rPr>
                        </w:pPr>
                        <w:r>
                          <w:rPr>
                            <w:rFonts w:ascii="Times New Roman" w:hAnsi="Times New Roman" w:cs="Times New Roman"/>
                          </w:rPr>
                          <w:t>T</w:t>
                        </w:r>
                        <w:r w:rsidRPr="00707955">
                          <w:rPr>
                            <w:rFonts w:ascii="Times New Roman" w:hAnsi="Times New Roman" w:cs="Times New Roman"/>
                          </w:rPr>
                          <w:t>hesis (n=11)</w:t>
                        </w:r>
                      </w:p>
                      <w:p w14:paraId="2596BB79" w14:textId="77777777" w:rsidR="00461A2D" w:rsidRPr="00707955" w:rsidRDefault="00461A2D" w:rsidP="00461A2D">
                        <w:pPr>
                          <w:spacing w:after="0" w:line="240" w:lineRule="auto"/>
                          <w:ind w:firstLine="720"/>
                          <w:jc w:val="center"/>
                          <w:rPr>
                            <w:rFonts w:ascii="Times New Roman" w:hAnsi="Times New Roman" w:cs="Times New Roman"/>
                          </w:rPr>
                        </w:pPr>
                        <w:r w:rsidRPr="00707955">
                          <w:rPr>
                            <w:rFonts w:ascii="Times New Roman" w:hAnsi="Times New Roman" w:cs="Times New Roman"/>
                          </w:rPr>
                          <w:t>Pre-print (n=1)</w:t>
                        </w:r>
                      </w:p>
                      <w:p w14:paraId="22A2E6D4" w14:textId="77777777" w:rsidR="00461A2D" w:rsidRPr="00707955" w:rsidRDefault="00461A2D" w:rsidP="00461A2D">
                        <w:pPr>
                          <w:spacing w:after="0" w:line="240" w:lineRule="auto"/>
                          <w:ind w:firstLine="720"/>
                          <w:jc w:val="center"/>
                          <w:rPr>
                            <w:rFonts w:ascii="Times New Roman" w:hAnsi="Times New Roman" w:cs="Times New Roman"/>
                          </w:rPr>
                        </w:pPr>
                      </w:p>
                    </w:txbxContent>
                  </v:textbox>
                </v:shape>
                <v:shape id="Text Box 1" o:spid="_x0000_s1030" type="#_x0000_t202" style="position:absolute;left:6477;width:41986;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" fillcolor="white [3201]" strokeweight=".5pt">
                  <v:textbox>
                    <w:txbxContent>
                      <w:p w14:paraId="24B796D8" w14:textId="77777777" w:rsidR="00461A2D" w:rsidRDefault="00461A2D" w:rsidP="00461A2D">
                        <w:pPr>
                          <w:spacing w:after="0" w:line="240" w:lineRule="auto"/>
                          <w:contextualSpacing/>
                          <w:jc w:val="center"/>
                          <w:rPr>
                            <w:rFonts w:ascii="Times New Roman" w:hAnsi="Times New Roman" w:cs="Times New Roman"/>
                          </w:rPr>
                        </w:pPr>
                        <w:r>
                          <w:rPr>
                            <w:rFonts w:ascii="Times New Roman" w:hAnsi="Times New Roman" w:cs="Times New Roman"/>
                          </w:rPr>
                          <w:t xml:space="preserve">Records identified through databases and other sources </w:t>
                        </w:r>
                        <w:r w:rsidRPr="008F5F70">
                          <w:rPr>
                            <w:rFonts w:ascii="Times New Roman" w:hAnsi="Times New Roman" w:cs="Times New Roman"/>
                          </w:rPr>
                          <w:t>(n=</w:t>
                        </w:r>
                        <w:r>
                          <w:rPr>
                            <w:rFonts w:ascii="Times New Roman" w:hAnsi="Times New Roman" w:cs="Times New Roman"/>
                          </w:rPr>
                          <w:t>1,753</w:t>
                        </w:r>
                        <w:r w:rsidRPr="008F5F70">
                          <w:rPr>
                            <w:rFonts w:ascii="Times New Roman" w:hAnsi="Times New Roman" w:cs="Times New Roman"/>
                          </w:rPr>
                          <w:t>)</w:t>
                        </w:r>
                      </w:p>
                    </w:txbxContent>
                  </v:textbox>
                </v:shape>
                <v:shape id="Text Box 1" o:spid="_x0000_s1031" type="#_x0000_t202" style="position:absolute;left:19050;top:12801;width:1874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" fillcolor="white [3201]" strokeweight=".5pt">
                  <v:textbox>
                    <w:txbxContent>
                      <w:p w14:paraId="74017CAF" w14:textId="77777777" w:rsidR="00461A2D" w:rsidRPr="008F5F70" w:rsidRDefault="00461A2D" w:rsidP="00461A2D">
                        <w:pPr>
                          <w:spacing w:after="0" w:line="240" w:lineRule="auto"/>
                          <w:contextualSpacing/>
                          <w:jc w:val="center"/>
                          <w:rPr>
                            <w:rFonts w:ascii="Times New Roman" w:hAnsi="Times New Roman" w:cs="Times New Roman"/>
                          </w:rPr>
                        </w:pPr>
                        <w:r>
                          <w:rPr>
                            <w:rFonts w:ascii="Times New Roman" w:hAnsi="Times New Roman" w:cs="Times New Roman"/>
                          </w:rPr>
                          <w:t>Records screened (n=1010)</w:t>
                        </w:r>
                      </w:p>
                    </w:txbxContent>
                  </v:textbox>
                </v:shape>
                <v:shape id="Text Box 1" o:spid="_x0000_s1032" type="#_x0000_t202" style="position:absolute;left:18669;top:6858;width:1950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" fillcolor="white [3201]" strokeweight=".5pt">
                  <v:textbox>
                    <w:txbxContent>
                      <w:p w14:paraId="7D31EE0E" w14:textId="77777777" w:rsidR="00461A2D" w:rsidRPr="008F5F70" w:rsidRDefault="00461A2D" w:rsidP="00461A2D">
                        <w:pPr>
                          <w:spacing w:after="0" w:line="240" w:lineRule="auto"/>
                          <w:contextualSpacing/>
                          <w:jc w:val="center"/>
                          <w:rPr>
                            <w:rFonts w:ascii="Times New Roman" w:hAnsi="Times New Roman" w:cs="Times New Roman"/>
                          </w:rPr>
                        </w:pPr>
                        <w:r>
                          <w:rPr>
                            <w:rFonts w:ascii="Times New Roman" w:hAnsi="Times New Roman" w:cs="Times New Roman"/>
                          </w:rPr>
                          <w:t>Duplicates removed (n=743)</w:t>
                        </w:r>
                      </w:p>
                    </w:txbxContent>
                  </v:textbox>
                </v:shape>
                <v:shape id="Text Box 1" o:spid="_x0000_s1033" type="#_x0000_t202" style="position:absolute;top:18669;width:18440;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" fillcolor="white [3201]" strokeweight=".5pt">
                  <v:textbox>
                    <w:txbxContent>
                      <w:p w14:paraId="64964545" w14:textId="77777777" w:rsidR="00461A2D" w:rsidRPr="008F5F70" w:rsidRDefault="00461A2D" w:rsidP="00461A2D">
                        <w:pPr>
                          <w:spacing w:after="0" w:line="240" w:lineRule="auto"/>
                          <w:contextualSpacing/>
                          <w:jc w:val="center"/>
                          <w:rPr>
                            <w:rFonts w:ascii="Times New Roman" w:hAnsi="Times New Roman" w:cs="Times New Roman"/>
                          </w:rPr>
                        </w:pPr>
                        <w:r>
                          <w:rPr>
                            <w:rFonts w:ascii="Times New Roman" w:hAnsi="Times New Roman" w:cs="Times New Roman"/>
                          </w:rPr>
                          <w:t>Records excluded (n=911)</w:t>
                        </w:r>
                      </w:p>
                    </w:txbxContent>
                  </v:textbox>
                </v:shape>
                <v:shapetype id="_x0000_t32" coordsize="21600,21600" o:spt="32" o:oned="t" path="m,l21600,21600e" filled="f">
                  <v:path arrowok="t" fillok="f" o:connecttype="none"/>
                  <o:lock v:ext="edit" shapetype="t"/>
                </v:shapetype>
                <v:shape id="Straight Arrow Connector 11" o:spid="_x0000_s1034" type="#_x0000_t32" style="position:absolute;left:28346;top:3657;width:7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" strokecolor="black [3200]" strokeweight=".5pt">
                  <v:stroke endarrow="block" joinstyle="miter"/>
                </v:shape>
                <v:shape id="Straight Arrow Connector 11" o:spid="_x0000_s1035" type="#_x0000_t32" style="position:absolute;left:28498;top:9601;width:77;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" strokecolor="black [3200]" strokeweight=".5pt">
                  <v:stroke endarrow="block" joinstyle="miter"/>
                </v:shape>
                <v:shape id="Straight Arrow Connector 12" o:spid="_x0000_s1036" type="#_x0000_t32" style="position:absolute;left:13716;top:15849;width:14478;height:26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" strokecolor="black [3200]" strokeweight=".5pt">
                  <v:stroke endarrow="block" joinstyle="miter"/>
                </v:shape>
                <v:shape id="Straight Arrow Connector 12" o:spid="_x0000_s1037" type="#_x0000_t32" style="position:absolute;left:27889;top:15849;width:15468;height:28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" strokecolor="black [3200]" strokeweight=".5pt">
                  <v:stroke endarrow="block" joinstyle="miter"/>
                </v:shape>
                <v:shape id="Straight Arrow Connector 13" o:spid="_x0000_s1038" type="#_x0000_t32" style="position:absolute;left:15011;top:22174;width:16535;height:42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" strokecolor="black [3200]" strokeweight=".5pt">
                  <v:stroke endarrow="block" joinstyle="miter"/>
                </v:shape>
                <v:shape id="Straight Arrow Connector 12" o:spid="_x0000_s1039" type="#_x0000_t32" style="position:absolute;left:31165;top:22250;width:17069;height:37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" strokecolor="black [3200]" strokeweight=".5pt">
                  <v:stroke endarrow="block" joinstyle="miter"/>
                </v:shape>
                <w10:anchorlock/>
              </v:group>
            </w:pict>
          </mc:Fallback>
        </mc:AlternateContent>
      </w:r>
      <w:r w:rsidRPr="00AE371D">
        <w:rPr>
          <w:rFonts w:ascii="Times New Roman" w:hAnsi="Times New Roman" w:cs="Times New Roman"/>
          <w:sz w:val="24"/>
          <w:szCs w:val="24"/>
        </w:rPr>
        <w:t xml:space="preserve"> </w:t>
      </w:r>
    </w:p>
    <w:p w14:paraId="6F2387EB" w14:textId="77777777" w:rsidR="00461A2D" w:rsidRPr="00AE371D" w:rsidRDefault="00461A2D" w:rsidP="00A2316B">
      <w:pPr>
        <w:spacing w:after="0" w:line="480" w:lineRule="auto"/>
        <w:rPr>
          <w:rFonts w:ascii="Times New Roman" w:hAnsi="Times New Roman" w:cs="Times New Roman"/>
          <w:sz w:val="24"/>
          <w:szCs w:val="24"/>
        </w:rPr>
      </w:pPr>
      <w:r w:rsidRPr="00AE371D">
        <w:rPr>
          <w:rFonts w:ascii="Times New Roman" w:hAnsi="Times New Roman" w:cs="Times New Roman"/>
          <w:b/>
          <w:bCs/>
          <w:sz w:val="24"/>
          <w:szCs w:val="24"/>
        </w:rPr>
        <w:t>S1 Figure:</w:t>
      </w:r>
      <w:r w:rsidRPr="00AE371D">
        <w:rPr>
          <w:rFonts w:ascii="Times New Roman" w:hAnsi="Times New Roman" w:cs="Times New Roman"/>
          <w:sz w:val="24"/>
          <w:szCs w:val="24"/>
        </w:rPr>
        <w:t xml:space="preserve"> Flow chart of study selection and inclusion</w:t>
      </w:r>
    </w:p>
    <w:p w14:paraId="41223DDA" w14:textId="77777777" w:rsidR="00461A2D" w:rsidRPr="00AE371D" w:rsidRDefault="00461A2D" w:rsidP="00A2316B">
      <w:pPr>
        <w:spacing w:after="0" w:line="480" w:lineRule="auto"/>
        <w:rPr>
          <w:rFonts w:ascii="Times New Roman" w:hAnsi="Times New Roman" w:cs="Times New Roman"/>
          <w:sz w:val="24"/>
          <w:szCs w:val="24"/>
        </w:rPr>
        <w:sectPr w:rsidR="00461A2D" w:rsidRPr="00AE371D" w:rsidSect="00461A2D">
          <w:footerReference w:type="default" r:id="rId9"/>
          <w:type w:val="continuous"/>
          <w:pgSz w:w="12240" w:h="18000" w:code="1"/>
          <w:pgMar w:top="1440" w:right="1440" w:bottom="1440" w:left="1440" w:header="720" w:footer="720" w:gutter="0"/>
          <w:lnNumType w:countBy="1" w:restart="continuous"/>
          <w:cols w:space="720"/>
          <w:docGrid w:linePitch="360"/>
        </w:sectPr>
      </w:pPr>
    </w:p>
    <w:p w14:paraId="59ABBB38" w14:textId="77777777" w:rsidR="00461A2D" w:rsidRPr="00AE371D" w:rsidRDefault="00461A2D" w:rsidP="00A2316B">
      <w:pPr>
        <w:spacing w:after="0" w:line="480" w:lineRule="auto"/>
        <w:rPr>
          <w:rFonts w:ascii="Times New Roman" w:hAnsi="Times New Roman" w:cs="Times New Roman"/>
          <w:sz w:val="24"/>
          <w:szCs w:val="24"/>
        </w:rPr>
      </w:pPr>
      <w:bookmarkStart w:id="1" w:name="_Hlk213733354"/>
      <w:r w:rsidRPr="00AE371D">
        <w:rPr>
          <w:rFonts w:ascii="Times New Roman" w:hAnsi="Times New Roman" w:cs="Times New Roman"/>
          <w:b/>
          <w:bCs/>
          <w:sz w:val="24"/>
          <w:szCs w:val="24"/>
        </w:rPr>
        <w:lastRenderedPageBreak/>
        <w:t>S1 Table</w:t>
      </w:r>
      <w:bookmarkEnd w:id="1"/>
      <w:r w:rsidRPr="00AE371D">
        <w:rPr>
          <w:rFonts w:ascii="Times New Roman" w:hAnsi="Times New Roman" w:cs="Times New Roman"/>
          <w:b/>
          <w:bCs/>
          <w:sz w:val="24"/>
          <w:szCs w:val="24"/>
        </w:rPr>
        <w:t>:</w:t>
      </w:r>
      <w:r w:rsidRPr="00AE371D">
        <w:rPr>
          <w:rFonts w:ascii="Times New Roman" w:hAnsi="Times New Roman" w:cs="Times New Roman"/>
          <w:sz w:val="24"/>
          <w:szCs w:val="24"/>
        </w:rPr>
        <w:t xml:space="preserve"> Characteristics of included studies on onchocerciasis in Ghana</w:t>
      </w:r>
    </w:p>
    <w:tbl>
      <w:tblPr>
        <w:tblStyle w:val="TableGrid"/>
        <w:tblW w:w="14356" w:type="dxa"/>
        <w:tblLook w:val="04A0" w:firstRow="1" w:lastRow="0" w:firstColumn="1" w:lastColumn="0" w:noHBand="0" w:noVBand="1"/>
      </w:tblPr>
      <w:tblGrid>
        <w:gridCol w:w="1316"/>
        <w:gridCol w:w="1102"/>
        <w:gridCol w:w="1383"/>
        <w:gridCol w:w="3202"/>
        <w:gridCol w:w="7353"/>
      </w:tblGrid>
      <w:tr w:rsidR="00AE371D" w:rsidRPr="00AE371D" w14:paraId="1FEF7250" w14:textId="77777777" w:rsidTr="0025647A">
        <w:trPr>
          <w:trHeight w:val="612"/>
        </w:trPr>
        <w:tc>
          <w:tcPr>
            <w:tcW w:w="1316" w:type="dxa"/>
            <w:noWrap/>
            <w:hideMark/>
          </w:tcPr>
          <w:p w14:paraId="2C3A4A2E" w14:textId="77777777" w:rsidR="00461A2D" w:rsidRPr="00AE371D" w:rsidRDefault="00461A2D" w:rsidP="006F7045">
            <w:pPr>
              <w:rPr>
                <w:rFonts w:ascii="Times New Roman" w:eastAsia="Times New Roman" w:hAnsi="Times New Roman" w:cs="Times New Roman"/>
                <w:b/>
                <w:bCs/>
                <w:kern w:val="0"/>
                <w:sz w:val="20"/>
                <w:szCs w:val="20"/>
                <w14:ligatures w14:val="none"/>
              </w:rPr>
            </w:pPr>
            <w:r w:rsidRPr="00AE371D">
              <w:rPr>
                <w:rFonts w:ascii="Times New Roman" w:eastAsia="Times New Roman" w:hAnsi="Times New Roman" w:cs="Times New Roman"/>
                <w:b/>
                <w:bCs/>
                <w:kern w:val="0"/>
                <w:sz w:val="20"/>
                <w:szCs w:val="20"/>
                <w14:ligatures w14:val="none"/>
              </w:rPr>
              <w:t>First author (Year) (Ref)</w:t>
            </w:r>
          </w:p>
        </w:tc>
        <w:tc>
          <w:tcPr>
            <w:tcW w:w="1102" w:type="dxa"/>
            <w:noWrap/>
            <w:hideMark/>
          </w:tcPr>
          <w:p w14:paraId="533CA3B2" w14:textId="77777777" w:rsidR="00461A2D" w:rsidRPr="00AE371D" w:rsidRDefault="00461A2D" w:rsidP="006F7045">
            <w:pPr>
              <w:rPr>
                <w:rFonts w:ascii="Times New Roman" w:eastAsia="Times New Roman" w:hAnsi="Times New Roman" w:cs="Times New Roman"/>
                <w:b/>
                <w:bCs/>
                <w:kern w:val="0"/>
                <w:sz w:val="20"/>
                <w:szCs w:val="20"/>
                <w14:ligatures w14:val="none"/>
              </w:rPr>
            </w:pPr>
            <w:r w:rsidRPr="00AE371D">
              <w:rPr>
                <w:rFonts w:ascii="Times New Roman" w:eastAsia="Times New Roman" w:hAnsi="Times New Roman" w:cs="Times New Roman"/>
                <w:b/>
                <w:bCs/>
                <w:kern w:val="0"/>
                <w:sz w:val="20"/>
                <w:szCs w:val="20"/>
                <w14:ligatures w14:val="none"/>
              </w:rPr>
              <w:t>Source type</w:t>
            </w:r>
          </w:p>
        </w:tc>
        <w:tc>
          <w:tcPr>
            <w:tcW w:w="1383" w:type="dxa"/>
            <w:noWrap/>
            <w:hideMark/>
          </w:tcPr>
          <w:p w14:paraId="5860CD76" w14:textId="77777777" w:rsidR="00461A2D" w:rsidRPr="00AE371D" w:rsidRDefault="00461A2D" w:rsidP="006F7045">
            <w:pPr>
              <w:rPr>
                <w:rFonts w:ascii="Times New Roman" w:eastAsia="Times New Roman" w:hAnsi="Times New Roman" w:cs="Times New Roman"/>
                <w:b/>
                <w:bCs/>
                <w:kern w:val="0"/>
                <w:sz w:val="20"/>
                <w:szCs w:val="20"/>
                <w14:ligatures w14:val="none"/>
              </w:rPr>
            </w:pPr>
            <w:r w:rsidRPr="00AE371D">
              <w:rPr>
                <w:rFonts w:ascii="Times New Roman" w:eastAsia="Times New Roman" w:hAnsi="Times New Roman" w:cs="Times New Roman"/>
                <w:b/>
                <w:bCs/>
                <w:kern w:val="0"/>
                <w:sz w:val="20"/>
                <w:szCs w:val="20"/>
                <w14:ligatures w14:val="none"/>
              </w:rPr>
              <w:t>Region</w:t>
            </w:r>
          </w:p>
        </w:tc>
        <w:tc>
          <w:tcPr>
            <w:tcW w:w="3202" w:type="dxa"/>
            <w:noWrap/>
            <w:hideMark/>
          </w:tcPr>
          <w:p w14:paraId="14B713FE" w14:textId="77777777" w:rsidR="00461A2D" w:rsidRPr="00AE371D" w:rsidRDefault="00461A2D" w:rsidP="006F7045">
            <w:pPr>
              <w:rPr>
                <w:rFonts w:ascii="Times New Roman" w:eastAsia="Times New Roman" w:hAnsi="Times New Roman" w:cs="Times New Roman"/>
                <w:b/>
                <w:bCs/>
                <w:kern w:val="0"/>
                <w:sz w:val="20"/>
                <w:szCs w:val="20"/>
                <w14:ligatures w14:val="none"/>
              </w:rPr>
            </w:pPr>
            <w:r w:rsidRPr="00AE371D">
              <w:rPr>
                <w:rFonts w:ascii="Times New Roman" w:eastAsia="Times New Roman" w:hAnsi="Times New Roman" w:cs="Times New Roman"/>
                <w:b/>
                <w:bCs/>
                <w:kern w:val="0"/>
                <w:sz w:val="20"/>
                <w:szCs w:val="20"/>
                <w14:ligatures w14:val="none"/>
              </w:rPr>
              <w:t>Municipal/District/Subdistrict</w:t>
            </w:r>
          </w:p>
        </w:tc>
        <w:tc>
          <w:tcPr>
            <w:tcW w:w="7353" w:type="dxa"/>
            <w:noWrap/>
            <w:hideMark/>
          </w:tcPr>
          <w:p w14:paraId="4E86AEDF" w14:textId="77777777" w:rsidR="00461A2D" w:rsidRPr="00AE371D" w:rsidRDefault="00461A2D" w:rsidP="006F7045">
            <w:pPr>
              <w:rPr>
                <w:rFonts w:ascii="Times New Roman" w:eastAsia="Times New Roman" w:hAnsi="Times New Roman" w:cs="Times New Roman"/>
                <w:b/>
                <w:bCs/>
                <w:kern w:val="0"/>
                <w:sz w:val="20"/>
                <w:szCs w:val="20"/>
                <w14:ligatures w14:val="none"/>
              </w:rPr>
            </w:pPr>
            <w:r w:rsidRPr="00AE371D">
              <w:rPr>
                <w:rFonts w:ascii="Times New Roman" w:eastAsia="Times New Roman" w:hAnsi="Times New Roman" w:cs="Times New Roman"/>
                <w:b/>
                <w:bCs/>
                <w:kern w:val="0"/>
                <w:sz w:val="20"/>
                <w:szCs w:val="20"/>
                <w14:ligatures w14:val="none"/>
              </w:rPr>
              <w:t>Community</w:t>
            </w:r>
          </w:p>
        </w:tc>
      </w:tr>
      <w:tr w:rsidR="00AE371D" w:rsidRPr="00AE371D" w14:paraId="1A0B95EE" w14:textId="77777777" w:rsidTr="0025647A">
        <w:trPr>
          <w:trHeight w:val="312"/>
        </w:trPr>
        <w:tc>
          <w:tcPr>
            <w:tcW w:w="1316" w:type="dxa"/>
            <w:noWrap/>
            <w:hideMark/>
          </w:tcPr>
          <w:p w14:paraId="40011D9C" w14:textId="2BDC6A7C"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Hughes (1951)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twOtPGR3","properties":{"formattedCitation":"[40]","plainCitation":"[40]","noteIndex":0},"citationItems":[{"id":"kQ8JjSWs/SErGA5xW","uris":["http://www.mendeley.com/documents/?uuid=0c6ca1ae-7c13-4c7d-bf40-e392c638947b"],"itemData":{"author":[{"dropping-particle":"","family":"Hughes","given":"M. H.","non-dropping-particle":"","parse-names":false,"suffix":""},{"dropping-particle":"","family":"Daly","given":"P. F.","non-dropping-particle":"","parse-names":false,"suffix":""}],"container-title":"Trans R Soc Trop Med Hyg","id":"ITEM-1","issue":"2","issued":{"date-parts":[["1951"]]},"page":"243-252","title":"ONCHOCERCIASIS IN THE SOUTHERN GOLD","type":"article-journal","volume":"45"}}],"schema":"https://github.com/citation-style-language/schema/raw/master/csl-citation.json"}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[40]</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5D9CC8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0F873AB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Volta</w:t>
            </w:r>
          </w:p>
        </w:tc>
        <w:tc>
          <w:tcPr>
            <w:tcW w:w="3202" w:type="dxa"/>
            <w:noWrap/>
            <w:hideMark/>
          </w:tcPr>
          <w:p w14:paraId="51E5689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68EAFD7D"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Agbotia</w:t>
            </w:r>
            <w:proofErr w:type="spellEnd"/>
          </w:p>
        </w:tc>
      </w:tr>
      <w:tr w:rsidR="00AE371D" w:rsidRPr="00AE371D" w14:paraId="12666D2E" w14:textId="77777777" w:rsidTr="0025647A">
        <w:trPr>
          <w:trHeight w:val="312"/>
        </w:trPr>
        <w:tc>
          <w:tcPr>
            <w:tcW w:w="1316" w:type="dxa"/>
            <w:noWrap/>
            <w:hideMark/>
          </w:tcPr>
          <w:p w14:paraId="4983860E" w14:textId="17780146"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Sarkies</w:t>
            </w:r>
            <w:proofErr w:type="spellEnd"/>
            <w:r w:rsidRPr="00AE371D">
              <w:rPr>
                <w:rFonts w:ascii="Times New Roman" w:eastAsia="Times New Roman" w:hAnsi="Times New Roman" w:cs="Times New Roman"/>
                <w:kern w:val="0"/>
                <w:sz w:val="20"/>
                <w:szCs w:val="20"/>
                <w14:ligatures w14:val="none"/>
              </w:rPr>
              <w:t xml:space="preserve"> (1952)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zazCCdcf","properties":{"formattedCitation":"[41]","plainCitation":"[41]","noteIndex":0},"citationItems":[{"id":"kQ8JjSWs/hW63bXRb","uris":["http://www.mendeley.com/documents/?uuid=1c3f4f3a-8977-47f9-b335-446d2b6bb4fe"],"itemData":{"DOI":"10.1080/00034983.1952.11685524","ISSN":"13648594","PMID":"13008350","author":[{"dropping-particle":"","family":"Sarkies","given":"J. W.R.","non-dropping-particle":"","parse-names":false,"suffix":""}],"container-title":"Annals of Tropical Medicine and Parasitology","id":"ITEM-1","issue":"3","issued":{"date-parts":[["1952"]]},"note":"information presented in a atable for prevalence of onchocerciasis among blind people could be useful for pre-treatment records","page":"214-217","title":"Onchocerciasis and trachoma in the gold coast","type":"article-journal","volume":"46"}}],"schema":"https://github.com/citation-style-language/schema/raw/master/csl-citation.json"}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[41]</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5BAA29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3FBB2E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Northern</w:t>
            </w:r>
          </w:p>
        </w:tc>
        <w:tc>
          <w:tcPr>
            <w:tcW w:w="3202" w:type="dxa"/>
            <w:noWrap/>
            <w:hideMark/>
          </w:tcPr>
          <w:p w14:paraId="1A0BF98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Tamale, Yendi</w:t>
            </w:r>
          </w:p>
        </w:tc>
        <w:tc>
          <w:tcPr>
            <w:tcW w:w="7353" w:type="dxa"/>
            <w:noWrap/>
            <w:hideMark/>
          </w:tcPr>
          <w:p w14:paraId="58716CC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4E21961A" w14:textId="77777777" w:rsidTr="0025647A">
        <w:trPr>
          <w:trHeight w:val="312"/>
        </w:trPr>
        <w:tc>
          <w:tcPr>
            <w:tcW w:w="1316" w:type="dxa"/>
            <w:noWrap/>
            <w:hideMark/>
          </w:tcPr>
          <w:p w14:paraId="7E77263E" w14:textId="145E0D1D"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Sarkies</w:t>
            </w:r>
            <w:proofErr w:type="spellEnd"/>
            <w:r w:rsidRPr="00AE371D">
              <w:rPr>
                <w:rFonts w:ascii="Times New Roman" w:eastAsia="Times New Roman" w:hAnsi="Times New Roman" w:cs="Times New Roman"/>
                <w:kern w:val="0"/>
                <w:sz w:val="20"/>
                <w:szCs w:val="20"/>
                <w14:ligatures w14:val="none"/>
              </w:rPr>
              <w:t xml:space="preserve"> (1952)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5D5qKadJ","properties":{"formattedCitation":"[41]","plainCitation":"[41]","noteIndex":0},"citationItems":[{"id":"kQ8JjSWs/hW63bXRb","uris":["http://www.mendeley.com/documents/?uuid=1c3f4f3a-8977-47f9-b335-446d2b6bb4fe"],"itemData":{"DOI":"10.1080/00034983.1952.11685524","ISSN":"13648594","PMID":"13008350","author":[{"dropping-particle":"","family":"Sarkies","given":"J. W.R.","non-dropping-particle":"","parse-names":false,"suffix":""}],"container-title":"Annals of Tropical Medicine and Parasitology","id":"ITEM-1","issue":"3","issued":{"date-parts":[["1952"]]},"note":"information presented in a atable for prevalence of onchocerciasis among blind people could be useful for pre-treatment records","page":"214-217","title":"Onchocerciasis and trachoma in the gold coast","type":"article-journal","volume":"46"}}],"schema":"https://github.com/citation-style-language/schema/raw/master/csl-citation.json"}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[41]</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3C0322F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5F62378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North East</w:t>
            </w:r>
          </w:p>
        </w:tc>
        <w:tc>
          <w:tcPr>
            <w:tcW w:w="3202" w:type="dxa"/>
            <w:noWrap/>
            <w:hideMark/>
          </w:tcPr>
          <w:p w14:paraId="55F8F3EF"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Gambaga</w:t>
            </w:r>
            <w:proofErr w:type="spellEnd"/>
            <w:r w:rsidRPr="00AE371D">
              <w:rPr>
                <w:rFonts w:ascii="Times New Roman" w:eastAsia="Times New Roman" w:hAnsi="Times New Roman" w:cs="Times New Roman"/>
                <w:kern w:val="0"/>
                <w:sz w:val="20"/>
                <w:szCs w:val="20"/>
                <w14:ligatures w14:val="none"/>
              </w:rPr>
              <w:t xml:space="preserve"> </w:t>
            </w:r>
          </w:p>
        </w:tc>
        <w:tc>
          <w:tcPr>
            <w:tcW w:w="7353" w:type="dxa"/>
            <w:noWrap/>
            <w:hideMark/>
          </w:tcPr>
          <w:p w14:paraId="4AB2F30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7E2AA969" w14:textId="77777777" w:rsidTr="0025647A">
        <w:trPr>
          <w:trHeight w:val="312"/>
        </w:trPr>
        <w:tc>
          <w:tcPr>
            <w:tcW w:w="1316" w:type="dxa"/>
            <w:noWrap/>
            <w:hideMark/>
          </w:tcPr>
          <w:p w14:paraId="79883F61" w14:textId="7EA382F9"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Sarkies</w:t>
            </w:r>
            <w:proofErr w:type="spellEnd"/>
            <w:r w:rsidRPr="00AE371D">
              <w:rPr>
                <w:rFonts w:ascii="Times New Roman" w:eastAsia="Times New Roman" w:hAnsi="Times New Roman" w:cs="Times New Roman"/>
                <w:kern w:val="0"/>
                <w:sz w:val="20"/>
                <w:szCs w:val="20"/>
                <w14:ligatures w14:val="none"/>
              </w:rPr>
              <w:t xml:space="preserve"> (1952)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hyqJQGe9","properties":{"formattedCitation":"[41]","plainCitation":"[41]","noteIndex":0},"citationItems":[{"id":"kQ8JjSWs/hW63bXRb","uris":["http://www.mendeley.com/documents/?uuid=1c3f4f3a-8977-47f9-b335-446d2b6bb4fe"],"itemData":{"DOI":"10.1080/00034983.1952.11685524","ISSN":"13648594","PMID":"13008350","author":[{"dropping-particle":"","family":"Sarkies","given":"J. W.R.","non-dropping-particle":"","parse-names":false,"suffix":""}],"container-title":"Annals of Tropical Medicine and Parasitology","id":"ITEM-1","issue":"3","issued":{"date-parts":[["1952"]]},"note":"information presented in a atable for prevalence of onchocerciasis among blind people could be useful for pre-treatment records","page":"214-217","title":"Onchocerciasis and trachoma in the gold coast","type":"article-journal","volume":"46"}}],"schema":"https://github.com/citation-style-language/schema/raw/master/csl-citation.json"}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[41]</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7AF4679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0D36254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Upper East</w:t>
            </w:r>
          </w:p>
        </w:tc>
        <w:tc>
          <w:tcPr>
            <w:tcW w:w="3202" w:type="dxa"/>
            <w:noWrap/>
            <w:hideMark/>
          </w:tcPr>
          <w:p w14:paraId="7140FB84"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Navrongo</w:t>
            </w:r>
            <w:proofErr w:type="spellEnd"/>
            <w:r w:rsidRPr="00AE371D">
              <w:rPr>
                <w:rFonts w:ascii="Times New Roman" w:eastAsia="Times New Roman" w:hAnsi="Times New Roman" w:cs="Times New Roman"/>
                <w:kern w:val="0"/>
                <w:sz w:val="20"/>
                <w:szCs w:val="20"/>
                <w14:ligatures w14:val="none"/>
              </w:rPr>
              <w:t>, Bawku</w:t>
            </w:r>
          </w:p>
        </w:tc>
        <w:tc>
          <w:tcPr>
            <w:tcW w:w="7353" w:type="dxa"/>
            <w:noWrap/>
            <w:hideMark/>
          </w:tcPr>
          <w:p w14:paraId="64FDF84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67611C94" w14:textId="77777777" w:rsidTr="0025647A">
        <w:trPr>
          <w:trHeight w:val="312"/>
        </w:trPr>
        <w:tc>
          <w:tcPr>
            <w:tcW w:w="1316" w:type="dxa"/>
            <w:noWrap/>
            <w:hideMark/>
          </w:tcPr>
          <w:p w14:paraId="45B21762" w14:textId="6EED1F26"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Sarkies</w:t>
            </w:r>
            <w:proofErr w:type="spellEnd"/>
            <w:r w:rsidRPr="00AE371D">
              <w:rPr>
                <w:rFonts w:ascii="Times New Roman" w:eastAsia="Times New Roman" w:hAnsi="Times New Roman" w:cs="Times New Roman"/>
                <w:kern w:val="0"/>
                <w:sz w:val="20"/>
                <w:szCs w:val="20"/>
                <w14:ligatures w14:val="none"/>
              </w:rPr>
              <w:t xml:space="preserve"> (1952)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6MWPkbJ6","properties":{"formattedCitation":"[41]","plainCitation":"[41]","noteIndex":0},"citationItems":[{"id":"kQ8JjSWs/hW63bXRb","uris":["http://www.mendeley.com/documents/?uuid=1c3f4f3a-8977-47f9-b335-446d2b6bb4fe"],"itemData":{"DOI":"10.1080/00034983.1952.11685524","ISSN":"13648594","PMID":"13008350","author":[{"dropping-particle":"","family":"Sarkies","given":"J. W.R.","non-dropping-particle":"","parse-names":false,"suffix":""}],"container-title":"Annals of Tropical Medicine and Parasitology","id":"ITEM-1","issue":"3","issued":{"date-parts":[["1952"]]},"note":"information presented in a atable for prevalence of onchocerciasis among blind people could be useful for pre-treatment records","page":"214-217","title":"Onchocerciasis and trachoma in the gold coast","type":"article-journal","volume":"46"}}],"schema":"https://github.com/citation-style-language/schema/raw/master/csl-citation.json"}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[41]</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C37D65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65272D0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Upper West </w:t>
            </w:r>
          </w:p>
        </w:tc>
        <w:tc>
          <w:tcPr>
            <w:tcW w:w="3202" w:type="dxa"/>
            <w:noWrap/>
            <w:hideMark/>
          </w:tcPr>
          <w:p w14:paraId="2AF79327"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Wa</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Kulpawn</w:t>
            </w:r>
            <w:proofErr w:type="spellEnd"/>
            <w:r w:rsidRPr="00AE371D">
              <w:rPr>
                <w:rFonts w:ascii="Times New Roman" w:eastAsia="Times New Roman" w:hAnsi="Times New Roman" w:cs="Times New Roman"/>
                <w:kern w:val="0"/>
                <w:sz w:val="20"/>
                <w:szCs w:val="20"/>
                <w14:ligatures w14:val="none"/>
              </w:rPr>
              <w:t xml:space="preserve"> Valley </w:t>
            </w:r>
          </w:p>
        </w:tc>
        <w:tc>
          <w:tcPr>
            <w:tcW w:w="7353" w:type="dxa"/>
            <w:noWrap/>
            <w:hideMark/>
          </w:tcPr>
          <w:p w14:paraId="76D513A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14768FD4" w14:textId="77777777" w:rsidTr="0025647A">
        <w:trPr>
          <w:trHeight w:val="312"/>
        </w:trPr>
        <w:tc>
          <w:tcPr>
            <w:tcW w:w="1316" w:type="dxa"/>
            <w:noWrap/>
            <w:hideMark/>
          </w:tcPr>
          <w:p w14:paraId="13924B49" w14:textId="27C69CD8"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Sarkies</w:t>
            </w:r>
            <w:proofErr w:type="spellEnd"/>
            <w:r w:rsidRPr="00AE371D">
              <w:rPr>
                <w:rFonts w:ascii="Times New Roman" w:eastAsia="Times New Roman" w:hAnsi="Times New Roman" w:cs="Times New Roman"/>
                <w:kern w:val="0"/>
                <w:sz w:val="20"/>
                <w:szCs w:val="20"/>
                <w14:ligatures w14:val="none"/>
              </w:rPr>
              <w:t xml:space="preserve"> (1952)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JKIh5E8B","properties":{"formattedCitation":"[41]","plainCitation":"[41]","noteIndex":0},"citationItems":[{"id":"kQ8JjSWs/hW63bXRb","uris":["http://www.mendeley.com/documents/?uuid=1c3f4f3a-8977-47f9-b335-446d2b6bb4fe"],"itemData":{"DOI":"10.1080/00034983.1952.11685524","ISSN":"13648594","PMID":"13008350","author":[{"dropping-particle":"","family":"Sarkies","given":"J. W.R.","non-dropping-particle":"","parse-names":false,"suffix":""}],"container-title":"Annals of Tropical Medicine and Parasitology","id":"ITEM-1","issue":"3","issued":{"date-parts":[["1952"]]},"note":"information presented in a atable for prevalence of onchocerciasis among blind people could be useful for pre-treatment records","page":"214-217","title":"Onchocerciasis and trachoma in the gold coast","type":"article-journal","volume":"46"}}],"schema":"https://github.com/citation-style-language/schema/raw/master/csl-citation.json"}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[41]</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E5EEA1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4A48360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Greater Accra</w:t>
            </w:r>
          </w:p>
        </w:tc>
        <w:tc>
          <w:tcPr>
            <w:tcW w:w="3202" w:type="dxa"/>
            <w:noWrap/>
            <w:hideMark/>
          </w:tcPr>
          <w:p w14:paraId="4F4D55C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Accra</w:t>
            </w:r>
          </w:p>
        </w:tc>
        <w:tc>
          <w:tcPr>
            <w:tcW w:w="7353" w:type="dxa"/>
            <w:noWrap/>
            <w:hideMark/>
          </w:tcPr>
          <w:p w14:paraId="64E085B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67D95FCE" w14:textId="77777777" w:rsidTr="0025647A">
        <w:trPr>
          <w:trHeight w:val="312"/>
        </w:trPr>
        <w:tc>
          <w:tcPr>
            <w:tcW w:w="1316" w:type="dxa"/>
            <w:noWrap/>
            <w:hideMark/>
          </w:tcPr>
          <w:p w14:paraId="23788365" w14:textId="67995BAB"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McLean (1959)</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rKn7x6aY","properties":{"formattedCitation":"[42]","plainCitation":"[42]","noteIndex":0},"citationItems":[{"id":"kQ8JjSWs/hEJzpjDc","uris":["http://www.mendeley.com/documents/?uuid=63311b23-e45d-4a7e-9eec-27404c2c8b04"],"itemData":{"DOI":"10.1136/bjo.43.8.477","ISSN":"00071161","abstract":"(1) The objects of a treatment survey in Northern Ghana are outlined. (2) The diagnostic criteria used in the survey are stated. (3) The scheme of treatment is described, and the results reported. (4) The conclusions arrived at are enumerated.","author":[{"dropping-particle":"","family":"McLean","given":"Charles M.","non-dropping-particle":"","parse-names":false,"suffix":""}],"container-title":"British Journal of Ophthalmology","id":"ITEM-1","issue":"8","issued":{"date-parts":[["1959"]]},"note":"Total number assessed for the various manifestation of the onchocerciasis disease is not stated in the paper","page":"477-485","title":"Ocular onchocerciasis in Northern Ghana: A treatment survey","type":"article-journal","volume":"43"}}],"schema":"https://github.com/citation-style-language/schema/raw/master/csl-citation.json"}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[42]</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155893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97CEBE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Upper East</w:t>
            </w:r>
          </w:p>
        </w:tc>
        <w:tc>
          <w:tcPr>
            <w:tcW w:w="3202" w:type="dxa"/>
            <w:noWrap/>
            <w:hideMark/>
          </w:tcPr>
          <w:p w14:paraId="3873B5BF"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Navrongo</w:t>
            </w:r>
            <w:proofErr w:type="spellEnd"/>
            <w:r w:rsidRPr="00AE371D">
              <w:rPr>
                <w:rFonts w:ascii="Times New Roman" w:eastAsia="Times New Roman" w:hAnsi="Times New Roman" w:cs="Times New Roman"/>
                <w:kern w:val="0"/>
                <w:sz w:val="20"/>
                <w:szCs w:val="20"/>
                <w14:ligatures w14:val="none"/>
              </w:rPr>
              <w:t xml:space="preserve">  and </w:t>
            </w:r>
            <w:proofErr w:type="spellStart"/>
            <w:r w:rsidRPr="00AE371D">
              <w:rPr>
                <w:rFonts w:ascii="Times New Roman" w:eastAsia="Times New Roman" w:hAnsi="Times New Roman" w:cs="Times New Roman"/>
                <w:kern w:val="0"/>
                <w:sz w:val="20"/>
                <w:szCs w:val="20"/>
                <w14:ligatures w14:val="none"/>
              </w:rPr>
              <w:t>Nangodi-Sekoti</w:t>
            </w:r>
            <w:proofErr w:type="spellEnd"/>
            <w:r w:rsidRPr="00AE371D">
              <w:rPr>
                <w:rFonts w:ascii="Times New Roman" w:eastAsia="Times New Roman" w:hAnsi="Times New Roman" w:cs="Times New Roman"/>
                <w:kern w:val="0"/>
                <w:sz w:val="20"/>
                <w:szCs w:val="20"/>
                <w14:ligatures w14:val="none"/>
              </w:rPr>
              <w:t xml:space="preserve"> </w:t>
            </w:r>
          </w:p>
        </w:tc>
        <w:tc>
          <w:tcPr>
            <w:tcW w:w="7353" w:type="dxa"/>
            <w:noWrap/>
            <w:hideMark/>
          </w:tcPr>
          <w:p w14:paraId="4A10214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32D8EAC5" w14:textId="77777777" w:rsidTr="0025647A">
        <w:trPr>
          <w:trHeight w:val="312"/>
        </w:trPr>
        <w:tc>
          <w:tcPr>
            <w:tcW w:w="1316" w:type="dxa"/>
            <w:noWrap/>
            <w:hideMark/>
          </w:tcPr>
          <w:p w14:paraId="193D58D3" w14:textId="458C3260"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Wandy (1969)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mcu87gj9","properties":{"formattedCitation":"[43]","plainCitation":"[43]","noteIndex":0},"citationItems":[{"id":"kQ8JjSWs/qS0StpXt","uris":["http://www.mendeley.com/documents/?uuid=d4915483-36fc-440c-b865-d829840c4191"],"itemData":{"ISSN":"00429686","PMID":"5307598","author":[{"dropping-particle":"","family":"Waddy","given":"B. B.","non-dropping-particle":"","parse-names":false,"suffix":""}],"container-title":"Bulletin of the World Health Organization","id":"ITEM-1","issue":"6","issued":{"date-parts":[["1969"]]},"page":"843-858","title":"Prospects for the control of onchocerciasis in Africa with special reference to the Volta River basin.","type":"article-journal","volume":"40"}}],"schema":"https://github.com/citation-style-language/schema/raw/master/csl-citation.json"}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1855B3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5409082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Upper East</w:t>
            </w:r>
          </w:p>
        </w:tc>
        <w:tc>
          <w:tcPr>
            <w:tcW w:w="3202" w:type="dxa"/>
            <w:noWrap/>
            <w:hideMark/>
          </w:tcPr>
          <w:p w14:paraId="798B6CDA"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Nabdam</w:t>
            </w:r>
            <w:proofErr w:type="spellEnd"/>
          </w:p>
        </w:tc>
        <w:tc>
          <w:tcPr>
            <w:tcW w:w="7353" w:type="dxa"/>
            <w:noWrap/>
            <w:hideMark/>
          </w:tcPr>
          <w:p w14:paraId="74DBE479"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Nangodi</w:t>
            </w:r>
            <w:proofErr w:type="spellEnd"/>
          </w:p>
        </w:tc>
      </w:tr>
      <w:tr w:rsidR="00AE371D" w:rsidRPr="00AE371D" w14:paraId="1CABF792" w14:textId="77777777" w:rsidTr="0025647A">
        <w:trPr>
          <w:trHeight w:val="312"/>
        </w:trPr>
        <w:tc>
          <w:tcPr>
            <w:tcW w:w="1316" w:type="dxa"/>
            <w:noWrap/>
            <w:hideMark/>
          </w:tcPr>
          <w:p w14:paraId="46B3684C" w14:textId="3EFB90AA"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Brinkmann (1976)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JhvFEccS","properties":{"formattedCitation":"[44]","plainCitation":"[44]","noteIndex":0},"citationItems":[{"id":"kQ8JjSWs/xJAtHJ8F","uris":["http://www.mendeley.com/documents/?uuid=4e8a6c8a-a1df-3e1d-8222-0b429e32538c"],"itemData":{"ISSN":"0042-9686","PMID":"1088518","abstract":"Skin snips from newborn children and biopsy material from the umbilical cord and placenta of their mothers were examined. Microfilariae of O. volvulus were found in the skin of 2 out of 11 babies and in the umbilical cords of 2 out of 11 babies born to ten mothers infected with O. volvulus in Bawku Hospital, Ghana.","author":[{"dropping-particle":"","family":"Brinkmann","given":"U. K.","non-dropping-particle":"","parse-names":false,"suffix":""},{"dropping-particle":"","family":"Krämer","given":"P","non-dropping-particle":"","parse-names":false,"suffix":""},{"dropping-particle":"","family":"Presthus","given":"G. T.","non-dropping-particle":"","parse-names":false,"suffix":""},{"dropping-particle":"","family":"Sawadogo","given":"B.","non-dropping-particle":"","parse-names":false,"suffix":""}],"container-title":"Bulletin of the World Health Organization","id":"ITEM-1","issue":"6","issued":{"date-parts":[["1976"]]},"page":"708-9","title":"Transmission in utero of microfilariae of Onchocerca volvulus.","type":"article-journal","volume":"54"}}],"schema":"https://github.com/citation-style-language/schema/raw/master/csl-citation.json"}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[44]</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BB5188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1D7BDD7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Upper East</w:t>
            </w:r>
          </w:p>
        </w:tc>
        <w:tc>
          <w:tcPr>
            <w:tcW w:w="3202" w:type="dxa"/>
            <w:noWrap/>
            <w:hideMark/>
          </w:tcPr>
          <w:p w14:paraId="33EC355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Bawku </w:t>
            </w:r>
          </w:p>
        </w:tc>
        <w:tc>
          <w:tcPr>
            <w:tcW w:w="7353" w:type="dxa"/>
            <w:noWrap/>
            <w:hideMark/>
          </w:tcPr>
          <w:p w14:paraId="07C7F26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73D93E84" w14:textId="77777777" w:rsidTr="0025647A">
        <w:trPr>
          <w:trHeight w:val="312"/>
        </w:trPr>
        <w:tc>
          <w:tcPr>
            <w:tcW w:w="1316" w:type="dxa"/>
            <w:noWrap/>
            <w:hideMark/>
          </w:tcPr>
          <w:p w14:paraId="0C4569D1" w14:textId="33643CEC"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Sowa (1978)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Ke15Y7xy","properties":{"formattedCitation":"[45]","plainCitation":"[45]","noteIndex":0},"citationItems":[{"id":"kQ8JjSWs/yhmN1sLA","uris":["http://www.mendeley.com/documents/?uuid=c7f3d036-a03f-4e00-8f97-d339f44d4b01"],"itemData":{"DOI":"10.1080/00034983.1978.11719282","ISSN":"13648594","PMID":"418745","abstract":"T en per cent of the tota l popula tion may become bliml from onchocercias is in a reas where the disease is hyperendemi c, and the problem occurs in the younger age groups. In villages in such areas half the adults over 45 years may be blind. The need for mass treatment is unques tiona ble, but a t present not practicable. There are two cfTcc t ivc drugs: sura min and di ethylcarbamazine (DEC). Suramin kill s the adult worms but is too toxic to be recommended on a la rge sca le. DEC kills only the microfil a ri ac (mf. ) a nd so docs not g ive a permanent cure (Duke and Anderson, 1972). It also can produce severe, even leth a l, reactions (Oomen, 1969; Fuglsang and Anderson, 1974) and the benefit of treatment is only tempora ry because microfil ariac soon reinvade the skin . However , pending the future discovery of a better anthelminti c, it seemed useful to inves tigate the usc ofDEC in minima l doses for a prolonged period in a n a ttempt to (i) avoid adverse reactions and ( ii ) reduce the numbers of microfi.l a ri ae below the level which can afTcct the sight.","author":[{"dropping-particle":"","family":"Sowa","given":"J.","non-dropping-particle":"","parse-names":false,"suffix":""},{"dropping-particle":"","family":"Sowa","given":"Shiona C.I.","non-dropping-particle":"","parse-names":false,"suffix":""}],"container-title":"Annals of Tropical Medicine and Parasitology","id":"ITEM-1","issue":"1","issued":{"date-parts":[["1978","2","14"]]},"page":"79-85","title":"Long-term treatment of onchocerciasis in children with low doses of diethylcarbamazine","type":"article-journal","volume":"72"}}],"schema":"https://github.com/citation-style-language/schema/raw/master/csl-citation.json"}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[45]</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DF93F3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3DFB9F2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Upper East</w:t>
            </w:r>
          </w:p>
        </w:tc>
        <w:tc>
          <w:tcPr>
            <w:tcW w:w="3202" w:type="dxa"/>
            <w:noWrap/>
            <w:hideMark/>
          </w:tcPr>
          <w:p w14:paraId="7914E05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Bawku </w:t>
            </w:r>
          </w:p>
        </w:tc>
        <w:tc>
          <w:tcPr>
            <w:tcW w:w="7353" w:type="dxa"/>
            <w:noWrap/>
            <w:hideMark/>
          </w:tcPr>
          <w:p w14:paraId="30EF9FFB"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Zongoiri</w:t>
            </w:r>
            <w:proofErr w:type="spellEnd"/>
          </w:p>
        </w:tc>
      </w:tr>
      <w:tr w:rsidR="00AE371D" w:rsidRPr="00AE371D" w14:paraId="3FFE04EE" w14:textId="77777777" w:rsidTr="0025647A">
        <w:trPr>
          <w:trHeight w:val="312"/>
        </w:trPr>
        <w:tc>
          <w:tcPr>
            <w:tcW w:w="1316" w:type="dxa"/>
            <w:noWrap/>
            <w:hideMark/>
          </w:tcPr>
          <w:p w14:paraId="70404217" w14:textId="26B4ABDF"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Dadzie (1987)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pWoPnLgs","properties":{"formattedCitation":"[46]","plainCitation":"[46]","noteIndex":0},"citationItems":[{"id":"kQ8JjSWs/8U41CFmG","uris":["http://www.mendeley.com/documents/?uuid=52ee8962-5aa1-4d4e-8bd8-efca8eb27a8d"],"itemData":{"DOI":"10.1136/bjo.71.2.78","ISSN":"00071161","abstract":"The effect of ivermectin, a new microfilaricide, was assessed in a double blind trial against diethylcarbamazine citrate (DEC) and placebo. Fifty-nine adult males with moderate to heavy infection with Onchocerca volvulus and with eye involvement were recruited from an area under Onchocerciasis Control Programme (OCP) vector control in Northern Ghana. They were randomly assigned to an eight-day treatment with ivermectin as a single dose of 12 mg on day 1 followed by placebo for the remaining seven days, or DEC, total dose 1.3 g, or placebo, and ophthalmological review was undertaken over a period of one year. DEC acted quickly to eliminate microflariae from the eye and was associated with reactive ocular changes and in a few cases functional deficit. Ivermectin eliminated microfilariae slowly from the anterior chamber of the eye over a period of six months. The ocular inflammatory reaction was minimal and no functional deficit occurred. It is postulated that the observed slow action of ivermectin on the eye may be attributed in part to its inability to cross the blood-aqueous humour barrier because of its molecular size as a macrocyclic lactone causing microfilariae to leave the eye gradually along a newly created gradient. Ivermectin is an effective microfilaricide with minimal ocular adverse effect and could therefore be suitable for widespread application without strict supervision.","author":[{"dropping-particle":"","family":"Dadzie","given":"K. Y.","non-dropping-particle":"","parse-names":false,"suffix":""},{"dropping-particle":"","family":"Bird","given":"A. C.","non-dropping-particle":"","parse-names":false,"suffix":""},{"dropping-particle":"","family":"Awadzi","given":"K.","non-dropping-particle":"","parse-names":false,"suffix":""},{"dropping-particle":"","family":"Schulz-Key","given":"H.","non-dropping-particle":"","parse-names":false,"suffix":""},{"dropping-particle":"","family":"Gilles","given":"H. M.","non-dropping-particle":"","parse-names":false,"suffix":""},{"dropping-particle":"","family":"Aziz","given":"M. A.","non-dropping-particle":"","parse-names":false,"suffix":""}],"container-title":"British Journal of Ophthalmology","id":"ITEM-1","issue":"2","issued":{"date-parts":[["1987"]]},"page":"78-85","title":"Ocular findings in a double-blind study of ivermectin versus diethylcarbamazine versus placebo in the treatment of onchocerciasis","type":"article-journal","volume":"71"}}],"schema":"https://github.com/citation-style-language/schema/raw/master/csl-citation.json"}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[46]</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C345B2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F9A99B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Northern </w:t>
            </w:r>
          </w:p>
        </w:tc>
        <w:tc>
          <w:tcPr>
            <w:tcW w:w="3202" w:type="dxa"/>
            <w:noWrap/>
            <w:hideMark/>
          </w:tcPr>
          <w:p w14:paraId="5907457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0700AD1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41546B45" w14:textId="77777777" w:rsidTr="0025647A">
        <w:trPr>
          <w:trHeight w:val="312"/>
        </w:trPr>
        <w:tc>
          <w:tcPr>
            <w:tcW w:w="1316" w:type="dxa"/>
            <w:noWrap/>
            <w:hideMark/>
          </w:tcPr>
          <w:p w14:paraId="0F0FFEAC" w14:textId="36122553"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Dadzie (1990)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qw9H6e3j","properties":{"formattedCitation":"[47]","plainCitation":"[47]","noteIndex":0},"citationItems":[{"id":"kQ8JjSWs/5UZUBsts","uris":["http://www.mendeley.com/documents/?uuid=aefc920e-6847-47dc-b37d-896840eac84a"],"itemData":{"author":[{"dropping-particle":"","family":"Dadzie","given":"K. Y.","non-dropping-particle":"","parse-names":false,"suffix":""},{"dropping-particle":"","family":"Remme","given":"J.","non-dropping-particle":"","parse-names":false,"suffix":""},{"dropping-particle":"","family":"Alley","given":"E. S.","non-dropping-particle":"","parse-names":false,"suffix":""},{"dropping-particle":"","family":"Sole","given":"G.","non-dropping-particle":"de","parse-names":false,"suffix":""}],"container-title":"Trans R Soc Trop Med Hyg","id":"ITEM-1","issue":"84","issued":{"date-parts":[["1990"]]},"page":"103-108","title":"Changes in ocular onchocerciasis based treatment with ivermectin four and twelve months after community- in a holoendemic onchocerciasis focus","type":"article-journal"}}],"schema":"https://github.com/citation-style-language/schema/raw/master/csl-citation.json"}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[47]</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73A9C8A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5383830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Savannah</w:t>
            </w:r>
          </w:p>
        </w:tc>
        <w:tc>
          <w:tcPr>
            <w:tcW w:w="3202" w:type="dxa"/>
            <w:noWrap/>
            <w:hideMark/>
          </w:tcPr>
          <w:p w14:paraId="7746DE7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74D242A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75176C55" w14:textId="77777777" w:rsidTr="0025647A">
        <w:trPr>
          <w:trHeight w:val="312"/>
        </w:trPr>
        <w:tc>
          <w:tcPr>
            <w:tcW w:w="1316" w:type="dxa"/>
            <w:noWrap/>
            <w:hideMark/>
          </w:tcPr>
          <w:p w14:paraId="5EA4051D" w14:textId="7C349EF9"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Dadzie (1991)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RT09pWu4","properties":{"formattedCitation":"[48]","plainCitation":"[48]","noteIndex":0},"citationItems":[{"id":"kQ8JjSWs/RQmwH08f","uris":["http://www.mendeley.com/documents/?uuid=59eab6f8-3c4b-4f36-aef8-ae2eb16b334b"],"itemData":{"DOI":"10.1016/0035-9203(91)90051-Y","ISSN":"18783503","PMID":"1887490","abstract":"In a longitudinal study to determine the effect of annual community-based treatment of ocular onchocerciasis with ivermectin, the population living in the 3 most affected villages in the holo-endemic onchocerciasis focus of Asubende in Ghana were re-examined 16 and 24 months after initiating treatment. Ocular microfilarial loads had decreased to very low levels in nearly all of the 334 examined persons who were treated twice. Only very few subjects had ocular loads of 32 microfilariae or more in the anterior chamber of the eye, but this was not associated with deterioration of ocular lesions. Important regression of both early and advanced lesions of the anterior segment of the eye was observed, which was highly statistically significant with respect to iridocyclitis. Lesions of the posterior segment of the eye remained stable. Though no systematic change in the visual acuity of the population was observed, 3 new cases of blindness occurred in persons who already had eye lesions at such an advanced stage that ivermectin treatment could no longer affect the outcome. The results suggest that annual ivermectin treatment is adequate to control onchocercal ocular disease even in populations with very high endemicity levels. © 1991 Oxford University Press. All rights reserved.","author":[{"dropping-particle":"","family":"Dadzie","given":"K. Y.","non-dropping-particle":"","parse-names":false,"suffix":""},{"dropping-particle":"","family":"Remme","given":"J.","non-dropping-particle":"","parse-names":false,"suffix":""},{"dropping-particle":"","family":"Sole","given":"G.","non-dropping-particle":"","parse-names":false,"suffix":""}],"container-title":"Transactions of the Royal Society of Tropical Medicine and Hygiene","id":"ITEM-1","issue":"2","issued":{"date-parts":[["1991"]]},"page":"267-271","title":"Changes in ocular onchocerciasis after two rounds of community-based ivermectin treatment in a holo-endemic onchocerciasis focus","type":"article-journal","volume":"85"}}],"schema":"https://github.com/citation-style-language/schema/raw/master/csl-citation.json"}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[48]</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5651B9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2DFC1C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Easy</w:t>
            </w:r>
          </w:p>
        </w:tc>
        <w:tc>
          <w:tcPr>
            <w:tcW w:w="3202" w:type="dxa"/>
            <w:noWrap/>
            <w:hideMark/>
          </w:tcPr>
          <w:p w14:paraId="7D19ADE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5D327DF8"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Asubende</w:t>
            </w:r>
            <w:proofErr w:type="spellEnd"/>
          </w:p>
        </w:tc>
      </w:tr>
      <w:tr w:rsidR="00AE371D" w:rsidRPr="00AE371D" w14:paraId="64658916" w14:textId="77777777" w:rsidTr="0025647A">
        <w:trPr>
          <w:trHeight w:val="312"/>
        </w:trPr>
        <w:tc>
          <w:tcPr>
            <w:tcW w:w="1316" w:type="dxa"/>
            <w:noWrap/>
            <w:hideMark/>
          </w:tcPr>
          <w:p w14:paraId="1EA3DF8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Gilles (1991) </w:t>
            </w:r>
          </w:p>
        </w:tc>
        <w:tc>
          <w:tcPr>
            <w:tcW w:w="1102" w:type="dxa"/>
            <w:noWrap/>
            <w:hideMark/>
          </w:tcPr>
          <w:p w14:paraId="0FC3388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4F5D526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Northern</w:t>
            </w:r>
          </w:p>
        </w:tc>
        <w:tc>
          <w:tcPr>
            <w:tcW w:w="3202" w:type="dxa"/>
            <w:noWrap/>
            <w:hideMark/>
          </w:tcPr>
          <w:p w14:paraId="4A2E7FA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Tamale </w:t>
            </w:r>
          </w:p>
        </w:tc>
        <w:tc>
          <w:tcPr>
            <w:tcW w:w="7353" w:type="dxa"/>
            <w:noWrap/>
            <w:hideMark/>
          </w:tcPr>
          <w:p w14:paraId="74E3DB6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4B5D761E" w14:textId="77777777" w:rsidTr="0025647A">
        <w:trPr>
          <w:trHeight w:val="312"/>
        </w:trPr>
        <w:tc>
          <w:tcPr>
            <w:tcW w:w="1316" w:type="dxa"/>
            <w:noWrap/>
            <w:hideMark/>
          </w:tcPr>
          <w:p w14:paraId="2648FC84" w14:textId="5B9F243C"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Gilles (1991)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fP76V33R","properties":{"formattedCitation":"[49]","plainCitation":"[49]","noteIndex":0},"citationItems":[{"id":"kQ8JjSWs/zbgcWppM","uris":["http://www.mendeley.com/documents/?uuid=2a40584b-39f8-4913-bc5e-448a093d4a2e"],"itemData":{"DOI":"10.1080/00034983.1991.11812535","ISSN":"00034983","PMID":"1888225","abstract":"Studies carried out at the WHO/OCP Onchocerciasis Chemotherapeutic Centre in Tamale, Ghana, are reported, culminating in the clinical trials of ivermectin (Mectizan), which has revolutionized our approach to the treatment of the disease. It is concluded that the conquest of 'river blindness' is an eminently achievable goal.","author":[{"dropping-particle":"","family":"Gilles","given":"H. M.","non-dropping-particle":"","parse-names":false,"suffix":""},{"dropping-particle":"","family":"Awadzi","given":"K.","non-dropping-particle":"","parse-names":false,"suffix":""}],"container-title":"Annals of Tropical Medicine and Parasitology","id":"ITEM-1","issue":"1","issued":{"date-parts":[["1991"]]},"page":"97-101","title":"The conquest of 'river blindness'","type":"article-journal","volume":"85"}}],"schema":"https://github.com/citation-style-language/schema/raw/master/csl-citation.json"}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[49]</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90C208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4148CD4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20F9299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11BE44AE"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Asubende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Faowomong</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Niampe</w:t>
            </w:r>
            <w:proofErr w:type="spellEnd"/>
          </w:p>
        </w:tc>
      </w:tr>
      <w:tr w:rsidR="00AE371D" w:rsidRPr="00AE371D" w14:paraId="2526F9C1" w14:textId="77777777" w:rsidTr="0025647A">
        <w:trPr>
          <w:trHeight w:val="312"/>
        </w:trPr>
        <w:tc>
          <w:tcPr>
            <w:tcW w:w="1316" w:type="dxa"/>
            <w:noWrap/>
            <w:hideMark/>
          </w:tcPr>
          <w:p w14:paraId="5B892B7F" w14:textId="6CDA1274"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De Sole (1992)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fsIFWxwV","properties":{"formattedCitation":"[50]","plainCitation":"[50]","noteIndex":0},"citationItems":[{"id":"kQ8JjSWs/l8Ak6bQv","uris":["http://www.mendeley.com/documents/?uuid=21d6ec29-47b2-4e2a-aa27-aef6526fefaa"],"itemData":{"DOI":"10.1016/0001-706X(92)90024-R","ISSN":"0001706X","PMID":"1363185","abstract":"The Onchocerciasis Control Programme in West Africa has recently extended its operation in southern Benin, Ghana and Togo. To estimate the number of people infected and blinded by onchocerciasis and to describe the distribution and severity of the disease in the extension area, 99 villages were selected, using a stratified random sampling procedure, and surveyed. All the ecological and entomological information available was used in the sampling procedure and in the selection of 87 non-representative villages surveyed to confirm the findings. The study estimated that 590468 people are infected and 11715 blind from onchocerciasis out of a rural population of 1878 234. The Pru, Asukawkaw and Mono river basins were areas with high risk of onchocercal blindness. The Oueme and Zou river basins in Benin and the mountainous areas between Ghana and Togo were classified as areas with medium risk of onchocercal blindness. The other parts of the study area presented low or no risk of onchocercal blindness. By detecting the river basins where villagers are at risk of onchocercal disease this study permits the selection of populations for disease control based on mass distribution of ivermectin, a microfilaricide. © 1992.","author":[{"dropping-particle":"","family":"Sole","given":"G.","non-dropping-particle":"De","parse-names":false,"suffix":""},{"dropping-particle":"","family":"Accorsi","given":"S.","non-dropping-particle":"","parse-names":false,"suffix":""},{"dropping-particle":"","family":"Cresveaux","given":"H.","non-dropping-particle":"","parse-names":false,"suffix":""},{"dropping-particle":"","family":"Remme","given":"J.","non-dropping-particle":"","parse-names":false,"suffix":""},{"dropping-particle":"","family":"Walsh","given":"F.","non-dropping-particle":"","parse-names":false,"suffix":""},{"dropping-particle":"","family":"Hendrickx","given":"J.","non-dropping-particle":"","parse-names":false,"suffix":""}],"container-title":"Acta Tropica","id":"ITEM-1","issue":"2-3","issued":{"date-parts":[["1992"]]},"page":"87-97","title":"Distribution and severity of onchocerciasis in southern Benin, Ghana and Togo","type":"article-journal","volume":"52"}}],"schema":"https://github.com/citation-style-language/schema/raw/master/csl-citation.json"}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[50]</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385695B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6CBB04A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Volta</w:t>
            </w:r>
          </w:p>
        </w:tc>
        <w:tc>
          <w:tcPr>
            <w:tcW w:w="3202" w:type="dxa"/>
            <w:noWrap/>
            <w:hideMark/>
          </w:tcPr>
          <w:p w14:paraId="5DAEF6E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 Lower and Upper Dayi</w:t>
            </w:r>
          </w:p>
        </w:tc>
        <w:tc>
          <w:tcPr>
            <w:tcW w:w="7353" w:type="dxa"/>
            <w:noWrap/>
            <w:hideMark/>
          </w:tcPr>
          <w:p w14:paraId="1C41D8CD"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Djodji</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Kudrera</w:t>
            </w:r>
            <w:proofErr w:type="spellEnd"/>
          </w:p>
        </w:tc>
      </w:tr>
      <w:tr w:rsidR="00AE371D" w:rsidRPr="00AE371D" w14:paraId="5FAFE7AA" w14:textId="77777777" w:rsidTr="0025647A">
        <w:trPr>
          <w:trHeight w:val="312"/>
        </w:trPr>
        <w:tc>
          <w:tcPr>
            <w:tcW w:w="1316" w:type="dxa"/>
            <w:noWrap/>
            <w:hideMark/>
          </w:tcPr>
          <w:p w14:paraId="63482D50" w14:textId="4554F775"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De Sole (1992)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hU53htZR","properties":{"formattedCitation":"[50]","plainCitation":"[50]","noteIndex":0},"citationItems":[{"id":"kQ8JjSWs/l8Ak6bQv","uris":["http://www.mendeley.com/documents/?uuid=21d6ec29-47b2-4e2a-aa27-aef6526fefaa"],"itemData":{"DOI":"10.1016/0001-706X(92)90024-R","ISSN":"0001706X","PMID":"1363185","abstract":"The Onchocerciasis Control Programme in West Africa has recently extended its operation in southern Benin, Ghana and Togo. To estimate the number of people infected and blinded by onchocerciasis and to describe the distribution and severity of the disease in the extension area, 99 villages were selected, using a stratified random sampling procedure, and surveyed. All the ecological and entomological information available was used in the sampling procedure and in the selection of 87 non-representative villages surveyed to confirm the findings. The study estimated that 590468 people are infected and 11715 blind from onchocerciasis out of a rural population of 1878 234. The Pru, Asukawkaw and Mono river basins were areas with high risk of onchocercal blindness. The Oueme and Zou river basins in Benin and the mountainous areas between Ghana and Togo were classified as areas with medium risk of onchocercal blindness. The other parts of the study area presented low or no risk of onchocercal blindness. By detecting the river basins where villagers are at risk of onchocercal disease this study permits the selection of populations for disease control based on mass distribution of ivermectin, a microfilaricide. © 1992.","author":[{"dropping-particle":"","family":"Sole","given":"G.","non-dropping-particle":"De","parse-names":false,"suffix":""},{"dropping-particle":"","family":"Accorsi","given":"S.","non-dropping-particle":"","parse-names":false,"suffix":""},{"dropping-particle":"","family":"Cresveaux","given":"H.","non-dropping-particle":"","parse-names":false,"suffix":""},{"dropping-particle":"","family":"Remme","given":"J.","non-dropping-particle":"","parse-names":false,"suffix":""},{"dropping-particle":"","family":"Walsh","given":"F.","non-dropping-particle":"","parse-names":false,"suffix":""},{"dropping-particle":"","family":"Hendrickx","given":"J.","non-dropping-particle":"","parse-names":false,"suffix":""}],"container-title":"Acta Tropica","id":"ITEM-1","issue":"2-3","issued":{"date-parts":[["1992"]]},"page":"87-97","title":"Distribution and severity of onchocerciasis in southern Benin, Ghana and Togo","type":"article-journal","volume":"52"}}],"schema":"https://github.com/citation-style-language/schema/raw/master/csl-citation.json"}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[50]</w:t>
            </w:r>
            <w:r w:rsidRPr="00AE371D">
              <w:rPr>
                <w:rFonts w:ascii="Times New Roman" w:eastAsia="Times New Roman" w:hAnsi="Times New Roman" w:cs="Times New Roman"/>
                <w:kern w:val="0"/>
                <w:sz w:val="20"/>
                <w:szCs w:val="20"/>
                <w14:ligatures w14:val="none"/>
              </w:rPr>
              <w:fldChar w:fldCharType="end"/>
            </w:r>
            <w:r w:rsidRPr="00AE371D">
              <w:rPr>
                <w:rFonts w:ascii="Times New Roman" w:eastAsia="Times New Roman" w:hAnsi="Times New Roman" w:cs="Times New Roman"/>
                <w:kern w:val="0"/>
                <w:sz w:val="20"/>
                <w:szCs w:val="20"/>
                <w14:ligatures w14:val="none"/>
              </w:rPr>
              <w:t xml:space="preserve"> </w:t>
            </w:r>
          </w:p>
        </w:tc>
        <w:tc>
          <w:tcPr>
            <w:tcW w:w="1102" w:type="dxa"/>
            <w:noWrap/>
            <w:hideMark/>
          </w:tcPr>
          <w:p w14:paraId="62FF4BD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70DB25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Oti </w:t>
            </w:r>
          </w:p>
        </w:tc>
        <w:tc>
          <w:tcPr>
            <w:tcW w:w="3202" w:type="dxa"/>
            <w:noWrap/>
            <w:hideMark/>
          </w:tcPr>
          <w:p w14:paraId="637FFD7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402B7EE5"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Asukwakwa</w:t>
            </w:r>
            <w:proofErr w:type="spellEnd"/>
          </w:p>
        </w:tc>
      </w:tr>
      <w:tr w:rsidR="00AE371D" w:rsidRPr="00AE371D" w14:paraId="79977ADD" w14:textId="77777777" w:rsidTr="0025647A">
        <w:trPr>
          <w:trHeight w:val="312"/>
        </w:trPr>
        <w:tc>
          <w:tcPr>
            <w:tcW w:w="1316" w:type="dxa"/>
            <w:noWrap/>
            <w:hideMark/>
          </w:tcPr>
          <w:p w14:paraId="7A5741BE" w14:textId="5114B861"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lastRenderedPageBreak/>
              <w:t xml:space="preserve">De Sole (1992)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ch2bj8Cy","properties":{"formattedCitation":"[50]","plainCitation":"[50]","noteIndex":0},"citationItems":[{"id":"kQ8JjSWs/l8Ak6bQv","uris":["http://www.mendeley.com/documents/?uuid=21d6ec29-47b2-4e2a-aa27-aef6526fefaa"],"itemData":{"DOI":"10.1016/0001-706X(92)90024-R","ISSN":"0001706X","PMID":"1363185","abstract":"The Onchocerciasis Control Programme in West Africa has recently extended its operation in southern Benin, Ghana and Togo. To estimate the number of people infected and blinded by onchocerciasis and to describe the distribution and severity of the disease in the extension area, 99 villages were selected, using a stratified random sampling procedure, and surveyed. All the ecological and entomological information available was used in the sampling procedure and in the selection of 87 non-representative villages surveyed to confirm the findings. The study estimated that 590468 people are infected and 11715 blind from onchocerciasis out of a rural population of 1878 234. The Pru, Asukawkaw and Mono river basins were areas with high risk of onchocercal blindness. The Oueme and Zou river basins in Benin and the mountainous areas between Ghana and Togo were classified as areas with medium risk of onchocercal blindness. The other parts of the study area presented low or no risk of onchocercal blindness. By detecting the river basins where villagers are at risk of onchocercal disease this study permits the selection of populations for disease control based on mass distribution of ivermectin, a microfilaricide. © 1992.","author":[{"dropping-particle":"","family":"Sole","given":"G.","non-dropping-particle":"De","parse-names":false,"suffix":""},{"dropping-particle":"","family":"Accorsi","given":"S.","non-dropping-particle":"","parse-names":false,"suffix":""},{"dropping-particle":"","family":"Cresveaux","given":"H.","non-dropping-particle":"","parse-names":false,"suffix":""},{"dropping-particle":"","family":"Remme","given":"J.","non-dropping-particle":"","parse-names":false,"suffix":""},{"dropping-particle":"","family":"Walsh","given":"F.","non-dropping-particle":"","parse-names":false,"suffix":""},{"dropping-particle":"","family":"Hendrickx","given":"J.","non-dropping-particle":"","parse-names":false,"suffix":""}],"container-title":"Acta Tropica","id":"ITEM-1","issue":"2-3","issued":{"date-parts":[["1992"]]},"page":"87-97","title":"Distribution and severity of onchocerciasis in southern Benin, Ghana and Togo","type":"article-journal","volume":"52"}}],"schema":"https://github.com/citation-style-language/schema/raw/master/csl-citation.json"}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[50]</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081FFD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1640076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3169251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Pru</w:t>
            </w:r>
          </w:p>
        </w:tc>
        <w:tc>
          <w:tcPr>
            <w:tcW w:w="7353" w:type="dxa"/>
            <w:noWrap/>
            <w:hideMark/>
          </w:tcPr>
          <w:p w14:paraId="29C1599C"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Asubende</w:t>
            </w:r>
            <w:proofErr w:type="spellEnd"/>
          </w:p>
        </w:tc>
      </w:tr>
      <w:tr w:rsidR="00AE371D" w:rsidRPr="00AE371D" w14:paraId="09A360BF" w14:textId="77777777" w:rsidTr="0025647A">
        <w:trPr>
          <w:trHeight w:val="312"/>
        </w:trPr>
        <w:tc>
          <w:tcPr>
            <w:tcW w:w="1316" w:type="dxa"/>
            <w:noWrap/>
            <w:hideMark/>
          </w:tcPr>
          <w:p w14:paraId="435179E4" w14:textId="31881820"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Moll (1994)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eNCNE6tf","properties":{"formattedCitation":"[51]","plainCitation":"[51]","noteIndex":0},"citationItems":[{"id":"kQ8JjSWs/czGuLQBd","uris":["http://www.mendeley.com/documents/?uuid=cfcc436d-73e6-4a5b-b527-c7c51ae4d634"],"itemData":{"DOI":"10.1136/bjo.78.4.275","ISSN":"00071161","PMID":"8199113","abstract":"A population based survey on the prevalence of major blinding disorders was conducted in the Wenchi district in central Ghana between March and May 1991. In 10 villages, 1425 people of 30 years and older were screened, using the WHO eye examination record. The prevalence of bilateral blindness above 30 years proved to be 1.7% (best acuity &lt;3/60): the prevalence oflow vision above 30 years was 20/0% (best visual acuity 6/18 to 3/60). The causes of blindness were determined as cataract (62.5%), onchocerciasis (12.5%), corneal opacity (non-trachomatous) (8.2%), refraction anomalies (4.2%), phthisis bulbi (4.2%), optic atrophy (4.2%), and vascular retinopathy (4.2%). In the Wenchi district, 1-0% of the population over the age of 30 years was found to need a cataract extraction because of blindness of both eyes. Another potential 1-0% needs a cataract extraction because of low vision. A minor second study (n=149) was undertaken in the same district, but in a village in an area near the Black Volta river in which onchocerciasis is endemic. The prevalence of blindness (8.1%) and low vision (3.4%) caused by onchocerciasis and cataract both proved to be higher. The survey provided the basis for a preventive and curative eye care programme.","author":[{"dropping-particle":"","family":"Moll","given":"A. C.","non-dropping-particle":"","parse-names":false,"suffix":""},{"dropping-particle":"","family":"Linden","given":"A. J.H.","non-dropping-particle":"Van Der","parse-names":false,"suffix":""},{"dropping-particle":"","family":"Hogeweg","given":"M.","non-dropping-particle":"","parse-names":false,"suffix":""},{"dropping-particle":"","family":"Schader","given":"W. E.","non-dropping-particle":"","parse-names":false,"suffix":""},{"dropping-particle":"","family":"Hermans","given":"J.","non-dropping-particle":"","parse-names":false,"suffix":""},{"dropping-particle":"","family":"Keizer","given":"R. J.W.","non-dropping-particle":"De","parse-names":false,"suffix":""}],"container-title":"British Journal of Ophthalmology","id":"ITEM-1","issue":"4","issued":{"date-parts":[["1994"]]},"page":"275-279","title":"Prevalence of blindness and low vision of people over 30 years in the Wenchi district, Ghana, in relation to eye care programmes","type":"article-journal","volume":"78"}}],"schema":"https://github.com/citation-style-language/schema/raw/master/csl-citation.json"}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[51]</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27BDFCF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3E9E611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Bono </w:t>
            </w:r>
          </w:p>
        </w:tc>
        <w:tc>
          <w:tcPr>
            <w:tcW w:w="3202" w:type="dxa"/>
            <w:noWrap/>
            <w:hideMark/>
          </w:tcPr>
          <w:p w14:paraId="5D00065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Wenchi </w:t>
            </w:r>
          </w:p>
        </w:tc>
        <w:tc>
          <w:tcPr>
            <w:tcW w:w="7353" w:type="dxa"/>
            <w:noWrap/>
            <w:hideMark/>
          </w:tcPr>
          <w:p w14:paraId="64FF7CDC"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Asuafo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Tainso</w:t>
            </w:r>
            <w:proofErr w:type="spellEnd"/>
            <w:r w:rsidRPr="00AE371D">
              <w:rPr>
                <w:rFonts w:ascii="Times New Roman" w:eastAsia="Times New Roman" w:hAnsi="Times New Roman" w:cs="Times New Roman"/>
                <w:kern w:val="0"/>
                <w:sz w:val="20"/>
                <w:szCs w:val="20"/>
                <w14:ligatures w14:val="none"/>
              </w:rPr>
              <w:t xml:space="preserve">, Adamu, </w:t>
            </w:r>
            <w:proofErr w:type="spellStart"/>
            <w:r w:rsidRPr="00AE371D">
              <w:rPr>
                <w:rFonts w:ascii="Times New Roman" w:eastAsia="Times New Roman" w:hAnsi="Times New Roman" w:cs="Times New Roman"/>
                <w:kern w:val="0"/>
                <w:sz w:val="20"/>
                <w:szCs w:val="20"/>
                <w14:ligatures w14:val="none"/>
              </w:rPr>
              <w:t>Subinso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Nchiraa</w:t>
            </w:r>
            <w:proofErr w:type="spellEnd"/>
            <w:r w:rsidRPr="00AE371D">
              <w:rPr>
                <w:rFonts w:ascii="Times New Roman" w:eastAsia="Times New Roman" w:hAnsi="Times New Roman" w:cs="Times New Roman"/>
                <w:kern w:val="0"/>
                <w:sz w:val="20"/>
                <w:szCs w:val="20"/>
                <w14:ligatures w14:val="none"/>
              </w:rPr>
              <w:t xml:space="preserve">, </w:t>
            </w:r>
          </w:p>
          <w:p w14:paraId="3865F48A" w14:textId="77777777" w:rsidR="00461A2D" w:rsidRPr="00AE371D" w:rsidRDefault="00461A2D" w:rsidP="006F7045">
            <w:pPr>
              <w:rPr>
                <w:rFonts w:ascii="Times New Roman" w:eastAsia="Times New Roman" w:hAnsi="Times New Roman" w:cs="Times New Roman"/>
                <w:kern w:val="0"/>
                <w:sz w:val="20"/>
                <w:szCs w:val="20"/>
                <w:lang w:val="de-DE"/>
                <w14:ligatures w14:val="none"/>
              </w:rPr>
            </w:pPr>
            <w:r w:rsidRPr="00AE371D">
              <w:rPr>
                <w:rFonts w:ascii="Times New Roman" w:eastAsia="Times New Roman" w:hAnsi="Times New Roman" w:cs="Times New Roman"/>
                <w:kern w:val="0"/>
                <w:sz w:val="20"/>
                <w:szCs w:val="20"/>
                <w:lang w:val="de-DE"/>
                <w14:ligatures w14:val="none"/>
              </w:rPr>
              <w:t xml:space="preserve">Brahnam, Banda Ahenkro, Debidi, Tromeso, </w:t>
            </w:r>
          </w:p>
          <w:p w14:paraId="3A632C33"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Droboso</w:t>
            </w:r>
            <w:proofErr w:type="spellEnd"/>
          </w:p>
        </w:tc>
      </w:tr>
      <w:tr w:rsidR="00AE371D" w:rsidRPr="00AE371D" w14:paraId="7D53A699" w14:textId="77777777" w:rsidTr="0025647A">
        <w:trPr>
          <w:trHeight w:val="312"/>
        </w:trPr>
        <w:tc>
          <w:tcPr>
            <w:tcW w:w="1316" w:type="dxa"/>
            <w:noWrap/>
            <w:hideMark/>
          </w:tcPr>
          <w:p w14:paraId="5BC3260C" w14:textId="334A824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Alley (1994)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Jo2UEBzS","properties":{"formattedCitation":"[52]","plainCitation":"[52]","noteIndex":0},"citationItems":[{"id":"kQ8JjSWs/16IPG5f4","uris":["http://www.mendeley.com/documents/?uuid=6e939883-9cad-42cc-b220-41ecc866c705"],"itemData":{"DOI":"10.1016/0035-9203(94)90172-4","ISSN":"18783503","PMID":"7992347","abstract":"Following the registration of ivermectin (Mectizan®) for human use in the treatment of onchocerciasis, in 1987 the Onchocerciasis Control Programme in West Africa (OCP) begun a series of trials in order to determine the safety of the drug when used on a large scale and its potential for morbidity control. This paper reports the changes in skin microfilarial loads during the first 5 years of annual treatment in the holoendemic focus of Asubende in Ghana, which was the largest trial area and which also had the longest series of followup surveys. The general observed pattern was a marked reduction of microfilarial loads shortly after each treatment followed by a steady repopulation of the skin until a subsequent treatment round. The overall reduction of microfilarial loads observed between the base line survey and one year after the last treatment was 90% for the total population examined and over % for a cohort which received the drug at all 5 treatment rounds. In contrast, there was only a very gradual decrease in the prevalence of infection in the population after subsequent treatments. The study further emphasizes that even a single treatment with ivermectin has a significant medium-term impact on microfilarial loads. Microfilarial counts barely increased after 14–16 months of treatment and stabilized around 55% of pre-treatment counts –4 years after a single treatment. © 1994 Oxford University Press.","author":[{"dropping-particle":"","family":"Alley","given":"E. S.","non-dropping-particle":"","parse-names":false,"suffix":""},{"dropping-particle":"","family":"Plaisier","given":"A. P.","non-dropping-particle":"","parse-names":false,"suffix":""},{"dropping-particle":"","family":"Boatin","given":"B. A.","non-dropping-particle":"","parse-names":false,"suffix":""},{"dropping-particle":"","family":"Dadzie","given":"K. Y.","non-dropping-particle":"","parse-names":false,"suffix":""},{"dropping-particle":"","family":"Remme","given":"J.","non-dropping-particle":"","parse-names":false,"suffix":""},{"dropping-particle":"","family":"Zerbo","given":"G.","non-dropping-particle":"","parse-names":false,"suffix":""},{"dropping-particle":"","family":"Samba","given":"E. M.","non-dropping-particle":"","parse-names":false,"suffix":""}],"container-title":"Transactions of the Royal Society of Tropical Medicine and Hygiene","id":"ITEM-1","issue":"5","issued":{"date-parts":[["1994"]]},"page":"581-584","title":"The impact of five years of annual ivermectin treatment on skin microfilarial loads in the onchocerciasis focus of Asubende, Ghana","type":"article-journal","volume":"88"}}],"schema":"https://github.com/citation-style-language/schema/raw/master/csl-citation.json"}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[52]</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897901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197EEA1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34E74F3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Pru </w:t>
            </w:r>
          </w:p>
        </w:tc>
        <w:tc>
          <w:tcPr>
            <w:tcW w:w="7353" w:type="dxa"/>
            <w:noWrap/>
            <w:hideMark/>
          </w:tcPr>
          <w:p w14:paraId="28D7E407"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Asubende</w:t>
            </w:r>
            <w:proofErr w:type="spellEnd"/>
            <w:r w:rsidRPr="00AE371D">
              <w:rPr>
                <w:rFonts w:ascii="Times New Roman" w:eastAsia="Times New Roman" w:hAnsi="Times New Roman" w:cs="Times New Roman"/>
                <w:kern w:val="0"/>
                <w:sz w:val="20"/>
                <w:szCs w:val="20"/>
                <w14:ligatures w14:val="none"/>
              </w:rPr>
              <w:t xml:space="preserve"> </w:t>
            </w:r>
          </w:p>
        </w:tc>
      </w:tr>
      <w:tr w:rsidR="00AE371D" w:rsidRPr="00AE371D" w14:paraId="7D3578C7" w14:textId="77777777" w:rsidTr="0025647A">
        <w:trPr>
          <w:trHeight w:val="312"/>
        </w:trPr>
        <w:tc>
          <w:tcPr>
            <w:tcW w:w="1316" w:type="dxa"/>
            <w:noWrap/>
            <w:hideMark/>
          </w:tcPr>
          <w:p w14:paraId="0D2B356B" w14:textId="36AB3691"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Lavebratt</w:t>
            </w:r>
            <w:proofErr w:type="spellEnd"/>
            <w:r w:rsidRPr="00AE371D">
              <w:rPr>
                <w:rFonts w:ascii="Times New Roman" w:eastAsia="Times New Roman" w:hAnsi="Times New Roman" w:cs="Times New Roman"/>
                <w:kern w:val="0"/>
                <w:sz w:val="20"/>
                <w:szCs w:val="20"/>
                <w14:ligatures w14:val="none"/>
              </w:rPr>
              <w:t xml:space="preserve"> (1996)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Ej7hhOPs","properties":{"formattedCitation":"[53]","plainCitation":"[53]","noteIndex":0},"citationItems":[{"id":"kQ8JjSWs/Dg6rdkZ0","uris":["http://www.mendeley.com/documents/?uuid=88cfa179-8313-458a-be6c-e300be8fa732"],"itemData":{"DOI":"10.3109/00365549609027154","ISSN":"00365548","PMID":"9122638","abstract":"Parasitological examination of skin snips is the most widely used diagnostic method for onchocerciasis, but it is associated with inconvenience and low sensitivity. We describe an inexpensive antibody-based dot blot assay (DBA) for the detection of Onchocerca volvulus infection. A field evaluation of this method was performed in the onchocerciasis endemic country Ghana by testing 370 individuals living in a highly onchocerciasis endemic area and 122 in an area of low endemicity. Sera from individuals with other filarial infections were also tested. The DBA was able to detect 95% of the parasitologically confirmed infected individuals in the highly endemic area. Cross-reactivity occurred with a minority of the sera from individuals infected with other filarial worms. The DBA was as good as or superior to presently available diagnostic tests, and it also fulfilled the criteria for a good screening method.","author":[{"dropping-particle":"","family":"Lavebratt","given":"Catharina","non-dropping-particle":"","parse-names":false,"suffix":""},{"dropping-particle":"","family":"Dalhammar","given":"Gunnel","non-dropping-particle":"","parse-names":false,"suffix":""},{"dropping-particle":"","family":"Awadzi","given":"Kwablah","non-dropping-particle":"","parse-names":false,"suffix":""},{"dropping-particle":"","family":"Akuffo","given":"Hannah O.","non-dropping-particle":"","parse-names":false,"suffix":""}],"container-title":"Scandinavian Journal of Infectious Diseases","id":"ITEM-1","issue":"1","issued":{"date-parts":[["1996"]]},"page":"75-81","title":"Field diagnosis of onchocerciasis in an area of high versus low endemicity: Evaluation of the dot blot assay","type":"article-journal","volume":"28"}}],"schema":"https://github.com/citation-style-language/schema/raw/master/csl-citation.json"}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[53]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DAD0AD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028579B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Oti </w:t>
            </w:r>
          </w:p>
        </w:tc>
        <w:tc>
          <w:tcPr>
            <w:tcW w:w="3202" w:type="dxa"/>
            <w:noWrap/>
            <w:hideMark/>
          </w:tcPr>
          <w:p w14:paraId="559BA11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 information</w:t>
            </w:r>
          </w:p>
        </w:tc>
        <w:tc>
          <w:tcPr>
            <w:tcW w:w="7353" w:type="dxa"/>
            <w:noWrap/>
            <w:hideMark/>
          </w:tcPr>
          <w:p w14:paraId="4E7F1AD7"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Kwamekrom</w:t>
            </w:r>
            <w:proofErr w:type="spellEnd"/>
          </w:p>
        </w:tc>
      </w:tr>
      <w:tr w:rsidR="00AE371D" w:rsidRPr="00AE371D" w14:paraId="29888B3C" w14:textId="77777777" w:rsidTr="0025647A">
        <w:trPr>
          <w:trHeight w:val="312"/>
        </w:trPr>
        <w:tc>
          <w:tcPr>
            <w:tcW w:w="1316" w:type="dxa"/>
            <w:noWrap/>
            <w:hideMark/>
          </w:tcPr>
          <w:p w14:paraId="07675FDC" w14:textId="2CFC10CA"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Awadzi (1997)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bpNcdMDq","properties":{"formattedCitation":"[54]","plainCitation":"[54]","noteIndex":0},"citationItems":[{"id":"kQ8JjSWs/cExi6Vdg","uris":["http://www.mendeley.com/documents/?uuid=d44c6e68-cbf3-4593-9532-37a64539a297"],"itemData":{"DOI":"10.1080/00034983.1997.11813141","ISSN":"00034983","PMID":"9229021","abstract":"One hundred men from a forest area of Ghana, without vector control or ivermectin distribution, were randomized to receive a single dose of ivermectin (150μg/kg body weight) on day 1 followed by amocarzine (3 mg/kg twice daily after meals) on days 8, 9 and 10 (34 patients), the ivermectin alone (33 patients) or the amocarzine alone (33 patients). Detailed clinical and laboratory examinations were made before, during and after drug administration. On day 120, all palpable nodules were excised, fixed, sectioned, stained and examined by two blinded observers and the results compared with those for nodules from untreated controls. Mazzotti-type reactions, such as itching, rash, peripheral sensory phenomena and swellings, were more severe or frequent with amocarzine than ivermectin. Pretreatment with ivermectin markedly suppressed these reactions to amocarzine but did not affect other manifestations such as dizziness and gaze-evoked nystagmus. Ocular effects were minor in all groups. Ivermectin produced minor macrofilaricidal effects on the adult male worms, marked degeneration of intra-uterine embryos, and potent microfilaricidal effects and suppressed skin microfilariae. Amocarzine did not affect the male worms or the intra-uterine embryos, was a less potent microfilaricide and did not suppress skin microfilariae. The efficacy of ivermectin plus amocarzine was similar to that of ivermectin alone. The present results do not support the findings from the Americas and show that amocarzine has no role in the treatment of onchocerciasis in Africa.","author":[{"dropping-particle":"","family":"Awadzi","given":"K.","non-dropping-particle":"","parse-names":false,"suffix":""},{"dropping-particle":"","family":"Opoku","given":"N. O.","non-dropping-particle":"","parse-names":false,"suffix":""},{"dropping-particle":"","family":"Attah","given":"S. K.","non-dropping-particle":"","parse-names":false,"suffix":""},{"dropping-particle":"","family":"Addy","given":"E. T.","non-dropping-particle":"","parse-names":false,"suffix":""},{"dropping-particle":"","family":"Duke","given":"B. O.L.","non-dropping-particle":"","parse-names":false,"suffix":""},{"dropping-particle":"","family":"Nyame","given":"P. K.","non-dropping-particle":"","parse-names":false,"suffix":""},{"dropping-particle":"","family":"Kshirsagar","given":"N. A.","non-dropping-particle":"","parse-names":false,"suffix":""}],"container-title":"Annals of Tropical Medicine and Parasitology","id":"ITEM-1","issue":"3","issued":{"date-parts":[["1997"]]},"page":"281-296","title":"The safety and efficacy of amocarzine in African onchocerciasis and the influence of ivermectin on the clinical and parasitological response to treatment","type":"article-journal","volume":"91"}}],"schema":"https://github.com/citation-style-language/schema/raw/master/csl-citation.json"}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[54]</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23D52E4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445C10F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Volta</w:t>
            </w:r>
          </w:p>
        </w:tc>
        <w:tc>
          <w:tcPr>
            <w:tcW w:w="3202" w:type="dxa"/>
            <w:noWrap/>
            <w:hideMark/>
          </w:tcPr>
          <w:p w14:paraId="1B04752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River </w:t>
            </w:r>
            <w:proofErr w:type="spellStart"/>
            <w:r w:rsidRPr="00AE371D">
              <w:rPr>
                <w:rFonts w:ascii="Times New Roman" w:eastAsia="Times New Roman" w:hAnsi="Times New Roman" w:cs="Times New Roman"/>
                <w:kern w:val="0"/>
                <w:sz w:val="20"/>
                <w:szCs w:val="20"/>
                <w14:ligatures w14:val="none"/>
              </w:rPr>
              <w:t>Tordzi</w:t>
            </w:r>
            <w:proofErr w:type="spellEnd"/>
            <w:r w:rsidRPr="00AE371D">
              <w:rPr>
                <w:rFonts w:ascii="Times New Roman" w:eastAsia="Times New Roman" w:hAnsi="Times New Roman" w:cs="Times New Roman"/>
                <w:kern w:val="0"/>
                <w:sz w:val="20"/>
                <w:szCs w:val="20"/>
                <w14:ligatures w14:val="none"/>
              </w:rPr>
              <w:t xml:space="preserve"> (South </w:t>
            </w:r>
            <w:proofErr w:type="spellStart"/>
            <w:r w:rsidRPr="00AE371D">
              <w:rPr>
                <w:rFonts w:ascii="Times New Roman" w:eastAsia="Times New Roman" w:hAnsi="Times New Roman" w:cs="Times New Roman"/>
                <w:kern w:val="0"/>
                <w:sz w:val="20"/>
                <w:szCs w:val="20"/>
                <w14:ligatures w14:val="none"/>
              </w:rPr>
              <w:t>Tongu</w:t>
            </w:r>
            <w:proofErr w:type="spellEnd"/>
            <w:r w:rsidRPr="00AE371D">
              <w:rPr>
                <w:rFonts w:ascii="Times New Roman" w:eastAsia="Times New Roman" w:hAnsi="Times New Roman" w:cs="Times New Roman"/>
                <w:kern w:val="0"/>
                <w:sz w:val="20"/>
                <w:szCs w:val="20"/>
                <w14:ligatures w14:val="none"/>
              </w:rPr>
              <w:t xml:space="preserve"> )</w:t>
            </w:r>
          </w:p>
        </w:tc>
        <w:tc>
          <w:tcPr>
            <w:tcW w:w="7353" w:type="dxa"/>
            <w:noWrap/>
            <w:hideMark/>
          </w:tcPr>
          <w:p w14:paraId="15103331"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Kpedze</w:t>
            </w:r>
            <w:proofErr w:type="spellEnd"/>
            <w:r w:rsidRPr="00AE371D">
              <w:rPr>
                <w:rFonts w:ascii="Times New Roman" w:eastAsia="Times New Roman" w:hAnsi="Times New Roman" w:cs="Times New Roman"/>
                <w:kern w:val="0"/>
                <w:sz w:val="20"/>
                <w:szCs w:val="20"/>
                <w14:ligatures w14:val="none"/>
              </w:rPr>
              <w:t xml:space="preserve"> Anoe, </w:t>
            </w:r>
            <w:proofErr w:type="spellStart"/>
            <w:r w:rsidRPr="00AE371D">
              <w:rPr>
                <w:rFonts w:ascii="Times New Roman" w:eastAsia="Times New Roman" w:hAnsi="Times New Roman" w:cs="Times New Roman"/>
                <w:kern w:val="0"/>
                <w:sz w:val="20"/>
                <w:szCs w:val="20"/>
                <w14:ligatures w14:val="none"/>
              </w:rPr>
              <w:t>Honuta-Gbogame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Honuta-Aflakpe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Kpoeta-Achem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Kpoeta</w:t>
            </w:r>
            <w:proofErr w:type="spellEnd"/>
            <w:r w:rsidRPr="00AE371D">
              <w:rPr>
                <w:rFonts w:ascii="Times New Roman" w:eastAsia="Times New Roman" w:hAnsi="Times New Roman" w:cs="Times New Roman"/>
                <w:kern w:val="0"/>
                <w:sz w:val="20"/>
                <w:szCs w:val="20"/>
                <w14:ligatures w14:val="none"/>
              </w:rPr>
              <w:t xml:space="preserve">-Ashanti and </w:t>
            </w:r>
            <w:proofErr w:type="spellStart"/>
            <w:r w:rsidRPr="00AE371D">
              <w:rPr>
                <w:rFonts w:ascii="Times New Roman" w:eastAsia="Times New Roman" w:hAnsi="Times New Roman" w:cs="Times New Roman"/>
                <w:kern w:val="0"/>
                <w:sz w:val="20"/>
                <w:szCs w:val="20"/>
                <w14:ligatures w14:val="none"/>
              </w:rPr>
              <w:t>Kpedze</w:t>
            </w:r>
            <w:proofErr w:type="spellEnd"/>
          </w:p>
        </w:tc>
      </w:tr>
      <w:tr w:rsidR="00AE371D" w:rsidRPr="00AE371D" w14:paraId="1593C2DE" w14:textId="77777777" w:rsidTr="0025647A">
        <w:trPr>
          <w:trHeight w:val="312"/>
        </w:trPr>
        <w:tc>
          <w:tcPr>
            <w:tcW w:w="1316" w:type="dxa"/>
            <w:noWrap/>
            <w:hideMark/>
          </w:tcPr>
          <w:p w14:paraId="76524B9E" w14:textId="517F493F"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Brieger (1998)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nMF9noVg","properties":{"formattedCitation":"[55]","plainCitation":"[55]","noteIndex":0},"citationItems":[{"id":"kQ8JjSWs/kG4LhW5B","uris":["http://www.mendeley.com/documents/?uuid=f11d4fc6-9e6d-435e-99f1-dedd1892762b"],"itemData":{"author":[{"dropping-particle":"","family":"Brieger","given":"W R","non-dropping-particle":"","parse-names":false,"suffix":""},{"dropping-particle":"","family":"Eneanya","given":"C I","non-dropping-particle":"","parse-names":false,"suffix":""},{"dropping-particle":"","family":"Hagan","given":"M","non-dropping-particle":"","parse-names":false,"suffix":""},{"dropping-particle":"","family":"Ogbuagu","given":"K F","non-dropping-particle":"","parse-names":false,"suffix":""},{"dropping-particle":"","family":"Okello","given":"D O","non-dropping-particle":"","parse-names":false,"suffix":""},{"dropping-particle":"","family":"Ososanya","given":"O O","non-dropping-particle":"","parse-names":false,"suffix":""},{"dropping-particle":"","family":"Ovuga","given":"E B L","non-dropping-particle":"","parse-names":false,"suffix":""},{"dropping-particle":"","family":"Noma","given":"M","non-dropping-particle":"","parse-names":false,"suffix":""},{"dropping-particle":"","family":"Kale","given":"O O","non-dropping-particle":"","parse-names":false,"suffix":""},{"dropping-particle":"","family":"Burnham","given":"G M","non-dropping-particle":"","parse-names":false,"suffix":""},{"dropping-particle":"","family":"Remme","given":"J H F","non-dropping-particle":"","parse-names":false,"suffix":""}],"id":"ITEM-1","issue":"12","issued":{"date-parts":[["1998"]]},"page":"951-961","title":"The effects of ivermectin on onchocercal skin disease and severe itching : results of a multicentre trial","type":"article-journal","volume":"3"}}],"schema":"https://github.com/citation-style-language/schema/raw/master/csl-citation.json"}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[55]</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E2BEFE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069F1C0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Westen North</w:t>
            </w:r>
          </w:p>
        </w:tc>
        <w:tc>
          <w:tcPr>
            <w:tcW w:w="3202" w:type="dxa"/>
            <w:noWrap/>
            <w:hideMark/>
          </w:tcPr>
          <w:p w14:paraId="210216DA"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Aowin</w:t>
            </w:r>
            <w:proofErr w:type="spellEnd"/>
            <w:r w:rsidRPr="00AE371D">
              <w:rPr>
                <w:rFonts w:ascii="Times New Roman" w:eastAsia="Times New Roman" w:hAnsi="Times New Roman" w:cs="Times New Roman"/>
                <w:kern w:val="0"/>
                <w:sz w:val="20"/>
                <w:szCs w:val="20"/>
                <w14:ligatures w14:val="none"/>
              </w:rPr>
              <w:t xml:space="preserve"> and </w:t>
            </w:r>
            <w:proofErr w:type="spellStart"/>
            <w:r w:rsidRPr="00AE371D">
              <w:rPr>
                <w:rFonts w:ascii="Times New Roman" w:eastAsia="Times New Roman" w:hAnsi="Times New Roman" w:cs="Times New Roman"/>
                <w:kern w:val="0"/>
                <w:sz w:val="20"/>
                <w:szCs w:val="20"/>
                <w14:ligatures w14:val="none"/>
              </w:rPr>
              <w:t>Suaman</w:t>
            </w:r>
            <w:proofErr w:type="spellEnd"/>
            <w:r w:rsidRPr="00AE371D">
              <w:rPr>
                <w:rFonts w:ascii="Times New Roman" w:eastAsia="Times New Roman" w:hAnsi="Times New Roman" w:cs="Times New Roman"/>
                <w:kern w:val="0"/>
                <w:sz w:val="20"/>
                <w:szCs w:val="20"/>
                <w14:ligatures w14:val="none"/>
              </w:rPr>
              <w:t xml:space="preserve"> </w:t>
            </w:r>
          </w:p>
        </w:tc>
        <w:tc>
          <w:tcPr>
            <w:tcW w:w="7353" w:type="dxa"/>
            <w:noWrap/>
            <w:hideMark/>
          </w:tcPr>
          <w:p w14:paraId="68335D6B"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Jomoro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Asantekrom</w:t>
            </w:r>
            <w:proofErr w:type="spellEnd"/>
            <w:r w:rsidRPr="00AE371D">
              <w:rPr>
                <w:rFonts w:ascii="Times New Roman" w:eastAsia="Times New Roman" w:hAnsi="Times New Roman" w:cs="Times New Roman"/>
                <w:kern w:val="0"/>
                <w:sz w:val="20"/>
                <w:szCs w:val="20"/>
                <w14:ligatures w14:val="none"/>
              </w:rPr>
              <w:t xml:space="preserve">, Jema and </w:t>
            </w:r>
            <w:proofErr w:type="spellStart"/>
            <w:r w:rsidRPr="00AE371D">
              <w:rPr>
                <w:rFonts w:ascii="Times New Roman" w:eastAsia="Times New Roman" w:hAnsi="Times New Roman" w:cs="Times New Roman"/>
                <w:kern w:val="0"/>
                <w:sz w:val="20"/>
                <w:szCs w:val="20"/>
                <w14:ligatures w14:val="none"/>
              </w:rPr>
              <w:t>Assemkrom</w:t>
            </w:r>
            <w:proofErr w:type="spellEnd"/>
          </w:p>
        </w:tc>
      </w:tr>
      <w:tr w:rsidR="00AE371D" w:rsidRPr="00AE371D" w14:paraId="105C9CC0" w14:textId="77777777" w:rsidTr="0025647A">
        <w:trPr>
          <w:trHeight w:val="312"/>
        </w:trPr>
        <w:tc>
          <w:tcPr>
            <w:tcW w:w="1316" w:type="dxa"/>
            <w:noWrap/>
            <w:hideMark/>
          </w:tcPr>
          <w:p w14:paraId="60A76ED3" w14:textId="5A8EA9B0"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Cooper (1999)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lZc3kmDT","properties":{"formattedCitation":"[56]","plainCitation":"[56]","noteIndex":0},"citationItems":[{"id":"kQ8JjSWs/EiCmjofD","uris":["http://www.mendeley.com/documents/?uuid=3643f223-cf02-4742-9e6d-d32aa4f1b0e9"],"itemData":{"DOI":"10.1086/314647","ISSN":"00221899","PMID":"9952390","abstract":"To investigate the role of eosinophil activation and sequestration in the development and severity of adverse reactions after the treatment of Onchocerca volvulus infection, 40 O. volvulus-infected Ghanaians were randomized to receive placebo or standard- or high-dose ivermectin. Subjects were examined for typical physiologic and clinical events before and up to 48 h after treatment. Plasma samples were tested for interleukin (IL)-5 and eosinophil degranulation products (e.g., eosinophil-derived neurotoxin, EDN). After treatment, peripheral eosinophil counts declined in ivermectin-treated groups (P &lt; .001), whereas circulating levels of IL-5 (P &lt; .01) and EDN (P&lt;.05) increased. Cumulative levels of IL-5 and EDN correlated with reaction scores (P&lt;.01). High-dose ivermectin was associated with more-severe reactions, more-profound eosinopenia, and higher circulating levels of IL-5 and EDN, compared with the standard dose. These results suggest that eosinophil sequestration and activation/degranulation are associated with the initiation and severity of ivermectin-associated adverse reactions.","author":[{"dropping-particle":"","family":"Cooper","given":"Philip J.","non-dropping-particle":"","parse-names":false,"suffix":""},{"dropping-particle":"","family":"Awadzi","given":"Kwablah","non-dropping-particle":"","parse-names":false,"suffix":""},{"dropping-particle":"","family":"Ottesen","given":"Eric A.","non-dropping-particle":"","parse-names":false,"suffix":""},{"dropping-particle":"","family":"Remick","given":"Daniel","non-dropping-particle":"","parse-names":false,"suffix":""},{"dropping-particle":"","family":"Nutman","given":"Thomas B.","non-dropping-particle":"","parse-names":false,"suffix":""}],"container-title":"Journal of Infectious Diseases","id":"ITEM-1","issue":"3","issued":{"date-parts":[["1999"]]},"page":"738-742","publisher":"J Infect Dis","title":"Eosinophil sequestration and activation are associated with the onset and severity of systemic adverse reactions following the treatment of onchocerciasis with ivermectin","type":"article-journal","volume":"179"}}],"schema":"https://github.com/citation-style-language/schema/raw/master/csl-citation.json"}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[56]</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12538CF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A5494D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Southeastern Ghana</w:t>
            </w:r>
          </w:p>
        </w:tc>
        <w:tc>
          <w:tcPr>
            <w:tcW w:w="3202" w:type="dxa"/>
            <w:noWrap/>
            <w:hideMark/>
          </w:tcPr>
          <w:p w14:paraId="09DDAD4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184E569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122FB805" w14:textId="77777777" w:rsidTr="0025647A">
        <w:trPr>
          <w:trHeight w:val="312"/>
        </w:trPr>
        <w:tc>
          <w:tcPr>
            <w:tcW w:w="1316" w:type="dxa"/>
            <w:noWrap/>
            <w:hideMark/>
          </w:tcPr>
          <w:p w14:paraId="4BF62693" w14:textId="4A50D2C0"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Awadzi (1999)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4fxNuPkM","properties":{"formattedCitation":"[57]","plainCitation":"[57]","noteIndex":0},"citationItems":[{"id":"kQ8JjSWs/0YVNlPHF","uris":["http://www.mendeley.com/documents/?uuid=8f1726c0-741c-4509-a0e8-7c8f5a977600"],"itemData":{"DOI":"10.1016/S0035-9203(99)90305-X","ISSN":"00359203","PMID":"10450448","abstract":"Ivermectin, at the standard dose of 150 μg/kg bodyweight, does not kill the adult worms of Onchocerca volvulus and does not disrupt embryogenesis or spermatogenesis. Repeated standard doses, if maintained, arrest microfilarial production but result in only a mild-to-modest macrofilaricidal effect. We investigated whether high doses would effectively kill the adult worms, and whether cessation of microfilarial production could be reproduced by an equivalent, single, high dose. One hundred men participated in a double-blind placebo-controlled trial and received increasing doses of ivermectin from 150 μg/kg to 1600 μg/kg bodyweight. Nodules were excised at day 180 and examined by histopathology. Total doses of ivermectin up to 1600 μg/kg were not significantly more effective than 150 μg/kg. Moreover, they did not reproduce the marked inhibitory effects of the repeat standard-dose regimens on embryogenesis, nor the modest effect on adult worm viability, at comparable total doses. These effects may be functions of multiplicities of dosages rather than of the total dose. Our findings also suggest that repeated high-dose regimens are unlikely to be more effective than a similar number of 150 μg/kg doses. This deficiency of ivermectin requires that the search for macrofilaricides remains a top priority.","author":[{"dropping-particle":"","family":"Awadzi","given":"Kwablah","non-dropping-particle":"","parse-names":false,"suffix":""},{"dropping-particle":"","family":"Attah","given":"Simon Kwaku","non-dropping-particle":"","parse-names":false,"suffix":""},{"dropping-particle":"","family":"Addy","given":"Ebenezer Thomas","non-dropping-particle":"","parse-names":false,"suffix":""},{"dropping-particle":"","family":"Opoku","given":"Nicholas Obuobisa","non-dropping-particle":"","parse-names":false,"suffix":""},{"dropping-particle":"","family":"Quartey","given":"Benjamin Theophilus","non-dropping-particle":"","parse-names":false,"suffix":""}],"container-title":"Transactions of the Royal Society of Tropical Medicine and Hygiene","id":"ITEM-1","issue":"2","issued":{"date-parts":[["1999"]]},"page":"189-194","title":"The effects of high-dose ivermectin regimens on Onchocerca volvulus in onchocerciasis patients","type":"article-journal","volume":"93"}}],"schema":"https://github.com/citation-style-language/schema/raw/master/csl-citation.json"}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[57]</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3D32B16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5CCD0B7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Southeastern Ghana</w:t>
            </w:r>
          </w:p>
        </w:tc>
        <w:tc>
          <w:tcPr>
            <w:tcW w:w="3202" w:type="dxa"/>
            <w:noWrap/>
            <w:hideMark/>
          </w:tcPr>
          <w:p w14:paraId="413CE96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58D22DB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62661A71" w14:textId="77777777" w:rsidTr="0025647A">
        <w:trPr>
          <w:trHeight w:val="312"/>
        </w:trPr>
        <w:tc>
          <w:tcPr>
            <w:tcW w:w="1316" w:type="dxa"/>
            <w:noWrap/>
            <w:hideMark/>
          </w:tcPr>
          <w:p w14:paraId="4BB34DB1" w14:textId="4DCA4DE2"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Krah (2000)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6WEfVfuJ","properties":{"formattedCitation":"[58]","plainCitation":"[58]","noteIndex":0},"citationItems":[{"id":"kQ8JjSWs/vlzwGcnc","uris":["http://www.mendeley.com/documents/?uuid=9c510fd3-8042-4d4f-984e-3e17e87b81fe"],"itemData":{"DOI":"10.1177/004947550003000310","ISSN":"17581133","PMID":"10902470","abstract":"This study was carried out amongst workers of Twifo Oil Palm Plantations (TOPP), a large agro-based industry located in the tropical rain forest belt of the Central Region of Ghana in West Africa. The district abounds in streams and rivers, the biggest being the rapidly flowing River Pra which bisects the district. Simulium flies abound in the area and are commonly seen biting voraciously especially during the period of the year when farm lands are being prepared for cropping. The author assumed the responsibility of providing health care for about 1700 employees of the plantation and their dependants in 1988. The majority of employees had been engaged without any pre-employment medical examination. Available medical information on most workers was inadequate and limited to those reporting to the small company clinic. There was no hospital in the district and the deplorable roads turned the district into an inaccessible island. Meaningful planning for healthcare delivery in the area was difficult. This study was conceived as an initial step in identifying the common health problems particularly amongst the plantation workers in order to plan necessary interventions. © 2000, SAGE Publications. All rights reserved.","author":[{"dropping-particle":"","family":"Krah","given":"Cyril K.","non-dropping-particle":"","parse-names":false,"suffix":""}],"container-title":"Tropical Doctor","id":"ITEM-1","issue":"3","issued":{"date-parts":[["2000"]]},"page":"143-146","publisher":"Trop Doct","title":"The prevalence of onchocerciasis and other parasitic infestations on an oil palm plantation in Ghana","type":"article-journal","volume":"30"}}],"schema":"https://github.com/citation-style-language/schema/raw/master/csl-citation.json"}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[58]</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38B849C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10F3464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Central</w:t>
            </w:r>
          </w:p>
        </w:tc>
        <w:tc>
          <w:tcPr>
            <w:tcW w:w="3202" w:type="dxa"/>
            <w:noWrap/>
            <w:hideMark/>
          </w:tcPr>
          <w:p w14:paraId="5FDB528D"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Twifo</w:t>
            </w:r>
            <w:proofErr w:type="spellEnd"/>
            <w:r w:rsidRPr="00AE371D">
              <w:rPr>
                <w:rFonts w:ascii="Times New Roman" w:eastAsia="Times New Roman" w:hAnsi="Times New Roman" w:cs="Times New Roman"/>
                <w:kern w:val="0"/>
                <w:sz w:val="20"/>
                <w:szCs w:val="20"/>
                <w14:ligatures w14:val="none"/>
              </w:rPr>
              <w:t xml:space="preserve"> Atti </w:t>
            </w:r>
            <w:proofErr w:type="spellStart"/>
            <w:r w:rsidRPr="00AE371D">
              <w:rPr>
                <w:rFonts w:ascii="Times New Roman" w:eastAsia="Times New Roman" w:hAnsi="Times New Roman" w:cs="Times New Roman"/>
                <w:kern w:val="0"/>
                <w:sz w:val="20"/>
                <w:szCs w:val="20"/>
                <w14:ligatures w14:val="none"/>
              </w:rPr>
              <w:t>Morkwa</w:t>
            </w:r>
            <w:proofErr w:type="spellEnd"/>
            <w:r w:rsidRPr="00AE371D">
              <w:rPr>
                <w:rFonts w:ascii="Times New Roman" w:eastAsia="Times New Roman" w:hAnsi="Times New Roman" w:cs="Times New Roman"/>
                <w:kern w:val="0"/>
                <w:sz w:val="20"/>
                <w:szCs w:val="20"/>
                <w14:ligatures w14:val="none"/>
              </w:rPr>
              <w:t xml:space="preserve"> </w:t>
            </w:r>
          </w:p>
        </w:tc>
        <w:tc>
          <w:tcPr>
            <w:tcW w:w="7353" w:type="dxa"/>
            <w:noWrap/>
            <w:hideMark/>
          </w:tcPr>
          <w:p w14:paraId="7BFADFBC"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Twifo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Ntafrewaso</w:t>
            </w:r>
            <w:proofErr w:type="spellEnd"/>
          </w:p>
        </w:tc>
      </w:tr>
      <w:tr w:rsidR="00AE371D" w:rsidRPr="00AE371D" w14:paraId="315F2277" w14:textId="77777777" w:rsidTr="0025647A">
        <w:trPr>
          <w:trHeight w:val="312"/>
        </w:trPr>
        <w:tc>
          <w:tcPr>
            <w:tcW w:w="1316" w:type="dxa"/>
            <w:noWrap/>
            <w:hideMark/>
          </w:tcPr>
          <w:p w14:paraId="021157AB" w14:textId="1F8C5935"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Guzma (2002)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t8qFcgvh","properties":{"formattedCitation":"[59]","plainCitation":"[59]","noteIndex":0},"citationItems":[{"id":"kQ8JjSWs/RO6l4NrI","uris":["http://www.mendeley.com/documents/?uuid=e1c97ddb-7016-47e2-b856-9a8b849b3eaa"],"itemData":{"DOI":"10.1128/CDLI.9.5.1014","ISSN":"1071-412X","abstract":"Successful control of onchocerciasis through mass distribution of ivermectin needs to be coupled with reliable, sensitive, specific, yet affordable diagnostic methods to monitor and ensure the efficacy of such measures. The effort put into the development of diagnostic methods for onchocerciasis that can substitute for or work in combination with the present \"gold standard,\" the skin snip test, has resulted in the discovery of a number of immunogenic proteins with potential use as diagnostic tools in the postcontrol era. Most of these proteins have now been produced through recombinant DNA techniques. However, when costs are not a trivial issue, none of them have yet found their way into the areas where the disease still exists. In the present study, we have evaluated the performance of a simple dot blot assay which uses a mixture of native proteins designated PakF as a serious contender in the quest for a less invasive and more sensitive method to detect Onchocerca volvulus infection in areas with diverse endemicities. Our results indicate that the assay we propose is more sensitive than the skin snip test and shows high specificity, both characteristics required for a suitable tool for the monitoring of onchocerciasis in the postcontrol era.","author":[{"dropping-particle":"","family":"Guzmán","given":"G E","non-dropping-particle":"","parse-names":false,"suffix":""},{"dropping-particle":"","family":"Awadzi","given":"K","non-dropping-particle":"","parse-names":false,"suffix":""},{"dropping-particle":"","family":"Opoku","given":"N","non-dropping-particle":"","parse-names":false,"suffix":""},{"dropping-particle":"","family":"Narayanan","given":"R B","non-dropping-particle":"","parse-names":false,"suffix":""},{"dropping-particle":"","family":"Akuffo","given":"H O","non-dropping-particle":"","parse-names":false,"suffix":""}],"container-title":"Clinical and diagnostic laboratory immunology","id":"ITEM-1","issue":"5","issued":{"date-parts":[["2002"]]},"page":"1014-1020","title":"Comparison between the skin snip test and simple dot blot assay as potential rapid assessment tools for Onchocerciasis in the postcontrol era in Ghana","type":"article-journal","volume":"9"}}],"schema":"https://github.com/citation-style-language/schema/raw/master/csl-citation.json"}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[59]</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E5CDCD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B90F3E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Volta </w:t>
            </w:r>
          </w:p>
        </w:tc>
        <w:tc>
          <w:tcPr>
            <w:tcW w:w="3202" w:type="dxa"/>
            <w:noWrap/>
            <w:hideMark/>
          </w:tcPr>
          <w:p w14:paraId="02E9E6E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Ho </w:t>
            </w:r>
          </w:p>
        </w:tc>
        <w:tc>
          <w:tcPr>
            <w:tcW w:w="7353" w:type="dxa"/>
            <w:noWrap/>
            <w:hideMark/>
          </w:tcPr>
          <w:p w14:paraId="624CA4E7"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Aflakpe</w:t>
            </w:r>
            <w:proofErr w:type="spellEnd"/>
            <w:r w:rsidRPr="00AE371D">
              <w:rPr>
                <w:rFonts w:ascii="Times New Roman" w:eastAsia="Times New Roman" w:hAnsi="Times New Roman" w:cs="Times New Roman"/>
                <w:kern w:val="0"/>
                <w:sz w:val="20"/>
                <w:szCs w:val="20"/>
                <w14:ligatures w14:val="none"/>
              </w:rPr>
              <w:t xml:space="preserve">, Klave, </w:t>
            </w:r>
            <w:proofErr w:type="spellStart"/>
            <w:r w:rsidRPr="00AE371D">
              <w:rPr>
                <w:rFonts w:ascii="Times New Roman" w:eastAsia="Times New Roman" w:hAnsi="Times New Roman" w:cs="Times New Roman"/>
                <w:kern w:val="0"/>
                <w:sz w:val="20"/>
                <w:szCs w:val="20"/>
                <w14:ligatures w14:val="none"/>
              </w:rPr>
              <w:t>Aboete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Anorme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Asifiafe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Luvudo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Honuta</w:t>
            </w:r>
            <w:proofErr w:type="spellEnd"/>
            <w:r w:rsidRPr="00AE371D">
              <w:rPr>
                <w:rFonts w:ascii="Times New Roman" w:eastAsia="Times New Roman" w:hAnsi="Times New Roman" w:cs="Times New Roman"/>
                <w:kern w:val="0"/>
                <w:sz w:val="20"/>
                <w:szCs w:val="20"/>
                <w14:ligatures w14:val="none"/>
              </w:rPr>
              <w:t xml:space="preserve"> GBORGAME, </w:t>
            </w:r>
            <w:proofErr w:type="spellStart"/>
            <w:r w:rsidRPr="00AE371D">
              <w:rPr>
                <w:rFonts w:ascii="Times New Roman" w:eastAsia="Times New Roman" w:hAnsi="Times New Roman" w:cs="Times New Roman"/>
                <w:kern w:val="0"/>
                <w:sz w:val="20"/>
                <w:szCs w:val="20"/>
                <w14:ligatures w14:val="none"/>
              </w:rPr>
              <w:t>Kpedze</w:t>
            </w:r>
            <w:proofErr w:type="spellEnd"/>
            <w:r w:rsidRPr="00AE371D">
              <w:rPr>
                <w:rFonts w:ascii="Times New Roman" w:eastAsia="Times New Roman" w:hAnsi="Times New Roman" w:cs="Times New Roman"/>
                <w:kern w:val="0"/>
                <w:sz w:val="20"/>
                <w:szCs w:val="20"/>
                <w14:ligatures w14:val="none"/>
              </w:rPr>
              <w:t xml:space="preserve"> Anoe</w:t>
            </w:r>
          </w:p>
        </w:tc>
      </w:tr>
      <w:tr w:rsidR="00AE371D" w:rsidRPr="00AE371D" w14:paraId="6BA75924" w14:textId="77777777" w:rsidTr="0025647A">
        <w:trPr>
          <w:trHeight w:val="312"/>
        </w:trPr>
        <w:tc>
          <w:tcPr>
            <w:tcW w:w="1316" w:type="dxa"/>
            <w:noWrap/>
            <w:hideMark/>
          </w:tcPr>
          <w:p w14:paraId="29B9F2F8" w14:textId="1A607FE3"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Murdoch (2002)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ruHJgitI","properties":{"formattedCitation":"[60]","plainCitation":"[60]","noteIndex":0},"citationItems":[{"id":"kQ8JjSWs/5OCqxeKm","uris":["http://www.mendeley.com/documents/?uuid=6fe5b5c0-eae1-4793-a911-cca4beb1eef0"],"itemData":{"DOI":"10.1179/000349802125000826","ISBN":"0003498021250","ISSN":"00034983","PMID":"12061975","abstract":"An attempt was made to assess the true public-health importance of onchocercal skin disease throughout the African region and hence provide an objective basis for the rational planning of onchocerciasis control in the area. The seven collaborative centres that participated in the study (three in Nigeria and one each in Ghana, Cameroon, Tanzania and Uganda) were all in areas of rainforest or savannah-forest mosaic where onchocercal blindness is not common. A cross-sectional dermatological survey was undertaken at each site following a standard protocol. At each site, the aim was to examine at least 750 individuals aged ≥5 years and living in highly endemic communities and 220-250 individuals aged ≥5 years and living in a hypo-endemic (control) community. Overall, there were 5459 and 1451 subjects from hyper-and hypo-endemic communities, respectively. In the highly endemic communities, the prevalence of itching increased with age until 20 years and then plateaued, affecting 42% of the population aged ≥20 years. There was a strong correlation between the prevalence of itching and the level of endemicity (as measured by the prevalence of nodules; r = 0.75; P &lt; 0.001). The results of a multivariate logistic regression analysis showed that, at the individual level, the presence of onchocercal reactive skin lesions (acute papular onchodermatitis, chronic papular onchodermatitis and/or lichenified onchodermatitis) was the most important risk factor for pruritus, with an odds ratio (OR) of 18.3 and 95% confidence interval (CT) of 15.19-22.04, followed by the presence of palpable onchocercal nodules (OR = 4.63; CI = 4.05-5.29). In contrast, non-onchocercal skin disease contributed very little to pruritus in the study communities (OR = 1.29; CI = 1.1-1.51). Onchocercal skin lesions affected 28% of the population in the endemic villages. The commonest type was chronic papular onchodermatitis (13%), followed by depigmentation (10%) and acute papular onchodermatitis (7%). The highest correlation with endemicity was seen for the prevalence of any onchocercal skin lesion and/or pruritus combined (r = 0.8; P&lt; 0.001). Cutaneous onchocerciasis was found to be a common problem in many endemic areas in Africa which do not have high levels of onchocercal blindness. These findings, together with recent observations that onchocercal skin disease can have major, adverse, psycho-social and socio-economic effects, justify the inclusion of regions with onchocercal skin disease in …","author":[{"dropping-particle":"","family":"Murdoch","given":"Michele E.","non-dropping-particle":"","parse-names":false,"suffix":""},{"dropping-particle":"","family":"Asuzu","given":"M. C.","non-dropping-particle":"","parse-names":false,"suffix":""},{"dropping-particle":"","family":"Hagan","given":"M.","non-dropping-particle":"","parse-names":false,"suffix":""},{"dropping-particle":"","family":"Makunde","given":"W. H.","non-dropping-particle":"","parse-names":false,"suffix":""},{"dropping-particle":"","family":"Ngoumou","given":"P.","non-dropping-particle":"","parse-names":false,"suffix":""},{"dropping-particle":"","family":"Ogbuagu","given":"K. F.","non-dropping-particle":"","parse-names":false,"suffix":""},{"dropping-particle":"","family":"Okello","given":"D.","non-dropping-particle":"","parse-names":false,"suffix":""},{"dropping-particle":"","family":"Ozoh","given":"G.","non-dropping-particle":"","parse-names":false,"suffix":""},{"dropping-particle":"","family":"Remme","given":"J.","non-dropping-particle":"","parse-names":false,"suffix":""}],"container-title":"Annals of Tropical Medicine and Parasitology","id":"ITEM-1","issue":"3","issued":{"date-parts":[["2002"]]},"page":"283-296","title":"Onchocerciasis: The clinical and epidemiological burden of skin disease in Africa","type":"article-journal","volume":"96"}}],"schema":"https://github.com/citation-style-language/schema/raw/master/csl-citation.json"}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[60]</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DAACF5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CE1F04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Western North </w:t>
            </w:r>
          </w:p>
        </w:tc>
        <w:tc>
          <w:tcPr>
            <w:tcW w:w="3202" w:type="dxa"/>
            <w:noWrap/>
            <w:hideMark/>
          </w:tcPr>
          <w:p w14:paraId="02CB0D2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Enchi</w:t>
            </w:r>
          </w:p>
        </w:tc>
        <w:tc>
          <w:tcPr>
            <w:tcW w:w="7353" w:type="dxa"/>
            <w:noWrap/>
            <w:hideMark/>
          </w:tcPr>
          <w:p w14:paraId="42C3C69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579E7C4C" w14:textId="77777777" w:rsidTr="0025647A">
        <w:trPr>
          <w:trHeight w:val="312"/>
        </w:trPr>
        <w:tc>
          <w:tcPr>
            <w:tcW w:w="1316" w:type="dxa"/>
            <w:noWrap/>
            <w:hideMark/>
          </w:tcPr>
          <w:p w14:paraId="0E139E56" w14:textId="52C29D2B"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Hoerauf (2003)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FadV3jcx","properties":{"formattedCitation":"[61]","plainCitation":"[61]","noteIndex":0},"citationItems":[{"id":"kQ8JjSWs/3BU8yKYp","uris":["http://www.mendeley.com/documents/?uuid=7127dee5-52a3-417c-8620-db51ac5d6555"],"itemData":{"DOI":"10.1016/S1286-4579(03)00026-1","ISBN":"4940428184","ISSN":"12864579","PMID":"12706439","abstract":"Recently, experts have warned that mass treatment with ivermectin alone may not interrupt the transmission of Onchocerca. Hence, additional drugs are needed, such as antibiotics acting on symbiotic endobacteria of the filariae, the causative agents of onchocerciasis. Based on animal experiments, human onchocerciasis was treated with doxycycline, and preliminary observations published in 2001 in The Lancet showed sterility in female worms by depletion and marked reduction in symbiotic Wolbachia endobacteria from the filariae. Here, a detailed kinetic analysis of the features of the worms, following administration or not of doxycycline to the patients is reported. Sixty-three onchocerciasis patients in Ghana were treated with 100 mg doxycycline daily for 6 weeks and 2 or 6 months later with ivermectin. Onchocercomas were extirpated 2, 6, 11 and 18 months after the onset of treatment and the filariae were examined by immunohistology and PCR. The analysis showed: (i) progressive depletion of Wolbachia from adult worms and microfilariae by doxycycline over a period of 6 months; (ii) inhibition of embryogenesis by doxycycline after 6 months with respect to all embryo stages followed by decline in microfilariae after 11 months; (iii) reduction in spermatozoa in the female genital tract by doxycycline, whereas spermiogenesis was only partly reduced after 11 and 18 months; (iv) no relevant macro- or microfilaricidal activity; (v) depletion/marked reduction in endobacteria and inhibition of embryogenesis were sustained until 18 months after doxycycline and 12 months after co-administration of ivermectin; (vi) no severe adverse side effects were seen. Due to its long-lasting inhibition of embryogenesis, doxycycline presents an additional strategy for the treatment of onchocerciasis and control of Onchocerca microfilariae transmission. Extension of the existing registration will not require much time or high cost. Treatment of individual patients can be considered immediately. © 2003 Éditions scientifiques et médicales Elsevier SAS. All rights reserved.","author":[{"dropping-particle":"","family":"Hoerauf","given":"Achim","non-dropping-particle":"","parse-names":false,"suffix":""},{"dropping-particle":"","family":"Mand","given":"Sabine","non-dropping-particle":"","parse-names":false,"suffix":""},{"dropping-particle":"","family":"Volkmann","given":"Lars","non-dropping-particle":"","parse-names":false,"suffix":""},{"dropping-particle":"","family":"Büttner","given":"Marcelle","non-dropping-particle":"","parse-names":false,"suffix":""},{"dropping-particle":"","family":"Marfo-Debrekyei","given":"Yeboah","non-dropping-particle":"","parse-names":false,"suffix":""},{"dropping-particle":"","family":"Taylor","given":"Mark","non-dropping-particle":"","parse-names":false,"suffix":""},{"dropping-particle":"","family":"Adjei","given":"Ohene","non-dropping-particle":"","parse-names":false,"suffix":""},{"dropping-particle":"","family":"Büttner","given":"Dietrich W.","non-dropping-particle":"","parse-names":false,"suffix":""}],"container-title":"Microbes and Infection","id":"ITEM-1","issue":"4","issued":{"date-parts":[["2003","4"]]},"page":"261-273","title":"Doxycycline in the treatment of human onchocerciasis: kinetics of Wolbachia endobacteria reduction and of inhibition of embryogenesis in female Onchocerca worms","type":"article-journal","volume":"5"}}],"schema":"https://github.com/citation-style-language/schema/raw/master/csl-citation.json"}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[61]</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21ADFE3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AFE6DE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Central</w:t>
            </w:r>
          </w:p>
        </w:tc>
        <w:tc>
          <w:tcPr>
            <w:tcW w:w="3202" w:type="dxa"/>
            <w:noWrap/>
            <w:hideMark/>
          </w:tcPr>
          <w:p w14:paraId="7DCC172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Upper Denkyira </w:t>
            </w:r>
          </w:p>
        </w:tc>
        <w:tc>
          <w:tcPr>
            <w:tcW w:w="7353" w:type="dxa"/>
            <w:noWrap/>
            <w:hideMark/>
          </w:tcPr>
          <w:p w14:paraId="19A12F4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7C71DEB4" w14:textId="77777777" w:rsidTr="0025647A">
        <w:trPr>
          <w:trHeight w:val="312"/>
        </w:trPr>
        <w:tc>
          <w:tcPr>
            <w:tcW w:w="1316" w:type="dxa"/>
            <w:noWrap/>
            <w:hideMark/>
          </w:tcPr>
          <w:p w14:paraId="76134579" w14:textId="2A6F62AA"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Awadzi (2003)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FJCQ7Jv3","properties":{"formattedCitation":"[62]","plainCitation":"[62]","noteIndex":0},"citationItems":[{"id":"kQ8JjSWs/7RkrCfb7","uris":["http://www.mendeley.com/documents/?uuid=24259f37-1c51-46ad-964a-730c6e3a7557"],"itemData":{"DOI":"10.1179/000349803235001697","ISSN":"00034983","PMID":"12803872","abstract":"A randomized, double-blind, placebo-controlled trial was conducted, to determine whether the co-administration of ivermectin with albendazole is safe and more effective against Onchocerca volvulus than ivermectin alone, and whether a significant pharmacokinetic interaction occurs. Forty-two male onchocerciasis patients received ivermectin (200 μg/kg) alone, albendazole (400 mg) alone or the combination. Safety was determined from the results of detailed clinical and laboratory examinations before treatment, during hospitalization and on day 30. Microfilaricidal efficacy was estimated from the reductions in skin counts between day 0 (pretreatment) and day 30. To determine efficacy against the adult worms, two independent observers examined histology slides prepared from nodules excised on day 180; changes in the skin counts of skin microfilariae between days 30 and 365 provided additional indicators of the level of adulticidal activity. Pharmacokinetic parameters for ivermectin and albendazole sulphoxide were defined over 72h post-treatment. The co-administration of ivermectin with albendazole did not produce more severe adverse effects than ivermectin alone. Both nodule examiners found that the combination was not macrofilaricidal and that it was not clearly superior to ivermectin alone in the effects on reproductive activity; this was supported by the similar efficacy of the two regimens in the suppression of skin microfilariae. There was no significant pharmacokinetic interaction. Although the co-administration of ivermectin with albendazole appears safe, it offers no advantage over ivermectin alone in the control of onchocerciasis. The combination does not require an alteration in the dosage of either component.","author":[{"dropping-particle":"","family":"Awadzi","given":"K.","non-dropping-particle":"","parse-names":false,"suffix":""},{"dropping-particle":"","family":"Edwards","given":"G.","non-dropping-particle":"","parse-names":false,"suffix":""},{"dropping-particle":"","family":"Duke","given":"B. O.L.","non-dropping-particle":"","parse-names":false,"suffix":""},{"dropping-particle":"","family":"Opoku","given":"N. O.","non-dropping-particle":"","parse-names":false,"suffix":""},{"dropping-particle":"","family":"Attah","given":"S. K.","non-dropping-particle":"","parse-names":false,"suffix":""},{"dropping-particle":"","family":"Addy","given":"E. T.","non-dropping-particle":"","parse-names":false,"suffix":""},{"dropping-particle":"","family":"Ardrey","given":"A. E.","non-dropping-particle":"","parse-names":false,"suffix":""},{"dropping-particle":"","family":"Quartey","given":"B. T.","non-dropping-particle":"","parse-names":false,"suffix":""}],"container-title":"Annals of Tropical Medicine and Parasitology","id":"ITEM-1","issue":"2","issued":{"date-parts":[["2003"]]},"page":"165-178","title":"The co-administration of ivermectin and albendazole - Safety, pharmacokinetics and efficacy against Onchocerca volvulus","type":"article-journal","volume":"97"}}],"schema":"https://github.com/citation-style-language/schema/raw/master/csl-citation.json"}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[62]</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C5D394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F6C330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Southeastern Ghana</w:t>
            </w:r>
          </w:p>
        </w:tc>
        <w:tc>
          <w:tcPr>
            <w:tcW w:w="3202" w:type="dxa"/>
            <w:noWrap/>
            <w:hideMark/>
          </w:tcPr>
          <w:p w14:paraId="74EEC7F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077A5DE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Communities in the River </w:t>
            </w:r>
            <w:proofErr w:type="spellStart"/>
            <w:r w:rsidRPr="00AE371D">
              <w:rPr>
                <w:rFonts w:ascii="Times New Roman" w:eastAsia="Times New Roman" w:hAnsi="Times New Roman" w:cs="Times New Roman"/>
                <w:kern w:val="0"/>
                <w:sz w:val="20"/>
                <w:szCs w:val="20"/>
                <w14:ligatures w14:val="none"/>
              </w:rPr>
              <w:t>Tordzi</w:t>
            </w:r>
            <w:proofErr w:type="spellEnd"/>
            <w:r w:rsidRPr="00AE371D">
              <w:rPr>
                <w:rFonts w:ascii="Times New Roman" w:eastAsia="Times New Roman" w:hAnsi="Times New Roman" w:cs="Times New Roman"/>
                <w:kern w:val="0"/>
                <w:sz w:val="20"/>
                <w:szCs w:val="20"/>
                <w14:ligatures w14:val="none"/>
              </w:rPr>
              <w:t xml:space="preserve"> basin</w:t>
            </w:r>
          </w:p>
        </w:tc>
      </w:tr>
      <w:tr w:rsidR="00AE371D" w:rsidRPr="00AE371D" w14:paraId="2069EF87" w14:textId="77777777" w:rsidTr="0025647A">
        <w:trPr>
          <w:trHeight w:val="312"/>
        </w:trPr>
        <w:tc>
          <w:tcPr>
            <w:tcW w:w="1316" w:type="dxa"/>
            <w:noWrap/>
            <w:hideMark/>
          </w:tcPr>
          <w:p w14:paraId="37799388" w14:textId="1C48EB84"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Awadzi (2004)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h4cQcwRA","properties":{"formattedCitation":"[63]","plainCitation":"[63]","noteIndex":0},"citationItems":[{"id":"kQ8JjSWs/0KHKXSGz","uris":["http://www.mendeley.com/documents/?uuid=0419ab4e-74ac-434b-bded-6b4a288b6b56"],"itemData":{"DOI":"10.1179/000349804225003253","ISBN":"0003498042","ISSN":"00034983","PMID":"15119969","abstract":"If ivermectin-based programmes for the control of human onchocerciasis are to be successful, the drug must remain effective for as long as necessary. In an open, case-control study, an attempt was made to determine if the persistent, significant, Onchocerca volvulus microfilaridermias seen in some individuals who had received at least nine treatments with ivermectin were the result of the development of drug resistance in the parasite. Twenty-one of these 'sub-optimal' responders (cases) were matched, by age, weight, number of treatments, locality and skin microfilarial counts, with seven amicrofilaridermic responders and 14 ivermectin-naive subjects. The number of treatments taken, any potential drug interactions and significant underlying disease were determined from detailed clinical and laboratory studies. Each subject was treated with ivermectin during the study, so that plasma concentrations of the drug could be determined for 72 h from the time of dosage. The microfilarial and adult-worm responses to this treatment were assessed from skin microfilarial counts (obtained before the treatment and at days 8, 90 and 365 post-treatment), day-90 embryogrammes, and the results of fly-feeding experiments. Parasite-sensitivity criteria for various time-points were derived from earlier data on skin microfilaridermias and the effects of ivermectin on the adult worms. The results indicate that the significant microfilaridermias that persist despite multiple treatments with ivermectin are mainly attributable to the non-response of the adult female worms and not to inadequate drug exposure or other factors. The possibility that some adult female worms have developed resistance to ivermectin cannot be excluded. These results justify the routine monitoring of treatment efficacy in any ivermectin-based programme of disease control.","author":[{"dropping-particle":"","family":"Awadzi","given":"K.","non-dropping-particle":"","parse-names":false,"suffix":""},{"dropping-particle":"","family":"Boakye","given":"D. A.","non-dropping-particle":"","parse-names":false,"suffix":""},{"dropping-particle":"","family":"Edwards","given":"G.","non-dropping-particle":"","parse-names":false,"suffix":""},{"dropping-particle":"","family":"Opoku","given":"N. O.","non-dropping-particle":"","parse-names":false,"suffix":""},{"dropping-particle":"","family":"Attah","given":"S. K.","non-dropping-particle":"","parse-names":false,"suffix":""},{"dropping-particle":"","family":"Osei-Atweneboana","given":"M. Y.","non-dropping-particle":"","parse-names":false,"suffix":""},{"dropping-particle":"","family":"Lazdins-Helds","given":"J. K.","non-dropping-particle":"","parse-names":false,"suffix":""},{"dropping-particle":"","family":"Ardrey","given":"A. E.","non-dropping-particle":"","parse-names":false,"suffix":""},{"dropping-particle":"","family":"Addy","given":"E. T.","non-dropping-particle":"","parse-names":false,"suffix":""},{"dropping-particle":"","family":"Quartey","given":"B. T.","non-dropping-particle":"","parse-names":false,"suffix":""},{"dropping-particle":"","family":"Ahmed","given":"K.","non-dropping-particle":"","parse-names":false,"suffix":""},{"dropping-particle":"","family":"Boatin","given":"B. A.","non-dropping-particle":"","parse-names":false,"suffix":""},{"dropping-particle":"","family":"Soumbey-Alley","given":"E. W.","non-dropping-particle":"","parse-names":false,"suffix":""}],"container-title":"Annals of Tropical Medicine and Parasitology","id":"ITEM-1","issue":"3","issued":{"date-parts":[["2004"]]},"page":"231-249","title":"An investigation of persistent microfilaridermias despite multiple treatments with ivermectin, in two onchocerciasis-endemic foci in Ghana","type":"article-journal","volume":"98"}}],"schema":"https://github.com/citation-style-language/schema/raw/master/csl-citation.json"}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E1D90D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5F4B3A9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Upper West</w:t>
            </w:r>
          </w:p>
        </w:tc>
        <w:tc>
          <w:tcPr>
            <w:tcW w:w="3202" w:type="dxa"/>
            <w:noWrap/>
            <w:hideMark/>
          </w:tcPr>
          <w:p w14:paraId="64127CB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Black volta basin</w:t>
            </w:r>
          </w:p>
        </w:tc>
        <w:tc>
          <w:tcPr>
            <w:tcW w:w="7353" w:type="dxa"/>
            <w:noWrap/>
            <w:hideMark/>
          </w:tcPr>
          <w:p w14:paraId="3446EFCA"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Agbelekame</w:t>
            </w:r>
            <w:proofErr w:type="spellEnd"/>
            <w:r w:rsidRPr="00AE371D">
              <w:rPr>
                <w:rFonts w:ascii="Times New Roman" w:eastAsia="Times New Roman" w:hAnsi="Times New Roman" w:cs="Times New Roman"/>
                <w:kern w:val="0"/>
                <w:sz w:val="20"/>
                <w:szCs w:val="20"/>
                <w14:ligatures w14:val="none"/>
              </w:rPr>
              <w:t xml:space="preserve"> I, </w:t>
            </w:r>
            <w:proofErr w:type="spellStart"/>
            <w:r w:rsidRPr="00AE371D">
              <w:rPr>
                <w:rFonts w:ascii="Times New Roman" w:eastAsia="Times New Roman" w:hAnsi="Times New Roman" w:cs="Times New Roman"/>
                <w:kern w:val="0"/>
                <w:sz w:val="20"/>
                <w:szCs w:val="20"/>
                <w14:ligatures w14:val="none"/>
              </w:rPr>
              <w:t>Chingakrom</w:t>
            </w:r>
            <w:proofErr w:type="spellEnd"/>
          </w:p>
        </w:tc>
      </w:tr>
      <w:tr w:rsidR="00AE371D" w:rsidRPr="00AE371D" w14:paraId="5FABFA40" w14:textId="77777777" w:rsidTr="0025647A">
        <w:trPr>
          <w:trHeight w:val="312"/>
        </w:trPr>
        <w:tc>
          <w:tcPr>
            <w:tcW w:w="1316" w:type="dxa"/>
            <w:noWrap/>
            <w:hideMark/>
          </w:tcPr>
          <w:p w14:paraId="1B16CB0A" w14:textId="68CBDFA0"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Awadzi (2004)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Z8kB69GM","properties":{"formattedCitation":"[63]","plainCitation":"[63]","noteIndex":0},"citationItems":[{"id":"kQ8JjSWs/0KHKXSGz","uris":["http://www.mendeley.com/documents/?uuid=0419ab4e-74ac-434b-bded-6b4a288b6b56"],"itemData":{"DOI":"10.1179/000349804225003253","ISBN":"0003498042","ISSN":"00034983","PMID":"15119969","abstract":"If ivermectin-based programmes for the control of human onchocerciasis are to be successful, the drug must remain effective for as long as necessary. In an open, case-control study, an attempt was made to determine if the persistent, significant, Onchocerca volvulus microfilaridermias seen in some individuals who had received at least nine treatments with ivermectin were the result of the development of drug resistance in the parasite. Twenty-one of these 'sub-optimal' responders (cases) were matched, by age, weight, number of treatments, locality and skin microfilarial counts, with seven amicrofilaridermic responders and 14 ivermectin-naive subjects. The number of treatments taken, any potential drug interactions and significant underlying disease were determined from detailed clinical and laboratory studies. Each subject was treated with ivermectin during the study, so that plasma concentrations of the drug could be determined for 72 h from the time of dosage. The microfilarial and adult-worm responses to this treatment were assessed from skin microfilarial counts (obtained before the treatment and at days 8, 90 and 365 post-treatment), day-90 embryogrammes, and the results of fly-feeding experiments. Parasite-sensitivity criteria for various time-points were derived from earlier data on skin microfilaridermias and the effects of ivermectin on the adult worms. The results indicate that the significant microfilaridermias that persist despite multiple treatments with ivermectin are mainly attributable to the non-response of the adult female worms and not to inadequate drug exposure or other factors. The possibility that some adult female worms have developed resistance to ivermectin cannot be excluded. These results justify the routine monitoring of treatment efficacy in any ivermectin-based programme of disease control.","author":[{"dropping-particle":"","family":"Awadzi","given":"K.","non-dropping-particle":"","parse-names":false,"suffix":""},{"dropping-particle":"","family":"Boakye","given":"D. A.","non-dropping-particle":"","parse-names":false,"suffix":""},{"dropping-particle":"","family":"Edwards","given":"G.","non-dropping-particle":"","parse-names":false,"suffix":""},{"dropping-particle":"","family":"Opoku","given":"N. O.","non-dropping-particle":"","parse-names":false,"suffix":""},{"dropping-particle":"","family":"Attah","given":"S. K.","non-dropping-particle":"","parse-names":false,"suffix":""},{"dropping-particle":"","family":"Osei-Atweneboana","given":"M. Y.","non-dropping-particle":"","parse-names":false,"suffix":""},{"dropping-particle":"","family":"Lazdins-Helds","given":"J. K.","non-dropping-particle":"","parse-names":false,"suffix":""},{"dropping-particle":"","family":"Ardrey","given":"A. E.","non-dropping-particle":"","parse-names":false,"suffix":""},{"dropping-particle":"","family":"Addy","given":"E. T.","non-dropping-particle":"","parse-names":false,"suffix":""},{"dropping-particle":"","family":"Quartey","given":"B. T.","non-dropping-particle":"","parse-names":false,"suffix":""},{"dropping-particle":"","family":"Ahmed","given":"K.","non-dropping-particle":"","parse-names":false,"suffix":""},{"dropping-particle":"","family":"Boatin","given":"B. A.","non-dropping-particle":"","parse-names":false,"suffix":""},{"dropping-particle":"","family":"Soumbey-Alley","given":"E. W.","non-dropping-particle":"","parse-names":false,"suffix":""}],"container-title":"Annals of Tropical Medicine and Parasitology","id":"ITEM-1","issue":"3","issued":{"date-parts":[["2004"]]},"page":"231-249","title":"An investigation of persistent microfilaridermias despite multiple treatments with ivermectin, in two onchocerciasis-endemic foci in Ghana","type":"article-journal","volume":"98"}}],"schema":"https://github.com/citation-style-language/schema/raw/master/csl-citation.json"}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477EC9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17BB376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0449B4F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Pru river basin</w:t>
            </w:r>
          </w:p>
        </w:tc>
        <w:tc>
          <w:tcPr>
            <w:tcW w:w="7353" w:type="dxa"/>
            <w:noWrap/>
            <w:hideMark/>
          </w:tcPr>
          <w:p w14:paraId="1AAFA725"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Asubende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Fawomang</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Hiampe</w:t>
            </w:r>
            <w:proofErr w:type="spellEnd"/>
          </w:p>
        </w:tc>
      </w:tr>
      <w:tr w:rsidR="00AE371D" w:rsidRPr="00AE371D" w14:paraId="4C6E71DE" w14:textId="77777777" w:rsidTr="0025647A">
        <w:trPr>
          <w:trHeight w:val="312"/>
        </w:trPr>
        <w:tc>
          <w:tcPr>
            <w:tcW w:w="1316" w:type="dxa"/>
            <w:noWrap/>
            <w:hideMark/>
          </w:tcPr>
          <w:p w14:paraId="63AC51D9" w14:textId="32AE7883"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Awadzi (2004)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eZn5xVgn","properties":{"formattedCitation":"[63]","plainCitation":"[63]","noteIndex":0},"citationItems":[{"id":"kQ8JjSWs/0KHKXSGz","uris":["http://www.mendeley.com/documents/?uuid=0419ab4e-74ac-434b-bded-6b4a288b6b56"],"itemData":{"DOI":"10.1179/000349804225003253","ISBN":"0003498042","ISSN":"00034983","PMID":"15119969","abstract":"If ivermectin-based programmes for the control of human onchocerciasis are to be successful, the drug must remain effective for as long as necessary. In an open, case-control study, an attempt was made to determine if the persistent, significant, Onchocerca volvulus microfilaridermias seen in some individuals who had received at least nine treatments with ivermectin were the result of the development of drug resistance in the parasite. Twenty-one of these 'sub-optimal' responders (cases) were matched, by age, weight, number of treatments, locality and skin microfilarial counts, with seven amicrofilaridermic responders and 14 ivermectin-naive subjects. The number of treatments taken, any potential drug interactions and significant underlying disease were determined from detailed clinical and laboratory studies. Each subject was treated with ivermectin during the study, so that plasma concentrations of the drug could be determined for 72 h from the time of dosage. The microfilarial and adult-worm responses to this treatment were assessed from skin microfilarial counts (obtained before the treatment and at days 8, 90 and 365 post-treatment), day-90 embryogrammes, and the results of fly-feeding experiments. Parasite-sensitivity criteria for various time-points were derived from earlier data on skin microfilaridermias and the effects of ivermectin on the adult worms. The results indicate that the significant microfilaridermias that persist despite multiple treatments with ivermectin are mainly attributable to the non-response of the adult female worms and not to inadequate drug exposure or other factors. The possibility that some adult female worms have developed resistance to ivermectin cannot be excluded. These results justify the routine monitoring of treatment efficacy in any ivermectin-based programme of disease control.","author":[{"dropping-particle":"","family":"Awadzi","given":"K.","non-dropping-particle":"","parse-names":false,"suffix":""},{"dropping-particle":"","family":"Boakye","given":"D. A.","non-dropping-particle":"","parse-names":false,"suffix":""},{"dropping-particle":"","family":"Edwards","given":"G.","non-dropping-particle":"","parse-names":false,"suffix":""},{"dropping-particle":"","family":"Opoku","given":"N. O.","non-dropping-particle":"","parse-names":false,"suffix":""},{"dropping-particle":"","family":"Attah","given":"S. K.","non-dropping-particle":"","parse-names":false,"suffix":""},{"dropping-particle":"","family":"Osei-Atweneboana","given":"M. Y.","non-dropping-particle":"","parse-names":false,"suffix":""},{"dropping-particle":"","family":"Lazdins-Helds","given":"J. K.","non-dropping-particle":"","parse-names":false,"suffix":""},{"dropping-particle":"","family":"Ardrey","given":"A. E.","non-dropping-particle":"","parse-names":false,"suffix":""},{"dropping-particle":"","family":"Addy","given":"E. T.","non-dropping-particle":"","parse-names":false,"suffix":""},{"dropping-particle":"","family":"Quartey","given":"B. T.","non-dropping-particle":"","parse-names":false,"suffix":""},{"dropping-particle":"","family":"Ahmed","given":"K.","non-dropping-particle":"","parse-names":false,"suffix":""},{"dropping-particle":"","family":"Boatin","given":"B. A.","non-dropping-particle":"","parse-names":false,"suffix":""},{"dropping-particle":"","family":"Soumbey-Alley","given":"E. W.","non-dropping-particle":"","parse-names":false,"suffix":""}],"container-title":"Annals of Tropical Medicine and Parasitology","id":"ITEM-1","issue":"3","issued":{"date-parts":[["2004"]]},"page":"231-249","title":"An investigation of persistent microfilaridermias despite multiple treatments with ivermectin, in two onchocerciasis-endemic foci in Ghana","type":"article-journal","volume":"98"}}],"schema":"https://github.com/citation-style-language/schema/raw/master/csl-citation.json"}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4CCE18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2F5B16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Volta</w:t>
            </w:r>
          </w:p>
        </w:tc>
        <w:tc>
          <w:tcPr>
            <w:tcW w:w="3202" w:type="dxa"/>
            <w:noWrap/>
            <w:hideMark/>
          </w:tcPr>
          <w:p w14:paraId="46A33AFF"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Tordzi</w:t>
            </w:r>
            <w:proofErr w:type="spellEnd"/>
            <w:r w:rsidRPr="00AE371D">
              <w:rPr>
                <w:rFonts w:ascii="Times New Roman" w:eastAsia="Times New Roman" w:hAnsi="Times New Roman" w:cs="Times New Roman"/>
                <w:kern w:val="0"/>
                <w:sz w:val="20"/>
                <w:szCs w:val="20"/>
                <w14:ligatures w14:val="none"/>
              </w:rPr>
              <w:t xml:space="preserve"> river basin</w:t>
            </w:r>
          </w:p>
        </w:tc>
        <w:tc>
          <w:tcPr>
            <w:tcW w:w="7353" w:type="dxa"/>
            <w:noWrap/>
            <w:hideMark/>
          </w:tcPr>
          <w:p w14:paraId="7F1B112A"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Kpedez</w:t>
            </w:r>
            <w:proofErr w:type="spellEnd"/>
            <w:r w:rsidRPr="00AE371D">
              <w:rPr>
                <w:rFonts w:ascii="Times New Roman" w:eastAsia="Times New Roman" w:hAnsi="Times New Roman" w:cs="Times New Roman"/>
                <w:kern w:val="0"/>
                <w:sz w:val="20"/>
                <w:szCs w:val="20"/>
                <w14:ligatures w14:val="none"/>
              </w:rPr>
              <w:t xml:space="preserve">-Anoe, </w:t>
            </w:r>
            <w:proofErr w:type="spellStart"/>
            <w:r w:rsidRPr="00AE371D">
              <w:rPr>
                <w:rFonts w:ascii="Times New Roman" w:eastAsia="Times New Roman" w:hAnsi="Times New Roman" w:cs="Times New Roman"/>
                <w:kern w:val="0"/>
                <w:sz w:val="20"/>
                <w:szCs w:val="20"/>
                <w14:ligatures w14:val="none"/>
              </w:rPr>
              <w:t>Afiakpe</w:t>
            </w:r>
            <w:proofErr w:type="spellEnd"/>
          </w:p>
        </w:tc>
      </w:tr>
      <w:tr w:rsidR="00AE371D" w:rsidRPr="00AE371D" w14:paraId="7B0EE114" w14:textId="77777777" w:rsidTr="0025647A">
        <w:trPr>
          <w:trHeight w:val="312"/>
        </w:trPr>
        <w:tc>
          <w:tcPr>
            <w:tcW w:w="1316" w:type="dxa"/>
            <w:noWrap/>
            <w:hideMark/>
          </w:tcPr>
          <w:p w14:paraId="441323FF" w14:textId="73D76170"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Awadzi (2004)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CmzolYs5","properties":{"formattedCitation":"[64]","plainCitation":"[64]","noteIndex":0},"citationItems":[{"id":"kQ8JjSWs/VNH1xP9n","uris":["http://www.mendeley.com/documents/?uuid=6918747b-02c8-4d56-ada9-c3c5119b2c3b"],"itemData":{"DOI":"10.1179/000349804225021370","ISSN":"0003-4983","PMID":"15324466","abstract":"Two randomized, double-blind, placebo-controlled trials, in which levamisole (2.5 mg/kg) was given alone or co-administered with ivermectin (200 μg/kg) or albendazole (400 mg), were conducted. In Trial 1, safety and drug-drug interaction were explored in 42 healthy male volunteers. During Trial 2, the safety of the same treatment regimens and their efficacy against the adult worms and microfilariae of Onchocerca volvulus were investigated in 66 infected subjects of both sexes. Safety was determined from the results of detailed clinical and laboratory examinations before treatment, during hospitalization and on day 30. The pharmacokinetic parameters for levamisole alone and the combinations were determined in Trial 1 and then compared with historical data for ivermectin and aibendazole, given as single agents, to determine if drug-drug interaction had occurred. The level of efficacy against the adult worms was determined by the examination of histology sections of nodules excised 6 months post-treatment and from the changes seen in the levels of microfilaridermia within a year of treatment. Microfilaricidal efficacy was estimated from the reductions in the levels of microfilaridermia between day 0 (1 day pre-treatment) and day 30. Although the regimens were generally well tolerated, there were unexpected adverse effects in both healthy volunteers and infected subjects. Clinically significant drug-drug interactions resulted in an increase in the bio-availability of ivermectin but a reduction in that of albendazole when these drugs were co-administered with levamisole. Levamisole given alone or with albendazole had little effect on O. volvulus. The combination of levamisole with ivermectin was neither macrofilaricidal nor more effective against the microfilariae and the adult worms than ivermectin alone. The pathogenesis of the adverse events and the drug-drug interactions are discussed.","author":[{"dropping-particle":"","family":"Awadzi","given":"K.","non-dropping-particle":"","parse-names":false,"suffix":""},{"dropping-particle":"","family":"Edwards","given":"G.","non-dropping-particle":"","parse-names":false,"suffix":""},{"dropping-particle":"","family":"Opoku","given":"N.O.","non-dropping-particle":"","parse-names":false,"suffix":""},{"dropping-particle":"","family":"Ardrey","given":"A.E.","non-dropping-particle":"","parse-names":false,"suffix":""},{"dropping-particle":"","family":"Favager","given":"S.","non-dropping-particle":"","parse-names":false,"suffix":""},{"dropping-particle":"","family":"Addy","given":"E.T.","non-dropping-particle":"","parse-names":false,"suffix":""},{"dropping-particle":"","family":"Attah","given":"S.K.","non-dropping-particle":"","parse-names":false,"suffix":""},{"dropping-particle":"","family":"Yamuah","given":"L.K.","non-dropping-particle":"","parse-names":false,"suffix":""},{"dropping-particle":"","family":"Quartey","given":"B.T.","non-dropping-particle":"","parse-names":false,"suffix":""}],"container-title":"Annals of Tropical Medicine &amp; Parasitology","id":"ITEM-1","issue":"6","issued":{"date-parts":[["2004","9","18"]]},"page":"595-614","title":"The safety, tolerability and pharmacokinetics of levamisole alone, levamisole plus ivermectin, and levamisole plus albendazole, and their efficacy against Onchocerca volvulus","type":"article-journal","volume":"98"}}],"schema":"https://github.com/citation-style-language/schema/raw/master/csl-citation.json"}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[64]</w:t>
            </w:r>
            <w:r w:rsidRPr="00AE371D">
              <w:rPr>
                <w:rFonts w:ascii="Times New Roman" w:eastAsia="Times New Roman" w:hAnsi="Times New Roman" w:cs="Times New Roman"/>
                <w:kern w:val="0"/>
                <w:sz w:val="20"/>
                <w:szCs w:val="20"/>
                <w14:ligatures w14:val="none"/>
              </w:rPr>
              <w:fldChar w:fldCharType="end"/>
            </w:r>
            <w:r w:rsidRPr="00AE371D">
              <w:rPr>
                <w:rFonts w:ascii="Times New Roman" w:eastAsia="Times New Roman" w:hAnsi="Times New Roman" w:cs="Times New Roman"/>
                <w:kern w:val="0"/>
                <w:sz w:val="20"/>
                <w:szCs w:val="20"/>
                <w14:ligatures w14:val="none"/>
              </w:rPr>
              <w:t xml:space="preserve"> </w:t>
            </w:r>
          </w:p>
        </w:tc>
        <w:tc>
          <w:tcPr>
            <w:tcW w:w="1102" w:type="dxa"/>
            <w:noWrap/>
            <w:hideMark/>
          </w:tcPr>
          <w:p w14:paraId="2D58B90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3FBE9DF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Southeastern Ghana</w:t>
            </w:r>
          </w:p>
        </w:tc>
        <w:tc>
          <w:tcPr>
            <w:tcW w:w="3202" w:type="dxa"/>
            <w:noWrap/>
            <w:hideMark/>
          </w:tcPr>
          <w:p w14:paraId="0EBE68C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39C5F9D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Communities in the River </w:t>
            </w:r>
            <w:proofErr w:type="spellStart"/>
            <w:r w:rsidRPr="00AE371D">
              <w:rPr>
                <w:rFonts w:ascii="Times New Roman" w:eastAsia="Times New Roman" w:hAnsi="Times New Roman" w:cs="Times New Roman"/>
                <w:kern w:val="0"/>
                <w:sz w:val="20"/>
                <w:szCs w:val="20"/>
                <w14:ligatures w14:val="none"/>
              </w:rPr>
              <w:t>Tordzi</w:t>
            </w:r>
            <w:proofErr w:type="spellEnd"/>
            <w:r w:rsidRPr="00AE371D">
              <w:rPr>
                <w:rFonts w:ascii="Times New Roman" w:eastAsia="Times New Roman" w:hAnsi="Times New Roman" w:cs="Times New Roman"/>
                <w:kern w:val="0"/>
                <w:sz w:val="20"/>
                <w:szCs w:val="20"/>
                <w14:ligatures w14:val="none"/>
              </w:rPr>
              <w:t xml:space="preserve"> basin</w:t>
            </w:r>
          </w:p>
        </w:tc>
      </w:tr>
      <w:tr w:rsidR="00AE371D" w:rsidRPr="00AE371D" w14:paraId="5AC0A70F" w14:textId="77777777" w:rsidTr="0025647A">
        <w:trPr>
          <w:trHeight w:val="312"/>
        </w:trPr>
        <w:tc>
          <w:tcPr>
            <w:tcW w:w="1316" w:type="dxa"/>
            <w:noWrap/>
            <w:hideMark/>
          </w:tcPr>
          <w:p w14:paraId="04DDC803" w14:textId="3C3155C9"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Awadzi (2004)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r2YZAmDy","properties":{"formattedCitation":"[65]","plainCitation":"[65]","noteIndex":0},"citationItems":[{"id":"kQ8JjSWs/eZSWzYMA","uris":["http://www.mendeley.com/documents/?uuid=c090b8fa-8cf2-45d8-a495-f87a79e81dad"],"itemData":{"DOI":"10.1179/000349804225003442","ISSN":"0003-4983","PMID":"15228717","abstract":"The pathogenesis of the sub-optimal response of Onchocerca volvulus to ivermectin was investigated in a 30-month follow-up of 28 individuals who, in a previous study, had been found to show a sub-optimal (N = 15) or adequate response (N = 13) to multiple treatments with the drug. Verbal informed consent was obtained before each subject was given a general clinical and ocular examination. Skin snips were taken from both iliac crests and both calves. Seventeen nodule carriers were hospitalized for nodulectomy. Adult worms were harvested, embryogrammes were constructed and all developmental stages were counted; degenerate, stretched microfilariae were noted separately. All the subjects were in good general health and all except one had received at least one additional treatment with ivermectin since the earlier study. A large proportion of the adult female worms in 10 out of the 11 sub-optimal responders who were nodule carriers were in full embryonic production but most of the stretched microfilariae they carried were degenerate. This picture is similar to that found in adult worms exposed to the first dose of ivermectin. In one subject who had no viable worms in his nodules, the existence of occult but actively reproductive worms was inferred from the high level of microfilaridermia observed less than 12 months after treatment. These observations confirm the existence of populations of adult female O. volvulus that respond poorly to repeated doses of ivermectin. The use of suramin in the treatment of the sub-optimal responders is discussed.","author":[{"dropping-particle":"","family":"Awadzi","given":"K.","non-dropping-particle":"","parse-names":false,"suffix":""},{"dropping-particle":"","family":"Attah","given":"S.K.","non-dropping-particle":"","parse-names":false,"suffix":""},{"dropping-particle":"","family":"Addy","given":"E.T.","non-dropping-particle":"","parse-names":false,"suffix":""},{"dropping-particle":"","family":"Opoku","given":"N.O.","non-dropping-particle":"","parse-names":false,"suffix":""},{"dropping-particle":"","family":"Quartey","given":"B.T.","non-dropping-particle":"","parse-names":false,"suffix":""},{"dropping-particle":"","family":"Lazdins-Helds","given":"J.K.","non-dropping-particle":"","parse-names":false,"suffix":""},{"dropping-particle":"","family":"Ahmed","given":"K.","non-dropping-particle":"","parse-names":false,"suffix":""},{"dropping-particle":"","family":"Boatin","given":"B.A.","non-dropping-particle":"","parse-names":false,"suffix":""},{"dropping-particle":"","family":"Boakye","given":"D.A.","non-dropping-particle":"","parse-names":false,"suffix":""},{"dropping-particle":"","family":"Edwards","given":"G.","non-dropping-particle":"","parse-names":false,"suffix":""}],"container-title":"Annals of Tropical Medicine &amp; Parasitology","id":"ITEM-1","issue":"4","issued":{"date-parts":[["2004","6","18"]]},"page":"359-370","publisher":"Ann Trop Med Parasitol","title":"Thirty-month follow-up of sub-optimal responders to multiple treatments with ivermectin, in two onchocerciasis-endemic foci in Ghana","type":"article-journal","volume":"98"}}],"schema":"https://github.com/citation-style-language/schema/raw/master/csl-citation.json"}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[65]</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B4EC56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7F8B22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0AD6531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Pru river basins</w:t>
            </w:r>
          </w:p>
        </w:tc>
        <w:tc>
          <w:tcPr>
            <w:tcW w:w="7353" w:type="dxa"/>
            <w:noWrap/>
            <w:hideMark/>
          </w:tcPr>
          <w:p w14:paraId="5B3D53B1"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Asubenden</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Fawomang</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Hiampe</w:t>
            </w:r>
            <w:proofErr w:type="spellEnd"/>
          </w:p>
        </w:tc>
      </w:tr>
      <w:tr w:rsidR="00AE371D" w:rsidRPr="00AE371D" w14:paraId="2CA93C90" w14:textId="77777777" w:rsidTr="0025647A">
        <w:trPr>
          <w:trHeight w:val="312"/>
        </w:trPr>
        <w:tc>
          <w:tcPr>
            <w:tcW w:w="1316" w:type="dxa"/>
            <w:noWrap/>
            <w:hideMark/>
          </w:tcPr>
          <w:p w14:paraId="2BD5CAA9" w14:textId="0510B319"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Awadzi (2004)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4xEkWVDA","properties":{"formattedCitation":"[65]","plainCitation":"[65]","noteIndex":0},"citationItems":[{"id":"kQ8JjSWs/eZSWzYMA","uris":["http://www.mendeley.com/documents/?uuid=c090b8fa-8cf2-45d8-a495-f87a79e81dad"],"itemData":{"DOI":"10.1179/000349804225003442","ISSN":"0003-4983","PMID":"15228717","abstract":"The pathogenesis of the sub-optimal response of Onchocerca volvulus to ivermectin was investigated in a 30-month follow-up of 28 individuals who, in a previous study, had been found to show a sub-optimal (N = 15) or adequate response (N = 13) to multiple treatments with the drug. Verbal informed consent was obtained before each subject was given a general clinical and ocular examination. Skin snips were taken from both iliac crests and both calves. Seventeen nodule carriers were hospitalized for nodulectomy. Adult worms were harvested, embryogrammes were constructed and all developmental stages were counted; degenerate, stretched microfilariae were noted separately. All the subjects were in good general health and all except one had received at least one additional treatment with ivermectin since the earlier study. A large proportion of the adult female worms in 10 out of the 11 sub-optimal responders who were nodule carriers were in full embryonic production but most of the stretched microfilariae they carried were degenerate. This picture is similar to that found in adult worms exposed to the first dose of ivermectin. In one subject who had no viable worms in his nodules, the existence of occult but actively reproductive worms was inferred from the high level of microfilaridermia observed less than 12 months after treatment. These observations confirm the existence of populations of adult female O. volvulus that respond poorly to repeated doses of ivermectin. The use of suramin in the treatment of the sub-optimal responders is discussed.","author":[{"dropping-particle":"","family":"Awadzi","given":"K.","non-dropping-particle":"","parse-names":false,"suffix":""},{"dropping-particle":"","family":"Attah","given":"S.K.","non-dropping-particle":"","parse-names":false,"suffix":""},{"dropping-particle":"","family":"Addy","given":"E.T.","non-dropping-particle":"","parse-names":false,"suffix":""},{"dropping-particle":"","family":"Opoku","given":"N.O.","non-dropping-particle":"","parse-names":false,"suffix":""},{"dropping-particle":"","family":"Quartey","given":"B.T.","non-dropping-particle":"","parse-names":false,"suffix":""},{"dropping-particle":"","family":"Lazdins-Helds","given":"J.K.","non-dropping-particle":"","parse-names":false,"suffix":""},{"dropping-particle":"","family":"Ahmed","given":"K.","non-dropping-particle":"","parse-names":false,"suffix":""},{"dropping-particle":"","family":"Boatin","given":"B.A.","non-dropping-particle":"","parse-names":false,"suffix":""},{"dropping-particle":"","family":"Boakye","given":"D.A.","non-dropping-particle":"","parse-names":false,"suffix":""},{"dropping-particle":"","family":"Edwards","given":"G.","non-dropping-particle":"","parse-names":false,"suffix":""}],"container-title":"Annals of Tropical Medicine &amp; Parasitology","id":"ITEM-1","issue":"4","issued":{"date-parts":[["2004","6","18"]]},"page":"359-370","publisher":"Ann Trop Med Parasitol","title":"Thirty-month follow-up of sub-optimal responders to multiple treatments with ivermectin, in two onchocerciasis-endemic foci in Ghana","type":"article-journal","volume":"98"}}],"schema":"https://github.com/citation-style-language/schema/raw/master/csl-citation.json"}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[65]</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3CC719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152D75A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Upper West</w:t>
            </w:r>
          </w:p>
        </w:tc>
        <w:tc>
          <w:tcPr>
            <w:tcW w:w="3202" w:type="dxa"/>
            <w:noWrap/>
            <w:hideMark/>
          </w:tcPr>
          <w:p w14:paraId="0C08824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Black volta</w:t>
            </w:r>
          </w:p>
        </w:tc>
        <w:tc>
          <w:tcPr>
            <w:tcW w:w="7353" w:type="dxa"/>
            <w:noWrap/>
            <w:hideMark/>
          </w:tcPr>
          <w:p w14:paraId="3D7AD77A"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Chingakrom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Agbelekame</w:t>
            </w:r>
            <w:proofErr w:type="spellEnd"/>
            <w:r w:rsidRPr="00AE371D">
              <w:rPr>
                <w:rFonts w:ascii="Times New Roman" w:eastAsia="Times New Roman" w:hAnsi="Times New Roman" w:cs="Times New Roman"/>
                <w:kern w:val="0"/>
                <w:sz w:val="20"/>
                <w:szCs w:val="20"/>
                <w14:ligatures w14:val="none"/>
              </w:rPr>
              <w:t xml:space="preserve"> I, </w:t>
            </w:r>
            <w:proofErr w:type="spellStart"/>
            <w:r w:rsidRPr="00AE371D">
              <w:rPr>
                <w:rFonts w:ascii="Times New Roman" w:eastAsia="Times New Roman" w:hAnsi="Times New Roman" w:cs="Times New Roman"/>
                <w:kern w:val="0"/>
                <w:sz w:val="20"/>
                <w:szCs w:val="20"/>
                <w14:ligatures w14:val="none"/>
              </w:rPr>
              <w:t>Agbelekame</w:t>
            </w:r>
            <w:proofErr w:type="spellEnd"/>
            <w:r w:rsidRPr="00AE371D">
              <w:rPr>
                <w:rFonts w:ascii="Times New Roman" w:eastAsia="Times New Roman" w:hAnsi="Times New Roman" w:cs="Times New Roman"/>
                <w:kern w:val="0"/>
                <w:sz w:val="20"/>
                <w:szCs w:val="20"/>
                <w14:ligatures w14:val="none"/>
              </w:rPr>
              <w:t xml:space="preserve"> II</w:t>
            </w:r>
          </w:p>
        </w:tc>
      </w:tr>
      <w:tr w:rsidR="00AE371D" w:rsidRPr="00AE371D" w14:paraId="26FEA038" w14:textId="77777777" w:rsidTr="0025647A">
        <w:trPr>
          <w:trHeight w:val="312"/>
        </w:trPr>
        <w:tc>
          <w:tcPr>
            <w:tcW w:w="1316" w:type="dxa"/>
            <w:noWrap/>
            <w:hideMark/>
          </w:tcPr>
          <w:p w14:paraId="73852099" w14:textId="75F66CF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lastRenderedPageBreak/>
              <w:t xml:space="preserve">Mand (2005)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fBGPgBcr","properties":{"formattedCitation":"[66]","plainCitation":"[66]","noteIndex":0},"citationItems":[{"id":"kQ8JjSWs/dFwxQ7Fm","uris":["http://www.mendeley.com/documents/?uuid=a8af1bb0-8367-45c7-a4c2-c142bd0c2c01"],"itemData":{"DOI":"10.1186/1475-2883-4-1","ISSN":"1475-2883","PMID":"15788103","abstract":"BACKGROUND: Ultrasonography (USG) is known to be a suitable tool for diagnosis in lymphatic filariasis as the adult filarial nematode Wuchereria bancrofti in scrotal lymphatic vessels of infected men can be detected by the characteristic pattern of movement, the Filaria Dance Sign. In onchocerciasis, moving adult worms have not yet been demonstrated by USG. In addition the verification of drug effects on living adult Onchocerca volvulus filariae in trials is hampered by the lack of tools for longitudinal observation of alterations induced by potentially macrofilaricidal drugs in vivo. The present study was carried out to determine the frequency of detection of moving adult filariae of O. volvulus by USG. METHODS: In an endemic region for onchocerciasis in Ghana, 61 patients infected with onchocerciasis were recruited by palpation and onchocercomas examined by USG using an ultrasound system equipped with a 7.5 - 10 MHz linear transducer. Onchocercomas were recorded on videotape and evaluated with regard to location, number and size, as well as to movements of adult filariae. RESULTS: In the 61 patients 303 onchocercomas were found by palpation and 401 onchocercomas were detected by USG. In 18 out of 61 patients (29.5%), altogether 22 nodules with moving adult O. volvulus filariae were detected and are presented in animated ultrasound images as mp-4 videos. CONCLUSION: Ultrasonographical examinations of onchocercomas where living adult filariae can be displayed may serve as a new tool for the longitudinal observation in vivo of patients with onchocerciasis undergoing treatment and as an adjunct to histological evaluation.","author":[{"dropping-particle":"","family":"Mand","given":"Sabine","non-dropping-particle":"","parse-names":false,"suffix":""},{"dropping-particle":"","family":"Marfo-Debrekyei","given":"Yeboah","non-dropping-particle":"","parse-names":false,"suffix":""},{"dropping-particle":"","family":"Debrah","given":"Alex","non-dropping-particle":"","parse-names":false,"suffix":""},{"dropping-particle":"","family":"Buettner","given":"Marcelle","non-dropping-particle":"","parse-names":false,"suffix":""},{"dropping-particle":"","family":"Batsa","given":"Linda","non-dropping-particle":"","parse-names":false,"suffix":""},{"dropping-particle":"","family":"Pfarr","given":"Kenneth","non-dropping-particle":"","parse-names":false,"suffix":""},{"dropping-particle":"","family":"Adjei","given":"Ohene","non-dropping-particle":"","parse-names":false,"suffix":""},{"dropping-particle":"","family":"Hoerauf","given":"Achim","non-dropping-particle":"","parse-names":false,"suffix":""}],"container-title":"Filaria journal","id":"ITEM-1","issue":"1","issued":{"date-parts":[["2005"]]},"page":"1","title":"Frequent detection of worm movements in onchocercal nodules by ultrasonography.","type":"article-journal","volume":"4"}}],"schema":"https://github.com/citation-style-language/schema/raw/master/csl-citation.json"}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[66]</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54087F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7ABF3D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Central</w:t>
            </w:r>
          </w:p>
        </w:tc>
        <w:tc>
          <w:tcPr>
            <w:tcW w:w="3202" w:type="dxa"/>
            <w:noWrap/>
            <w:hideMark/>
          </w:tcPr>
          <w:p w14:paraId="0AB6E11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Lower Denkyira </w:t>
            </w:r>
          </w:p>
        </w:tc>
        <w:tc>
          <w:tcPr>
            <w:tcW w:w="7353" w:type="dxa"/>
            <w:noWrap/>
            <w:hideMark/>
          </w:tcPr>
          <w:p w14:paraId="24E6029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2B47AB04" w14:textId="77777777" w:rsidTr="0025647A">
        <w:trPr>
          <w:trHeight w:val="312"/>
        </w:trPr>
        <w:tc>
          <w:tcPr>
            <w:tcW w:w="1316" w:type="dxa"/>
            <w:noWrap/>
            <w:hideMark/>
          </w:tcPr>
          <w:p w14:paraId="115548C2" w14:textId="106D2F5C"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Egbert (2005)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yqJ7qk8z","properties":{"formattedCitation":"[67]","plainCitation":"[67]","noteIndex":0},"citationItems":[{"id":"kQ8JjSWs/q1USENwq","uris":["http://www.mendeley.com/documents/?uuid=9a8262cc-09c7-3890-bf66-6cb3568ea9cb"],"itemData":{"DOI":"10.1136/bjo.2004.061895","ISSN":"00071161","PMID":"15965151","abstract":"Background: Onchocerciasis is a microfilarial disease that causes ocular disease and blindness. Previous evidence of an association between onchocerciasis and glaucoma has been mixed. This study aims to further investigate the association between onchocerciasis and glaucoma. Methods: All subjects were patients at the Bishop John Ackon Christian Eye Centre in Ghana, west Africa, undergoing either frabeculectomy for advanced glaucoma or extracapsular extraction for cataracts, who also had a skin snip biopsy for onchocerciasis. A cross sectional case-control study was performed to assess the difference in onchocerciasis prevalence between the two study groups. Results: The prevalence of onchocerciasis was 10.6% in those with glaucoma compared with 2.6% in those with cataracts (OR, 4.45 (95% CI 1.48 to 13.43)). The mean age in the glaucoma group was significantly younger than in the cataract group (59 and 65, respectively). The groups were not significantly different with respect to sex or region of residence. In models adjusted for age, region, and sex, subjects with glaucoma had over three times the odds of testing positive for onchocerciasis (OR, 3.50 (95% CI 1.10 to 11.18)). Conclusions: This study has shown a positive association between subclinical onchocerciasis and glaucoma. This finding emphasises the importance of eradication of onchocerciasis from west Africa.","author":[{"dropping-particle":"","family":"Egbert","given":"Peter R.","non-dropping-particle":"","parse-names":false,"suffix":""},{"dropping-particle":"","family":"Jacobson","given":"D. W.","non-dropping-particle":"","parse-names":false,"suffix":""},{"dropping-particle":"","family":"Fiadoyor","given":"S.","non-dropping-particle":"","parse-names":false,"suffix":""},{"dropping-particle":"","family":"Dadzie","given":"P.","non-dropping-particle":"","parse-names":false,"suffix":""},{"dropping-particle":"","family":"Ellingson","given":"K. D.","non-dropping-particle":"","parse-names":false,"suffix":""}],"container-title":"British Journal of Ophthalmology","id":"ITEM-1","issue":"7","issued":{"date-parts":[["2005","7"]]},"page":"796-798","title":"Onchocerciasis: A potential risk factor for glaucoma","type":"article-journal","volume":"89"}}],"schema":"https://github.com/citation-style-language/schema/raw/master/csl-citation.json"}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[67]</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FD4E7B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5CAE60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Central</w:t>
            </w:r>
          </w:p>
        </w:tc>
        <w:tc>
          <w:tcPr>
            <w:tcW w:w="3202" w:type="dxa"/>
            <w:noWrap/>
            <w:hideMark/>
          </w:tcPr>
          <w:p w14:paraId="03E8308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Cape Coast</w:t>
            </w:r>
          </w:p>
        </w:tc>
        <w:tc>
          <w:tcPr>
            <w:tcW w:w="7353" w:type="dxa"/>
            <w:noWrap/>
            <w:hideMark/>
          </w:tcPr>
          <w:p w14:paraId="7D9A80A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Bishop John Ackon Christian eye </w:t>
            </w:r>
            <w:proofErr w:type="spellStart"/>
            <w:r w:rsidRPr="00AE371D">
              <w:rPr>
                <w:rFonts w:ascii="Times New Roman" w:eastAsia="Times New Roman" w:hAnsi="Times New Roman" w:cs="Times New Roman"/>
                <w:kern w:val="0"/>
                <w:sz w:val="20"/>
                <w:szCs w:val="20"/>
                <w14:ligatures w14:val="none"/>
              </w:rPr>
              <w:t>centre</w:t>
            </w:r>
            <w:proofErr w:type="spellEnd"/>
          </w:p>
        </w:tc>
      </w:tr>
      <w:tr w:rsidR="00AE371D" w:rsidRPr="00AE371D" w14:paraId="259BE437" w14:textId="77777777" w:rsidTr="0025647A">
        <w:trPr>
          <w:trHeight w:val="312"/>
        </w:trPr>
        <w:tc>
          <w:tcPr>
            <w:tcW w:w="1316" w:type="dxa"/>
            <w:noWrap/>
            <w:hideMark/>
          </w:tcPr>
          <w:p w14:paraId="77789297" w14:textId="07960B3A"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Debrah (2006)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sbnewG1S","properties":{"formattedCitation":"[68]","plainCitation":"[68]","noteIndex":0},"citationItems":[{"id":"kQ8JjSWs/OUa1J8Vo","uris":["http://www.mendeley.com/documents/?uuid=8547ae3c-9172-354b-b045-dfbbaacc537a"],"itemData":{"DOI":"10.1186/1475-2883-5-1","ISSN":"1475-2883","PMID":"16457735","abstract":"BACKGROUND Infection with the filarial nematode Onchocerca volvulus can lead to severe dermatitis, visual impairment, and ultimately blindness. Since the currently used drug, ivermectin does not have macrofilaricidal or strong permanent sterilising effects on the adult worm, more effective drugs are needed to complement the use of ivermectin alone. Wolbachia endosymbiotic bacteria in filariae have emerged as a new target for treatment with antibiotics which can lead to long -term sterilization of the adult female filariae. METHODS In the Central Region of Ghana, 60 patients were recruited, allocated into four groups and treated with 200 mg doxycycline per day for 2 weeks, 4 weeks, 6 weeks respectively. Untreated patients served as controls. Some of the treated patients and the untreated controls were given 150 microg/kg ivermectin 8 months after the start of doxycycline treatment. RESULTS A follow up study 18 months post treatment showed that when using doxycycline alone there was a significant reduction of microfilarial (mf) loads in patients treated for either 4 or 6 weeks. However, there was no significant difference between the untreated controls and those given the 2 weeks regimen. Although no significant difference was demonstrated between the 4 and 6 weeks regimens, there was a trend observed, in that, microfilarial reduction appeared to have been greater following the 6 weeks regimen. Twelve months after ivermectin (i.e. 20 months after doxycycline) treatment, 8 out of 11 ivermectin-alone treated patients were mf-positive. In contrast, 1 out of the 7 patients treated for 4 weeks with doxycycline and none of the 4 patients treated for 6 weeks doxycycline (who were available for re-examination) were mf-positive after the combined treatment of doxycycline plus ivermectin treatment. CONCLUSION Treatment of onchocerciasis with doxycycline for 4 weeks is effective. Nonetheless, mf reduction appeared to be greater in the 6 weeks regimen. It is recommended that until further studies are carried out i.e. 4 weeks treatment with doxycycline is proven equivalent to the 6 weeks, selected groups of onchocerciasis patients should be treated for 6 weeks with doxycycline. As discussed earlier, this treatment should be accompanied by two doses of ivermectin.","author":[{"dropping-particle":"","family":"Debrah","given":"Alexander Yaw","non-dropping-particle":"","parse-names":false,"suffix":""},{"dropping-particle":"","family":"Mand","given":"Sabine","non-dropping-particle":"","parse-names":false,"suffix":""},{"dropping-particle":"","family":"Marfo-Debrekyei","given":"Yeboah","non-dropping-particle":"","parse-names":false,"suffix":""},{"dropping-particle":"","family":"Larbi","given":"John","non-dropping-particle":"","parse-names":false,"suffix":""},{"dropping-particle":"","family":"Adjei","given":"Ohene","non-dropping-particle":"","parse-names":false,"suffix":""},{"dropping-particle":"","family":"Hoerauf","given":"Achim","non-dropping-particle":"","parse-names":false,"suffix":""}],"container-title":"Filaria journal","id":"ITEM-1","issued":{"date-parts":[["2006","2","5"]]},"page":"1","title":"Assessment of microfilarial loads in the skin of onchocerciasis patients after treatment with different regimens of doxycycline plus ivermectin.","type":"article-journal","volume":"5"}}],"schema":"https://github.com/citation-style-language/schema/raw/master/csl-citation.json"}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[68]</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79C986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D8F707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Central</w:t>
            </w:r>
          </w:p>
        </w:tc>
        <w:tc>
          <w:tcPr>
            <w:tcW w:w="3202" w:type="dxa"/>
            <w:noWrap/>
            <w:hideMark/>
          </w:tcPr>
          <w:p w14:paraId="02DAAF9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Upper Denkyira </w:t>
            </w:r>
          </w:p>
        </w:tc>
        <w:tc>
          <w:tcPr>
            <w:tcW w:w="7353" w:type="dxa"/>
            <w:noWrap/>
            <w:hideMark/>
          </w:tcPr>
          <w:p w14:paraId="1A901C57"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Akronpong</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Buabinso</w:t>
            </w:r>
            <w:proofErr w:type="spellEnd"/>
            <w:r w:rsidRPr="00AE371D">
              <w:rPr>
                <w:rFonts w:ascii="Times New Roman" w:eastAsia="Times New Roman" w:hAnsi="Times New Roman" w:cs="Times New Roman"/>
                <w:kern w:val="0"/>
                <w:sz w:val="20"/>
                <w:szCs w:val="20"/>
                <w14:ligatures w14:val="none"/>
              </w:rPr>
              <w:t>, Denkyira Fosu</w:t>
            </w:r>
          </w:p>
        </w:tc>
      </w:tr>
      <w:tr w:rsidR="00AE371D" w:rsidRPr="00AE371D" w14:paraId="6BB44D88" w14:textId="77777777" w:rsidTr="0025647A">
        <w:trPr>
          <w:trHeight w:val="312"/>
        </w:trPr>
        <w:tc>
          <w:tcPr>
            <w:tcW w:w="1316" w:type="dxa"/>
            <w:noWrap/>
            <w:hideMark/>
          </w:tcPr>
          <w:p w14:paraId="688EDBB5" w14:textId="09E99EB5"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Osei-Atweneboana (2007)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zKZEjGus","properties":{"formattedCitation":"[69]","plainCitation":"[69]","noteIndex":0},"citationItems":[{"id":"kQ8JjSWs/We4IVnpN","uris":["http://www.mendeley.com/documents/?uuid=e96394ae-9fff-4e7c-a7d8-ae75aae74623"],"itemData":{"DOI":"10.1016/S0140-6736(07)60942-8","ISSN":"01406736","PMID":"17574093","abstract":"Background: Ivermectin has been used for onchocerciasis control since 1987. Because of the long-term use of this drug and the development of resistance in other nematodes, we have assessed Onchocerca volvulus burdens, effectiveness of ivermectin as a microfilaricide, and its effect on adult female worm reproduction. Methods: For the first phase of the study, 2501 individuals in Ghana, from 19 endemic communities who had received six to 18 annual rounds of ivermectin and one ivermectin naive community, were assessed for microfilarial loads 7 days before the 2004 yearly ivermectin treatment, by means of skin snips, and 30 days after treatment to assess the ivermectin microfilaricidal action. For the second phase, skin snips were taken from 342 individuals from ten communities, who were microfilaria positive at pretreatment assessment, on days 90 and 180 after treatment, to identify the effects of ivermectin on female worm fertility, assessed by microfilaria repopulation. Findings: 487 (19%) of the 2501 participants were microfilaria positive. The microfilaria prevalence and community microfilarial load in treated communities ranged from 2·2% to 51·8%, and 0·06 microfilariae per snip to 2·85 microfilariae per snip, respectively. Despite treatment, the prevalence rate doubled between 2000 and 2005 in two communities. Microfilaria assessment 30 days after ivermectin treatment showed 100% clearance of microfilaria in more than 99% of people. At day 90 after treatment, four of ten communities had significant microfilaria repopulation, from 7·1% to 21·1% of pretreatment counts, rising to 53·9% by day 180. Interpretation: Ivermectin remains a potent microfilaricide. However, our results suggest that resistant adult parasite populations, which are not responding as expected to ivermectin, are emerging. A high rate of repopulation of skin with microfilariae will allow parasite transmission, possibly with ivermectin-resistant O volvulus, which could eventually lead to recrudescence of the disease. © 2007 Elsevier Ltd. All rights reserved.","author":[{"dropping-particle":"","family":"Osei-Atweneboana","given":"Mike Y.","non-dropping-particle":"","parse-names":false,"suffix":""},{"dropping-particle":"","family":"Eng","given":"Jeffrey KL","non-dropping-particle":"","parse-names":false,"suffix":""},{"dropping-particle":"","family":"Boakye","given":"Daniel A.","non-dropping-particle":"","parse-names":false,"suffix":""},{"dropping-particle":"","family":"Gyapong","given":"John O.","non-dropping-particle":"","parse-names":false,"suffix":""},{"dropping-particle":"","family":"Prichard","given":"Roger K.","non-dropping-particle":"","parse-names":false,"suffix":""}],"container-title":"The Lancet","id":"ITEM-1","issue":"9578","issued":{"date-parts":[["2007","6"]]},"page":"2021-2029","title":"Prevalence and intensity of Onchocerca volvulus infection and efficacy of ivermectin in endemic communities in Ghana: a two-phase epidemiological study","type":"article-journal","volume":"369"}}],"schema":"https://github.com/citation-style-language/schema/raw/master/csl-citation.json"}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[69]</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B8FA4C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60B0D04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7A328B1B"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Atebubu</w:t>
            </w:r>
            <w:proofErr w:type="spellEnd"/>
            <w:r w:rsidRPr="00AE371D">
              <w:rPr>
                <w:rFonts w:ascii="Times New Roman" w:eastAsia="Times New Roman" w:hAnsi="Times New Roman" w:cs="Times New Roman"/>
                <w:kern w:val="0"/>
                <w:sz w:val="20"/>
                <w:szCs w:val="20"/>
                <w14:ligatures w14:val="none"/>
              </w:rPr>
              <w:t xml:space="preserve"> , Kintampo  </w:t>
            </w:r>
          </w:p>
        </w:tc>
        <w:tc>
          <w:tcPr>
            <w:tcW w:w="7353" w:type="dxa"/>
            <w:noWrap/>
            <w:hideMark/>
          </w:tcPr>
          <w:p w14:paraId="000F72D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Akrakuka,Asubende,Baaya,Beposo,Faoamang,Hiampe,Mantukwa,Mempeasem,Senyase, </w:t>
            </w:r>
            <w:proofErr w:type="spellStart"/>
            <w:r w:rsidRPr="00AE371D">
              <w:rPr>
                <w:rFonts w:ascii="Times New Roman" w:eastAsia="Times New Roman" w:hAnsi="Times New Roman" w:cs="Times New Roman"/>
                <w:kern w:val="0"/>
                <w:sz w:val="20"/>
                <w:szCs w:val="20"/>
                <w14:ligatures w14:val="none"/>
              </w:rPr>
              <w:t>Dwere,Gomboi,Kyingakrom,New</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Longoro,Nkoranza</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district,Ayerede,Nyemeberekyere</w:t>
            </w:r>
            <w:proofErr w:type="spellEnd"/>
          </w:p>
        </w:tc>
      </w:tr>
      <w:tr w:rsidR="00AE371D" w:rsidRPr="00AE371D" w14:paraId="35BC6FAA" w14:textId="77777777" w:rsidTr="0025647A">
        <w:trPr>
          <w:trHeight w:val="312"/>
        </w:trPr>
        <w:tc>
          <w:tcPr>
            <w:tcW w:w="1316" w:type="dxa"/>
            <w:noWrap/>
            <w:hideMark/>
          </w:tcPr>
          <w:p w14:paraId="7F0F4E8B" w14:textId="52FA3139"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Osei-Atweneboana (2007)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gKZt221g","properties":{"formattedCitation":"[69]","plainCitation":"[69]","noteIndex":0},"citationItems":[{"id":"kQ8JjSWs/We4IVnpN","uris":["http://www.mendeley.com/documents/?uuid=e96394ae-9fff-4e7c-a7d8-ae75aae74623"],"itemData":{"DOI":"10.1016/S0140-6736(07)60942-8","ISSN":"01406736","PMID":"17574093","abstract":"Background: Ivermectin has been used for onchocerciasis control since 1987. Because of the long-term use of this drug and the development of resistance in other nematodes, we have assessed Onchocerca volvulus burdens, effectiveness of ivermectin as a microfilaricide, and its effect on adult female worm reproduction. Methods: For the first phase of the study, 2501 individuals in Ghana, from 19 endemic communities who had received six to 18 annual rounds of ivermectin and one ivermectin naive community, were assessed for microfilarial loads 7 days before the 2004 yearly ivermectin treatment, by means of skin snips, and 30 days after treatment to assess the ivermectin microfilaricidal action. For the second phase, skin snips were taken from 342 individuals from ten communities, who were microfilaria positive at pretreatment assessment, on days 90 and 180 after treatment, to identify the effects of ivermectin on female worm fertility, assessed by microfilaria repopulation. Findings: 487 (19%) of the 2501 participants were microfilaria positive. The microfilaria prevalence and community microfilarial load in treated communities ranged from 2·2% to 51·8%, and 0·06 microfilariae per snip to 2·85 microfilariae per snip, respectively. Despite treatment, the prevalence rate doubled between 2000 and 2005 in two communities. Microfilaria assessment 30 days after ivermectin treatment showed 100% clearance of microfilaria in more than 99% of people. At day 90 after treatment, four of ten communities had significant microfilaria repopulation, from 7·1% to 21·1% of pretreatment counts, rising to 53·9% by day 180. Interpretation: Ivermectin remains a potent microfilaricide. However, our results suggest that resistant adult parasite populations, which are not responding as expected to ivermectin, are emerging. A high rate of repopulation of skin with microfilariae will allow parasite transmission, possibly with ivermectin-resistant O volvulus, which could eventually lead to recrudescence of the disease. © 2007 Elsevier Ltd. All rights reserved.","author":[{"dropping-particle":"","family":"Osei-Atweneboana","given":"Mike Y.","non-dropping-particle":"","parse-names":false,"suffix":""},{"dropping-particle":"","family":"Eng","given":"Jeffrey KL","non-dropping-particle":"","parse-names":false,"suffix":""},{"dropping-particle":"","family":"Boakye","given":"Daniel A.","non-dropping-particle":"","parse-names":false,"suffix":""},{"dropping-particle":"","family":"Gyapong","given":"John O.","non-dropping-particle":"","parse-names":false,"suffix":""},{"dropping-particle":"","family":"Prichard","given":"Roger K.","non-dropping-particle":"","parse-names":false,"suffix":""}],"container-title":"The Lancet","id":"ITEM-1","issue":"9578","issued":{"date-parts":[["2007","6"]]},"page":"2021-2029","title":"Prevalence and intensity of Onchocerca volvulus infection and efficacy of ivermectin in endemic communities in Ghana: a two-phase epidemiological study","type":"article-journal","volume":"369"}}],"schema":"https://github.com/citation-style-language/schema/raw/master/csl-citation.json"}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[69]</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94526F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3CF42D3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Savana  </w:t>
            </w:r>
          </w:p>
        </w:tc>
        <w:tc>
          <w:tcPr>
            <w:tcW w:w="3202" w:type="dxa"/>
            <w:noWrap/>
            <w:hideMark/>
          </w:tcPr>
          <w:p w14:paraId="7E786BC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East </w:t>
            </w:r>
            <w:proofErr w:type="spellStart"/>
            <w:r w:rsidRPr="00AE371D">
              <w:rPr>
                <w:rFonts w:ascii="Times New Roman" w:eastAsia="Times New Roman" w:hAnsi="Times New Roman" w:cs="Times New Roman"/>
                <w:kern w:val="0"/>
                <w:sz w:val="20"/>
                <w:szCs w:val="20"/>
                <w14:ligatures w14:val="none"/>
              </w:rPr>
              <w:t>Gonja</w:t>
            </w:r>
            <w:proofErr w:type="spellEnd"/>
          </w:p>
        </w:tc>
        <w:tc>
          <w:tcPr>
            <w:tcW w:w="7353" w:type="dxa"/>
            <w:noWrap/>
            <w:hideMark/>
          </w:tcPr>
          <w:p w14:paraId="6CCAA8D9"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Bankaba,Chabon,Jagbenbendo,Wiae,Begbomdo</w:t>
            </w:r>
            <w:proofErr w:type="spellEnd"/>
          </w:p>
        </w:tc>
      </w:tr>
      <w:tr w:rsidR="00AE371D" w:rsidRPr="00AE371D" w14:paraId="6021247B" w14:textId="77777777" w:rsidTr="0025647A">
        <w:trPr>
          <w:trHeight w:val="312"/>
        </w:trPr>
        <w:tc>
          <w:tcPr>
            <w:tcW w:w="1316" w:type="dxa"/>
            <w:noWrap/>
            <w:hideMark/>
          </w:tcPr>
          <w:p w14:paraId="191496B7" w14:textId="2F0F462E"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Hoerauf (2008)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GJi6dp0d","properties":{"formattedCitation":"[70]","plainCitation":"[70]","noteIndex":0},"citationItems":[{"id":"kQ8JjSWs/uP0S1D4G","uris":["http://www.mendeley.com/documents/?uuid=d564a332-f283-4fb0-bd5a-19acf93fb856"],"itemData":{"DOI":"10.1007/s00436-008-0964-x","ISSN":"09320113","PMID":"18421478","abstract":"The effects of azithromycin treatment on the presence of Wolbachia endobacteria and on the embryogenesis and microfilariae production of Onchocerca volvulus were studied. In 2002, in an endemic area in Ghana, 37 onchocerciasis patients were treated for 6 weeks with azithromycin: 23 patients received 250 mg every day, and 14 took 1,200 mg once a week. After 6 and/or 12 months, all palpable worm nodules were extirpated from 31 treated and nine additional untreated patients, and the presence of Wolbachia and embryogenesis were assessed by immunohistology. In nodules taken 6 months after treatment with either dose and 12 months after 1,200 mg/week, the Wolbachia loads of the worms were not different from those of untreated worms. However, 12 months after the 250-mg/day azithromycin regimen, significantly less female worms (65% compared to 92% untreated ones) presented many Wolbachia, although the reduction was less pronounced than observed in other studies after treatment with doxycycline. Embryogenesis and microfilariae production were not reduced. It is concluded that azithromycin administered alone for 6 weeks at 250 mg/day or 1,200 mg/week is not suitable for treatment of human onchocerciasis. But daily azithromycin should be studied in combination with other drugs and with other doses. © 2008 Springer-Verlag.","author":[{"dropping-particle":"","family":"Hoerauf","given":"Achim","non-dropping-particle":"","parse-names":false,"suffix":""},{"dropping-particle":"","family":"Marfo-Debrekyei","given":"Yeboah","non-dropping-particle":"","parse-names":false,"suffix":""},{"dropping-particle":"","family":"Büttner","given":"Marcelle","non-dropping-particle":"","parse-names":false,"suffix":""},{"dropping-particle":"","family":"Debrah","given":"Alexander Yaw","non-dropping-particle":"","parse-names":false,"suffix":""},{"dropping-particle":"","family":"Konadu","given":"Peter","non-dropping-particle":"","parse-names":false,"suffix":""},{"dropping-particle":"","family":"Mand","given":"Sabine","non-dropping-particle":"","parse-names":false,"suffix":""},{"dropping-particle":"","family":"Adjei","given":"Ohene","non-dropping-particle":"","parse-names":false,"suffix":""},{"dropping-particle":"","family":"Büttner","given":"Dietrich W.","non-dropping-particle":"","parse-names":false,"suffix":""}],"container-title":"Parasitology Research","id":"ITEM-1","issue":"2","issued":{"date-parts":[["2008","7"]]},"page":"279-286","publisher":"Parasitol Res","title":"Effects of 6-week azithromycin treatment on the Wolbachia endobacteria of Onchocerca volvulus","type":"article-journal","volume":"103"}}],"schema":"https://github.com/citation-style-language/schema/raw/master/csl-citation.json"}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[70]</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5E6A8A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3CE19F2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Central</w:t>
            </w:r>
          </w:p>
        </w:tc>
        <w:tc>
          <w:tcPr>
            <w:tcW w:w="3202" w:type="dxa"/>
            <w:noWrap/>
            <w:hideMark/>
          </w:tcPr>
          <w:p w14:paraId="36A4999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Upper Denkyira </w:t>
            </w:r>
          </w:p>
        </w:tc>
        <w:tc>
          <w:tcPr>
            <w:tcW w:w="7353" w:type="dxa"/>
            <w:noWrap/>
            <w:hideMark/>
          </w:tcPr>
          <w:p w14:paraId="63A5866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3096C518" w14:textId="77777777" w:rsidTr="0025647A">
        <w:trPr>
          <w:trHeight w:val="312"/>
        </w:trPr>
        <w:tc>
          <w:tcPr>
            <w:tcW w:w="1316" w:type="dxa"/>
            <w:noWrap/>
            <w:hideMark/>
          </w:tcPr>
          <w:p w14:paraId="72817C70" w14:textId="50C83224"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Specht (2008)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DGtMKfZj","properties":{"formattedCitation":"[71]","plainCitation":"[71]","noteIndex":0},"citationItems":[{"id":"kQ8JjSWs/LwCC6ILy","uris":["http://www.mendeley.com/documents/?uuid=140674ef-5464-405b-9f85-e07217527d87"],"itemData":{"DOI":"10.1007/s00436-008-1133-y","ISSN":"09320113","PMID":"18679718","abstract":"The microfilaricidal and temporarily sterilizing drug ivermectin is used for mass treatment of filarial infections. Filariae containing Wolbachia endobacteria can also be treated by the antibiotic doxycycline. The loss of Wolbachia results in sterilization of Onchocerca volvulus and macrofilaricidal effects. Besides doxycycline, other antibiotics may be effective in depleting Wolbachia. A preliminary study on the effects of rifampicin on the endobacteria, embryogenesis and microfilariae production of O. volvulus was carried out in the year 2000 in Ghana. Twenty-six onchocerciasis patients were treated for 2 or 4 weeks with 10 mg/kg/day rifampicin. From 17 treated and nine untreated patients, all palpable nodules were extirpated 1 or 18 months after the start of the study and examined for Wolbachia and embryogenesis using immunohistology. One and 18 months after rifampicin treatment, the proportion of Wolbachia-positive worms was significantly reduced compared to the untreated group. In patients treated 4 weeks with rifampicin, only 21% and 18% of living female filariae contained Wolbachia after 1 and 18 months, respectively, compared to 92% in the untreated patients. The reduction of Wolbachia after 2 weeks rifampicin was less but also significant. Embryogenesis and microfilariae production were reduced after 4 weeks rifampicin treatment, rendering rifampicin an antibiotic with anti-wolbachial efficacy in human onchocerciasis. This treatment is less efficient than treatment with 6 weeks doxycycline, but might be an alternative for cases that cannot be treated with doxycycline, e.g. children, or might be further developed for combination therapy. © 2008 Springer-Verlag.","author":[{"dropping-particle":"","family":"Specht","given":"Sabine","non-dropping-particle":"","parse-names":false,"suffix":""},{"dropping-particle":"","family":"Mand","given":"Sabine","non-dropping-particle":"","parse-names":false,"suffix":""},{"dropping-particle":"","family":"Marfo-Debrekyei","given":"Yeboah","non-dropping-particle":"","parse-names":false,"suffix":""},{"dropping-particle":"","family":"Debrah","given":"Alexander Yaw","non-dropping-particle":"","parse-names":false,"suffix":""},{"dropping-particle":"","family":"Konadu","given":"Peter","non-dropping-particle":"","parse-names":false,"suffix":""},{"dropping-particle":"","family":"Adjei","given":"Ohene","non-dropping-particle":"","parse-names":false,"suffix":""},{"dropping-particle":"","family":"Büttner","given":"Dietrich W.","non-dropping-particle":"","parse-names":false,"suffix":""},{"dropping-particle":"","family":"Hoerauf","given":"Achim","non-dropping-particle":"","parse-names":false,"suffix":""}],"container-title":"Parasitology Research","id":"ITEM-1","issue":"6","issued":{"date-parts":[["2008"]]},"page":"1303-1309","title":"Efficacy of 2- and 4-week rifampicin treatment on the Wolbachia of Onchocerca volvulus","type":"article-journal","volume":"103"}}],"schema":"https://github.com/citation-style-language/schema/raw/master/csl-citation.json"}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[71]</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C8FDB4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65DB558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Central</w:t>
            </w:r>
          </w:p>
        </w:tc>
        <w:tc>
          <w:tcPr>
            <w:tcW w:w="3202" w:type="dxa"/>
            <w:noWrap/>
            <w:hideMark/>
          </w:tcPr>
          <w:p w14:paraId="2A6C30A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Upper Denkyira </w:t>
            </w:r>
          </w:p>
        </w:tc>
        <w:tc>
          <w:tcPr>
            <w:tcW w:w="7353" w:type="dxa"/>
            <w:noWrap/>
            <w:hideMark/>
          </w:tcPr>
          <w:p w14:paraId="1394052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6A7F7BAB" w14:textId="77777777" w:rsidTr="0025647A">
        <w:trPr>
          <w:trHeight w:val="312"/>
        </w:trPr>
        <w:tc>
          <w:tcPr>
            <w:tcW w:w="1316" w:type="dxa"/>
            <w:noWrap/>
            <w:hideMark/>
          </w:tcPr>
          <w:p w14:paraId="23140356" w14:textId="235CDE8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 Hoerauf (2008)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DTStzo09","properties":{"formattedCitation":"[72]","plainCitation":"[72]","noteIndex":0},"citationItems":[{"id":"kQ8JjSWs/wXAogXeg","uris":["http://www.mendeley.com/documents/?uuid=af0256f9-c127-44b7-a522-6fccf01cacd8"],"itemData":{"DOI":"10.1007/s00430-007-0062-1","ISSN":"03008584","PMID":"17999080","abstract":"In a randomized, placebo-controlled trial in Ghana, 67 onchocerciasis patients received 200-mg/day doxycycline for 4-6 weeks, followed by ivermectin (IVM) after 6 months. After 6-27 months, efficacy was evaluated by onchocercoma histology, PCR and microfilariae determination. Administration of doxycycline resulted in endobacteria depletion and female worm sterilization. The 6-week treatment was macrofilaricidal, with &gt;60% of the female worms found dead, despite the presence of new, Wolbachia-containing worms acquired after the administration of doxycycline. Doxycycline may be developed as second-line drug for onchocerciasis, to be administered in areas without transmission, in foci with IVM resistance and in areas with Loa co-infections. © 2007 The Author(s).","author":[{"dropping-particle":"","family":"Hoerauf","given":"Achim","non-dropping-particle":"","parse-names":false,"suffix":""},{"dropping-particle":"","family":"Specht","given":"Sabine","non-dropping-particle":"","parse-names":false,"suffix":""},{"dropping-particle":"","family":"Büttner","given":"Marcelle","non-dropping-particle":"","parse-names":false,"suffix":""},{"dropping-particle":"","family":"Pfarr","given":"Kenneth","non-dropping-particle":"","parse-names":false,"suffix":""},{"dropping-particle":"","family":"Mand","given":"Sabine","non-dropping-particle":"","parse-names":false,"suffix":""},{"dropping-particle":"","family":"Fimmers","given":"Rolf","non-dropping-particle":"","parse-names":false,"suffix":""},{"dropping-particle":"","family":"Marfo-Debrekyei","given":"Yeboah","non-dropping-particle":"","parse-names":false,"suffix":""},{"dropping-particle":"","family":"Konadu","given":"Peter","non-dropping-particle":"","parse-names":false,"suffix":""},{"dropping-particle":"","family":"Debrah","given":"Alexander Yaw","non-dropping-particle":"","parse-names":false,"suffix":""},{"dropping-particle":"","family":"Bandi","given":"Claudio","non-dropping-particle":"","parse-names":false,"suffix":""},{"dropping-particle":"","family":"Brattig","given":"Norbert","non-dropping-particle":"","parse-names":false,"suffix":""},{"dropping-particle":"","family":"Albers","given":"Anna","non-dropping-particle":"","parse-names":false,"suffix":""},{"dropping-particle":"","family":"Larbi","given":"John","non-dropping-particle":"","parse-names":false,"suffix":""},{"dropping-particle":"","family":"Batsa","given":"Linda","non-dropping-particle":"","parse-names":false,"suffix":""},{"dropping-particle":"","family":"Taylor","given":"Mark J.","non-dropping-particle":"","parse-names":false,"suffix":""},{"dropping-particle":"","family":"Adjei","given":"Ohene","non-dropping-particle":"","parse-names":false,"suffix":""},{"dropping-particle":"","family":"Büttner","given":"Dietrich W","non-dropping-particle":"","parse-names":false,"suffix":""}],"container-title":"Medical Microbiology and Immunology","id":"ITEM-1","issue":"3","issued":{"date-parts":[["2008","9","13"]]},"page":"295-311","title":"Wolbachia endobacteria depletion by doxycycline as antifilarial therapy has macrofilaricidal activity in onchocerciasis: A randomized placebo-controlled study","type":"article-journal","volume":"197"}}],"schema":"https://github.com/citation-style-language/schema/raw/master/csl-citation.json"}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[72]</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1D0B70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4F09AD7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Central  </w:t>
            </w:r>
          </w:p>
        </w:tc>
        <w:tc>
          <w:tcPr>
            <w:tcW w:w="3202" w:type="dxa"/>
            <w:noWrap/>
            <w:hideMark/>
          </w:tcPr>
          <w:p w14:paraId="415114C9"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Assin</w:t>
            </w:r>
            <w:proofErr w:type="spellEnd"/>
            <w:r w:rsidRPr="00AE371D">
              <w:rPr>
                <w:rFonts w:ascii="Times New Roman" w:eastAsia="Times New Roman" w:hAnsi="Times New Roman" w:cs="Times New Roman"/>
                <w:kern w:val="0"/>
                <w:sz w:val="20"/>
                <w:szCs w:val="20"/>
                <w14:ligatures w14:val="none"/>
              </w:rPr>
              <w:t xml:space="preserve"> </w:t>
            </w:r>
          </w:p>
        </w:tc>
        <w:tc>
          <w:tcPr>
            <w:tcW w:w="7353" w:type="dxa"/>
            <w:noWrap/>
            <w:hideMark/>
          </w:tcPr>
          <w:p w14:paraId="5E97395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three </w:t>
            </w:r>
            <w:proofErr w:type="spellStart"/>
            <w:r w:rsidRPr="00AE371D">
              <w:rPr>
                <w:rFonts w:ascii="Times New Roman" w:eastAsia="Times New Roman" w:hAnsi="Times New Roman" w:cs="Times New Roman"/>
                <w:kern w:val="0"/>
                <w:sz w:val="20"/>
                <w:szCs w:val="20"/>
                <w14:ligatures w14:val="none"/>
              </w:rPr>
              <w:t>neighbouring</w:t>
            </w:r>
            <w:proofErr w:type="spellEnd"/>
            <w:r w:rsidRPr="00AE371D">
              <w:rPr>
                <w:rFonts w:ascii="Times New Roman" w:eastAsia="Times New Roman" w:hAnsi="Times New Roman" w:cs="Times New Roman"/>
                <w:kern w:val="0"/>
                <w:sz w:val="20"/>
                <w:szCs w:val="20"/>
                <w14:ligatures w14:val="none"/>
              </w:rPr>
              <w:t xml:space="preserve"> villages in </w:t>
            </w:r>
            <w:proofErr w:type="spellStart"/>
            <w:r w:rsidRPr="00AE371D">
              <w:rPr>
                <w:rFonts w:ascii="Times New Roman" w:eastAsia="Times New Roman" w:hAnsi="Times New Roman" w:cs="Times New Roman"/>
                <w:kern w:val="0"/>
                <w:sz w:val="20"/>
                <w:szCs w:val="20"/>
                <w14:ligatures w14:val="none"/>
              </w:rPr>
              <w:t>Assin</w:t>
            </w:r>
            <w:proofErr w:type="spellEnd"/>
            <w:r w:rsidRPr="00AE371D">
              <w:rPr>
                <w:rFonts w:ascii="Times New Roman" w:eastAsia="Times New Roman" w:hAnsi="Times New Roman" w:cs="Times New Roman"/>
                <w:kern w:val="0"/>
                <w:sz w:val="20"/>
                <w:szCs w:val="20"/>
                <w14:ligatures w14:val="none"/>
              </w:rPr>
              <w:t xml:space="preserve"> district situated where the OYn </w:t>
            </w:r>
            <w:proofErr w:type="spellStart"/>
            <w:r w:rsidRPr="00AE371D">
              <w:rPr>
                <w:rFonts w:ascii="Times New Roman" w:eastAsia="Times New Roman" w:hAnsi="Times New Roman" w:cs="Times New Roman"/>
                <w:kern w:val="0"/>
                <w:sz w:val="20"/>
                <w:szCs w:val="20"/>
                <w14:ligatures w14:val="none"/>
              </w:rPr>
              <w:t>Xows</w:t>
            </w:r>
            <w:proofErr w:type="spellEnd"/>
            <w:r w:rsidRPr="00AE371D">
              <w:rPr>
                <w:rFonts w:ascii="Times New Roman" w:eastAsia="Times New Roman" w:hAnsi="Times New Roman" w:cs="Times New Roman"/>
                <w:kern w:val="0"/>
                <w:sz w:val="20"/>
                <w:szCs w:val="20"/>
                <w14:ligatures w14:val="none"/>
              </w:rPr>
              <w:t xml:space="preserve"> into the Pra  </w:t>
            </w:r>
          </w:p>
        </w:tc>
      </w:tr>
      <w:tr w:rsidR="00AE371D" w:rsidRPr="00AE371D" w14:paraId="2A3F5038" w14:textId="77777777" w:rsidTr="0025647A">
        <w:trPr>
          <w:trHeight w:val="312"/>
        </w:trPr>
        <w:tc>
          <w:tcPr>
            <w:tcW w:w="1316" w:type="dxa"/>
            <w:noWrap/>
            <w:hideMark/>
          </w:tcPr>
          <w:p w14:paraId="37B850BF" w14:textId="0F8087CA"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Hoerauf (2009)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f76BHi3S","properties":{"formattedCitation":"[73]","plainCitation":"[73]","noteIndex":0},"citationItems":[{"id":"kQ8JjSWs/SsirxMVB","uris":["http://www.mendeley.com/documents/?uuid=e0f60342-eb4d-4292-b5df-4e2af1d2e879"],"itemData":{"DOI":"10.1007/s00436-008-1217-8","ISBN":"0043600812178","ISSN":"09320113","PMID":"18850111","abstract":"The effects of 5-week doxycycline treatment on the depletion of Wolbachia endobacteria from Onchocerca volvulus, on the interruption of embryogenesis and on microfilariae production, and with regard to macrofilaricidal activity were studied. In 2003, in an endemic area in Ghana, 22 onchocerciasis patients received 100 mg/day doxycycline for 5 weeks. Two years after the start of the study, 20 treated and ten untreated patients were nodulectomized and skin microfilariae were counted. The onchocercomas were examined by immunohistology for the presence of Wolbachia, embryogenesis, and vitality of adult filariae. The latter two parameters were further assessed by alternating logistic regression analysis, taking into account the dependency of worms and nodules in patients. Doxycycline resulted in depletion of Wolbachia and in complete interruption of embryogenesis in all worms that were assumed to have been present during treatment. In the treated patients, only 51% of the female worms were alive, compared to 84% in the untreated patients, indicating a moderate but distinct macrofilaricidal activity of doxycycline at this dose. It is concluded that, in areas with ongoing transmission, doxycycline cannot replace regular ivermectin mass treatment because new infections would require repeated rounds of doxycycline. However, doxycycline can be used for the treatment of individuals outside transmission areas, in foci where ivermectin resistance may occur, and in countries where onchocerciasis and loiasis are co-endemic. © 2008 The Author(s).","author":[{"dropping-particle":"","family":"Hoerauf","given":"Achim","non-dropping-particle":"","parse-names":false,"suffix":""},{"dropping-particle":"","family":"Specht","given":"Sabine","non-dropping-particle":"","parse-names":false,"suffix":""},{"dropping-particle":"","family":"Marfo-Debrekyei","given":"Yeboah","non-dropping-particle":"","parse-names":false,"suffix":""},{"dropping-particle":"","family":"Büttner","given":"Marcelle","non-dropping-particle":"","parse-names":false,"suffix":""},{"dropping-particle":"","family":"Debrah","given":"Alexander Yaw","non-dropping-particle":"","parse-names":false,"suffix":""},{"dropping-particle":"","family":"Mand","given":"Sabine","non-dropping-particle":"","parse-names":false,"suffix":""},{"dropping-particle":"","family":"Batsa","given":"Linda","non-dropping-particle":"","parse-names":false,"suffix":""},{"dropping-particle":"","family":"Brattig","given":"Norbert","non-dropping-particle":"","parse-names":false,"suffix":""},{"dropping-particle":"","family":"Konadu","given":"Peter","non-dropping-particle":"","parse-names":false,"suffix":""},{"dropping-particle":"","family":"Bandi","given":"Claudio","non-dropping-particle":"","parse-names":false,"suffix":""},{"dropping-particle":"","family":"Fimmers","given":"Rolf","non-dropping-particle":"","parse-names":false,"suffix":""},{"dropping-particle":"","family":"Adjei","given":"Ohene","non-dropping-particle":"","parse-names":false,"suffix":""},{"dropping-particle":"","family":"Büttner","given":"Dietrich W.","non-dropping-particle":"","parse-names":false,"suffix":""}],"container-title":"Parasitology Research","id":"ITEM-1","issue":"2","issued":{"date-parts":[["2009"]]},"page":"437-447","title":"Efficacy of 5-week doxycycline treatment on adult Onchocerca volvulus","type":"article-journal","volume":"104"}}],"schema":"https://github.com/citation-style-language/schema/raw/master/csl-citation.json"}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[73]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34FE925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541F7F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Central</w:t>
            </w:r>
          </w:p>
        </w:tc>
        <w:tc>
          <w:tcPr>
            <w:tcW w:w="3202" w:type="dxa"/>
            <w:noWrap/>
            <w:hideMark/>
          </w:tcPr>
          <w:p w14:paraId="6ED29412"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Assin</w:t>
            </w:r>
            <w:proofErr w:type="spellEnd"/>
            <w:r w:rsidRPr="00AE371D">
              <w:rPr>
                <w:rFonts w:ascii="Times New Roman" w:eastAsia="Times New Roman" w:hAnsi="Times New Roman" w:cs="Times New Roman"/>
                <w:kern w:val="0"/>
                <w:sz w:val="20"/>
                <w:szCs w:val="20"/>
                <w14:ligatures w14:val="none"/>
              </w:rPr>
              <w:t xml:space="preserve"> </w:t>
            </w:r>
          </w:p>
        </w:tc>
        <w:tc>
          <w:tcPr>
            <w:tcW w:w="7353" w:type="dxa"/>
            <w:noWrap/>
            <w:hideMark/>
          </w:tcPr>
          <w:p w14:paraId="1F87727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4A606C8E" w14:textId="77777777" w:rsidTr="0025647A">
        <w:trPr>
          <w:trHeight w:val="312"/>
        </w:trPr>
        <w:tc>
          <w:tcPr>
            <w:tcW w:w="1316" w:type="dxa"/>
            <w:noWrap/>
            <w:hideMark/>
          </w:tcPr>
          <w:p w14:paraId="59F53A07" w14:textId="32C1E21B"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Churcher (2009)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7SXOBg6l","properties":{"formattedCitation":"[74]","plainCitation":"[74]","noteIndex":0},"citationItems":[{"id":"kQ8JjSWs/DExhGozu","uris":["http://www.mendeley.com/documents/?uuid=04d91cd1-b60b-463a-9bfd-69716ecc1b78"],"itemData":{"DOI":"10.1073/pnas.0906176106","ISSN":"1091-6490","PMID":"19805362","abstract":"Identification of drug resistance before it becomes a public health concern requires a clear distinction between what constitutes a normal and a suboptimal treatment response. A novel method of analyzing drug efficacy studies in human helminthiases is proposed and used to investigate recent claims of atypical responses to ivermectin in the treatment of River Blindness. The variability in the rate at which Onchocerca volvulus microfilariae repopulate host's skin following ivermectin treatment is quantified using an individual-based onchocerciasis mathematical model. The model estimates a single skin repopulation rate for every host sampled, allowing reports of suboptimal responses to be statistically compared with responses from populations with no prior exposure to ivermectin. Statistically faster rates of skin repopulation were observed in 3 Ghanaian villages (treated 12-17 times), despite the wide variability in repopulation rates observed in ivermectin-naïve populations. Another village previously thought to have high rates of skin repopulation was shown to be indistinguishable from the normal treatment response. The model is used to generate testable hypotheses to identify whether atypical rates of skin repopulation by microfilariae could result from low treatment coverage alone or provide evidence of decreased ivermectin efficacy. Further work linking phenotypic poor responses to treatment with parasite molecular genetics markers will be required to confirm drug resistance. Limitations of the skin-snipping method for estimating parasite load indicates that changes in the distribution of microfilarial repopulation rates, rather than their absolute values, maybe a more sensitive indicator of emerging ivermectin resistance.","author":[{"dropping-particle":"","family":"Churcher","given":"Thomas S","non-dropping-particle":"","parse-names":false,"suffix":""},{"dropping-particle":"","family":"Pion","given":"Sébastien D S","non-dropping-particle":"","parse-names":false,"suffix":""},{"dropping-particle":"","family":"Osei-Atweneboana","given":"Mike Y","non-dropping-particle":"","parse-names":false,"suffix":""},{"dropping-particle":"","family":"Prichard","given":"Roger K","non-dropping-particle":"","parse-names":false,"suffix":""},{"dropping-particle":"","family":"Awadzi","given":"Kwablah","non-dropping-particle":"","parse-names":false,"suffix":""},{"dropping-particle":"","family":"Boussinesq","given":"Michel","non-dropping-particle":"","parse-names":false,"suffix":""},{"dropping-particle":"","family":"Collins","given":"Richard C","non-dropping-particle":"","parse-names":false,"suffix":""},{"dropping-particle":"","family":"Whitworth","given":"James A","non-dropping-particle":"","parse-names":false,"suffix":""},{"dropping-particle":"","family":"Basáñez","given":"María-Gloria","non-dropping-particle":"","parse-names":false,"suffix":""}],"container-title":"Proceedings of the National Academy of Sciences of the United States of America","id":"ITEM-1","issue":"39","issued":{"date-parts":[["2009","9","29"]]},"page":"16716-21","title":"Identifying sub-optimal responses to ivermectin in the treatment of River Blindness.","type":"article-journal","volume":"106"}}],"schema":"https://github.com/citation-style-language/schema/raw/master/csl-citation.json"}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[74]</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2FBFF58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23B5E2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3202" w:type="dxa"/>
            <w:noWrap/>
            <w:hideMark/>
          </w:tcPr>
          <w:p w14:paraId="6A9933F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126BBDE3"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Begbomdo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Jagbenbendo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Kyingakrom</w:t>
            </w:r>
            <w:proofErr w:type="spellEnd"/>
            <w:r w:rsidRPr="00AE371D">
              <w:rPr>
                <w:rFonts w:ascii="Times New Roman" w:eastAsia="Times New Roman" w:hAnsi="Times New Roman" w:cs="Times New Roman"/>
                <w:kern w:val="0"/>
                <w:sz w:val="20"/>
                <w:szCs w:val="20"/>
                <w14:ligatures w14:val="none"/>
              </w:rPr>
              <w:t xml:space="preserve">, New </w:t>
            </w:r>
            <w:proofErr w:type="spellStart"/>
            <w:r w:rsidRPr="00AE371D">
              <w:rPr>
                <w:rFonts w:ascii="Times New Roman" w:eastAsia="Times New Roman" w:hAnsi="Times New Roman" w:cs="Times New Roman"/>
                <w:kern w:val="0"/>
                <w:sz w:val="20"/>
                <w:szCs w:val="20"/>
                <w14:ligatures w14:val="none"/>
              </w:rPr>
              <w:t>Longoro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Wiaw</w:t>
            </w:r>
            <w:proofErr w:type="spellEnd"/>
          </w:p>
        </w:tc>
      </w:tr>
      <w:tr w:rsidR="00AE371D" w:rsidRPr="00AE371D" w14:paraId="2CC5A7B9" w14:textId="77777777" w:rsidTr="0025647A">
        <w:trPr>
          <w:trHeight w:val="312"/>
        </w:trPr>
        <w:tc>
          <w:tcPr>
            <w:tcW w:w="1316" w:type="dxa"/>
            <w:noWrap/>
            <w:hideMark/>
          </w:tcPr>
          <w:p w14:paraId="70315B2D" w14:textId="37AEB096"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Osei-Mensah (2011)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CbmStmO2","properties":{"formattedCitation":"[75]","plainCitation":"[75]","noteIndex":0},"citationItems":[{"id":"kQ8JjSWs/N3fKzQmc","uris":["http://www.mendeley.com/documents/?uuid=9e377019-9354-4628-913e-24437d0df048"],"itemData":{"author":[{"dropping-particle":"","family":"Osei-Mensah","given":"Jubin","non-dropping-particle":"","parse-names":false,"suffix":""}],"container-title":"KNUSTSpace","id":"ITEM-1","issue":"July","issued":{"date-parts":[["2011"]]},"number-of-pages":"1-64","publisher":"Kwame Nkrumah University of Science and Technology","title":"Effect of Doxycycline Treatment on Onchocerca Volvulus Worms that Respond Poorly to Ivermectin.","type":"thesis"}}],"schema":"https://github.com/citation-style-language/schema/raw/master/csl-citation.json"}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[75]</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3083B42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47A2F7B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5206D0A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Pru, Kintampo North Municipal, Kintampo South and Tain</w:t>
            </w:r>
          </w:p>
        </w:tc>
        <w:tc>
          <w:tcPr>
            <w:tcW w:w="7353" w:type="dxa"/>
            <w:noWrap/>
            <w:hideMark/>
          </w:tcPr>
          <w:p w14:paraId="6A7F329D"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Abua</w:t>
            </w:r>
            <w:proofErr w:type="spellEnd"/>
            <w:r w:rsidRPr="00AE371D">
              <w:rPr>
                <w:rFonts w:ascii="Times New Roman" w:eastAsia="Times New Roman" w:hAnsi="Times New Roman" w:cs="Times New Roman"/>
                <w:kern w:val="0"/>
                <w:sz w:val="20"/>
                <w:szCs w:val="20"/>
                <w14:ligatures w14:val="none"/>
              </w:rPr>
              <w:t xml:space="preserve">, Bita, </w:t>
            </w:r>
            <w:proofErr w:type="spellStart"/>
            <w:r w:rsidRPr="00AE371D">
              <w:rPr>
                <w:rFonts w:ascii="Times New Roman" w:eastAsia="Times New Roman" w:hAnsi="Times New Roman" w:cs="Times New Roman"/>
                <w:kern w:val="0"/>
                <w:sz w:val="20"/>
                <w:szCs w:val="20"/>
                <w14:ligatures w14:val="none"/>
              </w:rPr>
              <w:t>Adjaraja</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Beposo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Mantukwa</w:t>
            </w:r>
            <w:proofErr w:type="spellEnd"/>
            <w:r w:rsidRPr="00AE371D">
              <w:rPr>
                <w:rFonts w:ascii="Times New Roman" w:eastAsia="Times New Roman" w:hAnsi="Times New Roman" w:cs="Times New Roman"/>
                <w:kern w:val="0"/>
                <w:sz w:val="20"/>
                <w:szCs w:val="20"/>
                <w14:ligatures w14:val="none"/>
              </w:rPr>
              <w:t>/</w:t>
            </w:r>
            <w:proofErr w:type="spellStart"/>
            <w:r w:rsidRPr="00AE371D">
              <w:rPr>
                <w:rFonts w:ascii="Times New Roman" w:eastAsia="Times New Roman" w:hAnsi="Times New Roman" w:cs="Times New Roman"/>
                <w:kern w:val="0"/>
                <w:sz w:val="20"/>
                <w:szCs w:val="20"/>
                <w14:ligatures w14:val="none"/>
              </w:rPr>
              <w:t>Domeabra</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Tigamgam</w:t>
            </w:r>
            <w:proofErr w:type="spellEnd"/>
            <w:r w:rsidRPr="00AE371D">
              <w:rPr>
                <w:rFonts w:ascii="Times New Roman" w:eastAsia="Times New Roman" w:hAnsi="Times New Roman" w:cs="Times New Roman"/>
                <w:kern w:val="0"/>
                <w:sz w:val="20"/>
                <w:szCs w:val="20"/>
                <w14:ligatures w14:val="none"/>
              </w:rPr>
              <w:t xml:space="preserve">, Bolga </w:t>
            </w:r>
            <w:proofErr w:type="spellStart"/>
            <w:r w:rsidRPr="00AE371D">
              <w:rPr>
                <w:rFonts w:ascii="Times New Roman" w:eastAsia="Times New Roman" w:hAnsi="Times New Roman" w:cs="Times New Roman"/>
                <w:kern w:val="0"/>
                <w:sz w:val="20"/>
                <w:szCs w:val="20"/>
                <w14:ligatures w14:val="none"/>
              </w:rPr>
              <w:t>Nwanta</w:t>
            </w:r>
            <w:proofErr w:type="spellEnd"/>
            <w:r w:rsidRPr="00AE371D">
              <w:rPr>
                <w:rFonts w:ascii="Times New Roman" w:eastAsia="Times New Roman" w:hAnsi="Times New Roman" w:cs="Times New Roman"/>
                <w:kern w:val="0"/>
                <w:sz w:val="20"/>
                <w:szCs w:val="20"/>
                <w14:ligatures w14:val="none"/>
              </w:rPr>
              <w:t xml:space="preserve">, Prang, New </w:t>
            </w:r>
            <w:proofErr w:type="spellStart"/>
            <w:r w:rsidRPr="00AE371D">
              <w:rPr>
                <w:rFonts w:ascii="Times New Roman" w:eastAsia="Times New Roman" w:hAnsi="Times New Roman" w:cs="Times New Roman"/>
                <w:kern w:val="0"/>
                <w:sz w:val="20"/>
                <w:szCs w:val="20"/>
                <w14:ligatures w14:val="none"/>
              </w:rPr>
              <w:t>Longoro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Tainso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Nyire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Fawomang</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Ayorya</w:t>
            </w:r>
            <w:proofErr w:type="spellEnd"/>
          </w:p>
        </w:tc>
      </w:tr>
      <w:tr w:rsidR="00AE371D" w:rsidRPr="00AE371D" w14:paraId="4C8893A9" w14:textId="77777777" w:rsidTr="0025647A">
        <w:trPr>
          <w:trHeight w:val="312"/>
        </w:trPr>
        <w:tc>
          <w:tcPr>
            <w:tcW w:w="1316" w:type="dxa"/>
            <w:noWrap/>
            <w:hideMark/>
          </w:tcPr>
          <w:p w14:paraId="35C03342" w14:textId="481F5FFE"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Osei-Atweneboana (2011)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tNF1WXJW","properties":{"formattedCitation":"[76]","plainCitation":"[76]","noteIndex":0},"citationItems":[{"id":"kQ8JjSWs/bfRs5Dyp","uris":["http://www.mendeley.com/documents/?uuid=af893b09-9881-3aea-9196-4beb458f3f2f"],"itemData":{"DOI":"10.1371/journal.pntd.0000998","ISSN":"1935-2735","PMID":"21468315","abstract":"Background: Ivermectin (IVM) has been used in Ghana for over two decades for onchocerciasis control. In recent years there have been reports of persistent microfilaridermias despite multiple treatments. This has necessitated a reexamination of its microfilaricidal and suppressive effects on reproduction in the adult female Onchocerca volvulus. In an initial study, we demonstrated the continued potent microfilaricidal effect of IVM. However, we also found communities in which the skin microfilarial repopulation rates at days 90 and 180 were much higher than expected. In this follow up study we have investigated the reproductive response of female worms to multiple treatments with IVM. Methods and Findings: The parasitological responses to IVM in two hundred and sixty-eight microfilaridermic subjects from nine communities that had received 10 to 19 annual doses of IVM treatment and one pre-study IVM-naïve community were followed. Skin snips were taken 364 days after the initial IVM treatment during the study to determine the microfilaria (mf) recovery rate. Nodules were excised and skin snips taken 90 days following a second study IVM treatment. Nodule and worm density and the reproductive status of female worms were determined. On the basis of skin mf repopulation and skin mf recovery rates we defined three categories of response-good, intermediate and poor-and also determined that approximately 25% of subjects in the study carried adult female worms that responded suboptimally to IVM. Stratification of the female worms by morphological age and microfilarial content showed that almost 90% of the worms were older or middle aged and that most of the mf were produced by the middle aged and older worms previously exposed to multiple treatments with little contribution from young worms derived from ongoing transmission. Conclusions: The results confirm that in some communities adult female worms were non-responsive or resistant to the anti-fecundity effects of multiple treatments with IVM. A scheme of the varied responses of the adult female worm to multiple treatments is proposed. © 2011 Osei-Atweneboana et al.","author":[{"dropping-particle":"","family":"Osei-Atweneboana","given":"Mike Y.","non-dropping-particle":"","parse-names":false,"suffix":""},{"dropping-particle":"","family":"Awadzi","given":"Kwablah","non-dropping-particle":"","parse-names":false,"suffix":""},{"dropping-particle":"","family":"Attah","given":"Simon K.","non-dropping-particle":"","parse-names":false,"suffix":""},{"dropping-particle":"","family":"Boakye","given":"Daniel A.","non-dropping-particle":"","parse-names":false,"suffix":""},{"dropping-particle":"","family":"Gyapong","given":"John O.","non-dropping-particle":"","parse-names":false,"suffix":""},{"dropping-particle":"","family":"Prichard","given":"Roger K.","non-dropping-particle":"","parse-names":false,"suffix":""}],"container-title":"PLoS Neglected Tropical Diseases","editor":[{"dropping-particle":"","family":"Lustigman","given":"Sara","non-dropping-particle":"","parse-names":false,"suffix":""}],"id":"ITEM-1","issue":"3","issued":{"date-parts":[["2011","3","29"]]},"page":"e998","title":"Phenotypic Evidence of Emerging Ivermectin Resistance in Onchocerca volvulus","type":"article-journal","volume":"5"}}],"schema":"https://github.com/citation-style-language/schema/raw/master/csl-citation.json"}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[76]</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297B36A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6EC900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6C5EB4A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Kintampo and </w:t>
            </w:r>
            <w:proofErr w:type="spellStart"/>
            <w:r w:rsidRPr="00AE371D">
              <w:rPr>
                <w:rFonts w:ascii="Times New Roman" w:eastAsia="Times New Roman" w:hAnsi="Times New Roman" w:cs="Times New Roman"/>
                <w:kern w:val="0"/>
                <w:sz w:val="20"/>
                <w:szCs w:val="20"/>
                <w14:ligatures w14:val="none"/>
              </w:rPr>
              <w:t>Atebubu</w:t>
            </w:r>
            <w:proofErr w:type="spellEnd"/>
            <w:r w:rsidRPr="00AE371D">
              <w:rPr>
                <w:rFonts w:ascii="Times New Roman" w:eastAsia="Times New Roman" w:hAnsi="Times New Roman" w:cs="Times New Roman"/>
                <w:kern w:val="0"/>
                <w:sz w:val="20"/>
                <w:szCs w:val="20"/>
                <w14:ligatures w14:val="none"/>
              </w:rPr>
              <w:t xml:space="preserve"> </w:t>
            </w:r>
          </w:p>
        </w:tc>
        <w:tc>
          <w:tcPr>
            <w:tcW w:w="7353" w:type="dxa"/>
            <w:noWrap/>
            <w:hideMark/>
          </w:tcPr>
          <w:p w14:paraId="0844A55D"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Senyase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Beposo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Hiampe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Baaya</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Asubenden</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Wiae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Kyingakrom</w:t>
            </w:r>
            <w:proofErr w:type="spellEnd"/>
            <w:r w:rsidRPr="00AE371D">
              <w:rPr>
                <w:rFonts w:ascii="Times New Roman" w:eastAsia="Times New Roman" w:hAnsi="Times New Roman" w:cs="Times New Roman"/>
                <w:kern w:val="0"/>
                <w:sz w:val="20"/>
                <w:szCs w:val="20"/>
                <w14:ligatures w14:val="none"/>
              </w:rPr>
              <w:t xml:space="preserve">, New </w:t>
            </w:r>
            <w:proofErr w:type="spellStart"/>
            <w:r w:rsidRPr="00AE371D">
              <w:rPr>
                <w:rFonts w:ascii="Times New Roman" w:eastAsia="Times New Roman" w:hAnsi="Times New Roman" w:cs="Times New Roman"/>
                <w:kern w:val="0"/>
                <w:sz w:val="20"/>
                <w:szCs w:val="20"/>
                <w14:ligatures w14:val="none"/>
              </w:rPr>
              <w:t>Longgoro</w:t>
            </w:r>
            <w:proofErr w:type="spellEnd"/>
          </w:p>
        </w:tc>
      </w:tr>
      <w:tr w:rsidR="00AE371D" w:rsidRPr="00AE371D" w14:paraId="2FC8F18E" w14:textId="77777777" w:rsidTr="0025647A">
        <w:trPr>
          <w:trHeight w:val="312"/>
        </w:trPr>
        <w:tc>
          <w:tcPr>
            <w:tcW w:w="1316" w:type="dxa"/>
            <w:noWrap/>
            <w:hideMark/>
          </w:tcPr>
          <w:p w14:paraId="2E95A10C" w14:textId="3F4FAA4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Osei-Atweneboana (2011)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TOe517um","properties":{"formattedCitation":"[76]","plainCitation":"[76]","noteIndex":0},"citationItems":[{"id":"kQ8JjSWs/bfRs5Dyp","uris":["http://www.mendeley.com/documents/?uuid=af893b09-9881-3aea-9196-4beb458f3f2f"],"itemData":{"DOI":"10.1371/journal.pntd.0000998","ISSN":"1935-2735","PMID":"21468315","abstract":"Background: Ivermectin (IVM) has been used in Ghana for over two decades for onchocerciasis control. In recent years there have been reports of persistent microfilaridermias despite multiple treatments. This has necessitated a reexamination of its microfilaricidal and suppressive effects on reproduction in the adult female Onchocerca volvulus. In an initial study, we demonstrated the continued potent microfilaricidal effect of IVM. However, we also found communities in which the skin microfilarial repopulation rates at days 90 and 180 were much higher than expected. In this follow up study we have investigated the reproductive response of female worms to multiple treatments with IVM. Methods and Findings: The parasitological responses to IVM in two hundred and sixty-eight microfilaridermic subjects from nine communities that had received 10 to 19 annual doses of IVM treatment and one pre-study IVM-naïve community were followed. Skin snips were taken 364 days after the initial IVM treatment during the study to determine the microfilaria (mf) recovery rate. Nodules were excised and skin snips taken 90 days following a second study IVM treatment. Nodule and worm density and the reproductive status of female worms were determined. On the basis of skin mf repopulation and skin mf recovery rates we defined three categories of response-good, intermediate and poor-and also determined that approximately 25% of subjects in the study carried adult female worms that responded suboptimally to IVM. Stratification of the female worms by morphological age and microfilarial content showed that almost 90% of the worms were older or middle aged and that most of the mf were produced by the middle aged and older worms previously exposed to multiple treatments with little contribution from young worms derived from ongoing transmission. Conclusions: The results confirm that in some communities adult female worms were non-responsive or resistant to the anti-fecundity effects of multiple treatments with IVM. A scheme of the varied responses of the adult female worm to multiple treatments is proposed. © 2011 Osei-Atweneboana et al.","author":[{"dropping-particle":"","family":"Osei-Atweneboana","given":"Mike Y.","non-dropping-particle":"","parse-names":false,"suffix":""},{"dropping-particle":"","family":"Awadzi","given":"Kwablah","non-dropping-particle":"","parse-names":false,"suffix":""},{"dropping-particle":"","family":"Attah","given":"Simon K.","non-dropping-particle":"","parse-names":false,"suffix":""},{"dropping-particle":"","family":"Boakye","given":"Daniel A.","non-dropping-particle":"","parse-names":false,"suffix":""},{"dropping-particle":"","family":"Gyapong","given":"John O.","non-dropping-particle":"","parse-names":false,"suffix":""},{"dropping-particle":"","family":"Prichard","given":"Roger K.","non-dropping-particle":"","parse-names":false,"suffix":""}],"container-title":"PLoS Neglected Tropical Diseases","editor":[{"dropping-particle":"","family":"Lustigman","given":"Sara","non-dropping-particle":"","parse-names":false,"suffix":""}],"id":"ITEM-1","issue":"3","issued":{"date-parts":[["2011","3","29"]]},"page":"e998","title":"Phenotypic Evidence of Emerging Ivermectin Resistance in Onchocerca volvulus","type":"article-journal","volume":"5"}}],"schema":"https://github.com/citation-style-language/schema/raw/master/csl-citation.json"}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[76]</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3D501D5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4582F74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Savanna</w:t>
            </w:r>
          </w:p>
        </w:tc>
        <w:tc>
          <w:tcPr>
            <w:tcW w:w="3202" w:type="dxa"/>
            <w:noWrap/>
            <w:hideMark/>
          </w:tcPr>
          <w:p w14:paraId="4C559372"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Gonja</w:t>
            </w:r>
            <w:proofErr w:type="spellEnd"/>
            <w:r w:rsidRPr="00AE371D">
              <w:rPr>
                <w:rFonts w:ascii="Times New Roman" w:eastAsia="Times New Roman" w:hAnsi="Times New Roman" w:cs="Times New Roman"/>
                <w:kern w:val="0"/>
                <w:sz w:val="20"/>
                <w:szCs w:val="20"/>
                <w14:ligatures w14:val="none"/>
              </w:rPr>
              <w:t xml:space="preserve"> East </w:t>
            </w:r>
          </w:p>
        </w:tc>
        <w:tc>
          <w:tcPr>
            <w:tcW w:w="7353" w:type="dxa"/>
            <w:noWrap/>
            <w:hideMark/>
          </w:tcPr>
          <w:p w14:paraId="0A0653C9"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Jabgenbendo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Begbemdo</w:t>
            </w:r>
            <w:proofErr w:type="spellEnd"/>
          </w:p>
        </w:tc>
      </w:tr>
      <w:tr w:rsidR="00AE371D" w:rsidRPr="00AE371D" w14:paraId="7D8E1C46" w14:textId="77777777" w:rsidTr="0025647A">
        <w:trPr>
          <w:trHeight w:val="312"/>
        </w:trPr>
        <w:tc>
          <w:tcPr>
            <w:tcW w:w="1316" w:type="dxa"/>
            <w:noWrap/>
            <w:hideMark/>
          </w:tcPr>
          <w:p w14:paraId="4AE79C84" w14:textId="35FB1E91"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Anto (2011)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LB4n1Wgf","properties":{"formattedCitation":"[77]","plainCitation":"[77]","noteIndex":0},"citationItems":[{"id":"kQ8JjSWs/iJcPGpmn","uris":["http://www.mendeley.com/documents/?uuid=6b6a7bec-94a5-3041-9ed5-42056ce62c0a"],"itemData":{"DOI":"10.1111/j.1365-3156.2011.02814.x","ISSN":"13602276","PMID":"21689221","abstract":"Objectives To compare (i) side effects associated with the simultaneous adminstration of praziquantel, albendazole and ivermectin with side affects associated with albendazole and ivermectin only and (ii) coverage by volunteers distributing three or two drugs. Methods Two-arm comparative study in northern Ghana integrated praziquantel distribution into an existing lymphatic filariasis and onchocerciasis control programme using Community Directed Distributors. The control arm continued to distribute only ivermectin and albendazole. Dosages of ivermectin and praziquantel were based on height. Treatment was directly observed, and all two/three drugs were co-administered. Adverse effects were recorded based on passive surveillance. Parasitological, anthropometric and haematological data were collected at baseline. Results Prevalence of Schistosoma haematobium infection among 1001 (boys: 47.9% girls: 52.1%) school-age children (6-15years) [intervention: 30.0% (CI: 23.1-34.2); control: 23.0% (CI: 18.9-27.0)], mean haemoglobin, weight and age were similar among the intervention and control groups. While 1676 (99.1%) compounds in the control area were visited and 15020 (96.58%) people were treated, only 1375 (88.5%) compounds in the intervention area were visited and 8454 (80.97%) people treated (P&lt;0.001). The numbers of adverse effects were similar (intervention: 50/6896; control: 130/15020). The most reported adverse effects was headache (intervention: 14/50; control: 13/130), followed by body weakness, which was reported more from the intervention group (intervention: 13/50, 95% CI: 14.6-40.3; control: 6/130, 95% CI: 1.7-9.8]. Sixty-six per cent (6896/10441) of the eligible population received praziquantel. Conclusions Reported adverse events were mild and managed at the subdistrict level with no cases of hospitalization; intensive health education will, however, be required to improve coverage. © 2011 Blackwell Publishing Ltd.","author":[{"dropping-particle":"","family":"Anto","given":"Francis","non-dropping-particle":"","parse-names":false,"suffix":""},{"dropping-particle":"","family":"Asoala","given":"Victor","non-dropping-particle":"","parse-names":false,"suffix":""},{"dropping-particle":"","family":"Anyorigiya","given":"Thomas","non-dropping-particle":"","parse-names":false,"suffix":""},{"dropping-particle":"","family":"Oduro","given":"Abraham","non-dropping-particle":"","parse-names":false,"suffix":""},{"dropping-particle":"","family":"Adjuik","given":"Martin","non-dropping-particle":"","parse-names":false,"suffix":""},{"dropping-particle":"","family":"Akweongo","given":"Patricia","non-dropping-particle":"","parse-names":false,"suffix":""},{"dropping-particle":"","family":"Aborigo","given":"Raymond","non-dropping-particle":"","parse-names":false,"suffix":""},{"dropping-particle":"","family":"Bimi","given":"Langbong","non-dropping-particle":"","parse-names":false,"suffix":""},{"dropping-particle":"","family":"Amankwa","given":"Joseph","non-dropping-particle":"","parse-names":false,"suffix":""},{"dropping-particle":"","family":"Hodgson","given":"Abraham","non-dropping-particle":"","parse-names":false,"suffix":""}],"container-title":"Tropical Medicine and International Health","id":"ITEM-1","issue":"9","issued":{"date-parts":[["2011","9"]]},"page":"1112-1119","title":"Simultaneous administration of praziquantel, ivermectin and albendazole, in a community in rural northern Ghana endemic for schistosomiasis, onchocerciasis and lymphatic filariasis","type":"article-journal","volume":"16"}}],"schema":"https://github.com/citation-style-language/schema/raw/master/csl-citation.json"}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[77]</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326C5C2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02191D9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Upper East</w:t>
            </w:r>
          </w:p>
        </w:tc>
        <w:tc>
          <w:tcPr>
            <w:tcW w:w="3202" w:type="dxa"/>
            <w:noWrap/>
            <w:hideMark/>
          </w:tcPr>
          <w:p w14:paraId="1890EB45"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Kasena</w:t>
            </w:r>
            <w:proofErr w:type="spellEnd"/>
            <w:r w:rsidRPr="00AE371D">
              <w:rPr>
                <w:rFonts w:ascii="Times New Roman" w:eastAsia="Times New Roman" w:hAnsi="Times New Roman" w:cs="Times New Roman"/>
                <w:kern w:val="0"/>
                <w:sz w:val="20"/>
                <w:szCs w:val="20"/>
                <w14:ligatures w14:val="none"/>
              </w:rPr>
              <w:t xml:space="preserve">-Nankana </w:t>
            </w:r>
          </w:p>
        </w:tc>
        <w:tc>
          <w:tcPr>
            <w:tcW w:w="7353" w:type="dxa"/>
            <w:noWrap/>
            <w:hideMark/>
          </w:tcPr>
          <w:p w14:paraId="0A9E7F8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2D74EC11" w14:textId="77777777" w:rsidTr="0025647A">
        <w:trPr>
          <w:trHeight w:val="312"/>
        </w:trPr>
        <w:tc>
          <w:tcPr>
            <w:tcW w:w="1316" w:type="dxa"/>
            <w:noWrap/>
            <w:hideMark/>
          </w:tcPr>
          <w:p w14:paraId="4FDFB445" w14:textId="13A0B8CA"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Osei-Atweneboana (2012)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KkATlQW1","properties":{"formattedCitation":"[78]","plainCitation":"[78]","noteIndex":0},"citationItems":[{"id":"kQ8JjSWs/K6UBCRZI","uris":["http://www.mendeley.com/documents/?uuid=9bee7c0b-be76-43bc-a064-70a9dd1807ba"],"itemData":{"DOI":"10.1016/j.ijpddr.2012.01.005","ISSN":"22113207","abstract":"Ivermectin (IVM) has been in operational use for the control of onchocerciasis for two decades and remains the only drug of choice. To investigate the parasitological responses and genetic profile of Onchocerca volvulus, we carried out a 21. month epidemiological study to determine the response of the parasite to IVM in 10 Ghanaian endemic communities. Onchocerca nodules were surgically removed from patients in three IVM response categories (good, intermediate and poor) and one IVM naïve community. DNA from adult worms was analyzed to determine any association between genotype and IVM response phenotypic. Embryogramme analysis showed significantly higher reproductive activity in worms from poor response communities, which had up to 41% of females with live stretched microfilaria (mf) in utero, despite IVM treatment, compared with good response communities, which had no intra-uterine stretched mf.β-tubulin isotype 1 gene has been shown to be linked to IVM selection in O. volvulus and also known to be associated with IVM resistance in veterinary nematodes. We have genotyped the full length genomic DNA sequence of the β-tubulin gene from 127 adult worms obtained from the four community categories. We found SNPs at 24 sites over the entire 3696. bp. Eight of the SNPs occurred at significantly higher (. p&lt;. 0.05) frequencies in the poor response communities compared with the good response communities and the IVM naïve community. Phenotypic and genotypic analyses show that IVM resistance has been selected and the genotype (1183GG/1188CC/1308TT/1545GG) was strongly associated with the resistance phenotype. Since the region in the β-tubulin gene where these four SNPs occur is within 362. bp, it is feasible to develop a genetic marker for the early detection of IVM resistance. © 2012 Australian Society for Parasitology.","author":[{"dropping-particle":"","family":"Osei-Atweneboana","given":"Mike Y.","non-dropping-particle":"","parse-names":false,"suffix":""},{"dropping-particle":"","family":"Boakye","given":"Daniel A.","non-dropping-particle":"","parse-names":false,"suffix":""},{"dropping-particle":"","family":"Awadzi","given":"Kwablah","non-dropping-particle":"","parse-names":false,"suffix":""},{"dropping-particle":"","family":"Gyapong","given":"John O.","non-dropping-particle":"","parse-names":false,"suffix":""},{"dropping-particle":"","family":"Prichard","given":"Roger K.","non-dropping-particle":"","parse-names":false,"suffix":""}],"container-title":"International Journal for Parasitology: Drugs and Drug Resistance","id":"ITEM-1","issued":{"date-parts":[["2012"]]},"page":"20-28","publisher":"Australian Society for Parasitology","title":"Genotypic analysis of β-tubulin in Onchocerca volvulus from communities and individuals showing poor parasitological response to ivermectin treatment","type":"article-journal","volume":"2"}}],"schema":"https://github.com/citation-style-language/schema/raw/master/csl-citation.json"}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[78]</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413AB3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119CF36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4D33027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Kintampo and </w:t>
            </w:r>
            <w:proofErr w:type="spellStart"/>
            <w:r w:rsidRPr="00AE371D">
              <w:rPr>
                <w:rFonts w:ascii="Times New Roman" w:eastAsia="Times New Roman" w:hAnsi="Times New Roman" w:cs="Times New Roman"/>
                <w:kern w:val="0"/>
                <w:sz w:val="20"/>
                <w:szCs w:val="20"/>
                <w14:ligatures w14:val="none"/>
              </w:rPr>
              <w:t>Atebubu</w:t>
            </w:r>
            <w:proofErr w:type="spellEnd"/>
            <w:r w:rsidRPr="00AE371D">
              <w:rPr>
                <w:rFonts w:ascii="Times New Roman" w:eastAsia="Times New Roman" w:hAnsi="Times New Roman" w:cs="Times New Roman"/>
                <w:kern w:val="0"/>
                <w:sz w:val="20"/>
                <w:szCs w:val="20"/>
                <w14:ligatures w14:val="none"/>
              </w:rPr>
              <w:t xml:space="preserve"> </w:t>
            </w:r>
          </w:p>
        </w:tc>
        <w:tc>
          <w:tcPr>
            <w:tcW w:w="7353" w:type="dxa"/>
            <w:noWrap/>
            <w:hideMark/>
          </w:tcPr>
          <w:p w14:paraId="38F1C08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55D58206" w14:textId="77777777" w:rsidTr="0025647A">
        <w:trPr>
          <w:trHeight w:val="312"/>
        </w:trPr>
        <w:tc>
          <w:tcPr>
            <w:tcW w:w="1316" w:type="dxa"/>
            <w:noWrap/>
            <w:hideMark/>
          </w:tcPr>
          <w:p w14:paraId="799111E7" w14:textId="3032B13F"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Osei-Atweneboana (2012)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zvBZuNVa","properties":{"formattedCitation":"[78]","plainCitation":"[78]","noteIndex":0},"citationItems":[{"id":"kQ8JjSWs/K6UBCRZI","uris":["http://www.mendeley.com/documents/?uuid=9bee7c0b-be76-43bc-a064-70a9dd1807ba"],"itemData":{"DOI":"10.1016/j.ijpddr.2012.01.005","ISSN":"22113207","abstract":"Ivermectin (IVM) has been in operational use for the control of onchocerciasis for two decades and remains the only drug of choice. To investigate the parasitological responses and genetic profile of Onchocerca volvulus, we carried out a 21. month epidemiological study to determine the response of the parasite to IVM in 10 Ghanaian endemic communities. Onchocerca nodules were surgically removed from patients in three IVM response categories (good, intermediate and poor) and one IVM naïve community. DNA from adult worms was analyzed to determine any association between genotype and IVM response phenotypic. Embryogramme analysis showed significantly higher reproductive activity in worms from poor response communities, which had up to 41% of females with live stretched microfilaria (mf) in utero, despite IVM treatment, compared with good response communities, which had no intra-uterine stretched mf.β-tubulin isotype 1 gene has been shown to be linked to IVM selection in O. volvulus and also known to be associated with IVM resistance in veterinary nematodes. We have genotyped the full length genomic DNA sequence of the β-tubulin gene from 127 adult worms obtained from the four community categories. We found SNPs at 24 sites over the entire 3696. bp. Eight of the SNPs occurred at significantly higher (. p&lt;. 0.05) frequencies in the poor response communities compared with the good response communities and the IVM naïve community. Phenotypic and genotypic analyses show that IVM resistance has been selected and the genotype (1183GG/1188CC/1308TT/1545GG) was strongly associated with the resistance phenotype. Since the region in the β-tubulin gene where these four SNPs occur is within 362. bp, it is feasible to develop a genetic marker for the early detection of IVM resistance. © 2012 Australian Society for Parasitology.","author":[{"dropping-particle":"","family":"Osei-Atweneboana","given":"Mike Y.","non-dropping-particle":"","parse-names":false,"suffix":""},{"dropping-particle":"","family":"Boakye","given":"Daniel A.","non-dropping-particle":"","parse-names":false,"suffix":""},{"dropping-particle":"","family":"Awadzi","given":"Kwablah","non-dropping-particle":"","parse-names":false,"suffix":""},{"dropping-particle":"","family":"Gyapong","given":"John O.","non-dropping-particle":"","parse-names":false,"suffix":""},{"dropping-particle":"","family":"Prichard","given":"Roger K.","non-dropping-particle":"","parse-names":false,"suffix":""}],"container-title":"International Journal for Parasitology: Drugs and Drug Resistance","id":"ITEM-1","issued":{"date-parts":[["2012"]]},"page":"20-28","publisher":"Australian Society for Parasitology","title":"Genotypic analysis of β-tubulin in Onchocerca volvulus from communities and individuals showing poor parasitological response to ivermectin treatment","type":"article-journal","volume":"2"}}],"schema":"https://github.com/citation-style-language/schema/raw/master/csl-citation.json"}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[78]</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D68C0E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46BE479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Savannah</w:t>
            </w:r>
          </w:p>
        </w:tc>
        <w:tc>
          <w:tcPr>
            <w:tcW w:w="3202" w:type="dxa"/>
            <w:noWrap/>
            <w:hideMark/>
          </w:tcPr>
          <w:p w14:paraId="0CCD89F5"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Gonja</w:t>
            </w:r>
            <w:proofErr w:type="spellEnd"/>
            <w:r w:rsidRPr="00AE371D">
              <w:rPr>
                <w:rFonts w:ascii="Times New Roman" w:eastAsia="Times New Roman" w:hAnsi="Times New Roman" w:cs="Times New Roman"/>
                <w:kern w:val="0"/>
                <w:sz w:val="20"/>
                <w:szCs w:val="20"/>
                <w14:ligatures w14:val="none"/>
              </w:rPr>
              <w:t xml:space="preserve"> East </w:t>
            </w:r>
          </w:p>
        </w:tc>
        <w:tc>
          <w:tcPr>
            <w:tcW w:w="7353" w:type="dxa"/>
            <w:noWrap/>
            <w:hideMark/>
          </w:tcPr>
          <w:p w14:paraId="4432398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31BB67C9" w14:textId="77777777" w:rsidTr="0025647A">
        <w:trPr>
          <w:trHeight w:val="312"/>
        </w:trPr>
        <w:tc>
          <w:tcPr>
            <w:tcW w:w="1316" w:type="dxa"/>
            <w:noWrap/>
            <w:hideMark/>
          </w:tcPr>
          <w:p w14:paraId="7AEA10CB" w14:textId="113AD1B1"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lastRenderedPageBreak/>
              <w:t xml:space="preserve">Awadzi (2013)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CEAMQJ9g","properties":{"formattedCitation":"[79]","plainCitation":"[79]","noteIndex":0},"citationItems":[{"id":"kQ8JjSWs/oYB4oAOt","uris":["http://www.mendeley.com/documents/?uuid=36702d92-789d-47c9-94a0-d2fbbab980ce"],"itemData":{"DOI":"10.1371/journal.pntd.0002953","ISSN":"1935-2735","PMID":"24968000","abstract":"Background:Control of onchocerciasis as a public health problem in Africa relies on annual mass ivermectin distribution. New tools are needed to achieve elimination of infection. This study determined in a small number of Onchocerca volvulus infected individuals whether moxidectin, a veterinary anthelminthic, is safe enough to administer it in a future large study to further characterize moxidectin's safety and efficacy. Effects on the parasite were also assessed.Methodology/Principal Findings:Men and women from a forest area in South-eastern Ghana without ivermectin mass distribution received a single oral dose of 2 mg (N = 44), 4 mg (N = 45) or 8 mg (N = 38) moxidectin or 150 μg/kg ivermectin (N = 45) with 18 months follow up. All ivermectin and 97%-100% of moxidectin treated participants had Mazzotti reactions. Statistically significantly higher percentages of participants treated with 8 mg moxidectin than participants treated with ivermectin experienced pruritus (87% vs. 56%), rash (63% vs. 42%), increased pulse rate (61% vs. 36%) and decreased mean arterial pressure upon 2 minutes standing still after ≥5 minutes supine relative to pre-treatment (61% vs. 27%). These reactions resolved without treatment. In the 8 mg moxidectin and ivermectin arms, the mean±SD number of microfilariae/mg skin were 22.9±21.1 and 21.2±16.4 pre-treatment and 0.0±0.0 and 1.1±4.2 at nadir reached 1 and 3 months after treatment, respectively. At 6 months, values were 0.0±0.0 and 1.6±4.5, at 12 months 0.4±0.9 and 3.4±4.4 and at 18 months 1.8±3.3 and 4.0±4.8, respectively, in the 8 mg moxidectin and ivermectin arm. The reduction from pre-treatment values was significantly higher after 8 mg moxidectin than after ivermectin treatment throughout follow up (p&lt;0.01).Conclusions/Significance:The 8 mg dose of moxidectin was safe enough to initiate the large study. Provided its results confirm those from this study, availability of moxidectin to control programmes could help them achieve onchocerciasis elimination objectives.Trial Registration:ClinicalTrails.gov &lt;ext-link ext-link-type=\"uri\" xlink:href=\"http://www.clinicaltrials.gov/ct2/show/NCT00300768\" xlink:type=\"simple\" xmlns:xlink=\"http://www.w3.org/1999/xlink\"&gt;NCT00300768&lt;/ext-link&gt;. © 2014 World Health Organization.","author":[{"dropping-particle":"","family":"Awadzi","given":"Kwablah","non-dropping-particle":"","parse-names":false,"suffix":""},{"dropping-particle":"","family":"Opoku","given":"Nicholas O","non-dropping-particle":"","parse-names":false,"suffix":""},{"dropping-particle":"","family":"Attah","given":"Simon K","non-dropping-particle":"","parse-names":false,"suffix":""},{"dropping-particle":"","family":"Lazdins-Helds","given":"Janis","non-dropping-particle":"","parse-names":false,"suffix":""},{"dropping-particle":"","family":"Kuesel","given":"Annette C","non-dropping-particle":"","parse-names":false,"suffix":""}],"container-title":"PLoS Neglected Tropical Diseases","editor":[{"dropping-particle":"","family":"Specht","given":"Sabine","non-dropping-particle":"","parse-names":false,"suffix":""}],"id":"ITEM-1","issue":"6","issued":{"date-parts":[["2014","6","26"]]},"page":"e2953","title":"A Randomized, Single-Ascending-Dose, Ivermectin-Controlled, Double-Blind Study of Moxidectin in Onchocerca volvulus Infection","type":"article-journal","volume":"8"}}],"schema":"https://github.com/citation-style-language/schema/raw/master/csl-citation.json"}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[79]</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0933C2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B784AB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Volta </w:t>
            </w:r>
          </w:p>
        </w:tc>
        <w:tc>
          <w:tcPr>
            <w:tcW w:w="3202" w:type="dxa"/>
            <w:noWrap/>
            <w:hideMark/>
          </w:tcPr>
          <w:p w14:paraId="40D7031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South Tongu </w:t>
            </w:r>
          </w:p>
        </w:tc>
        <w:tc>
          <w:tcPr>
            <w:tcW w:w="7353" w:type="dxa"/>
            <w:noWrap/>
            <w:hideMark/>
          </w:tcPr>
          <w:p w14:paraId="139E0F3E"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Honuta-Gbogame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Kpedze</w:t>
            </w:r>
            <w:proofErr w:type="spellEnd"/>
            <w:r w:rsidRPr="00AE371D">
              <w:rPr>
                <w:rFonts w:ascii="Times New Roman" w:eastAsia="Times New Roman" w:hAnsi="Times New Roman" w:cs="Times New Roman"/>
                <w:kern w:val="0"/>
                <w:sz w:val="20"/>
                <w:szCs w:val="20"/>
                <w14:ligatures w14:val="none"/>
              </w:rPr>
              <w:t xml:space="preserve">-Anoe, </w:t>
            </w:r>
            <w:proofErr w:type="spellStart"/>
            <w:r w:rsidRPr="00AE371D">
              <w:rPr>
                <w:rFonts w:ascii="Times New Roman" w:eastAsia="Times New Roman" w:hAnsi="Times New Roman" w:cs="Times New Roman"/>
                <w:kern w:val="0"/>
                <w:sz w:val="20"/>
                <w:szCs w:val="20"/>
                <w14:ligatures w14:val="none"/>
              </w:rPr>
              <w:t>Togorme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Aflakpe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Luvudo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Kpoeta</w:t>
            </w:r>
            <w:proofErr w:type="spellEnd"/>
            <w:r w:rsidRPr="00AE371D">
              <w:rPr>
                <w:rFonts w:ascii="Times New Roman" w:eastAsia="Times New Roman" w:hAnsi="Times New Roman" w:cs="Times New Roman"/>
                <w:kern w:val="0"/>
                <w:sz w:val="20"/>
                <w:szCs w:val="20"/>
                <w14:ligatures w14:val="none"/>
              </w:rPr>
              <w:t>-Ashanti and Hoe</w:t>
            </w:r>
          </w:p>
        </w:tc>
      </w:tr>
      <w:tr w:rsidR="00AE371D" w:rsidRPr="00AE371D" w14:paraId="6B915EA7" w14:textId="77777777" w:rsidTr="0025647A">
        <w:trPr>
          <w:trHeight w:val="312"/>
        </w:trPr>
        <w:tc>
          <w:tcPr>
            <w:tcW w:w="1316" w:type="dxa"/>
            <w:noWrap/>
            <w:hideMark/>
          </w:tcPr>
          <w:p w14:paraId="7D894E93" w14:textId="668FBAC0"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Gyan (2013)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mY8bqXhP","properties":{"formattedCitation":"[80]","plainCitation":"[80]","noteIndex":0},"citationItems":[{"id":"kQ8JjSWs/HtrvbmpJ","uris":["http://www.mendeley.com/documents/?uuid=4e0392e3-d0a7-43ed-a05b-214ef54ab5c1"],"itemData":{"DOI":"10.1080/02724936.1987.11748497","ISSN":"0272-4936","abstract":"is an Associate Professor of Geology specializing in sedimentary geology and geochemistry, with particular interest in provenance of siliciclastic sedimentary rocks.","author":[{"dropping-particle":"","family":"Gyan","given":"Ernest Tawiah","non-dropping-particle":"","parse-names":false,"suffix":""}],"container-title":"UGSpace","id":"ITEM-1","issue":"3","issued":{"date-parts":[["2013"]]},"number-of-pages":"154-154","publisher":"University of Ghana","title":"Parasitological Responses of Onchocerca Volvulus to Ivermectin Treatment and Genetic Analysis of Beta Tubulin Gene","type":"thesis","volume":"7"}}],"schema":"https://github.com/citation-style-language/schema/raw/master/csl-citation.json"}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[80]</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1798655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4C73E7C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Bono </w:t>
            </w:r>
          </w:p>
        </w:tc>
        <w:tc>
          <w:tcPr>
            <w:tcW w:w="3202" w:type="dxa"/>
            <w:noWrap/>
            <w:hideMark/>
          </w:tcPr>
          <w:p w14:paraId="1590D50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Tain</w:t>
            </w:r>
          </w:p>
        </w:tc>
        <w:tc>
          <w:tcPr>
            <w:tcW w:w="7353" w:type="dxa"/>
            <w:noWrap/>
            <w:hideMark/>
          </w:tcPr>
          <w:p w14:paraId="704A404B"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Fawoman</w:t>
            </w:r>
            <w:proofErr w:type="spellEnd"/>
            <w:r w:rsidRPr="00AE371D">
              <w:rPr>
                <w:rFonts w:ascii="Times New Roman" w:eastAsia="Times New Roman" w:hAnsi="Times New Roman" w:cs="Times New Roman"/>
                <w:kern w:val="0"/>
                <w:sz w:val="20"/>
                <w:szCs w:val="20"/>
                <w14:ligatures w14:val="none"/>
              </w:rPr>
              <w:t xml:space="preserve">-Banda, </w:t>
            </w:r>
            <w:proofErr w:type="spellStart"/>
            <w:r w:rsidRPr="00AE371D">
              <w:rPr>
                <w:rFonts w:ascii="Times New Roman" w:eastAsia="Times New Roman" w:hAnsi="Times New Roman" w:cs="Times New Roman"/>
                <w:kern w:val="0"/>
                <w:sz w:val="20"/>
                <w:szCs w:val="20"/>
                <w14:ligatures w14:val="none"/>
              </w:rPr>
              <w:t>Nyire</w:t>
            </w:r>
            <w:proofErr w:type="spellEnd"/>
          </w:p>
        </w:tc>
      </w:tr>
      <w:tr w:rsidR="00AE371D" w:rsidRPr="00AE371D" w14:paraId="21BE4C8D" w14:textId="77777777" w:rsidTr="0025647A">
        <w:trPr>
          <w:trHeight w:val="312"/>
        </w:trPr>
        <w:tc>
          <w:tcPr>
            <w:tcW w:w="1316" w:type="dxa"/>
            <w:noWrap/>
            <w:hideMark/>
          </w:tcPr>
          <w:p w14:paraId="42E90B9A" w14:textId="3565F5E2"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Gyan (2013)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mS4lJYyL","properties":{"formattedCitation":"[80]","plainCitation":"[80]","noteIndex":0},"citationItems":[{"id":"kQ8JjSWs/HtrvbmpJ","uris":["http://www.mendeley.com/documents/?uuid=4e0392e3-d0a7-43ed-a05b-214ef54ab5c1"],"itemData":{"DOI":"10.1080/02724936.1987.11748497","ISSN":"0272-4936","abstract":"is an Associate Professor of Geology specializing in sedimentary geology and geochemistry, with particular interest in provenance of siliciclastic sedimentary rocks.","author":[{"dropping-particle":"","family":"Gyan","given":"Ernest Tawiah","non-dropping-particle":"","parse-names":false,"suffix":""}],"container-title":"UGSpace","id":"ITEM-1","issue":"3","issued":{"date-parts":[["2013"]]},"number-of-pages":"154-154","publisher":"University of Ghana","title":"Parasitological Responses of Onchocerca Volvulus to Ivermectin Treatment and Genetic Analysis of Beta Tubulin Gene","type":"thesis","volume":"7"}}],"schema":"https://github.com/citation-style-language/schema/raw/master/csl-citation.json"}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[80]</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16EF22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184DA36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Northern </w:t>
            </w:r>
          </w:p>
        </w:tc>
        <w:tc>
          <w:tcPr>
            <w:tcW w:w="3202" w:type="dxa"/>
            <w:noWrap/>
            <w:hideMark/>
          </w:tcPr>
          <w:p w14:paraId="7581A3D1"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Kpandai</w:t>
            </w:r>
            <w:proofErr w:type="spellEnd"/>
          </w:p>
        </w:tc>
        <w:tc>
          <w:tcPr>
            <w:tcW w:w="7353" w:type="dxa"/>
            <w:noWrap/>
            <w:hideMark/>
          </w:tcPr>
          <w:p w14:paraId="09767DA1"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Agblekeme</w:t>
            </w:r>
            <w:proofErr w:type="spellEnd"/>
            <w:r w:rsidRPr="00AE371D">
              <w:rPr>
                <w:rFonts w:ascii="Times New Roman" w:eastAsia="Times New Roman" w:hAnsi="Times New Roman" w:cs="Times New Roman"/>
                <w:kern w:val="0"/>
                <w:sz w:val="20"/>
                <w:szCs w:val="20"/>
                <w14:ligatures w14:val="none"/>
              </w:rPr>
              <w:t xml:space="preserve"> II, Chabon, </w:t>
            </w:r>
            <w:proofErr w:type="spellStart"/>
            <w:r w:rsidRPr="00AE371D">
              <w:rPr>
                <w:rFonts w:ascii="Times New Roman" w:eastAsia="Times New Roman" w:hAnsi="Times New Roman" w:cs="Times New Roman"/>
                <w:kern w:val="0"/>
                <w:sz w:val="20"/>
                <w:szCs w:val="20"/>
                <w14:ligatures w14:val="none"/>
              </w:rPr>
              <w:t>Kojobone</w:t>
            </w:r>
            <w:proofErr w:type="spellEnd"/>
          </w:p>
        </w:tc>
      </w:tr>
      <w:tr w:rsidR="00AE371D" w:rsidRPr="00AE371D" w14:paraId="0A1ECC7F" w14:textId="77777777" w:rsidTr="0025647A">
        <w:trPr>
          <w:trHeight w:val="312"/>
        </w:trPr>
        <w:tc>
          <w:tcPr>
            <w:tcW w:w="1316" w:type="dxa"/>
            <w:noWrap/>
            <w:hideMark/>
          </w:tcPr>
          <w:p w14:paraId="1C8B8681" w14:textId="524AAFCB"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Turner (2013)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Uubj3s4S","properties":{"formattedCitation":"[81]","plainCitation":"[81]","noteIndex":0},"citationItems":[{"id":"kQ8JjSWs/cI8jjyvU","uris":["http://www.mendeley.com/documents/?uuid=6bcb9367-48f2-3da6-b8c2-613abb6e06c2"],"itemData":{"DOI":"10.1371/journal.pntd.0002452","ISSN":"1935-2735","PMID":"24069497","abstract":"Background:It has been proposed that switching from annual to biannual (twice yearly) mass community-directed treatment with ivermectin (CDTI) might improve the chances of onchocerciasis elimination in some African foci. However, historically, relatively few communities have received biannual treatments in Africa, and there are no cost data associated with increasing ivermectin treatment frequency at a large scale. Collecting cost data is essential for conducting economic evaluations of control programmes. Some countries, such as Ghana, have adopted a biannual treatment strategy in selected districts. We undertook a study to estimate the costs associated with annual and biannual CDTI in Ghana.Methodology:The study was conducted in the Brong-Ahafo and Northern regions of Ghana. Data collection was organized at the national, regional, district, sub-district and community levels, and involved interviewing key personnel and scrutinizing national records. Data were collected in four districts; one in which treatment is delivered annually, two in which it is delivered biannually, and one where treatment takes place biannually in some communities and annually in others. Both financial and economic costs were collected from the health care provider's perspective.Principal Findings:The estimated cost of treating annually was US Dollars (USD) 0.45 per person including the value of time donated by the community drug distributors (which was estimated at USD 0.05 per person per treatment round). The cost of CDTI was approximately 50-60% higher in those districts where treatment was biannual than in those where it was annual. Large-scale mass biannual treatment was reported as being well received and considered sustainable.Conclusions/Significance:This study provides rigorous evidence of the different costs associated with annual and biannual CDTI in Ghana which can be used to inform an economic evaluation of the debate on the optimal treatment frequency required to control (or eliminate) onchocerciasis in Africa. © 2013 Turner et al.","author":[{"dropping-particle":"","family":"Turner","given":"Hugo C.","non-dropping-particle":"","parse-names":false,"suffix":""},{"dropping-particle":"","family":"Osei-Atweneboana","given":"Mike Y.","non-dropping-particle":"","parse-names":false,"suffix":""},{"dropping-particle":"","family":"Walker","given":"Martin","non-dropping-particle":"","parse-names":false,"suffix":""},{"dropping-particle":"","family":"Tettevi","given":"Edward J.","non-dropping-particle":"","parse-names":false,"suffix":""},{"dropping-particle":"","family":"Churcher","given":"Thomas S.","non-dropping-particle":"","parse-names":false,"suffix":""},{"dropping-particle":"","family":"Asiedu","given":"Odame","non-dropping-particle":"","parse-names":false,"suffix":""},{"dropping-particle":"","family":"Biritwum","given":"Nana-Kwadwo","non-dropping-particle":"","parse-names":false,"suffix":""},{"dropping-particle":"","family":"Basáñez","given":"María-Gloria","non-dropping-particle":"","parse-names":false,"suffix":""}],"container-title":"PLoS Neglected Tropical Diseases","editor":[{"dropping-particle":"","family":"Gyapong","given":"John Owusu","non-dropping-particle":"","parse-names":false,"suffix":""}],"id":"ITEM-1","issue":"9","issued":{"date-parts":[["2013","9","19"]]},"page":"e2452","publisher":"Public Library of Science","title":"The Cost of Annual versus Biannual Community-Directed Treatment of Onchocerciasis with Ivermectin: Ghana as a Case Study","type":"article-journal","volume":"7"}}],"schema":"https://github.com/citation-style-language/schema/raw/master/csl-citation.json"}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[81]</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2FB3CF1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01B8E9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w:t>
            </w:r>
          </w:p>
        </w:tc>
        <w:tc>
          <w:tcPr>
            <w:tcW w:w="3202" w:type="dxa"/>
            <w:noWrap/>
            <w:hideMark/>
          </w:tcPr>
          <w:p w14:paraId="5C3A721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Wenchi municipal </w:t>
            </w:r>
          </w:p>
        </w:tc>
        <w:tc>
          <w:tcPr>
            <w:tcW w:w="7353" w:type="dxa"/>
            <w:noWrap/>
            <w:hideMark/>
          </w:tcPr>
          <w:p w14:paraId="4938263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0046658D" w14:textId="77777777" w:rsidTr="0025647A">
        <w:trPr>
          <w:trHeight w:val="312"/>
        </w:trPr>
        <w:tc>
          <w:tcPr>
            <w:tcW w:w="1316" w:type="dxa"/>
            <w:noWrap/>
            <w:hideMark/>
          </w:tcPr>
          <w:p w14:paraId="5A97E6AC" w14:textId="2BE51763"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Turner (2013)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fxnxb8nG","properties":{"formattedCitation":"[81]","plainCitation":"[81]","noteIndex":0},"citationItems":[{"id":"kQ8JjSWs/cI8jjyvU","uris":["http://www.mendeley.com/documents/?uuid=6bcb9367-48f2-3da6-b8c2-613abb6e06c2"],"itemData":{"DOI":"10.1371/journal.pntd.0002452","ISSN":"1935-2735","PMID":"24069497","abstract":"Background:It has been proposed that switching from annual to biannual (twice yearly) mass community-directed treatment with ivermectin (CDTI) might improve the chances of onchocerciasis elimination in some African foci. However, historically, relatively few communities have received biannual treatments in Africa, and there are no cost data associated with increasing ivermectin treatment frequency at a large scale. Collecting cost data is essential for conducting economic evaluations of control programmes. Some countries, such as Ghana, have adopted a biannual treatment strategy in selected districts. We undertook a study to estimate the costs associated with annual and biannual CDTI in Ghana.Methodology:The study was conducted in the Brong-Ahafo and Northern regions of Ghana. Data collection was organized at the national, regional, district, sub-district and community levels, and involved interviewing key personnel and scrutinizing national records. Data were collected in four districts; one in which treatment is delivered annually, two in which it is delivered biannually, and one where treatment takes place biannually in some communities and annually in others. Both financial and economic costs were collected from the health care provider's perspective.Principal Findings:The estimated cost of treating annually was US Dollars (USD) 0.45 per person including the value of time donated by the community drug distributors (which was estimated at USD 0.05 per person per treatment round). The cost of CDTI was approximately 50-60% higher in those districts where treatment was biannual than in those where it was annual. Large-scale mass biannual treatment was reported as being well received and considered sustainable.Conclusions/Significance:This study provides rigorous evidence of the different costs associated with annual and biannual CDTI in Ghana which can be used to inform an economic evaluation of the debate on the optimal treatment frequency required to control (or eliminate) onchocerciasis in Africa. © 2013 Turner et al.","author":[{"dropping-particle":"","family":"Turner","given":"Hugo C.","non-dropping-particle":"","parse-names":false,"suffix":""},{"dropping-particle":"","family":"Osei-Atweneboana","given":"Mike Y.","non-dropping-particle":"","parse-names":false,"suffix":""},{"dropping-particle":"","family":"Walker","given":"Martin","non-dropping-particle":"","parse-names":false,"suffix":""},{"dropping-particle":"","family":"Tettevi","given":"Edward J.","non-dropping-particle":"","parse-names":false,"suffix":""},{"dropping-particle":"","family":"Churcher","given":"Thomas S.","non-dropping-particle":"","parse-names":false,"suffix":""},{"dropping-particle":"","family":"Asiedu","given":"Odame","non-dropping-particle":"","parse-names":false,"suffix":""},{"dropping-particle":"","family":"Biritwum","given":"Nana-Kwadwo","non-dropping-particle":"","parse-names":false,"suffix":""},{"dropping-particle":"","family":"Basáñez","given":"María-Gloria","non-dropping-particle":"","parse-names":false,"suffix":""}],"container-title":"PLoS Neglected Tropical Diseases","editor":[{"dropping-particle":"","family":"Gyapong","given":"John Owusu","non-dropping-particle":"","parse-names":false,"suffix":""}],"id":"ITEM-1","issue":"9","issued":{"date-parts":[["2013","9","19"]]},"page":"e2452","publisher":"Public Library of Science","title":"The Cost of Annual versus Biannual Community-Directed Treatment of Onchocerciasis with Ivermectin: Ghana as a Case Study","type":"article-journal","volume":"7"}}],"schema":"https://github.com/citation-style-language/schema/raw/master/csl-citation.json"}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[81]</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107939B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15A7E42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64E9126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Pru , Kintampo North</w:t>
            </w:r>
          </w:p>
        </w:tc>
        <w:tc>
          <w:tcPr>
            <w:tcW w:w="7353" w:type="dxa"/>
            <w:noWrap/>
            <w:hideMark/>
          </w:tcPr>
          <w:p w14:paraId="5C749A0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3B5113BF" w14:textId="77777777" w:rsidTr="0025647A">
        <w:trPr>
          <w:trHeight w:val="312"/>
        </w:trPr>
        <w:tc>
          <w:tcPr>
            <w:tcW w:w="1316" w:type="dxa"/>
            <w:noWrap/>
            <w:hideMark/>
          </w:tcPr>
          <w:p w14:paraId="27B285A0" w14:textId="6CF58E9D"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Turner (2013)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O0be2qKo","properties":{"formattedCitation":"[81]","plainCitation":"[81]","noteIndex":0},"citationItems":[{"id":"kQ8JjSWs/cI8jjyvU","uris":["http://www.mendeley.com/documents/?uuid=6bcb9367-48f2-3da6-b8c2-613abb6e06c2"],"itemData":{"DOI":"10.1371/journal.pntd.0002452","ISSN":"1935-2735","PMID":"24069497","abstract":"Background:It has been proposed that switching from annual to biannual (twice yearly) mass community-directed treatment with ivermectin (CDTI) might improve the chances of onchocerciasis elimination in some African foci. However, historically, relatively few communities have received biannual treatments in Africa, and there are no cost data associated with increasing ivermectin treatment frequency at a large scale. Collecting cost data is essential for conducting economic evaluations of control programmes. Some countries, such as Ghana, have adopted a biannual treatment strategy in selected districts. We undertook a study to estimate the costs associated with annual and biannual CDTI in Ghana.Methodology:The study was conducted in the Brong-Ahafo and Northern regions of Ghana. Data collection was organized at the national, regional, district, sub-district and community levels, and involved interviewing key personnel and scrutinizing national records. Data were collected in four districts; one in which treatment is delivered annually, two in which it is delivered biannually, and one where treatment takes place biannually in some communities and annually in others. Both financial and economic costs were collected from the health care provider's perspective.Principal Findings:The estimated cost of treating annually was US Dollars (USD) 0.45 per person including the value of time donated by the community drug distributors (which was estimated at USD 0.05 per person per treatment round). The cost of CDTI was approximately 50-60% higher in those districts where treatment was biannual than in those where it was annual. Large-scale mass biannual treatment was reported as being well received and considered sustainable.Conclusions/Significance:This study provides rigorous evidence of the different costs associated with annual and biannual CDTI in Ghana which can be used to inform an economic evaluation of the debate on the optimal treatment frequency required to control (or eliminate) onchocerciasis in Africa. © 2013 Turner et al.","author":[{"dropping-particle":"","family":"Turner","given":"Hugo C.","non-dropping-particle":"","parse-names":false,"suffix":""},{"dropping-particle":"","family":"Osei-Atweneboana","given":"Mike Y.","non-dropping-particle":"","parse-names":false,"suffix":""},{"dropping-particle":"","family":"Walker","given":"Martin","non-dropping-particle":"","parse-names":false,"suffix":""},{"dropping-particle":"","family":"Tettevi","given":"Edward J.","non-dropping-particle":"","parse-names":false,"suffix":""},{"dropping-particle":"","family":"Churcher","given":"Thomas S.","non-dropping-particle":"","parse-names":false,"suffix":""},{"dropping-particle":"","family":"Asiedu","given":"Odame","non-dropping-particle":"","parse-names":false,"suffix":""},{"dropping-particle":"","family":"Biritwum","given":"Nana-Kwadwo","non-dropping-particle":"","parse-names":false,"suffix":""},{"dropping-particle":"","family":"Basáñez","given":"María-Gloria","non-dropping-particle":"","parse-names":false,"suffix":""}],"container-title":"PLoS Neglected Tropical Diseases","editor":[{"dropping-particle":"","family":"Gyapong","given":"John Owusu","non-dropping-particle":"","parse-names":false,"suffix":""}],"id":"ITEM-1","issue":"9","issued":{"date-parts":[["2013","9","19"]]},"page":"e2452","publisher":"Public Library of Science","title":"The Cost of Annual versus Biannual Community-Directed Treatment of Onchocerciasis with Ivermectin: Ghana as a Case Study","type":"article-journal","volume":"7"}}],"schema":"https://github.com/citation-style-language/schema/raw/master/csl-citation.json"}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[81]</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6BD15D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1EFB51E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Northern</w:t>
            </w:r>
          </w:p>
        </w:tc>
        <w:tc>
          <w:tcPr>
            <w:tcW w:w="3202" w:type="dxa"/>
            <w:noWrap/>
            <w:hideMark/>
          </w:tcPr>
          <w:p w14:paraId="2A824711"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Kpandai</w:t>
            </w:r>
            <w:proofErr w:type="spellEnd"/>
          </w:p>
        </w:tc>
        <w:tc>
          <w:tcPr>
            <w:tcW w:w="7353" w:type="dxa"/>
            <w:noWrap/>
            <w:hideMark/>
          </w:tcPr>
          <w:p w14:paraId="62ED0E7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244B092F" w14:textId="77777777" w:rsidTr="0025647A">
        <w:trPr>
          <w:trHeight w:val="312"/>
        </w:trPr>
        <w:tc>
          <w:tcPr>
            <w:tcW w:w="1316" w:type="dxa"/>
            <w:noWrap/>
            <w:hideMark/>
          </w:tcPr>
          <w:p w14:paraId="306F4D6C"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Kuunifaa</w:t>
            </w:r>
            <w:proofErr w:type="spellEnd"/>
            <w:r w:rsidRPr="00AE371D">
              <w:rPr>
                <w:rFonts w:ascii="Times New Roman" w:eastAsia="Times New Roman" w:hAnsi="Times New Roman" w:cs="Times New Roman"/>
                <w:kern w:val="0"/>
                <w:sz w:val="20"/>
                <w:szCs w:val="20"/>
                <w14:ligatures w14:val="none"/>
              </w:rPr>
              <w:t xml:space="preserve"> (2013)</w:t>
            </w:r>
          </w:p>
        </w:tc>
        <w:tc>
          <w:tcPr>
            <w:tcW w:w="1102" w:type="dxa"/>
            <w:noWrap/>
            <w:hideMark/>
          </w:tcPr>
          <w:p w14:paraId="38F9E33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658E19D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Savannah</w:t>
            </w:r>
          </w:p>
        </w:tc>
        <w:tc>
          <w:tcPr>
            <w:tcW w:w="3202" w:type="dxa"/>
            <w:noWrap/>
            <w:hideMark/>
          </w:tcPr>
          <w:p w14:paraId="1782C9D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Bole </w:t>
            </w:r>
          </w:p>
        </w:tc>
        <w:tc>
          <w:tcPr>
            <w:tcW w:w="7353" w:type="dxa"/>
            <w:hideMark/>
          </w:tcPr>
          <w:p w14:paraId="0F860A6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Bui Village, </w:t>
            </w:r>
            <w:proofErr w:type="spellStart"/>
            <w:r w:rsidRPr="00AE371D">
              <w:rPr>
                <w:rFonts w:ascii="Times New Roman" w:eastAsia="Times New Roman" w:hAnsi="Times New Roman" w:cs="Times New Roman"/>
                <w:kern w:val="0"/>
                <w:sz w:val="20"/>
                <w:szCs w:val="20"/>
                <w14:ligatures w14:val="none"/>
              </w:rPr>
              <w:t>Gborlekame</w:t>
            </w:r>
            <w:proofErr w:type="spellEnd"/>
            <w:r w:rsidRPr="00AE371D">
              <w:rPr>
                <w:rFonts w:ascii="Times New Roman" w:eastAsia="Times New Roman" w:hAnsi="Times New Roman" w:cs="Times New Roman"/>
                <w:kern w:val="0"/>
                <w:sz w:val="20"/>
                <w:szCs w:val="20"/>
                <w14:ligatures w14:val="none"/>
              </w:rPr>
              <w:t xml:space="preserve">, Resettlement Part </w:t>
            </w:r>
            <w:proofErr w:type="spellStart"/>
            <w:r w:rsidRPr="00AE371D">
              <w:rPr>
                <w:rFonts w:ascii="Times New Roman" w:eastAsia="Times New Roman" w:hAnsi="Times New Roman" w:cs="Times New Roman"/>
                <w:kern w:val="0"/>
                <w:sz w:val="20"/>
                <w:szCs w:val="20"/>
                <w14:ligatures w14:val="none"/>
              </w:rPr>
              <w:t>B,lowest</w:t>
            </w:r>
            <w:proofErr w:type="spellEnd"/>
            <w:r w:rsidRPr="00AE371D">
              <w:rPr>
                <w:rFonts w:ascii="Times New Roman" w:eastAsia="Times New Roman" w:hAnsi="Times New Roman" w:cs="Times New Roman"/>
                <w:kern w:val="0"/>
                <w:sz w:val="20"/>
                <w:szCs w:val="20"/>
                <w14:ligatures w14:val="none"/>
              </w:rPr>
              <w:t xml:space="preserve"> in Bui </w:t>
            </w:r>
            <w:proofErr w:type="spellStart"/>
            <w:r w:rsidRPr="00AE371D">
              <w:rPr>
                <w:rFonts w:ascii="Times New Roman" w:eastAsia="Times New Roman" w:hAnsi="Times New Roman" w:cs="Times New Roman"/>
                <w:kern w:val="0"/>
                <w:sz w:val="20"/>
                <w:szCs w:val="20"/>
                <w14:ligatures w14:val="none"/>
              </w:rPr>
              <w:t>Camp,Resettlement</w:t>
            </w:r>
            <w:proofErr w:type="spellEnd"/>
            <w:r w:rsidRPr="00AE371D">
              <w:rPr>
                <w:rFonts w:ascii="Times New Roman" w:eastAsia="Times New Roman" w:hAnsi="Times New Roman" w:cs="Times New Roman"/>
                <w:kern w:val="0"/>
                <w:sz w:val="20"/>
                <w:szCs w:val="20"/>
                <w14:ligatures w14:val="none"/>
              </w:rPr>
              <w:t xml:space="preserve"> Part A</w:t>
            </w:r>
          </w:p>
        </w:tc>
      </w:tr>
      <w:tr w:rsidR="00AE371D" w:rsidRPr="00AE371D" w14:paraId="4A3F2679" w14:textId="77777777" w:rsidTr="0025647A">
        <w:trPr>
          <w:trHeight w:val="312"/>
        </w:trPr>
        <w:tc>
          <w:tcPr>
            <w:tcW w:w="1316" w:type="dxa"/>
            <w:noWrap/>
            <w:hideMark/>
          </w:tcPr>
          <w:p w14:paraId="6DAC2723" w14:textId="5B1CFFD9"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Kuunifaa</w:t>
            </w:r>
            <w:proofErr w:type="spellEnd"/>
            <w:r w:rsidRPr="00AE371D">
              <w:rPr>
                <w:rFonts w:ascii="Times New Roman" w:eastAsia="Times New Roman" w:hAnsi="Times New Roman" w:cs="Times New Roman"/>
                <w:kern w:val="0"/>
                <w:sz w:val="20"/>
                <w:szCs w:val="20"/>
                <w14:ligatures w14:val="none"/>
              </w:rPr>
              <w:t xml:space="preserve"> (2013)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zfqQITf5","properties":{"formattedCitation":"[82]","plainCitation":"[82]","noteIndex":0},"citationItems":[{"id":"kQ8JjSWs/AcUJnr1I","uris":["http://www.mendeley.com/documents/?uuid=78663975-80e3-4f08-b07c-dd21830cb81d"],"itemData":{"author":[{"dropping-particle":"","family":"Kuunifaa","given":"Chrisentus B.","non-dropping-particle":"","parse-names":false,"suffix":""}],"container-title":"KNUSTSpace","id":"ITEM-1","issue":"June","issued":{"date-parts":[["2013"]]},"publisher":"Kwame Nkrumah University of Science and Technology","title":"The Prevalence and Transmission of Onchocerciasis in the Black Volta Basin: A Case Study of some Communities within the Bui Dam Environ, Ghana","type":"thesis"}}],"schema":"https://github.com/citation-style-language/schema/raw/master/csl-citation.json"}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[82]</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0666C7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745BE9B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w:t>
            </w:r>
          </w:p>
        </w:tc>
        <w:tc>
          <w:tcPr>
            <w:tcW w:w="3202" w:type="dxa"/>
            <w:noWrap/>
            <w:hideMark/>
          </w:tcPr>
          <w:p w14:paraId="0522258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Banda</w:t>
            </w:r>
          </w:p>
        </w:tc>
        <w:tc>
          <w:tcPr>
            <w:tcW w:w="7353" w:type="dxa"/>
            <w:noWrap/>
            <w:hideMark/>
          </w:tcPr>
          <w:p w14:paraId="0A07045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422628A5" w14:textId="77777777" w:rsidTr="0025647A">
        <w:trPr>
          <w:trHeight w:val="312"/>
        </w:trPr>
        <w:tc>
          <w:tcPr>
            <w:tcW w:w="1316" w:type="dxa"/>
            <w:noWrap/>
            <w:hideMark/>
          </w:tcPr>
          <w:p w14:paraId="73B3BCC1" w14:textId="2DAF35EA"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Arndts (2014)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6tiGl4oe","properties":{"formattedCitation":"[83]","plainCitation":"[83]","noteIndex":0},"citationItems":[{"id":"kQ8JjSWs/JRHnYdfW","uris":["http://www.mendeley.com/documents/?uuid=e8d73550-7676-4415-9636-6c026e117f18"],"itemData":{"DOI":"10.1371/journal.pntd.0002679","ISSN":"1935-2735","PMID":"24587458","abstract":"Mass drug administration (MDA) programmes against Onchocerca volvulus use ivermectin (IVM) which targets microfilariae (MF), the worm's offspring. Most infected individuals are hyporesponsive and present regulated immune responses despite high parasite burden. Recently, with MDA programmes, the existence of amicrofilaridermic (a-MF) individuals has become apparent but little is known about their immune responses. Within this immunoepidemiological study, we compared parasitology, pathology and immune profiles in infection-free volunteers and infected individuals that were MF+ or a-MF. The latter stemmed from villages in either Central or Ashanti regions of Ghana which, at the time of the study, had received up to eight or only one round of MDA respectively. Interestingly, a-MF patients had fewer nodules and decreased IL-10 responses to all tested stimuli. On the other hand, this patient group displayed contrary IL-5 profiles following in vitro stimulation or in plasma and the dampened response in the latter correlated to reduced eosinophils and associated factors but elevated neutrophils. Furthermore, multivariable regression analysis with covariates MF, IVM or the region (Central vs. Ashanti) revealed that immune responses were associated with different covariates: whereas O. volvulus-specific IL-5 responses were primarily associated with MF, IL-10 secretion had a negative correlation with times of individual IVM therapy (IIT). All plasma parameters (eosinophil cationic protein, IL-5, eosinophils and neutrophils) were highly associated with MF. With regards to IL-17 secretion, although no differences were observed between the groups to filarial-specific or bystander stimuli, these responses were highly associated with the region. These data indicate that immune responses are affected by both, IIT and the rounds of IVM MDA within the community. Consequently, it appears that a lowered infection pressure due to IVM MDA may affect the immune profile of community members even if they have not regularly participated in the programmes. © 2014 Arndts et al.","author":[{"dropping-particle":"","family":"Arndts","given":"Kathrin","non-dropping-particle":"","parse-names":false,"suffix":""},{"dropping-particle":"","family":"Specht","given":"Sabine","non-dropping-particle":"","parse-names":false,"suffix":""},{"dropping-particle":"","family":"Debrah","given":"Alexander Y.","non-dropping-particle":"","parse-names":false,"suffix":""},{"dropping-particle":"","family":"Tamarozzi","given":"Francesca","non-dropping-particle":"","parse-names":false,"suffix":""},{"dropping-particle":"","family":"Klarmann Schulz","given":"Ute","non-dropping-particle":"","parse-names":false,"suffix":""},{"dropping-particle":"","family":"Mand","given":"Sabine","non-dropping-particle":"","parse-names":false,"suffix":""},{"dropping-particle":"","family":"Batsa","given":"Linda","non-dropping-particle":"","parse-names":false,"suffix":""},{"dropping-particle":"","family":"Kwarteng","given":"Alexander","non-dropping-particle":"","parse-names":false,"suffix":""},{"dropping-particle":"","family":"Taylor","given":"Mark","non-dropping-particle":"","parse-names":false,"suffix":""},{"dropping-particle":"","family":"Adjei","given":"Ohene","non-dropping-particle":"","parse-names":false,"suffix":""},{"dropping-particle":"","family":"Martin","given":"Coralie","non-dropping-particle":"","parse-names":false,"suffix":""},{"dropping-particle":"","family":"Layland","given":"Laura E.","non-dropping-particle":"","parse-names":false,"suffix":""},{"dropping-particle":"","family":"Hoerauf","given":"Achim","non-dropping-particle":"","parse-names":false,"suffix":""}],"container-title":"PLoS Neglected Tropical Diseases","editor":[{"dropping-particle":"","family":"Fischer","given":"Peter U.","non-dropping-particle":"","parse-names":false,"suffix":""}],"id":"ITEM-1","issue":"2","issued":{"date-parts":[["2014","2","20"]]},"page":"e2679","title":"Immunoepidemiological Profiling of Onchocerciasis Patients Reveals Associations with Microfilaria Loads and Ivermectin Intake on Both Individual and Community Levels","type":"article-journal","volume":"8"}}],"schema":"https://github.com/citation-style-language/schema/raw/master/csl-citation.json"}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15D3F4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0151A11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Central</w:t>
            </w:r>
          </w:p>
        </w:tc>
        <w:tc>
          <w:tcPr>
            <w:tcW w:w="3202" w:type="dxa"/>
            <w:noWrap/>
            <w:hideMark/>
          </w:tcPr>
          <w:p w14:paraId="339D094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Upper Denkyira </w:t>
            </w:r>
          </w:p>
        </w:tc>
        <w:tc>
          <w:tcPr>
            <w:tcW w:w="7353" w:type="dxa"/>
            <w:noWrap/>
            <w:hideMark/>
          </w:tcPr>
          <w:p w14:paraId="2A7AC00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0B9E89CA" w14:textId="77777777" w:rsidTr="0025647A">
        <w:trPr>
          <w:trHeight w:val="312"/>
        </w:trPr>
        <w:tc>
          <w:tcPr>
            <w:tcW w:w="1316" w:type="dxa"/>
            <w:noWrap/>
            <w:hideMark/>
          </w:tcPr>
          <w:p w14:paraId="4CF21E71" w14:textId="74D010F8"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Arndts (2014)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goj8rsV4","properties":{"formattedCitation":"[83]","plainCitation":"[83]","noteIndex":0},"citationItems":[{"id":"kQ8JjSWs/JRHnYdfW","uris":["http://www.mendeley.com/documents/?uuid=e8d73550-7676-4415-9636-6c026e117f18"],"itemData":{"DOI":"10.1371/journal.pntd.0002679","ISSN":"1935-2735","PMID":"24587458","abstract":"Mass drug administration (MDA) programmes against Onchocerca volvulus use ivermectin (IVM) which targets microfilariae (MF), the worm's offspring. Most infected individuals are hyporesponsive and present regulated immune responses despite high parasite burden. Recently, with MDA programmes, the existence of amicrofilaridermic (a-MF) individuals has become apparent but little is known about their immune responses. Within this immunoepidemiological study, we compared parasitology, pathology and immune profiles in infection-free volunteers and infected individuals that were MF+ or a-MF. The latter stemmed from villages in either Central or Ashanti regions of Ghana which, at the time of the study, had received up to eight or only one round of MDA respectively. Interestingly, a-MF patients had fewer nodules and decreased IL-10 responses to all tested stimuli. On the other hand, this patient group displayed contrary IL-5 profiles following in vitro stimulation or in plasma and the dampened response in the latter correlated to reduced eosinophils and associated factors but elevated neutrophils. Furthermore, multivariable regression analysis with covariates MF, IVM or the region (Central vs. Ashanti) revealed that immune responses were associated with different covariates: whereas O. volvulus-specific IL-5 responses were primarily associated with MF, IL-10 secretion had a negative correlation with times of individual IVM therapy (IIT). All plasma parameters (eosinophil cationic protein, IL-5, eosinophils and neutrophils) were highly associated with MF. With regards to IL-17 secretion, although no differences were observed between the groups to filarial-specific or bystander stimuli, these responses were highly associated with the region. These data indicate that immune responses are affected by both, IIT and the rounds of IVM MDA within the community. Consequently, it appears that a lowered infection pressure due to IVM MDA may affect the immune profile of community members even if they have not regularly participated in the programmes. © 2014 Arndts et al.","author":[{"dropping-particle":"","family":"Arndts","given":"Kathrin","non-dropping-particle":"","parse-names":false,"suffix":""},{"dropping-particle":"","family":"Specht","given":"Sabine","non-dropping-particle":"","parse-names":false,"suffix":""},{"dropping-particle":"","family":"Debrah","given":"Alexander Y.","non-dropping-particle":"","parse-names":false,"suffix":""},{"dropping-particle":"","family":"Tamarozzi","given":"Francesca","non-dropping-particle":"","parse-names":false,"suffix":""},{"dropping-particle":"","family":"Klarmann Schulz","given":"Ute","non-dropping-particle":"","parse-names":false,"suffix":""},{"dropping-particle":"","family":"Mand","given":"Sabine","non-dropping-particle":"","parse-names":false,"suffix":""},{"dropping-particle":"","family":"Batsa","given":"Linda","non-dropping-particle":"","parse-names":false,"suffix":""},{"dropping-particle":"","family":"Kwarteng","given":"Alexander","non-dropping-particle":"","parse-names":false,"suffix":""},{"dropping-particle":"","family":"Taylor","given":"Mark","non-dropping-particle":"","parse-names":false,"suffix":""},{"dropping-particle":"","family":"Adjei","given":"Ohene","non-dropping-particle":"","parse-names":false,"suffix":""},{"dropping-particle":"","family":"Martin","given":"Coralie","non-dropping-particle":"","parse-names":false,"suffix":""},{"dropping-particle":"","family":"Layland","given":"Laura E.","non-dropping-particle":"","parse-names":false,"suffix":""},{"dropping-particle":"","family":"Hoerauf","given":"Achim","non-dropping-particle":"","parse-names":false,"suffix":""}],"container-title":"PLoS Neglected Tropical Diseases","editor":[{"dropping-particle":"","family":"Fischer","given":"Peter U.","non-dropping-particle":"","parse-names":false,"suffix":""}],"id":"ITEM-1","issue":"2","issued":{"date-parts":[["2014","2","20"]]},"page":"e2679","title":"Immunoepidemiological Profiling of Onchocerciasis Patients Reveals Associations with Microfilaria Loads and Ivermectin Intake on Both Individual and Community Levels","type":"article-journal","volume":"8"}}],"schema":"https://github.com/citation-style-language/schema/raw/master/csl-citation.json"}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7F86A4C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6B6C23F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Ashanti </w:t>
            </w:r>
          </w:p>
        </w:tc>
        <w:tc>
          <w:tcPr>
            <w:tcW w:w="3202" w:type="dxa"/>
            <w:noWrap/>
            <w:hideMark/>
          </w:tcPr>
          <w:p w14:paraId="2EAC5ABA"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Amansie</w:t>
            </w:r>
            <w:proofErr w:type="spellEnd"/>
            <w:r w:rsidRPr="00AE371D">
              <w:rPr>
                <w:rFonts w:ascii="Times New Roman" w:eastAsia="Times New Roman" w:hAnsi="Times New Roman" w:cs="Times New Roman"/>
                <w:kern w:val="0"/>
                <w:sz w:val="20"/>
                <w:szCs w:val="20"/>
                <w14:ligatures w14:val="none"/>
              </w:rPr>
              <w:t xml:space="preserve"> Central and </w:t>
            </w:r>
            <w:proofErr w:type="spellStart"/>
            <w:r w:rsidRPr="00AE371D">
              <w:rPr>
                <w:rFonts w:ascii="Times New Roman" w:eastAsia="Times New Roman" w:hAnsi="Times New Roman" w:cs="Times New Roman"/>
                <w:kern w:val="0"/>
                <w:sz w:val="20"/>
                <w:szCs w:val="20"/>
                <w14:ligatures w14:val="none"/>
              </w:rPr>
              <w:t>Adanse</w:t>
            </w:r>
            <w:proofErr w:type="spellEnd"/>
            <w:r w:rsidRPr="00AE371D">
              <w:rPr>
                <w:rFonts w:ascii="Times New Roman" w:eastAsia="Times New Roman" w:hAnsi="Times New Roman" w:cs="Times New Roman"/>
                <w:kern w:val="0"/>
                <w:sz w:val="20"/>
                <w:szCs w:val="20"/>
                <w14:ligatures w14:val="none"/>
              </w:rPr>
              <w:t xml:space="preserve"> South </w:t>
            </w:r>
          </w:p>
        </w:tc>
        <w:tc>
          <w:tcPr>
            <w:tcW w:w="7353" w:type="dxa"/>
            <w:noWrap/>
            <w:hideMark/>
          </w:tcPr>
          <w:p w14:paraId="25215AA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0D9C153F" w14:textId="77777777" w:rsidTr="0025647A">
        <w:trPr>
          <w:trHeight w:val="312"/>
        </w:trPr>
        <w:tc>
          <w:tcPr>
            <w:tcW w:w="1316" w:type="dxa"/>
            <w:noWrap/>
            <w:hideMark/>
          </w:tcPr>
          <w:p w14:paraId="5C18BFCE" w14:textId="547A3422"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Arndts (2014)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sT5LkFeL","properties":{"formattedCitation":"[83]","plainCitation":"[83]","noteIndex":0},"citationItems":[{"id":"kQ8JjSWs/JRHnYdfW","uris":["http://www.mendeley.com/documents/?uuid=e8d73550-7676-4415-9636-6c026e117f18"],"itemData":{"DOI":"10.1371/journal.pntd.0002679","ISSN":"1935-2735","PMID":"24587458","abstract":"Mass drug administration (MDA) programmes against Onchocerca volvulus use ivermectin (IVM) which targets microfilariae (MF), the worm's offspring. Most infected individuals are hyporesponsive and present regulated immune responses despite high parasite burden. Recently, with MDA programmes, the existence of amicrofilaridermic (a-MF) individuals has become apparent but little is known about their immune responses. Within this immunoepidemiological study, we compared parasitology, pathology and immune profiles in infection-free volunteers and infected individuals that were MF+ or a-MF. The latter stemmed from villages in either Central or Ashanti regions of Ghana which, at the time of the study, had received up to eight or only one round of MDA respectively. Interestingly, a-MF patients had fewer nodules and decreased IL-10 responses to all tested stimuli. On the other hand, this patient group displayed contrary IL-5 profiles following in vitro stimulation or in plasma and the dampened response in the latter correlated to reduced eosinophils and associated factors but elevated neutrophils. Furthermore, multivariable regression analysis with covariates MF, IVM or the region (Central vs. Ashanti) revealed that immune responses were associated with different covariates: whereas O. volvulus-specific IL-5 responses were primarily associated with MF, IL-10 secretion had a negative correlation with times of individual IVM therapy (IIT). All plasma parameters (eosinophil cationic protein, IL-5, eosinophils and neutrophils) were highly associated with MF. With regards to IL-17 secretion, although no differences were observed between the groups to filarial-specific or bystander stimuli, these responses were highly associated with the region. These data indicate that immune responses are affected by both, IIT and the rounds of IVM MDA within the community. Consequently, it appears that a lowered infection pressure due to IVM MDA may affect the immune profile of community members even if they have not regularly participated in the programmes. © 2014 Arndts et al.","author":[{"dropping-particle":"","family":"Arndts","given":"Kathrin","non-dropping-particle":"","parse-names":false,"suffix":""},{"dropping-particle":"","family":"Specht","given":"Sabine","non-dropping-particle":"","parse-names":false,"suffix":""},{"dropping-particle":"","family":"Debrah","given":"Alexander Y.","non-dropping-particle":"","parse-names":false,"suffix":""},{"dropping-particle":"","family":"Tamarozzi","given":"Francesca","non-dropping-particle":"","parse-names":false,"suffix":""},{"dropping-particle":"","family":"Klarmann Schulz","given":"Ute","non-dropping-particle":"","parse-names":false,"suffix":""},{"dropping-particle":"","family":"Mand","given":"Sabine","non-dropping-particle":"","parse-names":false,"suffix":""},{"dropping-particle":"","family":"Batsa","given":"Linda","non-dropping-particle":"","parse-names":false,"suffix":""},{"dropping-particle":"","family":"Kwarteng","given":"Alexander","non-dropping-particle":"","parse-names":false,"suffix":""},{"dropping-particle":"","family":"Taylor","given":"Mark","non-dropping-particle":"","parse-names":false,"suffix":""},{"dropping-particle":"","family":"Adjei","given":"Ohene","non-dropping-particle":"","parse-names":false,"suffix":""},{"dropping-particle":"","family":"Martin","given":"Coralie","non-dropping-particle":"","parse-names":false,"suffix":""},{"dropping-particle":"","family":"Layland","given":"Laura E.","non-dropping-particle":"","parse-names":false,"suffix":""},{"dropping-particle":"","family":"Hoerauf","given":"Achim","non-dropping-particle":"","parse-names":false,"suffix":""}],"container-title":"PLoS Neglected Tropical Diseases","editor":[{"dropping-particle":"","family":"Fischer","given":"Peter U.","non-dropping-particle":"","parse-names":false,"suffix":""}],"id":"ITEM-1","issue":"2","issued":{"date-parts":[["2014","2","20"]]},"page":"e2679","title":"Immunoepidemiological Profiling of Onchocerciasis Patients Reveals Associations with Microfilaria Loads and Ivermectin Intake on Both Individual and Community Levels","type":"article-journal","volume":"8"}}],"schema":"https://github.com/citation-style-language/schema/raw/master/csl-citation.json"}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[83]</w:t>
            </w:r>
            <w:r w:rsidRPr="00AE371D">
              <w:rPr>
                <w:rFonts w:ascii="Times New Roman" w:eastAsia="Times New Roman" w:hAnsi="Times New Roman" w:cs="Times New Roman"/>
                <w:kern w:val="0"/>
                <w:sz w:val="20"/>
                <w:szCs w:val="20"/>
                <w14:ligatures w14:val="none"/>
              </w:rPr>
              <w:fldChar w:fldCharType="end"/>
            </w:r>
          </w:p>
        </w:tc>
        <w:tc>
          <w:tcPr>
            <w:tcW w:w="1102" w:type="dxa"/>
            <w:hideMark/>
          </w:tcPr>
          <w:p w14:paraId="3C832F3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0FB7CBC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Western</w:t>
            </w:r>
          </w:p>
        </w:tc>
        <w:tc>
          <w:tcPr>
            <w:tcW w:w="3202" w:type="dxa"/>
            <w:noWrap/>
            <w:hideMark/>
          </w:tcPr>
          <w:p w14:paraId="1910F62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Lower Denkyira </w:t>
            </w:r>
          </w:p>
        </w:tc>
        <w:tc>
          <w:tcPr>
            <w:tcW w:w="7353" w:type="dxa"/>
            <w:noWrap/>
            <w:hideMark/>
          </w:tcPr>
          <w:p w14:paraId="3AC0B2E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32C09A66" w14:textId="77777777" w:rsidTr="0025647A">
        <w:trPr>
          <w:trHeight w:val="312"/>
        </w:trPr>
        <w:tc>
          <w:tcPr>
            <w:tcW w:w="1316" w:type="dxa"/>
            <w:noWrap/>
            <w:hideMark/>
          </w:tcPr>
          <w:p w14:paraId="37E7D6BF" w14:textId="3521B326"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Aninakwah-boahene</w:t>
            </w:r>
            <w:proofErr w:type="spellEnd"/>
            <w:r w:rsidRPr="00AE371D">
              <w:rPr>
                <w:rFonts w:ascii="Times New Roman" w:eastAsia="Times New Roman" w:hAnsi="Times New Roman" w:cs="Times New Roman"/>
                <w:kern w:val="0"/>
                <w:sz w:val="20"/>
                <w:szCs w:val="20"/>
                <w14:ligatures w14:val="none"/>
              </w:rPr>
              <w:t xml:space="preserve"> (2014)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2C6C8NSV","properties":{"formattedCitation":"[84]","plainCitation":"[84]","noteIndex":0},"citationItems":[{"id":"kQ8JjSWs/qFAMRkrL","uris":["http://www.mendeley.com/documents/?uuid=2c14ab16-889c-4027-ab73-5130d826a16e"],"itemData":{"author":[{"dropping-particle":"","family":"Aninakwah-boahene","given":"Dinah","non-dropping-particle":"","parse-names":false,"suffix":""},{"dropping-particle":"","family":"Apraku","given":"Andrews","non-dropping-particle":"","parse-names":false,"suffix":""},{"dropping-particle":"","family":"Adu-kumi","given":"Mary","non-dropping-particle":"","parse-names":false,"suffix":""}],"id":"ITEM-1","issue":"4","issued":{"date-parts":[["2014"]]},"page":"328-331","title":"Perception Of Inhabitants In Bui Township On Causes And Effects Of Onchocerciasis , Ghana","type":"article-journal","volume":"3"}}],"schema":"https://github.com/citation-style-language/schema/raw/master/csl-citation.json"}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[84]</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426347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58B7228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w:t>
            </w:r>
          </w:p>
        </w:tc>
        <w:tc>
          <w:tcPr>
            <w:tcW w:w="3202" w:type="dxa"/>
            <w:noWrap/>
            <w:hideMark/>
          </w:tcPr>
          <w:p w14:paraId="04B46D7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Banda-</w:t>
            </w:r>
            <w:proofErr w:type="spellStart"/>
            <w:r w:rsidRPr="00AE371D">
              <w:rPr>
                <w:rFonts w:ascii="Times New Roman" w:eastAsia="Times New Roman" w:hAnsi="Times New Roman" w:cs="Times New Roman"/>
                <w:kern w:val="0"/>
                <w:sz w:val="20"/>
                <w:szCs w:val="20"/>
                <w14:ligatures w14:val="none"/>
              </w:rPr>
              <w:t>Ahenkro</w:t>
            </w:r>
            <w:proofErr w:type="spellEnd"/>
            <w:r w:rsidRPr="00AE371D">
              <w:rPr>
                <w:rFonts w:ascii="Times New Roman" w:eastAsia="Times New Roman" w:hAnsi="Times New Roman" w:cs="Times New Roman"/>
                <w:kern w:val="0"/>
                <w:sz w:val="20"/>
                <w:szCs w:val="20"/>
                <w14:ligatures w14:val="none"/>
              </w:rPr>
              <w:t xml:space="preserve">  </w:t>
            </w:r>
          </w:p>
        </w:tc>
        <w:tc>
          <w:tcPr>
            <w:tcW w:w="7353" w:type="dxa"/>
            <w:noWrap/>
            <w:hideMark/>
          </w:tcPr>
          <w:p w14:paraId="18D8083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Bui community</w:t>
            </w:r>
          </w:p>
        </w:tc>
      </w:tr>
      <w:tr w:rsidR="00AE371D" w:rsidRPr="00AE371D" w14:paraId="3CC02266" w14:textId="77777777" w:rsidTr="0025647A">
        <w:trPr>
          <w:trHeight w:val="312"/>
        </w:trPr>
        <w:tc>
          <w:tcPr>
            <w:tcW w:w="1316" w:type="dxa"/>
            <w:noWrap/>
            <w:hideMark/>
          </w:tcPr>
          <w:p w14:paraId="21F0022A" w14:textId="27F84F3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ANTWI-BERKO (2014)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uwZss0FO","properties":{"formattedCitation":"[85]","plainCitation":"[85]","noteIndex":0},"citationItems":[{"id":"kQ8JjSWs/A7F29LJv","uris":["http://www.mendeley.com/documents/?uuid=fbb31cbe-f7a9-478a-aea8-0cbf2e444212"],"itemData":{"author":[{"dropping-particle":"","family":"Antwi-berko","given":"Daniel","non-dropping-particle":"","parse-names":false,"suffix":""}],"container-title":"KNUSTSpace","id":"ITEM-1","issue":"June","issued":{"date-parts":[["2014"]]},"publisher":"Kwame Nkrumah University of Science and Technology","title":"The Impact of Ivermectin Mass Drug Administration on the Level of Endemicity and Intensity of Onchocerca Volvulus Infection in the Adansi South District of Ghana","type":"thesis"}}],"schema":"https://github.com/citation-style-language/schema/raw/master/csl-citation.json"}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[85]</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F8FC73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19D99D0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Ashanti </w:t>
            </w:r>
          </w:p>
        </w:tc>
        <w:tc>
          <w:tcPr>
            <w:tcW w:w="3202" w:type="dxa"/>
            <w:noWrap/>
            <w:hideMark/>
          </w:tcPr>
          <w:p w14:paraId="4C693961"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Adansi</w:t>
            </w:r>
            <w:proofErr w:type="spellEnd"/>
            <w:r w:rsidRPr="00AE371D">
              <w:rPr>
                <w:rFonts w:ascii="Times New Roman" w:eastAsia="Times New Roman" w:hAnsi="Times New Roman" w:cs="Times New Roman"/>
                <w:kern w:val="0"/>
                <w:sz w:val="20"/>
                <w:szCs w:val="20"/>
                <w14:ligatures w14:val="none"/>
              </w:rPr>
              <w:t xml:space="preserve"> South/</w:t>
            </w:r>
            <w:proofErr w:type="spellStart"/>
            <w:r w:rsidRPr="00AE371D">
              <w:rPr>
                <w:rFonts w:ascii="Times New Roman" w:eastAsia="Times New Roman" w:hAnsi="Times New Roman" w:cs="Times New Roman"/>
                <w:kern w:val="0"/>
                <w:sz w:val="20"/>
                <w:szCs w:val="20"/>
                <w14:ligatures w14:val="none"/>
              </w:rPr>
              <w:t>Akrofuom</w:t>
            </w:r>
            <w:proofErr w:type="spellEnd"/>
            <w:r w:rsidRPr="00AE371D">
              <w:rPr>
                <w:rFonts w:ascii="Times New Roman" w:eastAsia="Times New Roman" w:hAnsi="Times New Roman" w:cs="Times New Roman"/>
                <w:kern w:val="0"/>
                <w:sz w:val="20"/>
                <w:szCs w:val="20"/>
                <w14:ligatures w14:val="none"/>
              </w:rPr>
              <w:t xml:space="preserve"> and New </w:t>
            </w:r>
            <w:proofErr w:type="spellStart"/>
            <w:r w:rsidRPr="00AE371D">
              <w:rPr>
                <w:rFonts w:ascii="Times New Roman" w:eastAsia="Times New Roman" w:hAnsi="Times New Roman" w:cs="Times New Roman"/>
                <w:kern w:val="0"/>
                <w:sz w:val="20"/>
                <w:szCs w:val="20"/>
                <w14:ligatures w14:val="none"/>
              </w:rPr>
              <w:t>Edubiase</w:t>
            </w:r>
            <w:proofErr w:type="spellEnd"/>
          </w:p>
        </w:tc>
        <w:tc>
          <w:tcPr>
            <w:tcW w:w="7353" w:type="dxa"/>
            <w:noWrap/>
            <w:hideMark/>
          </w:tcPr>
          <w:p w14:paraId="7BCB2E67"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Abusa</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Adjeikrom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Adoosu</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Akuapim</w:t>
            </w:r>
            <w:proofErr w:type="spellEnd"/>
            <w:r w:rsidRPr="00AE371D">
              <w:rPr>
                <w:rFonts w:ascii="Times New Roman" w:eastAsia="Times New Roman" w:hAnsi="Times New Roman" w:cs="Times New Roman"/>
                <w:kern w:val="0"/>
                <w:sz w:val="20"/>
                <w:szCs w:val="20"/>
                <w14:ligatures w14:val="none"/>
              </w:rPr>
              <w:t xml:space="preserve">, Alata, </w:t>
            </w:r>
            <w:proofErr w:type="spellStart"/>
            <w:r w:rsidRPr="00AE371D">
              <w:rPr>
                <w:rFonts w:ascii="Times New Roman" w:eastAsia="Times New Roman" w:hAnsi="Times New Roman" w:cs="Times New Roman"/>
                <w:kern w:val="0"/>
                <w:sz w:val="20"/>
                <w:szCs w:val="20"/>
                <w14:ligatures w14:val="none"/>
              </w:rPr>
              <w:t>Amoakokrom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Betenase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Bredi</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Essonkrom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Mensonso</w:t>
            </w:r>
            <w:proofErr w:type="spellEnd"/>
            <w:r w:rsidRPr="00AE371D">
              <w:rPr>
                <w:rFonts w:ascii="Times New Roman" w:eastAsia="Times New Roman" w:hAnsi="Times New Roman" w:cs="Times New Roman"/>
                <w:kern w:val="0"/>
                <w:sz w:val="20"/>
                <w:szCs w:val="20"/>
                <w14:ligatures w14:val="none"/>
              </w:rPr>
              <w:t xml:space="preserve"> 1, </w:t>
            </w:r>
            <w:proofErr w:type="spellStart"/>
            <w:r w:rsidRPr="00AE371D">
              <w:rPr>
                <w:rFonts w:ascii="Times New Roman" w:eastAsia="Times New Roman" w:hAnsi="Times New Roman" w:cs="Times New Roman"/>
                <w:kern w:val="0"/>
                <w:sz w:val="20"/>
                <w:szCs w:val="20"/>
                <w14:ligatures w14:val="none"/>
              </w:rPr>
              <w:t>Mensonso</w:t>
            </w:r>
            <w:proofErr w:type="spellEnd"/>
            <w:r w:rsidRPr="00AE371D">
              <w:rPr>
                <w:rFonts w:ascii="Times New Roman" w:eastAsia="Times New Roman" w:hAnsi="Times New Roman" w:cs="Times New Roman"/>
                <w:kern w:val="0"/>
                <w:sz w:val="20"/>
                <w:szCs w:val="20"/>
                <w14:ligatures w14:val="none"/>
              </w:rPr>
              <w:t xml:space="preserve"> 2, </w:t>
            </w:r>
            <w:proofErr w:type="spellStart"/>
            <w:r w:rsidRPr="00AE371D">
              <w:rPr>
                <w:rFonts w:ascii="Times New Roman" w:eastAsia="Times New Roman" w:hAnsi="Times New Roman" w:cs="Times New Roman"/>
                <w:kern w:val="0"/>
                <w:sz w:val="20"/>
                <w:szCs w:val="20"/>
                <w14:ligatures w14:val="none"/>
              </w:rPr>
              <w:t>Ofrikrom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Yadome</w:t>
            </w:r>
            <w:proofErr w:type="spellEnd"/>
            <w:r w:rsidRPr="00AE371D">
              <w:rPr>
                <w:rFonts w:ascii="Times New Roman" w:eastAsia="Times New Roman" w:hAnsi="Times New Roman" w:cs="Times New Roman"/>
                <w:kern w:val="0"/>
                <w:sz w:val="20"/>
                <w:szCs w:val="20"/>
                <w14:ligatures w14:val="none"/>
              </w:rPr>
              <w:t xml:space="preserve">, Yaw </w:t>
            </w:r>
            <w:proofErr w:type="spellStart"/>
            <w:r w:rsidRPr="00AE371D">
              <w:rPr>
                <w:rFonts w:ascii="Times New Roman" w:eastAsia="Times New Roman" w:hAnsi="Times New Roman" w:cs="Times New Roman"/>
                <w:kern w:val="0"/>
                <w:sz w:val="20"/>
                <w:szCs w:val="20"/>
                <w14:ligatures w14:val="none"/>
              </w:rPr>
              <w:t>Owusukrom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Brodekor</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Essonkrom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Aniapam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Otutu</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Sonkowuah</w:t>
            </w:r>
            <w:proofErr w:type="spellEnd"/>
          </w:p>
        </w:tc>
      </w:tr>
      <w:tr w:rsidR="00AE371D" w:rsidRPr="00AE371D" w14:paraId="4C469E21" w14:textId="77777777" w:rsidTr="0025647A">
        <w:trPr>
          <w:trHeight w:val="312"/>
        </w:trPr>
        <w:tc>
          <w:tcPr>
            <w:tcW w:w="1316" w:type="dxa"/>
            <w:noWrap/>
            <w:hideMark/>
          </w:tcPr>
          <w:p w14:paraId="31F47BFF" w14:textId="0E5746C5"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Badiwon</w:t>
            </w:r>
            <w:proofErr w:type="spellEnd"/>
            <w:r w:rsidRPr="00AE371D">
              <w:rPr>
                <w:rFonts w:ascii="Times New Roman" w:eastAsia="Times New Roman" w:hAnsi="Times New Roman" w:cs="Times New Roman"/>
                <w:kern w:val="0"/>
                <w:sz w:val="20"/>
                <w:szCs w:val="20"/>
                <w14:ligatures w14:val="none"/>
              </w:rPr>
              <w:t xml:space="preserve"> (2015)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zNbCuksb","properties":{"formattedCitation":"[86]","plainCitation":"[86]","noteIndex":0},"citationItems":[{"id":"kQ8JjSWs/bg2onn8u","uris":["http://www.mendeley.com/documents/?uuid=72e30841-8cae-48c8-ba99-ac1c1211f156"],"itemData":{"author":[{"dropping-particle":"","family":"Badiwon","given":"Charles","non-dropping-particle":"","parse-names":false,"suffix":""}],"container-title":"KNUSTSpace","id":"ITEM-1","issued":{"date-parts":[["2015"]]},"number-of-pages":"1-67","publisher":"Kwame Nkrumah University of Science and Technology","title":"Assessment of the Impact of 20 Years of Mass Drug Administration with Ivermectin on the Prevalence of Onchocerca Volvulus and other Soil Transmitted Helminth Infections in Children in the Pru and Atebubu Districts in Ghana","type":"thesis"}}],"schema":"https://github.com/citation-style-language/schema/raw/master/csl-citation.json"}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[86]</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B45B06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0B8DB6F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56B1D1A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Pru and </w:t>
            </w:r>
            <w:proofErr w:type="spellStart"/>
            <w:r w:rsidRPr="00AE371D">
              <w:rPr>
                <w:rFonts w:ascii="Times New Roman" w:eastAsia="Times New Roman" w:hAnsi="Times New Roman" w:cs="Times New Roman"/>
                <w:kern w:val="0"/>
                <w:sz w:val="20"/>
                <w:szCs w:val="20"/>
                <w14:ligatures w14:val="none"/>
              </w:rPr>
              <w:t>Atebubu</w:t>
            </w:r>
            <w:proofErr w:type="spellEnd"/>
          </w:p>
        </w:tc>
        <w:tc>
          <w:tcPr>
            <w:tcW w:w="7353" w:type="dxa"/>
            <w:noWrap/>
            <w:hideMark/>
          </w:tcPr>
          <w:p w14:paraId="7EC45039"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Abua</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Adjaragya</w:t>
            </w:r>
            <w:proofErr w:type="spellEnd"/>
            <w:r w:rsidRPr="00AE371D">
              <w:rPr>
                <w:rFonts w:ascii="Times New Roman" w:eastAsia="Times New Roman" w:hAnsi="Times New Roman" w:cs="Times New Roman"/>
                <w:kern w:val="0"/>
                <w:sz w:val="20"/>
                <w:szCs w:val="20"/>
                <w14:ligatures w14:val="none"/>
              </w:rPr>
              <w:t xml:space="preserve">, A- </w:t>
            </w:r>
            <w:proofErr w:type="spellStart"/>
            <w:r w:rsidRPr="00AE371D">
              <w:rPr>
                <w:rFonts w:ascii="Times New Roman" w:eastAsia="Times New Roman" w:hAnsi="Times New Roman" w:cs="Times New Roman"/>
                <w:kern w:val="0"/>
                <w:sz w:val="20"/>
                <w:szCs w:val="20"/>
                <w14:ligatures w14:val="none"/>
              </w:rPr>
              <w:t>Beposo</w:t>
            </w:r>
            <w:proofErr w:type="spellEnd"/>
            <w:r w:rsidRPr="00AE371D">
              <w:rPr>
                <w:rFonts w:ascii="Times New Roman" w:eastAsia="Times New Roman" w:hAnsi="Times New Roman" w:cs="Times New Roman"/>
                <w:kern w:val="0"/>
                <w:sz w:val="20"/>
                <w:szCs w:val="20"/>
                <w14:ligatures w14:val="none"/>
              </w:rPr>
              <w:t xml:space="preserve">, Prang, </w:t>
            </w:r>
            <w:proofErr w:type="spellStart"/>
            <w:r w:rsidRPr="00AE371D">
              <w:rPr>
                <w:rFonts w:ascii="Times New Roman" w:eastAsia="Times New Roman" w:hAnsi="Times New Roman" w:cs="Times New Roman"/>
                <w:kern w:val="0"/>
                <w:sz w:val="20"/>
                <w:szCs w:val="20"/>
                <w14:ligatures w14:val="none"/>
              </w:rPr>
              <w:t>Nyomoase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Beposo</w:t>
            </w:r>
            <w:proofErr w:type="spellEnd"/>
          </w:p>
        </w:tc>
      </w:tr>
      <w:tr w:rsidR="00AE371D" w:rsidRPr="00AE371D" w14:paraId="6312AE25" w14:textId="77777777" w:rsidTr="0025647A">
        <w:trPr>
          <w:trHeight w:val="312"/>
        </w:trPr>
        <w:tc>
          <w:tcPr>
            <w:tcW w:w="1316" w:type="dxa"/>
            <w:noWrap/>
            <w:hideMark/>
          </w:tcPr>
          <w:p w14:paraId="4C2D48E8" w14:textId="5CDE198D"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Awadzi (2015)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ATbDJpqn","properties":{"formattedCitation":"[87]","plainCitation":"[87]","noteIndex":0},"citationItems":[{"id":"kQ8JjSWs/atp6EdE5","uris":["http://www.mendeley.com/documents/?uuid=197705b4-d419-4b46-baa4-e2a5e7622cda"],"itemData":{"DOI":"10.1186/s13071-015-1122-9","ISSN":"1756-3305","author":[{"dropping-particle":"","family":"Awadzi","given":"K.","non-dropping-particle":"","parse-names":false,"suffix":""},{"dropping-particle":"","family":"Opoku","given":"Nicholas O.","non-dropping-particle":"","parse-names":false,"suffix":""},{"dropping-particle":"","family":"Attah","given":"Simon K.","non-dropping-particle":"","parse-names":false,"suffix":""},{"dropping-particle":"","family":"Lazdins-Helds","given":"Janis K.","non-dropping-particle":"","parse-names":false,"suffix":""},{"dropping-particle":"","family":"Kuesel","given":"Annette C.","non-dropping-particle":"","parse-names":false,"suffix":""}],"container-title":"Parasites &amp; Vectors","id":"ITEM-1","issue":"1","issued":{"date-parts":[["2015","12","9"]]},"page":"515","title":"Diagnosis of O. volvulus infection via skin exposure to diethylcarbamazine: clinical evaluation of a transdermal delivery technology-based patch","type":"article-journal","volume":"8"}}],"schema":"https://github.com/citation-style-language/schema/raw/master/csl-citation.json"}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[87]</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052BBD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00FD96A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Volta </w:t>
            </w:r>
          </w:p>
        </w:tc>
        <w:tc>
          <w:tcPr>
            <w:tcW w:w="3202" w:type="dxa"/>
            <w:noWrap/>
            <w:hideMark/>
          </w:tcPr>
          <w:p w14:paraId="1B895332"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Adaklu</w:t>
            </w:r>
            <w:proofErr w:type="spellEnd"/>
          </w:p>
        </w:tc>
        <w:tc>
          <w:tcPr>
            <w:tcW w:w="7353" w:type="dxa"/>
            <w:noWrap/>
            <w:hideMark/>
          </w:tcPr>
          <w:p w14:paraId="7E4974C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2D4E8B09" w14:textId="77777777" w:rsidTr="0025647A">
        <w:trPr>
          <w:trHeight w:val="312"/>
        </w:trPr>
        <w:tc>
          <w:tcPr>
            <w:tcW w:w="1316" w:type="dxa"/>
            <w:noWrap/>
            <w:hideMark/>
          </w:tcPr>
          <w:p w14:paraId="5EAF9AFB" w14:textId="446E6E35"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Debrah (2015)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4GuNZtGL","properties":{"formattedCitation":"[88]","plainCitation":"[88]","noteIndex":0},"citationItems":[{"id":"kQ8JjSWs/XQKFoiEa","uris":["http://www.mendeley.com/documents/?uuid=ae62f286-76e6-4426-85ef-19791eb87df5"],"itemData":{"DOI":"10.1093/cid/civ363","ISSN":"15376591","PMID":"25948064","abstract":"Background. Ivermectin (IVM) has been the drug of choice for the treatment of onchocerciasis. However, there have been reports of persistent microfilaridermia in individuals from an endemic area in Ghana after many rounds of IVM, raising concerns of suboptimal response or even the emergence of drug resistance. Because it is considered risky to continue relying only on IVM to combat this phenomenon, we assessed the effect of targeting the Onchocerca volvulus Wolbachia endosymbionts with doxycycline for these individuals with suboptimal response. Methods. One hundred sixty-seven patients, most of them with multiple rounds of IVM, were recruited in areas with IVM suboptimal response and treated with 100 mg/day doxycycline for 6 weeks. Three and 12 months after doxycycline treatment, patients took part in standard IVM treatment. Results. At 20 months after treatment, 80% of living female worms from the placebo group were Wolbachia positive, whereas only 5.1% in the doxycycline-treated group contained bacteria. Consistent with interruption of embryogenesis, none of the nodules removed from doxycycline-treated patients contained microfilariae, and 97% of those patients were without microfilaridermia, in contrast to placebo patients who remained at pretreatment levels (P &lt;. 001). Moreover, a significantly enhanced number of dead worms were observed after doxycycline. Conclusions. Targeting the Wolbachia in O. volvulus is effective in clearing microfilariae in the skin of onchocerciasis patients with persistent microfilaridermia and in enhanced killing of adult worms after repeated standard IVM treatment. Strategies can now be developed that include doxycycline to control onchocerciasis in areas where infections persist despite the frequent use of IVM. Clinical Trials Registration. ISRCTN 66649839.","author":[{"dropping-particle":"","family":"Debrah","given":"Alexander Yaw","non-dropping-particle":"","parse-names":false,"suffix":""},{"dropping-particle":"","family":"Specht","given":"Sabine","non-dropping-particle":"","parse-names":false,"suffix":""},{"dropping-particle":"","family":"Klarmann-Schulz","given":"Ute","non-dropping-particle":"","parse-names":false,"suffix":""},{"dropping-particle":"","family":"Batsa","given":"Linda","non-dropping-particle":"","parse-names":false,"suffix":""},{"dropping-particle":"","family":"Mand","given":"Sabine","non-dropping-particle":"","parse-names":false,"suffix":""},{"dropping-particle":"","family":"Marfo-Debrekyei","given":"Yeboah","non-dropping-particle":"","parse-names":false,"suffix":""},{"dropping-particle":"","family":"Fimmers","given":"Rolf","non-dropping-particle":"","parse-names":false,"suffix":""},{"dropping-particle":"","family":"Dubben","given":"Bettina","non-dropping-particle":"","parse-names":false,"suffix":""},{"dropping-particle":"","family":"Kwarteng","given":"Alexander","non-dropping-particle":"","parse-names":false,"suffix":""},{"dropping-particle":"","family":"Osei-Atweneboana","given":"Mike","non-dropping-particle":"","parse-names":false,"suffix":""},{"dropping-particle":"","family":"Boakye","given":"Daniel","non-dropping-particle":"","parse-names":false,"suffix":""},{"dropping-particle":"","family":"Ricchiuto","given":"Arcangelo","non-dropping-particle":"","parse-names":false,"suffix":""},{"dropping-particle":"","family":"Büttner","given":"Marcelle","non-dropping-particle":"","parse-names":false,"suffix":""},{"dropping-particle":"","family":"Adjei","given":"Ohene","non-dropping-particle":"","parse-names":false,"suffix":""},{"dropping-particle":"","family":"MacKenzie","given":"Charles D.","non-dropping-particle":"","parse-names":false,"suffix":""},{"dropping-particle":"","family":"Hoerauf","given":"Achim","non-dropping-particle":"","parse-names":false,"suffix":""}],"container-title":"Clinical Infectious Diseases","id":"ITEM-1","issue":"4","issued":{"date-parts":[["2015"]]},"page":"517-526","title":"Doxycycline Leads to Sterility and Enhanced Killing of Female Onchocerca volvulus Worms in an Area with Persistent Microfilaridermia after Repeated Ivermectin Treatment: A Randomized, Placebo-Controlled, Double-Blind Trial","type":"article-journal","volume":"61"}}],"schema":"https://github.com/citation-style-language/schema/raw/master/csl-citation.json"}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[88]</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11D96B5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5CF7F8D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3012433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Pru</w:t>
            </w:r>
          </w:p>
        </w:tc>
        <w:tc>
          <w:tcPr>
            <w:tcW w:w="7353" w:type="dxa"/>
            <w:noWrap/>
            <w:hideMark/>
          </w:tcPr>
          <w:p w14:paraId="47A8AF0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724D973A" w14:textId="77777777" w:rsidTr="0025647A">
        <w:trPr>
          <w:trHeight w:val="312"/>
        </w:trPr>
        <w:tc>
          <w:tcPr>
            <w:tcW w:w="1316" w:type="dxa"/>
            <w:noWrap/>
            <w:hideMark/>
          </w:tcPr>
          <w:p w14:paraId="3938B1A9" w14:textId="2C22E629"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Debrah (2015)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odcJv4do","properties":{"formattedCitation":"[88]","plainCitation":"[88]","noteIndex":0},"citationItems":[{"id":"kQ8JjSWs/XQKFoiEa","uris":["http://www.mendeley.com/documents/?uuid=ae62f286-76e6-4426-85ef-19791eb87df5"],"itemData":{"DOI":"10.1093/cid/civ363","ISSN":"15376591","PMID":"25948064","abstract":"Background. Ivermectin (IVM) has been the drug of choice for the treatment of onchocerciasis. However, there have been reports of persistent microfilaridermia in individuals from an endemic area in Ghana after many rounds of IVM, raising concerns of suboptimal response or even the emergence of drug resistance. Because it is considered risky to continue relying only on IVM to combat this phenomenon, we assessed the effect of targeting the Onchocerca volvulus Wolbachia endosymbionts with doxycycline for these individuals with suboptimal response. Methods. One hundred sixty-seven patients, most of them with multiple rounds of IVM, were recruited in areas with IVM suboptimal response and treated with 100 mg/day doxycycline for 6 weeks. Three and 12 months after doxycycline treatment, patients took part in standard IVM treatment. Results. At 20 months after treatment, 80% of living female worms from the placebo group were Wolbachia positive, whereas only 5.1% in the doxycycline-treated group contained bacteria. Consistent with interruption of embryogenesis, none of the nodules removed from doxycycline-treated patients contained microfilariae, and 97% of those patients were without microfilaridermia, in contrast to placebo patients who remained at pretreatment levels (P &lt;. 001). Moreover, a significantly enhanced number of dead worms were observed after doxycycline. Conclusions. Targeting the Wolbachia in O. volvulus is effective in clearing microfilariae in the skin of onchocerciasis patients with persistent microfilaridermia and in enhanced killing of adult worms after repeated standard IVM treatment. Strategies can now be developed that include doxycycline to control onchocerciasis in areas where infections persist despite the frequent use of IVM. Clinical Trials Registration. ISRCTN 66649839.","author":[{"dropping-particle":"","family":"Debrah","given":"Alexander Yaw","non-dropping-particle":"","parse-names":false,"suffix":""},{"dropping-particle":"","family":"Specht","given":"Sabine","non-dropping-particle":"","parse-names":false,"suffix":""},{"dropping-particle":"","family":"Klarmann-Schulz","given":"Ute","non-dropping-particle":"","parse-names":false,"suffix":""},{"dropping-particle":"","family":"Batsa","given":"Linda","non-dropping-particle":"","parse-names":false,"suffix":""},{"dropping-particle":"","family":"Mand","given":"Sabine","non-dropping-particle":"","parse-names":false,"suffix":""},{"dropping-particle":"","family":"Marfo-Debrekyei","given":"Yeboah","non-dropping-particle":"","parse-names":false,"suffix":""},{"dropping-particle":"","family":"Fimmers","given":"Rolf","non-dropping-particle":"","parse-names":false,"suffix":""},{"dropping-particle":"","family":"Dubben","given":"Bettina","non-dropping-particle":"","parse-names":false,"suffix":""},{"dropping-particle":"","family":"Kwarteng","given":"Alexander","non-dropping-particle":"","parse-names":false,"suffix":""},{"dropping-particle":"","family":"Osei-Atweneboana","given":"Mike","non-dropping-particle":"","parse-names":false,"suffix":""},{"dropping-particle":"","family":"Boakye","given":"Daniel","non-dropping-particle":"","parse-names":false,"suffix":""},{"dropping-particle":"","family":"Ricchiuto","given":"Arcangelo","non-dropping-particle":"","parse-names":false,"suffix":""},{"dropping-particle":"","family":"Büttner","given":"Marcelle","non-dropping-particle":"","parse-names":false,"suffix":""},{"dropping-particle":"","family":"Adjei","given":"Ohene","non-dropping-particle":"","parse-names":false,"suffix":""},{"dropping-particle":"","family":"MacKenzie","given":"Charles D.","non-dropping-particle":"","parse-names":false,"suffix":""},{"dropping-particle":"","family":"Hoerauf","given":"Achim","non-dropping-particle":"","parse-names":false,"suffix":""}],"container-title":"Clinical Infectious Diseases","id":"ITEM-1","issue":"4","issued":{"date-parts":[["2015"]]},"page":"517-526","title":"Doxycycline Leads to Sterility and Enhanced Killing of Female Onchocerca volvulus Worms in an Area with Persistent Microfilaridermia after Repeated Ivermectin Treatment: A Randomized, Placebo-Controlled, Double-Blind Trial","type":"article-journal","volume":"61"}}],"schema":"https://github.com/citation-style-language/schema/raw/master/csl-citation.json"}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[88]</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F046E9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814958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w:t>
            </w:r>
          </w:p>
        </w:tc>
        <w:tc>
          <w:tcPr>
            <w:tcW w:w="3202" w:type="dxa"/>
            <w:noWrap/>
            <w:hideMark/>
          </w:tcPr>
          <w:p w14:paraId="48B8B4E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Tain  </w:t>
            </w:r>
          </w:p>
        </w:tc>
        <w:tc>
          <w:tcPr>
            <w:tcW w:w="7353" w:type="dxa"/>
            <w:noWrap/>
            <w:hideMark/>
          </w:tcPr>
          <w:p w14:paraId="7101EF7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6E963485" w14:textId="77777777" w:rsidTr="0025647A">
        <w:trPr>
          <w:trHeight w:val="312"/>
        </w:trPr>
        <w:tc>
          <w:tcPr>
            <w:tcW w:w="1316" w:type="dxa"/>
            <w:noWrap/>
            <w:hideMark/>
          </w:tcPr>
          <w:p w14:paraId="25AF7FFC" w14:textId="1789159C"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Mubarik 2015)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UIhWIHac","properties":{"formattedCitation":"[89]","plainCitation":"[89]","noteIndex":0},"citationItems":[{"id":"kQ8JjSWs/oWHcqOye","uris":["http://www.mendeley.com/documents/?uuid=ae810695-c66f-3454-8393-c4801385149a"],"itemData":{"author":[{"dropping-particle":"","family":"Mubarik","given":"Yusif","non-dropping-particle":"","parse-names":false,"suffix":""}],"container-title":"KNUSTSpace","id":"ITEM-1","issued":{"date-parts":[["2015"]]},"publisher":"Kwame Nkrumah University of Science and Technology","title":"Microfilaridermia assessment of the efficacy of Ivermectin alone and Ivermectin plus Albendazole against Onchocerciasis","type":"thesis"}}],"schema":"https://github.com/citation-style-language/schema/raw/master/csl-citation.json"}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[89]</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8CDC06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685A67A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Ashanti </w:t>
            </w:r>
          </w:p>
        </w:tc>
        <w:tc>
          <w:tcPr>
            <w:tcW w:w="3202" w:type="dxa"/>
            <w:noWrap/>
            <w:hideMark/>
          </w:tcPr>
          <w:p w14:paraId="6F46B19A"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Adansi</w:t>
            </w:r>
            <w:proofErr w:type="spellEnd"/>
            <w:r w:rsidRPr="00AE371D">
              <w:rPr>
                <w:rFonts w:ascii="Times New Roman" w:eastAsia="Times New Roman" w:hAnsi="Times New Roman" w:cs="Times New Roman"/>
                <w:kern w:val="0"/>
                <w:sz w:val="20"/>
                <w:szCs w:val="20"/>
                <w14:ligatures w14:val="none"/>
              </w:rPr>
              <w:t xml:space="preserve"> South </w:t>
            </w:r>
          </w:p>
        </w:tc>
        <w:tc>
          <w:tcPr>
            <w:tcW w:w="7353" w:type="dxa"/>
            <w:noWrap/>
            <w:hideMark/>
          </w:tcPr>
          <w:p w14:paraId="0618558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23AEDB2F" w14:textId="77777777" w:rsidTr="0025647A">
        <w:trPr>
          <w:trHeight w:val="312"/>
        </w:trPr>
        <w:tc>
          <w:tcPr>
            <w:tcW w:w="1316" w:type="dxa"/>
            <w:noWrap/>
            <w:hideMark/>
          </w:tcPr>
          <w:p w14:paraId="1369C4A9" w14:textId="7D439A1A"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lastRenderedPageBreak/>
              <w:t>Sumboh</w:t>
            </w:r>
            <w:proofErr w:type="spellEnd"/>
            <w:r w:rsidRPr="00AE371D">
              <w:rPr>
                <w:rFonts w:ascii="Times New Roman" w:eastAsia="Times New Roman" w:hAnsi="Times New Roman" w:cs="Times New Roman"/>
                <w:kern w:val="0"/>
                <w:sz w:val="20"/>
                <w:szCs w:val="20"/>
                <w14:ligatures w14:val="none"/>
              </w:rPr>
              <w:t xml:space="preserve"> (2016)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{"citationID":"GOUPIfcx","properties":{"formattedCitation":"[90]","plainCitation":"[90]","noteIndex":0},"citationItems":[{"id":"kQ8JjSWs/QsOojveY","uris":["http://www.mendeley.com/documents/?uuid=2441d919-b0f3-4f69-a711-e467ceb840ce"],"itemData":{"abstract":"Onchocerciasis is one of the debilitating neglected tropical diseases that manifests in blindness at later stages. Ivermectin has been proven to clear microfilariae and is therefore being distributed in endemic communities. Adherence to ivermectin treatment is a major challenge in the implementation of the community directed treatment strategy. Some individuals do not adhere to the bi-annual treatment accounting for the continuity of onchocerciasis transmission. Objective","author":[{"dropping-particle":"","family":"Sumboh","given":"Jeffrey Gabriel","non-dropping-particle":"","parse-names":false,"suffix":""}],"container-title":"UGSpace","id":"ITEM-1","issue":"10703611","issued":{"date-parts":[["2016"]]},"number-of-pages":"1-68","publisher":"University of Ghana","title":"Adherence to Community Directed Treatment with Ivermectin for Onchocerciasis Elimination in Abekwai, Tain District, Ghana.","type":"thesis"}}],"schema":"https://github.com/citation-style-language/schema/raw/master/csl-citation.json"}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[90]</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BAA421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2DB5424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w:t>
            </w:r>
          </w:p>
        </w:tc>
        <w:tc>
          <w:tcPr>
            <w:tcW w:w="3202" w:type="dxa"/>
            <w:noWrap/>
            <w:hideMark/>
          </w:tcPr>
          <w:p w14:paraId="1DBC1E7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Tain </w:t>
            </w:r>
          </w:p>
        </w:tc>
        <w:tc>
          <w:tcPr>
            <w:tcW w:w="7353" w:type="dxa"/>
            <w:noWrap/>
            <w:hideMark/>
          </w:tcPr>
          <w:p w14:paraId="54E9AD6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1C007DE5" w14:textId="77777777" w:rsidTr="0025647A">
        <w:trPr>
          <w:trHeight w:val="312"/>
        </w:trPr>
        <w:tc>
          <w:tcPr>
            <w:tcW w:w="1316" w:type="dxa"/>
            <w:noWrap/>
            <w:hideMark/>
          </w:tcPr>
          <w:p w14:paraId="061B507A" w14:textId="2B3C55EA"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Lagatie</w:t>
            </w:r>
            <w:proofErr w:type="spellEnd"/>
            <w:r w:rsidRPr="00AE371D">
              <w:rPr>
                <w:rFonts w:ascii="Times New Roman" w:eastAsia="Times New Roman" w:hAnsi="Times New Roman" w:cs="Times New Roman"/>
                <w:kern w:val="0"/>
                <w:sz w:val="20"/>
                <w:szCs w:val="20"/>
                <w14:ligatures w14:val="none"/>
              </w:rPr>
              <w:t xml:space="preserve"> (2016)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t1KUz9ID","properties":{"formattedCitation":"[91]","plainCitation":"[91]","noteIndex":0},"citationItems":[{"id":"kQ8JjSWs/pkgwYg8z","uris":["http://www.mendeley.com/documents/?uuid=e815144d-c936-308b-a68f-2e42b329fc47"],"itemData":{"DOI":"10.1186/s13071-016-1913-7","ISSN":"17563305","PMID":"27906100","abstract":"Background: Diagnostic procedures for the diagnosis of infection with the nematode parasite Onchocerca volvulus are currently based on the microscopic detection of microfilariae in skin biopsies. Alternative approaches based on amplification of parasitic DNA in these skin biopsies are currently being explored. Mostly this is based on the detection of the O-150 repeat sequence using PCR based techniques. Methods: An isothermal, loop-mediated amplification method has been designed using the mitochondrial O. volvulus cox1 gene as a target. Results: Analysis of dilution series of synthetic DNA containing the targeted sequence show a non-linear dose-response curve, as is usually the case for isothermal amplification methods. Evaluation of cross-reactivity with the heterologous sequence from the closely related parasites Wuchereria bancrofti, Loa loa and Brugia malayi demonstrated strong specificity, as none of these sequences was amplified. The assay however amplified both O. volvulus and O. ochengi DNA, but with a different melting point that can be used to discriminate between the species. Evaluation of this assay in a set of skin snip biopsies collected in an endemic area in Ghana showed a high correlation with O-150 qPCR and also demonstrated a similar sensitivity. Compared to qPCR, LAMP had a sensitivity of 88.2% and a specificity of 99.2%. Conclusions: We have developed a sensitive and specific loop-mediated amplification method for detection of O. volvulus DNA in skin biopsies that is capable of providing results within 30 min.","author":[{"dropping-particle":"","family":"Lagatie","given":"Ole","non-dropping-particle":"","parse-names":false,"suffix":""},{"dropping-particle":"","family":"Merino","given":"Michelle","non-dropping-particle":"","parse-names":false,"suffix":""},{"dropping-particle":"","family":"Batsa Debrah","given":"Linda","non-dropping-particle":"","parse-names":false,"suffix":""},{"dropping-particle":"","family":"Debrah","given":"Alexander Y.","non-dropping-particle":"","parse-names":false,"suffix":""},{"dropping-particle":"","family":"Stuyver","given":"Lieven J.","non-dropping-particle":"","parse-names":false,"suffix":""}],"container-title":"Parasites and Vectors","id":"ITEM-1","issue":"1","issued":{"date-parts":[["2016","12","1"]]},"page":"1-9","publisher":"BioMed Central","title":"An isothermal DNA amplification method for detection of Onchocerca volvulus infection in skin biopsies","type":"article-journal","volume":"9"}}],"schema":"https://github.com/citation-style-language/schema/raw/master/csl-citation.json"}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[91]</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0EB06D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3372AB5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Ashanti </w:t>
            </w:r>
          </w:p>
        </w:tc>
        <w:tc>
          <w:tcPr>
            <w:tcW w:w="3202" w:type="dxa"/>
            <w:noWrap/>
            <w:hideMark/>
          </w:tcPr>
          <w:p w14:paraId="51231F43"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Adansi</w:t>
            </w:r>
            <w:proofErr w:type="spellEnd"/>
            <w:r w:rsidRPr="00AE371D">
              <w:rPr>
                <w:rFonts w:ascii="Times New Roman" w:eastAsia="Times New Roman" w:hAnsi="Times New Roman" w:cs="Times New Roman"/>
                <w:kern w:val="0"/>
                <w:sz w:val="20"/>
                <w:szCs w:val="20"/>
                <w14:ligatures w14:val="none"/>
              </w:rPr>
              <w:t xml:space="preserve"> South</w:t>
            </w:r>
          </w:p>
        </w:tc>
        <w:tc>
          <w:tcPr>
            <w:tcW w:w="7353" w:type="dxa"/>
            <w:noWrap/>
            <w:hideMark/>
          </w:tcPr>
          <w:p w14:paraId="4B73293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7320D31A" w14:textId="77777777" w:rsidTr="0025647A">
        <w:trPr>
          <w:trHeight w:val="312"/>
        </w:trPr>
        <w:tc>
          <w:tcPr>
            <w:tcW w:w="1316" w:type="dxa"/>
            <w:noWrap/>
            <w:hideMark/>
          </w:tcPr>
          <w:p w14:paraId="59EA710A" w14:textId="28C8C496"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Frempong (2016)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IPBM8mvK","properties":{"formattedCitation":"[92]","plainCitation":"[92]","noteIndex":0},"citationItems":[{"id":"kQ8JjSWs/GRA3dM6R","uris":["http://www.mendeley.com/documents/?uuid=8ccee11c-bfbd-3698-87fe-799d87598377"],"itemData":{"DOI":"10.1093/cid/ciw144","ISSN":"1058-4838","PMID":"27001801","abstract":"Background. Several African countries have adopted a biannual ivermectin distribution strategy in some foci to control and eliminate onchocerciasis. In 2010, the Ghana Health Service started biannual distribution to combat transmission hotspots and suboptimal responses to treatment. We assessed the epidemiological impact of the first 3 years of this strategy and quantified responses to ivermectin over 2 consecutive rounds of treatment in 10 sentinel communities. Methods. We evaluated Onchocerca volvulus community microfilarial intensity and prevalence in persons aged ≥20 years before the first, second, and fifth (or sixth) biannual treatment rounds using skin snip data from 956 participants. We used longitudinal regression modeling to estimate rates of microfilarial repopulation of the skin in a cohort of 217 participants who were followed up over the first 2 rounds of biannual treatment. Results. Biannual treatment has had a positive impact, with substantial reductions in infection intensity after 4 or 5 rounds in most communities. We identified 3 communities - all having been previously recognized as responding suboptimally to ivermectin - with statistically significantly high microfilarial repopulation rates. We did not find any clear association between microfilarial repopulation rate and the number of years of prior intervention, coverage, or the community level of infection. Conclusions. The strategy of biannual ivermectin treatment in Ghana has reduced O. volvulus microfilarial intensity and prevalence, but suboptimal responses to treatment remain evident in a number of previously and consistently implicated communities. Whether increasing the frequency of treatment will be sufficient to meet the World Health Organization's 2020 elimination goals remains uncertain.","author":[{"dropping-particle":"","family":"Frempong","given":"Kwadwo K.","non-dropping-particle":"","parse-names":false,"suffix":""},{"dropping-particle":"","family":"Walker","given":"Martin","non-dropping-particle":"","parse-names":false,"suffix":""},{"dropping-particle":"","family":"Cheke","given":"Robert A.","non-dropping-particle":"","parse-names":false,"suffix":""},{"dropping-particle":"","family":"Tetevi","given":"Edward Jenner","non-dropping-particle":"","parse-names":false,"suffix":""},{"dropping-particle":"","family":"Gyan","given":"Ernest Tawiah","non-dropping-particle":"","parse-names":false,"suffix":""},{"dropping-particle":"","family":"Owusu","given":"Ebenezer O.","non-dropping-particle":"","parse-names":false,"suffix":""},{"dropping-particle":"","family":"Wilson","given":"Michael D.","non-dropping-particle":"","parse-names":false,"suffix":""},{"dropping-particle":"","family":"Boakye","given":"Daniel A.","non-dropping-particle":"","parse-names":false,"suffix":""},{"dropping-particle":"","family":"Taylor","given":"Mark J.","non-dropping-particle":"","parse-names":false,"suffix":""},{"dropping-particle":"","family":"Biritwum","given":"Nana-Kwadwo","non-dropping-particle":"","parse-names":false,"suffix":""},{"dropping-particle":"","family":"Osei-Atweneboana","given":"Mike","non-dropping-particle":"","parse-names":false,"suffix":""},{"dropping-particle":"","family":"Basáñez","given":"María-Gloria","non-dropping-particle":"","parse-names":false,"suffix":""}],"container-title":"Clinical Infectious Diseases","id":"ITEM-1","issue":"11","issued":{"date-parts":[["2016","6","1"]]},"page":"1338-1347","publisher":"Oxford University Press","title":"Does Increasing Treatment Frequency Address Suboptimal Responses to Ivermectin for the Control and Elimination of River Blindness?","type":"article-journal","volume":"62"}}],"schema":"https://github.com/citation-style-language/schema/raw/master/csl-citation.json"}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[92]</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11FF64F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0DD1843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Savannah </w:t>
            </w:r>
          </w:p>
        </w:tc>
        <w:tc>
          <w:tcPr>
            <w:tcW w:w="3202" w:type="dxa"/>
            <w:noWrap/>
            <w:hideMark/>
          </w:tcPr>
          <w:p w14:paraId="39CA111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 information</w:t>
            </w:r>
          </w:p>
        </w:tc>
        <w:tc>
          <w:tcPr>
            <w:tcW w:w="7353" w:type="dxa"/>
            <w:noWrap/>
            <w:hideMark/>
          </w:tcPr>
          <w:p w14:paraId="17FD7FE9"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Agborlekame</w:t>
            </w:r>
            <w:proofErr w:type="spellEnd"/>
            <w:r w:rsidRPr="00AE371D">
              <w:rPr>
                <w:rFonts w:ascii="Times New Roman" w:eastAsia="Times New Roman" w:hAnsi="Times New Roman" w:cs="Times New Roman"/>
                <w:kern w:val="0"/>
                <w:sz w:val="20"/>
                <w:szCs w:val="20"/>
                <w14:ligatures w14:val="none"/>
              </w:rPr>
              <w:t xml:space="preserve"> 1, </w:t>
            </w:r>
            <w:proofErr w:type="spellStart"/>
            <w:r w:rsidRPr="00AE371D">
              <w:rPr>
                <w:rFonts w:ascii="Times New Roman" w:eastAsia="Times New Roman" w:hAnsi="Times New Roman" w:cs="Times New Roman"/>
                <w:kern w:val="0"/>
                <w:sz w:val="20"/>
                <w:szCs w:val="20"/>
                <w14:ligatures w14:val="none"/>
              </w:rPr>
              <w:t>Asubenden</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Baaya</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Jagbenbendo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Kyingakrom</w:t>
            </w:r>
            <w:proofErr w:type="spellEnd"/>
            <w:r w:rsidRPr="00AE371D">
              <w:rPr>
                <w:rFonts w:ascii="Times New Roman" w:eastAsia="Times New Roman" w:hAnsi="Times New Roman" w:cs="Times New Roman"/>
                <w:kern w:val="0"/>
                <w:sz w:val="20"/>
                <w:szCs w:val="20"/>
                <w14:ligatures w14:val="none"/>
              </w:rPr>
              <w:t xml:space="preserve">, New </w:t>
            </w:r>
            <w:proofErr w:type="spellStart"/>
            <w:r w:rsidRPr="00AE371D">
              <w:rPr>
                <w:rFonts w:ascii="Times New Roman" w:eastAsia="Times New Roman" w:hAnsi="Times New Roman" w:cs="Times New Roman"/>
                <w:kern w:val="0"/>
                <w:sz w:val="20"/>
                <w:szCs w:val="20"/>
                <w14:ligatures w14:val="none"/>
              </w:rPr>
              <w:t>Longoro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Ohiampe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Senyase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Takumdo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Wiae</w:t>
            </w:r>
            <w:proofErr w:type="spellEnd"/>
          </w:p>
        </w:tc>
      </w:tr>
      <w:tr w:rsidR="00AE371D" w:rsidRPr="00AE371D" w14:paraId="5D4CBC03" w14:textId="77777777" w:rsidTr="0025647A">
        <w:trPr>
          <w:trHeight w:val="624"/>
        </w:trPr>
        <w:tc>
          <w:tcPr>
            <w:tcW w:w="1316" w:type="dxa"/>
            <w:noWrap/>
            <w:hideMark/>
          </w:tcPr>
          <w:p w14:paraId="4D4F74E5" w14:textId="0B9C2D69"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Ahiadorme (2016)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ttIZwojo","properties":{"formattedCitation":"[93]","plainCitation":"[93]","noteIndex":0},"citationItems":[{"id":"kQ8JjSWs/d1pU5kSV","uris":["http://www.mendeley.com/documents/?uuid=a4bfe64b-d1f9-4229-8def-263a46a4fe0f"],"itemData":{"author":[{"dropping-particle":"","family":"Ahiadorme","given":"Monica","non-dropping-particle":"","parse-names":false,"suffix":""}],"container-title":"KNUSTSpace","id":"ITEM-1","issue":"June","issued":{"date-parts":[["2016"]]},"publisher":"Kwame Nkrumah University of Science and Technology","title":"The Impact of Ten Years of Ivermectin Mass Drug Administration on the Level of Endemicity and Intensity of Onchocerca Volvulus Infection in the Aowin District of Ghana","type":"thesis"}}],"schema":"https://github.com/citation-style-language/schema/raw/master/csl-citation.json"}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[93]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7C44571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64CF299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Western North </w:t>
            </w:r>
          </w:p>
        </w:tc>
        <w:tc>
          <w:tcPr>
            <w:tcW w:w="3202" w:type="dxa"/>
            <w:noWrap/>
            <w:hideMark/>
          </w:tcPr>
          <w:p w14:paraId="7A7C2E7E"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Aowin</w:t>
            </w:r>
            <w:proofErr w:type="spellEnd"/>
            <w:r w:rsidRPr="00AE371D">
              <w:rPr>
                <w:rFonts w:ascii="Times New Roman" w:eastAsia="Times New Roman" w:hAnsi="Times New Roman" w:cs="Times New Roman"/>
                <w:kern w:val="0"/>
                <w:sz w:val="20"/>
                <w:szCs w:val="20"/>
                <w14:ligatures w14:val="none"/>
              </w:rPr>
              <w:t xml:space="preserve"> </w:t>
            </w:r>
          </w:p>
        </w:tc>
        <w:tc>
          <w:tcPr>
            <w:tcW w:w="7353" w:type="dxa"/>
            <w:hideMark/>
          </w:tcPr>
          <w:p w14:paraId="09109C66"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Abotareye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Agyyyeikrom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Aleobo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Amoakrom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Amowie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Anwiafutu</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Anwiafutu</w:t>
            </w:r>
            <w:proofErr w:type="spellEnd"/>
            <w:r w:rsidRPr="00AE371D">
              <w:rPr>
                <w:rFonts w:ascii="Times New Roman" w:eastAsia="Times New Roman" w:hAnsi="Times New Roman" w:cs="Times New Roman"/>
                <w:kern w:val="0"/>
                <w:sz w:val="20"/>
                <w:szCs w:val="20"/>
                <w14:ligatures w14:val="none"/>
              </w:rPr>
              <w:t xml:space="preserve"> No2, </w:t>
            </w:r>
            <w:proofErr w:type="spellStart"/>
            <w:r w:rsidRPr="00AE371D">
              <w:rPr>
                <w:rFonts w:ascii="Times New Roman" w:eastAsia="Times New Roman" w:hAnsi="Times New Roman" w:cs="Times New Roman"/>
                <w:kern w:val="0"/>
                <w:sz w:val="20"/>
                <w:szCs w:val="20"/>
                <w14:ligatures w14:val="none"/>
              </w:rPr>
              <w:t>Bodiewu</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Bowohomoden</w:t>
            </w:r>
            <w:proofErr w:type="spellEnd"/>
            <w:r w:rsidRPr="00AE371D">
              <w:rPr>
                <w:rFonts w:ascii="Times New Roman" w:eastAsia="Times New Roman" w:hAnsi="Times New Roman" w:cs="Times New Roman"/>
                <w:kern w:val="0"/>
                <w:sz w:val="20"/>
                <w:szCs w:val="20"/>
                <w14:ligatures w14:val="none"/>
              </w:rPr>
              <w:t xml:space="preserve">, Camp 4, </w:t>
            </w:r>
            <w:proofErr w:type="spellStart"/>
            <w:r w:rsidRPr="00AE371D">
              <w:rPr>
                <w:rFonts w:ascii="Times New Roman" w:eastAsia="Times New Roman" w:hAnsi="Times New Roman" w:cs="Times New Roman"/>
                <w:kern w:val="0"/>
                <w:sz w:val="20"/>
                <w:szCs w:val="20"/>
                <w14:ligatures w14:val="none"/>
              </w:rPr>
              <w:t>Disueano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Eboebo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Gyasikrom</w:t>
            </w:r>
            <w:proofErr w:type="spellEnd"/>
            <w:r w:rsidRPr="00AE371D">
              <w:rPr>
                <w:rFonts w:ascii="Times New Roman" w:eastAsia="Times New Roman" w:hAnsi="Times New Roman" w:cs="Times New Roman"/>
                <w:kern w:val="0"/>
                <w:sz w:val="20"/>
                <w:szCs w:val="20"/>
                <w14:ligatures w14:val="none"/>
              </w:rPr>
              <w:t xml:space="preserve">, James Adom, Kojo Bortey, </w:t>
            </w:r>
            <w:proofErr w:type="spellStart"/>
            <w:r w:rsidRPr="00AE371D">
              <w:rPr>
                <w:rFonts w:ascii="Times New Roman" w:eastAsia="Times New Roman" w:hAnsi="Times New Roman" w:cs="Times New Roman"/>
                <w:kern w:val="0"/>
                <w:sz w:val="20"/>
                <w:szCs w:val="20"/>
                <w14:ligatures w14:val="none"/>
              </w:rPr>
              <w:t>Kordjour</w:t>
            </w:r>
            <w:proofErr w:type="spellEnd"/>
            <w:r w:rsidRPr="00AE371D">
              <w:rPr>
                <w:rFonts w:ascii="Times New Roman" w:eastAsia="Times New Roman" w:hAnsi="Times New Roman" w:cs="Times New Roman"/>
                <w:kern w:val="0"/>
                <w:sz w:val="20"/>
                <w:szCs w:val="20"/>
                <w14:ligatures w14:val="none"/>
              </w:rPr>
              <w:t>, Kwaku Atta No1, Kwaku Atta No2, Nkwanta No2, Pillar 3</w:t>
            </w:r>
          </w:p>
        </w:tc>
      </w:tr>
      <w:tr w:rsidR="00AE371D" w:rsidRPr="00AE371D" w14:paraId="00F925D7" w14:textId="77777777" w:rsidTr="0025647A">
        <w:trPr>
          <w:trHeight w:val="312"/>
        </w:trPr>
        <w:tc>
          <w:tcPr>
            <w:tcW w:w="1316" w:type="dxa"/>
            <w:noWrap/>
            <w:hideMark/>
          </w:tcPr>
          <w:p w14:paraId="63D59974" w14:textId="2FD2FD32"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Klarmann-Schulz (2017)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bmGP4LIP","properties":{"formattedCitation":"[94]","plainCitation":"[94]","noteIndex":0},"citationItems":[{"id":"kQ8JjSWs/A39Nt7oD","uris":["http://www.mendeley.com/documents/?uuid=f73949b0-e391-4cb5-a8bc-1c80a4a23eba"],"itemData":{"DOI":"10.1371/journal.pntd.0005156","ISBN":"1111111111","ISSN":"19352735","PMID":"28056021","abstract":"The search for new macrofilaricidal drugs against onchocerciasis that can be administered in shorter regimens than required for doxycycline (DOX, 200mg/d given for 4–6 weeks), identified minocycline (MIN) with superior efficacy to DOX. Further reduction in the treatment regimen may be achieved with co-administration with standard anti-filarial drugs. Therefore a randomized, open-label, pilot trial was carried out in an area in Ghana endemic for onchocerciasis, comprising 5 different regimens: the standard regimen DOX 200mg/d for 4 weeks (DOX 4w, N = 33), the experimental regimens MIN 200mg/d for 3 weeks (MIN 3w; N = 30), DOX 200mg/d for 3 weeks plus albendazole (ALB) 800mg/d for 3 days (DOX 3w + ALB 3d, N = 32), DOX 200mg/d for 3 weeks (DOX 3w, N = 31) and ALB 800mg for 3 days (ALB 3d, N = 30). Out of 158 randomized participants, 116 (74.4%) were present for the follow-up at 6 months of whom 99 participants (63.5%) followed the treatment per protocol and underwent surgery. Histological analysis of the adult worms in the extirpated nodules revealed absence of Wolbachia in 98.8% (DOX 4w), 81.4% (DOX 3w + ALB 3d), 72.7% (MIN 3w), 64.1% (DOX 3w) and 35.2% (ALB 3d) of the female worms. All 4 treatment regimens showed superiority to ALB 3d (p &lt; 0.001, p &lt; 0.001, p = 0.002, p = 0.008, respectively), which was confirmed by real-time PCR. Additionally, DOX 4w showed superiority to all other treatment arms. Furthermore DOX 4w and DOX 3w + ALB 3d showed a higher amount of female worms with degenerated embryogenesis compared to ALB 3d (p = 0.028, p = 0.042, respectively). These results confirm earlier studies that DOX 4w is sufficient for Wolbachia depletion and the desired parasitological effects. The data further suggest that there is an additive effect of ALB (3 days) on top of that of DOX alone, and that MIN shows a trend for stronger potency than DOX. These latter two results are preliminary and need confirmation in a fully randomized controlled phase 2 trial. Trial Registration: ClinicalTrials.gov #06010453","author":[{"dropping-particle":"","family":"Klarmann-Schulz","given":"Ute","non-dropping-particle":"","parse-names":false,"suffix":""},{"dropping-particle":"","family":"Specht","given":"Sabine","non-dropping-particle":"","parse-names":false,"suffix":""},{"dropping-particle":"","family":"Debrah","given":"Alexander Yaw","non-dropping-particle":"","parse-names":false,"suffix":""},{"dropping-particle":"","family":"Batsa","given":"Linda","non-dropping-particle":"","parse-names":false,"suffix":""},{"dropping-particle":"","family":"Ayisi-Boateng","given":"Nana Kwame","non-dropping-particle":"","parse-names":false,"suffix":""},{"dropping-particle":"","family":"Osei-Mensah","given":"Jubin","non-dropping-particle":"","parse-names":false,"suffix":""},{"dropping-particle":"","family":"Mubarik","given":"Yusif","non-dropping-particle":"","parse-names":false,"suffix":""},{"dropping-particle":"","family":"Konadu","given":"Peter","non-dropping-particle":"","parse-names":false,"suffix":""},{"dropping-particle":"","family":"Ricchiuto","given":"Arcangelo","non-dropping-particle":"","parse-names":false,"suffix":""},{"dropping-particle":"","family":"Fimmers","given":"Rolf","non-dropping-particle":"","parse-names":false,"suffix":""},{"dropping-particle":"","family":"Arriens","given":"Sandra","non-dropping-particle":"","parse-names":false,"suffix":""},{"dropping-particle":"","family":"Dubben","given":"Bettina","non-dropping-particle":"","parse-names":false,"suffix":""},{"dropping-particle":"","family":"Ford","given":"Louise","non-dropping-particle":"","parse-names":false,"suffix":""},{"dropping-particle":"","family":"Taylor","given":"Mark","non-dropping-particle":"","parse-names":false,"suffix":""},{"dropping-particle":"","family":"Hoerauf","given":"Achim","non-dropping-particle":"","parse-names":false,"suffix":""}],"container-title":"PLoS Neglected Tropical Diseases","id":"ITEM-1","issue":"1","issued":{"date-parts":[["2017"]]},"page":"1-22","title":"Comparison of Doxycycline, Minocycline, Doxycycline plus Albendazole and Albendazole Alone in Their Efficacy against Onchocerciasis in a Randomized, Open-Label, Pilot Trial","type":"article-journal","volume":"11"}}],"schema":"https://github.com/citation-style-language/schema/raw/master/csl-citation.json"}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[94]</w:t>
            </w:r>
            <w:r w:rsidRPr="00AE371D">
              <w:rPr>
                <w:rFonts w:ascii="Times New Roman" w:eastAsia="Times New Roman" w:hAnsi="Times New Roman" w:cs="Times New Roman"/>
                <w:kern w:val="0"/>
                <w:sz w:val="20"/>
                <w:szCs w:val="20"/>
                <w14:ligatures w14:val="none"/>
              </w:rPr>
              <w:fldChar w:fldCharType="end"/>
            </w:r>
            <w:r w:rsidRPr="00AE371D">
              <w:rPr>
                <w:rFonts w:ascii="Times New Roman" w:eastAsia="Times New Roman" w:hAnsi="Times New Roman" w:cs="Times New Roman"/>
                <w:kern w:val="0"/>
                <w:sz w:val="20"/>
                <w:szCs w:val="20"/>
                <w14:ligatures w14:val="none"/>
              </w:rPr>
              <w:t xml:space="preserve"> </w:t>
            </w:r>
          </w:p>
        </w:tc>
        <w:tc>
          <w:tcPr>
            <w:tcW w:w="1102" w:type="dxa"/>
            <w:noWrap/>
            <w:hideMark/>
          </w:tcPr>
          <w:p w14:paraId="146CD33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DF03AF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Central</w:t>
            </w:r>
          </w:p>
        </w:tc>
        <w:tc>
          <w:tcPr>
            <w:tcW w:w="3202" w:type="dxa"/>
            <w:noWrap/>
            <w:hideMark/>
          </w:tcPr>
          <w:p w14:paraId="741359A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Upper and Lower Denkyira</w:t>
            </w:r>
          </w:p>
        </w:tc>
        <w:tc>
          <w:tcPr>
            <w:tcW w:w="7353" w:type="dxa"/>
            <w:noWrap/>
            <w:hideMark/>
          </w:tcPr>
          <w:p w14:paraId="2563CE9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05542A9A" w14:textId="77777777" w:rsidTr="0025647A">
        <w:trPr>
          <w:trHeight w:val="312"/>
        </w:trPr>
        <w:tc>
          <w:tcPr>
            <w:tcW w:w="1316" w:type="dxa"/>
            <w:noWrap/>
            <w:hideMark/>
          </w:tcPr>
          <w:p w14:paraId="712D584F" w14:textId="7F30FEA8"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Klarmann-Schulz 2017)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rAkjT5AO","properties":{"formattedCitation":"[94]","plainCitation":"[94]","noteIndex":0},"citationItems":[{"id":"kQ8JjSWs/A39Nt7oD","uris":["http://www.mendeley.com/documents/?uuid=f73949b0-e391-4cb5-a8bc-1c80a4a23eba"],"itemData":{"DOI":"10.1371/journal.pntd.0005156","ISBN":"1111111111","ISSN":"19352735","PMID":"28056021","abstract":"The search for new macrofilaricidal drugs against onchocerciasis that can be administered in shorter regimens than required for doxycycline (DOX, 200mg/d given for 4–6 weeks), identified minocycline (MIN) with superior efficacy to DOX. Further reduction in the treatment regimen may be achieved with co-administration with standard anti-filarial drugs. Therefore a randomized, open-label, pilot trial was carried out in an area in Ghana endemic for onchocerciasis, comprising 5 different regimens: the standard regimen DOX 200mg/d for 4 weeks (DOX 4w, N = 33), the experimental regimens MIN 200mg/d for 3 weeks (MIN 3w; N = 30), DOX 200mg/d for 3 weeks plus albendazole (ALB) 800mg/d for 3 days (DOX 3w + ALB 3d, N = 32), DOX 200mg/d for 3 weeks (DOX 3w, N = 31) and ALB 800mg for 3 days (ALB 3d, N = 30). Out of 158 randomized participants, 116 (74.4%) were present for the follow-up at 6 months of whom 99 participants (63.5%) followed the treatment per protocol and underwent surgery. Histological analysis of the adult worms in the extirpated nodules revealed absence of Wolbachia in 98.8% (DOX 4w), 81.4% (DOX 3w + ALB 3d), 72.7% (MIN 3w), 64.1% (DOX 3w) and 35.2% (ALB 3d) of the female worms. All 4 treatment regimens showed superiority to ALB 3d (p &lt; 0.001, p &lt; 0.001, p = 0.002, p = 0.008, respectively), which was confirmed by real-time PCR. Additionally, DOX 4w showed superiority to all other treatment arms. Furthermore DOX 4w and DOX 3w + ALB 3d showed a higher amount of female worms with degenerated embryogenesis compared to ALB 3d (p = 0.028, p = 0.042, respectively). These results confirm earlier studies that DOX 4w is sufficient for Wolbachia depletion and the desired parasitological effects. The data further suggest that there is an additive effect of ALB (3 days) on top of that of DOX alone, and that MIN shows a trend for stronger potency than DOX. These latter two results are preliminary and need confirmation in a fully randomized controlled phase 2 trial. Trial Registration: ClinicalTrials.gov #06010453","author":[{"dropping-particle":"","family":"Klarmann-Schulz","given":"Ute","non-dropping-particle":"","parse-names":false,"suffix":""},{"dropping-particle":"","family":"Specht","given":"Sabine","non-dropping-particle":"","parse-names":false,"suffix":""},{"dropping-particle":"","family":"Debrah","given":"Alexander Yaw","non-dropping-particle":"","parse-names":false,"suffix":""},{"dropping-particle":"","family":"Batsa","given":"Linda","non-dropping-particle":"","parse-names":false,"suffix":""},{"dropping-particle":"","family":"Ayisi-Boateng","given":"Nana Kwame","non-dropping-particle":"","parse-names":false,"suffix":""},{"dropping-particle":"","family":"Osei-Mensah","given":"Jubin","non-dropping-particle":"","parse-names":false,"suffix":""},{"dropping-particle":"","family":"Mubarik","given":"Yusif","non-dropping-particle":"","parse-names":false,"suffix":""},{"dropping-particle":"","family":"Konadu","given":"Peter","non-dropping-particle":"","parse-names":false,"suffix":""},{"dropping-particle":"","family":"Ricchiuto","given":"Arcangelo","non-dropping-particle":"","parse-names":false,"suffix":""},{"dropping-particle":"","family":"Fimmers","given":"Rolf","non-dropping-particle":"","parse-names":false,"suffix":""},{"dropping-particle":"","family":"Arriens","given":"Sandra","non-dropping-particle":"","parse-names":false,"suffix":""},{"dropping-particle":"","family":"Dubben","given":"Bettina","non-dropping-particle":"","parse-names":false,"suffix":""},{"dropping-particle":"","family":"Ford","given":"Louise","non-dropping-particle":"","parse-names":false,"suffix":""},{"dropping-particle":"","family":"Taylor","given":"Mark","non-dropping-particle":"","parse-names":false,"suffix":""},{"dropping-particle":"","family":"Hoerauf","given":"Achim","non-dropping-particle":"","parse-names":false,"suffix":""}],"container-title":"PLoS Neglected Tropical Diseases","id":"ITEM-1","issue":"1","issued":{"date-parts":[["2017"]]},"page":"1-22","title":"Comparison of Doxycycline, Minocycline, Doxycycline plus Albendazole and Albendazole Alone in Their Efficacy against Onchocerciasis in a Randomized, Open-Label, Pilot Trial","type":"article-journal","volume":"11"}}],"schema":"https://github.com/citation-style-language/schema/raw/master/csl-citation.json"}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[94]</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73A1B92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1E49B6B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Ashanti </w:t>
            </w:r>
          </w:p>
        </w:tc>
        <w:tc>
          <w:tcPr>
            <w:tcW w:w="3202" w:type="dxa"/>
            <w:noWrap/>
            <w:hideMark/>
          </w:tcPr>
          <w:p w14:paraId="0CF322FC"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Amansie</w:t>
            </w:r>
            <w:proofErr w:type="spellEnd"/>
            <w:r w:rsidRPr="00AE371D">
              <w:rPr>
                <w:rFonts w:ascii="Times New Roman" w:eastAsia="Times New Roman" w:hAnsi="Times New Roman" w:cs="Times New Roman"/>
                <w:kern w:val="0"/>
                <w:sz w:val="20"/>
                <w:szCs w:val="20"/>
                <w14:ligatures w14:val="none"/>
              </w:rPr>
              <w:t xml:space="preserve"> Central and </w:t>
            </w:r>
            <w:proofErr w:type="spellStart"/>
            <w:r w:rsidRPr="00AE371D">
              <w:rPr>
                <w:rFonts w:ascii="Times New Roman" w:eastAsia="Times New Roman" w:hAnsi="Times New Roman" w:cs="Times New Roman"/>
                <w:kern w:val="0"/>
                <w:sz w:val="20"/>
                <w:szCs w:val="20"/>
                <w14:ligatures w14:val="none"/>
              </w:rPr>
              <w:t>Adanse</w:t>
            </w:r>
            <w:proofErr w:type="spellEnd"/>
            <w:r w:rsidRPr="00AE371D">
              <w:rPr>
                <w:rFonts w:ascii="Times New Roman" w:eastAsia="Times New Roman" w:hAnsi="Times New Roman" w:cs="Times New Roman"/>
                <w:kern w:val="0"/>
                <w:sz w:val="20"/>
                <w:szCs w:val="20"/>
                <w14:ligatures w14:val="none"/>
              </w:rPr>
              <w:t xml:space="preserve"> South</w:t>
            </w:r>
          </w:p>
        </w:tc>
        <w:tc>
          <w:tcPr>
            <w:tcW w:w="7353" w:type="dxa"/>
            <w:noWrap/>
            <w:hideMark/>
          </w:tcPr>
          <w:p w14:paraId="6691E03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1E64FFF1" w14:textId="77777777" w:rsidTr="0025647A">
        <w:trPr>
          <w:trHeight w:val="312"/>
        </w:trPr>
        <w:tc>
          <w:tcPr>
            <w:tcW w:w="1316" w:type="dxa"/>
            <w:noWrap/>
            <w:hideMark/>
          </w:tcPr>
          <w:p w14:paraId="08F31065" w14:textId="0380091F"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YABANI (2017)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7Oz5lfMa","properties":{"formattedCitation":"[95]","plainCitation":"[95]","noteIndex":0},"citationItems":[{"id":"kQ8JjSWs/Nz6ROHZW","uris":["http://www.mendeley.com/documents/?uuid=2a2d5eb7-939e-40cc-9e9f-ac1424c6e2a6"],"itemData":{"ISBN":"0243331940","ISSN":"0028-0836","abstract":"The consequences of living with a chronic condition such as Cerebral Palsy (CP) do not only affect the child but other members of the family. Using the Stress Process Model by Pearlin et al. (1990) as an organising framework, this study investigated the factors influencing the quality of life (QoL) of caregivers of children with CP. The role of social support in ameliorating the negative consequences of the stressors on QoL of caregivers of children with CP was also assessed. The study employed a cross-sectional survey design. Data was collected from 130 caregivers at 37 Military Hospital, Princess Marie-Louis Hospital and two Non-governmental agencies; Givers Never Lack Foundation and Sharecare Ghana. Statistical Package for Social Sciences (SPSS) version 20.0 was used for data analysis. Descriptive statistics, correlation and regression were the statistical tools used for data analysis. The findings revealed that caregivers of children with CP had a lower QoL. They also experienced higher amount of burden and moderate levels of depression, anxiety and stress. The primary and secondary stressors were found to negatively correlate with QoL of caregivers. Secondary Stressors were found to partially mediate the relationship between caregivers’ burden and QoL. There was also a moderating effect of social support on the relationship between the primary stressor and QoL with social support accounting for 44.6% of the variance in QoL. Demographic characteristics of the caregivers collectively explained an insignificant 3.7% of the variance in caregivers’ QoL. These findings have implications for nursing practice and informal caregiving.","author":[{"dropping-particle":"","family":"Yabani","given":"Judith Esinam","non-dropping-particle":"","parse-names":false,"suffix":""}],"container-title":"UGSpace","id":"ITEM-1","issue":"10239410","issued":{"date-parts":[["2017"]]},"number-of-pages":"9012769","publisher":"University of Ghana","title":"Phenotypic and Genotypic Analysis of Onchocerca Volvulus Response to Ivermectin Treatment","type":"thesis"}}],"schema":"https://github.com/citation-style-language/schema/raw/master/csl-citation.json"}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[95]</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FC899E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7DC4268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6905EDB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Pru </w:t>
            </w:r>
          </w:p>
        </w:tc>
        <w:tc>
          <w:tcPr>
            <w:tcW w:w="7353" w:type="dxa"/>
            <w:noWrap/>
            <w:hideMark/>
          </w:tcPr>
          <w:p w14:paraId="237D7101"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Asubende</w:t>
            </w:r>
            <w:proofErr w:type="spellEnd"/>
          </w:p>
        </w:tc>
      </w:tr>
      <w:tr w:rsidR="00AE371D" w:rsidRPr="00AE371D" w14:paraId="5F5D20E0" w14:textId="77777777" w:rsidTr="0025647A">
        <w:trPr>
          <w:trHeight w:val="312"/>
        </w:trPr>
        <w:tc>
          <w:tcPr>
            <w:tcW w:w="1316" w:type="dxa"/>
            <w:noWrap/>
            <w:hideMark/>
          </w:tcPr>
          <w:p w14:paraId="23BB8C75" w14:textId="1B35BDFB"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YABANI (2017)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v2NiEgHO","properties":{"formattedCitation":"[95]","plainCitation":"[95]","noteIndex":0},"citationItems":[{"id":"kQ8JjSWs/Nz6ROHZW","uris":["http://www.mendeley.com/documents/?uuid=2a2d5eb7-939e-40cc-9e9f-ac1424c6e2a6"],"itemData":{"ISBN":"0243331940","ISSN":"0028-0836","abstract":"The consequences of living with a chronic condition such as Cerebral Palsy (CP) do not only affect the child but other members of the family. Using the Stress Process Model by Pearlin et al. (1990) as an organising framework, this study investigated the factors influencing the quality of life (QoL) of caregivers of children with CP. The role of social support in ameliorating the negative consequences of the stressors on QoL of caregivers of children with CP was also assessed. The study employed a cross-sectional survey design. Data was collected from 130 caregivers at 37 Military Hospital, Princess Marie-Louis Hospital and two Non-governmental agencies; Givers Never Lack Foundation and Sharecare Ghana. Statistical Package for Social Sciences (SPSS) version 20.0 was used for data analysis. Descriptive statistics, correlation and regression were the statistical tools used for data analysis. The findings revealed that caregivers of children with CP had a lower QoL. They also experienced higher amount of burden and moderate levels of depression, anxiety and stress. The primary and secondary stressors were found to negatively correlate with QoL of caregivers. Secondary Stressors were found to partially mediate the relationship between caregivers’ burden and QoL. There was also a moderating effect of social support on the relationship between the primary stressor and QoL with social support accounting for 44.6% of the variance in QoL. Demographic characteristics of the caregivers collectively explained an insignificant 3.7% of the variance in caregivers’ QoL. These findings have implications for nursing practice and informal caregiving.","author":[{"dropping-particle":"","family":"Yabani","given":"Judith Esinam","non-dropping-particle":"","parse-names":false,"suffix":""}],"container-title":"UGSpace","id":"ITEM-1","issue":"10239410","issued":{"date-parts":[["2017"]]},"number-of-pages":"9012769","publisher":"University of Ghana","title":"Phenotypic and Genotypic Analysis of Onchocerca Volvulus Response to Ivermectin Treatment","type":"thesis"}}],"schema":"https://github.com/citation-style-language/schema/raw/master/csl-citation.json"}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[95]</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D08180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6A8FA9B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w:t>
            </w:r>
          </w:p>
        </w:tc>
        <w:tc>
          <w:tcPr>
            <w:tcW w:w="3202" w:type="dxa"/>
            <w:noWrap/>
            <w:hideMark/>
          </w:tcPr>
          <w:p w14:paraId="246F19E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Tain</w:t>
            </w:r>
          </w:p>
        </w:tc>
        <w:tc>
          <w:tcPr>
            <w:tcW w:w="7353" w:type="dxa"/>
            <w:noWrap/>
            <w:hideMark/>
          </w:tcPr>
          <w:p w14:paraId="5541FB93"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Kyingakrom</w:t>
            </w:r>
            <w:proofErr w:type="spellEnd"/>
          </w:p>
        </w:tc>
      </w:tr>
      <w:tr w:rsidR="00AE371D" w:rsidRPr="00AE371D" w14:paraId="2D50A097" w14:textId="77777777" w:rsidTr="0025647A">
        <w:trPr>
          <w:trHeight w:val="312"/>
        </w:trPr>
        <w:tc>
          <w:tcPr>
            <w:tcW w:w="1316" w:type="dxa"/>
            <w:noWrap/>
            <w:hideMark/>
          </w:tcPr>
          <w:p w14:paraId="12C30F7D" w14:textId="50AC657C"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YABANI (2017)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6H2iUqSM","properties":{"formattedCitation":"[95]","plainCitation":"[95]","noteIndex":0},"citationItems":[{"id":"kQ8JjSWs/Nz6ROHZW","uris":["http://www.mendeley.com/documents/?uuid=2a2d5eb7-939e-40cc-9e9f-ac1424c6e2a6"],"itemData":{"ISBN":"0243331940","ISSN":"0028-0836","abstract":"The consequences of living with a chronic condition such as Cerebral Palsy (CP) do not only affect the child but other members of the family. Using the Stress Process Model by Pearlin et al. (1990) as an organising framework, this study investigated the factors influencing the quality of life (QoL) of caregivers of children with CP. The role of social support in ameliorating the negative consequences of the stressors on QoL of caregivers of children with CP was also assessed. The study employed a cross-sectional survey design. Data was collected from 130 caregivers at 37 Military Hospital, Princess Marie-Louis Hospital and two Non-governmental agencies; Givers Never Lack Foundation and Sharecare Ghana. Statistical Package for Social Sciences (SPSS) version 20.0 was used for data analysis. Descriptive statistics, correlation and regression were the statistical tools used for data analysis. The findings revealed that caregivers of children with CP had a lower QoL. They also experienced higher amount of burden and moderate levels of depression, anxiety and stress. The primary and secondary stressors were found to negatively correlate with QoL of caregivers. Secondary Stressors were found to partially mediate the relationship between caregivers’ burden and QoL. There was also a moderating effect of social support on the relationship between the primary stressor and QoL with social support accounting for 44.6% of the variance in QoL. Demographic characteristics of the caregivers collectively explained an insignificant 3.7% of the variance in caregivers’ QoL. These findings have implications for nursing practice and informal caregiving.","author":[{"dropping-particle":"","family":"Yabani","given":"Judith Esinam","non-dropping-particle":"","parse-names":false,"suffix":""}],"container-title":"UGSpace","id":"ITEM-1","issue":"10239410","issued":{"date-parts":[["2017"]]},"number-of-pages":"9012769","publisher":"University of Ghana","title":"Phenotypic and Genotypic Analysis of Onchocerca Volvulus Response to Ivermectin Treatment","type":"thesis"}}],"schema":"https://github.com/citation-style-language/schema/raw/master/csl-citation.json"}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[95]</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035E74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0EF689D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Savannah</w:t>
            </w:r>
          </w:p>
        </w:tc>
        <w:tc>
          <w:tcPr>
            <w:tcW w:w="3202" w:type="dxa"/>
            <w:noWrap/>
            <w:hideMark/>
          </w:tcPr>
          <w:p w14:paraId="2312473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Bole</w:t>
            </w:r>
          </w:p>
        </w:tc>
        <w:tc>
          <w:tcPr>
            <w:tcW w:w="7353" w:type="dxa"/>
            <w:noWrap/>
            <w:hideMark/>
          </w:tcPr>
          <w:p w14:paraId="0F438BA3"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Agborlekame</w:t>
            </w:r>
            <w:proofErr w:type="spellEnd"/>
          </w:p>
        </w:tc>
      </w:tr>
      <w:tr w:rsidR="00AE371D" w:rsidRPr="00AE371D" w14:paraId="62607262" w14:textId="77777777" w:rsidTr="0025647A">
        <w:trPr>
          <w:trHeight w:val="312"/>
        </w:trPr>
        <w:tc>
          <w:tcPr>
            <w:tcW w:w="1316" w:type="dxa"/>
            <w:noWrap/>
            <w:hideMark/>
          </w:tcPr>
          <w:p w14:paraId="092D996D" w14:textId="157DE351"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Agyemang (2018)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HFrseMIM","properties":{"formattedCitation":"[96]","plainCitation":"[96]","noteIndex":0},"citationItems":[{"id":"kQ8JjSWs/ov8JFwcZ","uris":["http://www.mendeley.com/documents/?uuid=0427fef7-8d0b-416d-992b-47ba7cb9dfc7"],"itemData":{"DOI":"10.1016/j.actatropica.2018.06.017","ISSN":"18736254","PMID":"29932933","abstract":"The African Programme for Onchocerciasis Control (APOC), which focused on annual mass treatment with ivermectin, was launched in 1995 and was replaced by the Expanded Special Project for Neglected Tropical Diseases (ESPEN) by the end of 2015. In Ghana, the Community Directed Treatment with Ivermectin (CDTI) was introduced in 1999. After a decade, biannual reinforcement was introduced during which the Ghana Health Service (GHS) recorded coverage rates through routine data collection. Transmission studies conducted in the Upper Denkyira East Municipal (UDEM) of the forest zone of Ghana in 2002 and 2006 had shown that annual treatments with ivermectin had hardly any effect on the transmission of Onchocerca volvulus by the vector Simulium sanctipauli. In order to establish whether or not this was due to an insufficient compliance to the CDTI programme, an additional questionnaire survey was carried out in 2013 following those conducted in 2002 and 2006. The repeat transmission survey conducted in 2013 in the same area revealed that the vector S. sanctipauli had apparently disappeared from the rivers Ofin and Pra due to gold mining activities. In 2006 and 2013, we conducted surveys using structured questionnaires to address issues related to compliance and to compare results on the effectiveness of CDTI. A total of 692 individuals from 7 villages and 447 individuals from 9 villages were interviewed in 2006 and 2013 respectively. Questions asked included whether or not they had taken the ivermectin and reasons for not doing so when that was the case. Results were compared with the previous investigations conducted in 2002. Whereas official reported coverage rates ranged from 59 to 85% in 2006 and from 88 to 97% in 2013, compliance rates decreased from 36% in 2006 to 21% in 2013. Factors affecting compliance included fear of unpleasant side effects (pruritus and oedema), which decreased from 36% to 21% for the same period. Lack of awareness of CDTI sharply increased from 12% to 46% for the same period. Participants believed that treatments were no longer necessary due to the absence of vectors observed in 2013. There seems to be a considerable difference between coverage and compliance rates in the study communities. The difference can be attributed to the performance of the Community-Directed Distributors (CDDs) and the absence of the vector population observed in 2013. Discussions with CDDs suggested that factors that led to non-compliance were mostly side e…","author":[{"dropping-particle":"","family":"Agyemang","given":"Abigail Naana Osei","non-dropping-particle":"","parse-names":false,"suffix":""},{"dropping-particle":"","family":"Badu","given":"Kingsley","non-dropping-particle":"","parse-names":false,"suffix":""},{"dropping-particle":"","family":"Baffour-Awuah","given":"Sandra","non-dropping-particle":"","parse-names":false,"suffix":""},{"dropping-particle":"","family":"Owusu-Dabo","given":"Ellis","non-dropping-particle":"","parse-names":false,"suffix":""},{"dropping-particle":"","family":"Biritwum","given":"Nana Kwadwo","non-dropping-particle":"","parse-names":false,"suffix":""},{"dropping-particle":"","family":"Garms","given":"Rolf","non-dropping-particle":"","parse-names":false,"suffix":""},{"dropping-particle":"","family":"Kruppa","given":"Thomas Florian","non-dropping-particle":"","parse-names":false,"suffix":""}],"container-title":"Acta Tropica","id":"ITEM-1","issue":"June","issued":{"date-parts":[["2018"]]},"page":"357-362","title":"Evaluation of onchocerciasis control in the Upper Denkyira East municipal in the forest area of Ghana: Responses of participants and distributors to the CDTI programme","type":"article-journal","volume":"185"}}],"schema":"https://github.com/citation-style-language/schema/raw/master/csl-citation.json"}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[96]</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3563928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47F9647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Central </w:t>
            </w:r>
          </w:p>
        </w:tc>
        <w:tc>
          <w:tcPr>
            <w:tcW w:w="3202" w:type="dxa"/>
            <w:noWrap/>
            <w:hideMark/>
          </w:tcPr>
          <w:p w14:paraId="4590FDA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Upper Denkyira East Municipal</w:t>
            </w:r>
          </w:p>
        </w:tc>
        <w:tc>
          <w:tcPr>
            <w:tcW w:w="7353" w:type="dxa"/>
            <w:noWrap/>
            <w:hideMark/>
          </w:tcPr>
          <w:p w14:paraId="665EEAB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Buabenso, </w:t>
            </w:r>
            <w:proofErr w:type="spellStart"/>
            <w:r w:rsidRPr="00AE371D">
              <w:rPr>
                <w:rFonts w:ascii="Times New Roman" w:eastAsia="Times New Roman" w:hAnsi="Times New Roman" w:cs="Times New Roman"/>
                <w:kern w:val="0"/>
                <w:sz w:val="20"/>
                <w:szCs w:val="20"/>
                <w14:ligatures w14:val="none"/>
              </w:rPr>
              <w:t>Akropon</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Asaman</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Ayebiahwe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Akwanhyiamu</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Nyaduom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Bronikrom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Alhajikrom</w:t>
            </w:r>
            <w:proofErr w:type="spellEnd"/>
            <w:r w:rsidRPr="00AE371D">
              <w:rPr>
                <w:rFonts w:ascii="Times New Roman" w:eastAsia="Times New Roman" w:hAnsi="Times New Roman" w:cs="Times New Roman"/>
                <w:kern w:val="0"/>
                <w:sz w:val="20"/>
                <w:szCs w:val="20"/>
                <w14:ligatures w14:val="none"/>
              </w:rPr>
              <w:t xml:space="preserve">, Bone </w:t>
            </w:r>
            <w:proofErr w:type="spellStart"/>
            <w:r w:rsidRPr="00AE371D">
              <w:rPr>
                <w:rFonts w:ascii="Times New Roman" w:eastAsia="Times New Roman" w:hAnsi="Times New Roman" w:cs="Times New Roman"/>
                <w:kern w:val="0"/>
                <w:sz w:val="20"/>
                <w:szCs w:val="20"/>
                <w14:ligatures w14:val="none"/>
              </w:rPr>
              <w:t>Nsuma</w:t>
            </w:r>
            <w:proofErr w:type="spellEnd"/>
            <w:r w:rsidRPr="00AE371D">
              <w:rPr>
                <w:rFonts w:ascii="Times New Roman" w:eastAsia="Times New Roman" w:hAnsi="Times New Roman" w:cs="Times New Roman"/>
                <w:kern w:val="0"/>
                <w:sz w:val="20"/>
                <w:szCs w:val="20"/>
                <w14:ligatures w14:val="none"/>
              </w:rPr>
              <w:t xml:space="preserve"> and </w:t>
            </w:r>
            <w:proofErr w:type="spellStart"/>
            <w:r w:rsidRPr="00AE371D">
              <w:rPr>
                <w:rFonts w:ascii="Times New Roman" w:eastAsia="Times New Roman" w:hAnsi="Times New Roman" w:cs="Times New Roman"/>
                <w:kern w:val="0"/>
                <w:sz w:val="20"/>
                <w:szCs w:val="20"/>
                <w14:ligatures w14:val="none"/>
              </w:rPr>
              <w:t>Awisam</w:t>
            </w:r>
            <w:proofErr w:type="spellEnd"/>
          </w:p>
        </w:tc>
      </w:tr>
      <w:tr w:rsidR="00AE371D" w:rsidRPr="00AE371D" w14:paraId="2CEF9EAF" w14:textId="77777777" w:rsidTr="0025647A">
        <w:trPr>
          <w:trHeight w:val="312"/>
        </w:trPr>
        <w:tc>
          <w:tcPr>
            <w:tcW w:w="1316" w:type="dxa"/>
            <w:noWrap/>
            <w:hideMark/>
          </w:tcPr>
          <w:p w14:paraId="29110101" w14:textId="7F517725"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Opoku (2018)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dI2ryenq","properties":{"formattedCitation":"[97]","plainCitation":"[97]","noteIndex":0},"citationItems":[{"id":"kQ8JjSWs/NiJi2kgK","uris":["http://www.mendeley.com/documents/?uuid=3f2e4e8e-e17f-49cc-93b9-df4e4698af98"],"itemData":{"DOI":"10.1016/S0140-6736(17)32844-1","ISSN":"1474547X","PMID":"29361335","abstract":"Background: The morbidity and socioeconomic effects of onchocerciasis, a parasitic disease that is primarily endemic in sub-Saharan Africa, have motivated large morbidity and transmission control programmes. Annual community-directed ivermectin treatment has substantially reduced prevalence. Elimination requires intensified efforts, including more efficacious treatments. We compared parasitological efficacy and safety of moxidectin and ivermectin. Methods: This double-blind, parallel group, superiority trial was done in four sites in Ghana, Liberia, and the Democratic Republic of the Congo. We enrolled participants (aged ≥12 years) with at least 10 Onchocerca volvulus microfilariae per mg skin who were not co-infected with Loa loa or lymphatic filariasis microfilaraemic. Participants were randomly allocated, stratified by sex and level of infection, to receive a single oral dose of 8 mg moxidectin or 150 μg/kg ivermectin as overencapsulated oral tablets. The primary efficacy outcome was skin microfilariae density 12 months post treatment. We used a mixed-effects model to test the hypothesis that the primary efficacy outcome in the moxidectin group was 50% or less than that in the ivermectin group. The primary efficacy analysis population were all participants who received the study drug and completed 12-month follow-up (modified intention to treat). This study is registered with ClinicalTrials.gov, number NCT00790998. Findings: Between April 22, 2009, and Jan 23, 2011, we enrolled and allocated 998 participants to moxidectin and 501 participants to ivermectin. 978 received moxidectin and 494 ivermectin, of which 947 and 480 were included in primary efficacy outcome analyses. At 12 months, skin microfilarial density (microfilariae per mg of skin) was lower in the moxidectin group (adjusted geometric mean 0·6 [95% CI 0·3–1·0]) than in the ivermectin group (4·5 [3·5–5·9]; difference 3·9 [3·2–4·9], p&lt;0·0001; treatment difference 86%). Mazzotti (ie, efficacy-related) reactions occurred in 967 (99%) of 978 moxidectin-treated participants and in 478 (97%) of 494 ivermectin-treated participants, including ocular reactions (moxidectin 113 [12%] participants and ivermectin 47 [10%] participants), laboratory reactions (788 [81%] and 415 [84%]), and clinical reactions (944 [97%] and 446 [90%]). No serious adverse events were considered to be related to treatment. Interpretation: Skin microfilarial loads (ie, parasite transmission reservoir) are lower after moxidect…","author":[{"dropping-particle":"","family":"Opoku","given":"Nicholas O.","non-dropping-particle":"","parse-names":false,"suffix":""},{"dropping-particle":"","family":"Bakajika","given":"Didier K.","non-dropping-particle":"","parse-names":false,"suffix":""},{"dropping-particle":"","family":"Kanza","given":"Eric M.","non-dropping-particle":"","parse-names":false,"suffix":""},{"dropping-particle":"","family":"Howard","given":"Hayford","non-dropping-particle":"","parse-names":false,"suffix":""},{"dropping-particle":"","family":"Mambandu","given":"Germain L.","non-dropping-particle":"","parse-names":false,"suffix":""},{"dropping-particle":"","family":"Nyathirombo","given":"Amos","non-dropping-particle":"","parse-names":false,"suffix":""},{"dropping-particle":"","family":"Nigo","given":"Maurice M.","non-dropping-particle":"","parse-names":false,"suffix":""},{"dropping-particle":"","family":"Kasonia","given":"Kambale","non-dropping-particle":"","parse-names":false,"suffix":""},{"dropping-particle":"","family":"Masembe","given":"Safari L.","non-dropping-particle":"","parse-names":false,"suffix":""},{"dropping-particle":"","family":"Mumbere","given":"Mupenzi","non-dropping-particle":"","parse-names":false,"suffix":""},{"dropping-particle":"","family":"Kataliko","given":"Kambale","non-dropping-particle":"","parse-names":false,"suffix":""},{"dropping-particle":"","family":"Larbelee","given":"Jemmah P.","non-dropping-particle":"","parse-names":false,"suffix":""},{"dropping-particle":"","family":"Kpawor","given":"Mawolo","non-dropping-particle":"","parse-names":false,"suffix":""},{"dropping-particle":"","family":"Bolay","given":"Kpehe M.","non-dropping-particle":"","parse-names":false,"suffix":""},{"dropping-particle":"","family":"Bolay","given":"Fatorma","non-dropping-particle":"","parse-names":false,"suffix":""},{"dropping-particle":"","family":"Asare","given":"Sampson","non-dropping-particle":"","parse-names":false,"suffix":""},{"dropping-particle":"","family":"Attah","given":"Simon K.","non-dropping-particle":"","parse-names":false,"suffix":""},{"dropping-particle":"","family":"Olipoh","given":"George","non-dropping-particle":"","parse-names":false,"suffix":""},{"dropping-particle":"","family":"Vaillant","given":"Michel","non-dropping-particle":"","parse-names":false,"suffix":""},{"dropping-particle":"","family":"Halleux","given":"Christine M.","non-dropping-particle":"","parse-names":false,"suffix":""},{"dropping-particle":"","family":"Kuesel","given":"Annette C.","non-dropping-particle":"","parse-names":false,"suffix":""}],"container-title":"The Lancet","id":"ITEM-1","issue":"10154","issued":{"date-parts":[["2018"]]},"page":"1207-1216","publisher":"World Health Organization","title":"Single dose moxidectin versus ivermectin for Onchocerca volvulus infection in Ghana, Liberia, and the Democratic Republic of the Congo: a randomised, controlled, double-blind phase 3 trial","type":"article-journal","volume":"392"}}],"schema":"https://github.com/citation-style-language/schema/raw/master/csl-citation.json"}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[97]</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C60505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65F5FBC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Oti </w:t>
            </w:r>
          </w:p>
        </w:tc>
        <w:tc>
          <w:tcPr>
            <w:tcW w:w="3202" w:type="dxa"/>
            <w:noWrap/>
            <w:hideMark/>
          </w:tcPr>
          <w:p w14:paraId="28C9F98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Nkwanta </w:t>
            </w:r>
          </w:p>
        </w:tc>
        <w:tc>
          <w:tcPr>
            <w:tcW w:w="7353" w:type="dxa"/>
            <w:noWrap/>
            <w:hideMark/>
          </w:tcPr>
          <w:p w14:paraId="6775CAB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184E6450" w14:textId="77777777" w:rsidTr="0025647A">
        <w:trPr>
          <w:trHeight w:val="312"/>
        </w:trPr>
        <w:tc>
          <w:tcPr>
            <w:tcW w:w="1316" w:type="dxa"/>
            <w:noWrap/>
            <w:hideMark/>
          </w:tcPr>
          <w:p w14:paraId="7FA77A3C" w14:textId="183B7809"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Labadah (2019)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zcTvO0It","properties":{"formattedCitation":"[98]","plainCitation":"[98]","noteIndex":0},"citationItems":[{"id":"kQ8JjSWs/FmksQL8v","uris":["http://www.mendeley.com/documents/?uuid=ada2a16a-73b7-499f-b0f1-9afe19c713ff"],"itemData":{"ISBN":"0243331940","ISSN":"0028-0836","abstract":"The consequences of living with a chronic condition such as Cerebral Palsy (CP) do not only affect the child but other members of the family. Using the Stress Process Model by Pearlin et al. (1990) as an organising framework, this study investigated the factors influencing the quality of life (QoL) of caregivers of children with CP. The role of social support in ameliorating the negative consequences of the stressors on QoL of caregivers of children with CP was also assessed. The study employed a cross-sectional survey design. Data was collected from 130 caregivers at 37 Military Hospital, Princess Marie-Louis Hospital and two Non-governmental agencies; Givers Never Lack Foundation and Sharecare Ghana. Statistical Package for Social Sciences (SPSS) version 20.0 was used for data analysis. Descriptive statistics, correlation and regression were the statistical tools used for data analysis. The findings revealed that caregivers of children with CP had a lower QoL. They also experienced higher amount of burden and moderate levels of depression, anxiety and stress. The primary and secondary stressors were found to negatively correlate with QoL of caregivers. Secondary Stressors were found to partially mediate the relationship between caregivers’ burden and QoL. There was also a moderating effect of social support on the relationship between the primary stressor and QoL with social support accounting for 44.6% of the variance in QoL. Demographic characteristics of the caregivers collectively explained an insignificant 3.7% of the variance in caregivers’ QoL. These findings have implications for nursing practice and informal caregiving.","author":[{"dropping-particle":"","family":"Labadah","given":"Joshua","non-dropping-particle":"","parse-names":false,"suffix":""}],"container-title":"UGSpace","id":"ITEM-1","issue":"10206539","issued":{"date-parts":[["2019"]]},"number-of-pages":"1-13","publisher":"University of Ghana","title":"Immunological Profiling of Untreated and Ivermectin-Treated Onchocerca-Infected Patients in the Oti Region, Ghana","type":"thesis"}}],"schema":"https://github.com/citation-style-language/schema/raw/master/csl-citation.json"}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[98]</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70947C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Thesis</w:t>
            </w:r>
          </w:p>
        </w:tc>
        <w:tc>
          <w:tcPr>
            <w:tcW w:w="1383" w:type="dxa"/>
            <w:noWrap/>
            <w:hideMark/>
          </w:tcPr>
          <w:p w14:paraId="1A12AFF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Oti </w:t>
            </w:r>
          </w:p>
        </w:tc>
        <w:tc>
          <w:tcPr>
            <w:tcW w:w="3202" w:type="dxa"/>
            <w:noWrap/>
            <w:hideMark/>
          </w:tcPr>
          <w:p w14:paraId="59F5BCC5"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Nkwata</w:t>
            </w:r>
            <w:proofErr w:type="spellEnd"/>
            <w:r w:rsidRPr="00AE371D">
              <w:rPr>
                <w:rFonts w:ascii="Times New Roman" w:eastAsia="Times New Roman" w:hAnsi="Times New Roman" w:cs="Times New Roman"/>
                <w:kern w:val="0"/>
                <w:sz w:val="20"/>
                <w:szCs w:val="20"/>
                <w14:ligatures w14:val="none"/>
              </w:rPr>
              <w:t xml:space="preserve"> North </w:t>
            </w:r>
          </w:p>
        </w:tc>
        <w:tc>
          <w:tcPr>
            <w:tcW w:w="7353" w:type="dxa"/>
            <w:noWrap/>
            <w:hideMark/>
          </w:tcPr>
          <w:p w14:paraId="4357BF30"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Kpasa</w:t>
            </w:r>
            <w:proofErr w:type="spellEnd"/>
          </w:p>
        </w:tc>
      </w:tr>
      <w:tr w:rsidR="00AE371D" w:rsidRPr="00AE371D" w14:paraId="3230A8A3" w14:textId="77777777" w:rsidTr="0025647A">
        <w:trPr>
          <w:trHeight w:val="312"/>
        </w:trPr>
        <w:tc>
          <w:tcPr>
            <w:tcW w:w="1316" w:type="dxa"/>
            <w:noWrap/>
            <w:hideMark/>
          </w:tcPr>
          <w:p w14:paraId="126B1CAB" w14:textId="53D1D774"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Otabil</w:t>
            </w:r>
            <w:proofErr w:type="spellEnd"/>
            <w:r w:rsidRPr="00AE371D">
              <w:rPr>
                <w:rFonts w:ascii="Times New Roman" w:eastAsia="Times New Roman" w:hAnsi="Times New Roman" w:cs="Times New Roman"/>
                <w:kern w:val="0"/>
                <w:sz w:val="20"/>
                <w:szCs w:val="20"/>
                <w14:ligatures w14:val="none"/>
              </w:rPr>
              <w:t xml:space="preserve"> (2019)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rXNz4hVT","properties":{"formattedCitation":"[99]","plainCitation":"[99]","noteIndex":0},"citationItems":[{"id":"kQ8JjSWs/y5FWCvf0","uris":["http://www.mendeley.com/documents/?uuid=bc844358-c25f-3240-b43c-a5840c84cbb3"],"itemData":{"DOI":"10.1186/s12879-019-4076-2","ISSN":"1471-2334","PMID":"31101085","abstract":"Background: Onchocerciasis is a neglected tropical disease which is still of immense major public health concern in several areas of Africa and the Americas. The disease manifests either as ocular or as dermal onchocerciasis with several symptoms including itching, nodules, skin thickening, visual impairment and blindness. Ivermectin has been an efficient microfilaricide against the causative agent of the disease (Onchocerca volvulus) but reports from some areas in Africa suggest the development of resistance to this drug. The aim of this study was to determine the prevalence of onchocerciasis and associated clinical conditions frequently associated with the disease in three endemic communities in Ghana which have been subjected to 18 to 20 rounds of mass drug administration of ivermectin. This was to help determine whether or not onchocerciasis persists in these communities. Methods: A cross-sectional study design was adopted. Three communities (Tanfiano, Senya and Kokompe) in the Nkoranza North District of Ghana where mass drug administration of ivermectin had been ongoing for more than two decades were selected for the study. The population was randomly sampled and 114 participants recruited for the study based on the eligibility criteria. The study participants were examined for the presence of parasites and clinical manifestations of onchocerciasis following established protocols. Results: The study showed that the prevalence of microfilaria in the Tanfiano, Senya, Kokompe communities were 13.2, 2.4, and 2.9%, with nodule prevalence being 5.3, 4.9 and 14.3% respectively. Females in the study communities had a higher prevalence of microfilaria carriers (5.17%) relative to males (2.44%), but this difference was not statistically significant (p = 0.2800, unpaired t test). The most frequent clinical manifestation observed in this study among all participants was dermatitis (25.4%), followed by visual impairment &amp; nodules (7.9% each) and then by blindness (4.4%). Conclusion: The study showed that despite several years of mass drug administration with ivermectin, infection with onchocerciasis and the commonly associated clinical manifestations of the disease still persist in the study communities. This calls for a greater urgency for research and development aimed at discovering new or repurposed anti-filarial agents which will augment ivermectin if global onchocerciasis eradication targets are to be achieved.","author":[{"dropping-particle":"","family":"Otabil","given":"Kenneth Bentum","non-dropping-particle":"","parse-names":false,"suffix":""},{"dropping-particle":"","family":"Gyasi","given":"Samuel Fosu","non-dropping-particle":"","parse-names":false,"suffix":""},{"dropping-particle":"","family":"Awuah","given":"Esi","non-dropping-particle":"","parse-names":false,"suffix":""},{"dropping-particle":"","family":"Obeng-Ofori","given":"Daniels","non-dropping-particle":"","parse-names":false,"suffix":""},{"dropping-particle":"","family":"Atta-Nyarko","given":"Robert Junior","non-dropping-particle":"","parse-names":false,"suffix":""},{"dropping-particle":"","family":"Andoh","given":"Dominic","non-dropping-particle":"","parse-names":false,"suffix":""},{"dropping-particle":"","family":"Conduah","given":"Beatrice","non-dropping-particle":"","parse-names":false,"suffix":""},{"dropping-particle":"","family":"Agbenyikey","given":"Lawrence","non-dropping-particle":"","parse-names":false,"suffix":""},{"dropping-particle":"","family":"Aseidu","given":"Philip","non-dropping-particle":"","parse-names":false,"suffix":""},{"dropping-particle":"","family":"Ankrah","given":"Comfort Blessing","non-dropping-particle":"","parse-names":false,"suffix":""},{"dropping-particle":"","family":"Nuhu","given":"Abdul Razak","non-dropping-particle":"","parse-names":false,"suffix":""},{"dropping-particle":"","family":"Schallig","given":"H. D. F. H.","non-dropping-particle":"","parse-names":false,"suffix":""}],"container-title":"BMC Infectious Diseases","id":"ITEM-1","issue":"1","issued":{"date-parts":[["2019","12","17"]]},"page":"431","publisher":"BioMed Central Ltd.","title":"Prevalence of onchocerciasis and associated clinical manifestations in selected hypoendemic communities in Ghana following long-term administration of ivermectin","type":"article-journal","volume":"19"}}],"schema":"https://github.com/citation-style-language/schema/raw/master/csl-citation.json"}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[99]</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32378A2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17BC300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298B0397"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Nkoranza</w:t>
            </w:r>
            <w:proofErr w:type="spellEnd"/>
            <w:r w:rsidRPr="00AE371D">
              <w:rPr>
                <w:rFonts w:ascii="Times New Roman" w:eastAsia="Times New Roman" w:hAnsi="Times New Roman" w:cs="Times New Roman"/>
                <w:kern w:val="0"/>
                <w:sz w:val="20"/>
                <w:szCs w:val="20"/>
                <w14:ligatures w14:val="none"/>
              </w:rPr>
              <w:t xml:space="preserve"> North </w:t>
            </w:r>
          </w:p>
        </w:tc>
        <w:tc>
          <w:tcPr>
            <w:tcW w:w="7353" w:type="dxa"/>
            <w:noWrap/>
            <w:hideMark/>
          </w:tcPr>
          <w:p w14:paraId="55156E2D"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Tanfiano</w:t>
            </w:r>
            <w:proofErr w:type="spellEnd"/>
            <w:r w:rsidRPr="00AE371D">
              <w:rPr>
                <w:rFonts w:ascii="Times New Roman" w:eastAsia="Times New Roman" w:hAnsi="Times New Roman" w:cs="Times New Roman"/>
                <w:kern w:val="0"/>
                <w:sz w:val="20"/>
                <w:szCs w:val="20"/>
                <w14:ligatures w14:val="none"/>
              </w:rPr>
              <w:t xml:space="preserve">, Senya and </w:t>
            </w:r>
            <w:proofErr w:type="spellStart"/>
            <w:r w:rsidRPr="00AE371D">
              <w:rPr>
                <w:rFonts w:ascii="Times New Roman" w:eastAsia="Times New Roman" w:hAnsi="Times New Roman" w:cs="Times New Roman"/>
                <w:kern w:val="0"/>
                <w:sz w:val="20"/>
                <w:szCs w:val="20"/>
                <w14:ligatures w14:val="none"/>
              </w:rPr>
              <w:t>Kokompe</w:t>
            </w:r>
            <w:proofErr w:type="spellEnd"/>
          </w:p>
        </w:tc>
      </w:tr>
      <w:tr w:rsidR="00AE371D" w:rsidRPr="00AE371D" w14:paraId="5CA4E174" w14:textId="77777777" w:rsidTr="0025647A">
        <w:trPr>
          <w:trHeight w:val="312"/>
        </w:trPr>
        <w:tc>
          <w:tcPr>
            <w:tcW w:w="1316" w:type="dxa"/>
            <w:noWrap/>
            <w:hideMark/>
          </w:tcPr>
          <w:p w14:paraId="0FC24B76" w14:textId="47634DE6"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Debrah 2020)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fn0kF8On","properties":{"formattedCitation":"[100]","plainCitation":"[100]","noteIndex":0},"citationItems":[{"id":"kQ8JjSWs/fgW7dMSE","uris":["http://www.mendeley.com/documents/?uuid=baa95882-d53e-4e68-9a1b-bf9645de6b64"],"itemData":{"DOI":"10.1093/cid/ciz889","ISSN":"1058-4838","author":[{"dropping-particle":"","family":"Debrah","given":"Batsa.Linda","non-dropping-particle":"","parse-names":false,"suffix":""},{"dropping-particle":"","family":"Klarmann-Schulz","given":"Ute","non-dropping-particle":"","parse-names":false,"suffix":""},{"dropping-particle":"","family":"Osei-Mensah","given":"Jubin","non-dropping-particle":"","parse-names":false,"suffix":""},{"dropping-particle":"","family":"Dubben","given":"Bettina","non-dropping-particle":"","parse-names":false,"suffix":""},{"dropping-particle":"","family":"Fischer","given":"Kerstin","non-dropping-particle":"","parse-names":false,"suffix":""},{"dropping-particle":"","family":"Mubarik","given":"Yusif","non-dropping-particle":"","parse-names":false,"suffix":""},{"dropping-particle":"","family":"Ayisi-Boateng","given":"Nana Kwame","non-dropping-particle":"","parse-names":false,"suffix":""},{"dropping-particle":"","family":"Ricchiuto","given":"Arcangelo","non-dropping-particle":"","parse-names":false,"suffix":""},{"dropping-particle":"","family":"Fimmers","given":"Rolf","non-dropping-particle":"","parse-names":false,"suffix":""},{"dropping-particle":"","family":"Konadu","given":"Peter","non-dropping-particle":"","parse-names":false,"suffix":""},{"dropping-particle":"","family":"Nadal","given":"Jennifer","non-dropping-particle":"","parse-names":false,"suffix":""},{"dropping-particle":"","family":"Gruetzmacher","given":"Barbara","non-dropping-particle":"","parse-names":false,"suffix":""},{"dropping-particle":"","family":"Weil","given":"Gary","non-dropping-particle":"","parse-names":false,"suffix":""},{"dropping-particle":"","family":"Kazura","given":"James W","non-dropping-particle":"","parse-names":false,"suffix":""},{"dropping-particle":"","family":"King","given":"Christopher L","non-dropping-particle":"","parse-names":false,"suffix":""},{"dropping-particle":"","family":"Debrah","given":"Alexander Y","non-dropping-particle":"","parse-names":false,"suffix":""},{"dropping-particle":"","family":"Hoerauf","given":"Achim","non-dropping-particle":"","parse-names":false,"suffix":""}],"container-title":"Clinical Infectious Diseases","id":"ITEM-1","issue":"4","issued":{"date-parts":[["2020","8","14"]]},"page":"933-943","title":"Comparison of Repeated Doses of Ivermectin Versus Ivermectin Plus Albendazole for the Treatment of Onchocerciasis: A Randomized, Open-label, Clinical Trial","type":"article-journal","volume":"71"}}],"schema":"https://github.com/citation-style-language/schema/raw/master/csl-citation.json"}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[100]</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2BD5A3F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3E001A1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Ashanti </w:t>
            </w:r>
          </w:p>
        </w:tc>
        <w:tc>
          <w:tcPr>
            <w:tcW w:w="3202" w:type="dxa"/>
            <w:noWrap/>
            <w:hideMark/>
          </w:tcPr>
          <w:p w14:paraId="24F6AD25"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Adansi</w:t>
            </w:r>
            <w:proofErr w:type="spellEnd"/>
            <w:r w:rsidRPr="00AE371D">
              <w:rPr>
                <w:rFonts w:ascii="Times New Roman" w:eastAsia="Times New Roman" w:hAnsi="Times New Roman" w:cs="Times New Roman"/>
                <w:kern w:val="0"/>
                <w:sz w:val="20"/>
                <w:szCs w:val="20"/>
                <w14:ligatures w14:val="none"/>
              </w:rPr>
              <w:t xml:space="preserve"> South and </w:t>
            </w:r>
            <w:proofErr w:type="spellStart"/>
            <w:r w:rsidRPr="00AE371D">
              <w:rPr>
                <w:rFonts w:ascii="Times New Roman" w:eastAsia="Times New Roman" w:hAnsi="Times New Roman" w:cs="Times New Roman"/>
                <w:kern w:val="0"/>
                <w:sz w:val="20"/>
                <w:szCs w:val="20"/>
                <w14:ligatures w14:val="none"/>
              </w:rPr>
              <w:t>Amansie</w:t>
            </w:r>
            <w:proofErr w:type="spellEnd"/>
            <w:r w:rsidRPr="00AE371D">
              <w:rPr>
                <w:rFonts w:ascii="Times New Roman" w:eastAsia="Times New Roman" w:hAnsi="Times New Roman" w:cs="Times New Roman"/>
                <w:kern w:val="0"/>
                <w:sz w:val="20"/>
                <w:szCs w:val="20"/>
                <w14:ligatures w14:val="none"/>
              </w:rPr>
              <w:t xml:space="preserve"> Central </w:t>
            </w:r>
          </w:p>
        </w:tc>
        <w:tc>
          <w:tcPr>
            <w:tcW w:w="7353" w:type="dxa"/>
            <w:noWrap/>
            <w:hideMark/>
          </w:tcPr>
          <w:p w14:paraId="265D196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2FAE2B26" w14:textId="77777777" w:rsidTr="0025647A">
        <w:trPr>
          <w:trHeight w:val="312"/>
        </w:trPr>
        <w:tc>
          <w:tcPr>
            <w:tcW w:w="1316" w:type="dxa"/>
            <w:noWrap/>
            <w:hideMark/>
          </w:tcPr>
          <w:p w14:paraId="3C6A1933" w14:textId="143E7BD0"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Osei (2021)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IzD4oFzs","properties":{"formattedCitation":"[101]","plainCitation":"[101]","noteIndex":0},"citationItems":[{"id":"kQ8JjSWs/TUHDGti0","uris":["http://www.mendeley.com/documents/?uuid=cba2cd1b-8382-4d83-91ce-d0de253cafc6"],"itemData":{"DOI":"10.1016/j.parepi.2021.e00235","ISSN":"24056731","abstract":"Introduction: Achieving high Mass Drug Administration (MDA) coverage and drug uptake are pivotal in the efforts to eradicate onchocerciasis. The present study investigated the extent and predictors of ivermectin MDA coverage and uptake from the individual and healthcare providers' perspectives. The extent of ivermectin distribution and uptake, and the predictors of distribution and uptake were investigated in endemic communities in the Ashanti Region of Ghana. Methods: A cross-sectional survey was conducted from August to October 2019 in communities within the Atwima Nwabiagya North District. A total of 2008 respondents were interviewed. Data was collected with REDCap mobile App which had an electronic version of the structured questionnaire. Descriptive data was presented in frequency tables, and bivariate and multivariate logistics regression analysis were performed to measure the associations between exposure variables and outcome variables which were received and uptake of MDA drugs. Results: A total of 1284 (63.9%) respondents did not receive ivermectin during the 2019 MDA programme and more than half of them were not aware of the drug distribution (53.3%). The most common reasons for not ingesting the drug were fear of side effects (47.7%) and not trusting the drug distributors (20.0%). Respondents in the age group 48–57 years (AOR = 1.37; 95%CI: 1.01–2.67), Persons in the high wealth index (AOR = 1.40; 95%CI: 1.11–1.77), Being aware of the MDA programme (AOR = 6.67: 95%CI: 4.76–9.35), MDA being beneficial (AOR = 2.12; 95%CI: 1.54–2.92) participating in previous MDA (AOR = 5.44; 95%CI: 4.25–6.98) and having stayed in the communities for 10 years and above significantly increased the odds of receiving MDA drugs. Previous uptake of MDA drugs (AOR = 10.58; 95%CI: 5.78–19.38) and perception of the MDA drug as beneficial (AOR = 5.25; 95%CI: 2.55–10.82) increased the likelihood of ingesting drugs when received. Conclusion: The main health system challenge was limited awareness creation regarding MDA. This seems to affect the optimal utilization of the ivermectin MDA intervention. MDA programmes against onchocerciasis eradication should be designed taking into account specific contextual factors to improve implementation outcomes.","author":[{"dropping-particle":"","family":"Osei","given":"Francis Adjei","non-dropping-particle":"","parse-names":false,"suffix":""},{"dropping-particle":"","family":"Newton","given":"Sam","non-dropping-particle":"","parse-names":false,"suffix":""},{"dropping-particle":"","family":"Nyanor","given":"Isaac","non-dropping-particle":"","parse-names":false,"suffix":""},{"dropping-particle":"","family":"Osei-Yeboah","given":"Eugene","non-dropping-particle":"","parse-names":false,"suffix":""},{"dropping-particle":"","family":"Amuzu","given":"Evans Xorse","non-dropping-particle":"","parse-names":false,"suffix":""},{"dropping-particle":"","family":"Mensah","given":"Nicholas Karikari","non-dropping-particle":"","parse-names":false,"suffix":""},{"dropping-particle":"","family":"Nyarko","given":"Obed Ofori","non-dropping-particle":"","parse-names":false,"suffix":""},{"dropping-particle":"","family":"Amanor","given":"Ernest","non-dropping-particle":"","parse-names":false,"suffix":""},{"dropping-particle":"","family":"Boadi","given":"Stephanie","non-dropping-particle":"","parse-names":false,"suffix":""},{"dropping-particle":"","family":"Asare","given":"Ophebia","non-dropping-particle":"","parse-names":false,"suffix":""},{"dropping-particle":"","family":"Odoom","given":"Samuel Frimpong","non-dropping-particle":"","parse-names":false,"suffix":""},{"dropping-particle":"","family":"Furu","given":"Peter","non-dropping-particle":"","parse-names":false,"suffix":""},{"dropping-particle":"","family":"Owusu-Dabo","given":"Ellis","non-dropping-particle":"","parse-names":false,"suffix":""},{"dropping-particle":"","family":"Meyrowitsch","given":"Dan Wolf","non-dropping-particle":"","parse-names":false,"suffix":""}],"container-title":"Parasite Epidemiology and Control","id":"ITEM-1","issue":"December 2021","issued":{"date-parts":[["2022","2"]]},"page":"e00235","publisher":"Elsevier Ltd","title":"Mass drug administration targeting Onchocerca volvulus in Owabi catchment area in Ashanti Region, Ghana: Determinants of drug coverage and drug uptake.","type":"article-journal","volume":"16"}}],"schema":"https://github.com/citation-style-language/schema/raw/master/csl-citation.json"}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[101]</w:t>
            </w:r>
            <w:r w:rsidRPr="00AE371D">
              <w:rPr>
                <w:rFonts w:ascii="Times New Roman" w:eastAsia="Times New Roman" w:hAnsi="Times New Roman" w:cs="Times New Roman"/>
                <w:kern w:val="0"/>
                <w:sz w:val="20"/>
                <w:szCs w:val="20"/>
                <w14:ligatures w14:val="none"/>
              </w:rPr>
              <w:fldChar w:fldCharType="end"/>
            </w:r>
            <w:r w:rsidRPr="00AE371D">
              <w:rPr>
                <w:rFonts w:ascii="Times New Roman" w:eastAsia="Times New Roman" w:hAnsi="Times New Roman" w:cs="Times New Roman"/>
                <w:kern w:val="0"/>
                <w:sz w:val="20"/>
                <w:szCs w:val="20"/>
                <w14:ligatures w14:val="none"/>
              </w:rPr>
              <w:t xml:space="preserve"> </w:t>
            </w:r>
          </w:p>
        </w:tc>
        <w:tc>
          <w:tcPr>
            <w:tcW w:w="1102" w:type="dxa"/>
            <w:noWrap/>
            <w:hideMark/>
          </w:tcPr>
          <w:p w14:paraId="4D558F3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666535E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Ashanti </w:t>
            </w:r>
          </w:p>
        </w:tc>
        <w:tc>
          <w:tcPr>
            <w:tcW w:w="3202" w:type="dxa"/>
            <w:noWrap/>
            <w:hideMark/>
          </w:tcPr>
          <w:p w14:paraId="53D2E7B1"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Atwima</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Nwabiagya</w:t>
            </w:r>
            <w:proofErr w:type="spellEnd"/>
            <w:r w:rsidRPr="00AE371D">
              <w:rPr>
                <w:rFonts w:ascii="Times New Roman" w:eastAsia="Times New Roman" w:hAnsi="Times New Roman" w:cs="Times New Roman"/>
                <w:kern w:val="0"/>
                <w:sz w:val="20"/>
                <w:szCs w:val="20"/>
                <w14:ligatures w14:val="none"/>
              </w:rPr>
              <w:t xml:space="preserve"> North </w:t>
            </w:r>
          </w:p>
        </w:tc>
        <w:tc>
          <w:tcPr>
            <w:tcW w:w="7353" w:type="dxa"/>
            <w:noWrap/>
            <w:hideMark/>
          </w:tcPr>
          <w:p w14:paraId="5D0F5148"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Owabi</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Daabaa</w:t>
            </w:r>
            <w:proofErr w:type="spellEnd"/>
            <w:r w:rsidRPr="00AE371D">
              <w:rPr>
                <w:rFonts w:ascii="Times New Roman" w:eastAsia="Times New Roman" w:hAnsi="Times New Roman" w:cs="Times New Roman"/>
                <w:kern w:val="0"/>
                <w:sz w:val="20"/>
                <w:szCs w:val="20"/>
                <w14:ligatures w14:val="none"/>
              </w:rPr>
              <w:t xml:space="preserve">, Koforidua and </w:t>
            </w:r>
            <w:proofErr w:type="spellStart"/>
            <w:r w:rsidRPr="00AE371D">
              <w:rPr>
                <w:rFonts w:ascii="Times New Roman" w:eastAsia="Times New Roman" w:hAnsi="Times New Roman" w:cs="Times New Roman"/>
                <w:kern w:val="0"/>
                <w:sz w:val="20"/>
                <w:szCs w:val="20"/>
                <w14:ligatures w14:val="none"/>
              </w:rPr>
              <w:t>Ntensere</w:t>
            </w:r>
            <w:proofErr w:type="spellEnd"/>
          </w:p>
        </w:tc>
      </w:tr>
      <w:tr w:rsidR="00AE371D" w:rsidRPr="00AE371D" w14:paraId="1566D70E" w14:textId="77777777" w:rsidTr="0025647A">
        <w:trPr>
          <w:trHeight w:val="312"/>
        </w:trPr>
        <w:tc>
          <w:tcPr>
            <w:tcW w:w="1316" w:type="dxa"/>
            <w:noWrap/>
            <w:hideMark/>
          </w:tcPr>
          <w:p w14:paraId="47BA0B2C" w14:textId="7AE3CA10"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Biritwum</w:t>
            </w:r>
            <w:proofErr w:type="spellEnd"/>
            <w:r w:rsidRPr="00AE371D">
              <w:rPr>
                <w:rFonts w:ascii="Times New Roman" w:eastAsia="Times New Roman" w:hAnsi="Times New Roman" w:cs="Times New Roman"/>
                <w:kern w:val="0"/>
                <w:sz w:val="20"/>
                <w:szCs w:val="20"/>
                <w14:ligatures w14:val="none"/>
              </w:rPr>
              <w:t xml:space="preserve"> (2021)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0jCqsr1V","properties":{"formattedCitation":"[3]","plainCitation":"[3]","noteIndex":0},"citationItems":[{"id":"kQ8JjSWs/3m6px1JY","uris":["http://www.mendeley.com/documents/?uuid=7d0219d7-dd5b-4f93-97d7-1c8b4d07bbb4"],"itemData":{"DOI":"10.1186/s13071-020-04507-2","ISSN":"1756-3305","PMID":"33388081","abstract":"Background: The control of onchocerciasis in Ghana started in 1974 under the auspices of the Onchocerciasis Control Programme (OCP). Between 1974 and 2002, a combination of approaches including vector control, mobile community ivermectin treatment, and community-directed treatment with ivermectin (CDTI) were employed. From 1997, CDTI became the main control strategy employed by the Ghana OCP (GOCP). This review was undertaken to assess the impact of the control interventions on onchocerciasis in Ghana between 1974 and 2016, since which time the focus has changed from control to elimination. Methods: In this paper, we review programme data from 1974 to 2016 to assess the impact of control activities on prevalence indicators of onchocerciasis. This review includes an evaluation of CDTI implementation, microfilaria (Mf) prevalence assessments and rapid epidemiological mapping of onchocerciasis results. Results: This review indicates that the control of onchocerciasis in Ghana has been very successful, with a significant decrease in the prevalence of infection from 69.13% [95% confidence interval) CI 60.24–78.01] in 1975 to 0.72% (95% CI 0.19–1.26) in 2015. Similarly, the mean community Mf load decreased from 14.48 MF/skin snip in 1975 to 0.07 MF/skin snip (95% CI 0.00–0.19) in 2015. Between 1997 and 2016, the therapeutic coverage increased from 58.50 to 83.80%, with nearly 100 million ivermectin tablets distributed. Conclusions: Despite the significant reduction in the prevalence of onchocerciasis in Ghana, there are still communities with MF prevalence above 1%. As the focus of the GOCP has changed from the control of onchocerciasis to its elimination, both guidance and financial support are required to ensure that the latter goal is met.[Figure not available: see fulltext.]","author":[{"dropping-particle":"","family":"Biritwum","given":"Nana-Kwadwo","non-dropping-particle":"","parse-names":false,"suffix":""},{"dropping-particle":"","family":"Souza","given":"Dziedzom K.","non-dropping-particle":"de","parse-names":false,"suffix":""},{"dropping-particle":"","family":"Asiedu","given":"Odame","non-dropping-particle":"","parse-names":false,"suffix":""},{"dropping-particle":"","family":"Marfo","given":"Benjamin","non-dropping-particle":"","parse-names":false,"suffix":""},{"dropping-particle":"","family":"Amazigo","given":"Uche Veronica","non-dropping-particle":"","parse-names":false,"suffix":""},{"dropping-particle":"","family":"Gyapong","given":"John Owusu","non-dropping-particle":"","parse-names":false,"suffix":""}],"container-title":"Parasites &amp; Vectors","id":"ITEM-1","issue":"1","issued":{"date-parts":[["2021","12","2"]]},"page":"3","publisher":"BioMed Central","title":"Onchocerciasis control in Ghana (1974–2016)","type":"article-journal","volume":"14"}}],"schema":"https://github.com/citation-style-language/schema/raw/master/csl-citation.json"}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74B83E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37111F5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 East</w:t>
            </w:r>
          </w:p>
        </w:tc>
        <w:tc>
          <w:tcPr>
            <w:tcW w:w="3202" w:type="dxa"/>
            <w:noWrap/>
            <w:hideMark/>
          </w:tcPr>
          <w:p w14:paraId="26EC63A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Pru</w:t>
            </w:r>
          </w:p>
        </w:tc>
        <w:tc>
          <w:tcPr>
            <w:tcW w:w="7353" w:type="dxa"/>
            <w:noWrap/>
            <w:hideMark/>
          </w:tcPr>
          <w:p w14:paraId="55B82B6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152042C4" w14:textId="77777777" w:rsidTr="0025647A">
        <w:trPr>
          <w:trHeight w:val="312"/>
        </w:trPr>
        <w:tc>
          <w:tcPr>
            <w:tcW w:w="1316" w:type="dxa"/>
            <w:noWrap/>
            <w:hideMark/>
          </w:tcPr>
          <w:p w14:paraId="2555017D" w14:textId="38C23BB9"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Biritwum</w:t>
            </w:r>
            <w:proofErr w:type="spellEnd"/>
            <w:r w:rsidRPr="00AE371D">
              <w:rPr>
                <w:rFonts w:ascii="Times New Roman" w:eastAsia="Times New Roman" w:hAnsi="Times New Roman" w:cs="Times New Roman"/>
                <w:kern w:val="0"/>
                <w:sz w:val="20"/>
                <w:szCs w:val="20"/>
                <w14:ligatures w14:val="none"/>
              </w:rPr>
              <w:t xml:space="preserve"> (2021)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5ns0IMhr","properties":{"formattedCitation":"[3]","plainCitation":"[3]","noteIndex":0},"citationItems":[{"id":"kQ8JjSWs/3m6px1JY","uris":["http://www.mendeley.com/documents/?uuid=7d0219d7-dd5b-4f93-97d7-1c8b4d07bbb4"],"itemData":{"DOI":"10.1186/s13071-020-04507-2","ISSN":"1756-3305","PMID":"33388081","abstract":"Background: The control of onchocerciasis in Ghana started in 1974 under the auspices of the Onchocerciasis Control Programme (OCP). Between 1974 and 2002, a combination of approaches including vector control, mobile community ivermectin treatment, and community-directed treatment with ivermectin (CDTI) were employed. From 1997, CDTI became the main control strategy employed by the Ghana OCP (GOCP). This review was undertaken to assess the impact of the control interventions on onchocerciasis in Ghana between 1974 and 2016, since which time the focus has changed from control to elimination. Methods: In this paper, we review programme data from 1974 to 2016 to assess the impact of control activities on prevalence indicators of onchocerciasis. This review includes an evaluation of CDTI implementation, microfilaria (Mf) prevalence assessments and rapid epidemiological mapping of onchocerciasis results. Results: This review indicates that the control of onchocerciasis in Ghana has been very successful, with a significant decrease in the prevalence of infection from 69.13% [95% confidence interval) CI 60.24–78.01] in 1975 to 0.72% (95% CI 0.19–1.26) in 2015. Similarly, the mean community Mf load decreased from 14.48 MF/skin snip in 1975 to 0.07 MF/skin snip (95% CI 0.00–0.19) in 2015. Between 1997 and 2016, the therapeutic coverage increased from 58.50 to 83.80%, with nearly 100 million ivermectin tablets distributed. Conclusions: Despite the significant reduction in the prevalence of onchocerciasis in Ghana, there are still communities with MF prevalence above 1%. As the focus of the GOCP has changed from the control of onchocerciasis to its elimination, both guidance and financial support are required to ensure that the latter goal is met.[Figure not available: see fulltext.]","author":[{"dropping-particle":"","family":"Biritwum","given":"Nana-Kwadwo","non-dropping-particle":"","parse-names":false,"suffix":""},{"dropping-particle":"","family":"Souza","given":"Dziedzom K.","non-dropping-particle":"de","parse-names":false,"suffix":""},{"dropping-particle":"","family":"Asiedu","given":"Odame","non-dropping-particle":"","parse-names":false,"suffix":""},{"dropping-particle":"","family":"Marfo","given":"Benjamin","non-dropping-particle":"","parse-names":false,"suffix":""},{"dropping-particle":"","family":"Amazigo","given":"Uche Veronica","non-dropping-particle":"","parse-names":false,"suffix":""},{"dropping-particle":"","family":"Gyapong","given":"John Owusu","non-dropping-particle":"","parse-names":false,"suffix":""}],"container-title":"Parasites &amp; Vectors","id":"ITEM-1","issue":"1","issued":{"date-parts":[["2021","12","2"]]},"page":"3","publisher":"BioMed Central","title":"Onchocerciasis control in Ghana (1974–2016)","type":"article-journal","volume":"14"}}],"schema":"https://github.com/citation-style-language/schema/raw/master/csl-citation.json"}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926E43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40ECB1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Bono</w:t>
            </w:r>
          </w:p>
        </w:tc>
        <w:tc>
          <w:tcPr>
            <w:tcW w:w="3202" w:type="dxa"/>
            <w:noWrap/>
            <w:hideMark/>
          </w:tcPr>
          <w:p w14:paraId="7692A79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7333611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22A7BFD9" w14:textId="77777777" w:rsidTr="0025647A">
        <w:trPr>
          <w:trHeight w:val="312"/>
        </w:trPr>
        <w:tc>
          <w:tcPr>
            <w:tcW w:w="1316" w:type="dxa"/>
            <w:noWrap/>
            <w:hideMark/>
          </w:tcPr>
          <w:p w14:paraId="11AE0E7B" w14:textId="46747793"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Biritwum</w:t>
            </w:r>
            <w:proofErr w:type="spellEnd"/>
            <w:r w:rsidRPr="00AE371D">
              <w:rPr>
                <w:rFonts w:ascii="Times New Roman" w:eastAsia="Times New Roman" w:hAnsi="Times New Roman" w:cs="Times New Roman"/>
                <w:kern w:val="0"/>
                <w:sz w:val="20"/>
                <w:szCs w:val="20"/>
                <w14:ligatures w14:val="none"/>
              </w:rPr>
              <w:t xml:space="preserve"> (2021)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9n1b2xUb","properties":{"formattedCitation":"[3]","plainCitation":"[3]","noteIndex":0},"citationItems":[{"id":"kQ8JjSWs/3m6px1JY","uris":["http://www.mendeley.com/documents/?uuid=7d0219d7-dd5b-4f93-97d7-1c8b4d07bbb4"],"itemData":{"DOI":"10.1186/s13071-020-04507-2","ISSN":"1756-3305","PMID":"33388081","abstract":"Background: The control of onchocerciasis in Ghana started in 1974 under the auspices of the Onchocerciasis Control Programme (OCP). Between 1974 and 2002, a combination of approaches including vector control, mobile community ivermectin treatment, and community-directed treatment with ivermectin (CDTI) were employed. From 1997, CDTI became the main control strategy employed by the Ghana OCP (GOCP). This review was undertaken to assess the impact of the control interventions on onchocerciasis in Ghana between 1974 and 2016, since which time the focus has changed from control to elimination. Methods: In this paper, we review programme data from 1974 to 2016 to assess the impact of control activities on prevalence indicators of onchocerciasis. This review includes an evaluation of CDTI implementation, microfilaria (Mf) prevalence assessments and rapid epidemiological mapping of onchocerciasis results. Results: This review indicates that the control of onchocerciasis in Ghana has been very successful, with a significant decrease in the prevalence of infection from 69.13% [95% confidence interval) CI 60.24–78.01] in 1975 to 0.72% (95% CI 0.19–1.26) in 2015. Similarly, the mean community Mf load decreased from 14.48 MF/skin snip in 1975 to 0.07 MF/skin snip (95% CI 0.00–0.19) in 2015. Between 1997 and 2016, the therapeutic coverage increased from 58.50 to 83.80%, with nearly 100 million ivermectin tablets distributed. Conclusions: Despite the significant reduction in the prevalence of onchocerciasis in Ghana, there are still communities with MF prevalence above 1%. As the focus of the GOCP has changed from the control of onchocerciasis to its elimination, both guidance and financial support are required to ensure that the latter goal is met.[Figure not available: see fulltext.]","author":[{"dropping-particle":"","family":"Biritwum","given":"Nana-Kwadwo","non-dropping-particle":"","parse-names":false,"suffix":""},{"dropping-particle":"","family":"Souza","given":"Dziedzom K.","non-dropping-particle":"de","parse-names":false,"suffix":""},{"dropping-particle":"","family":"Asiedu","given":"Odame","non-dropping-particle":"","parse-names":false,"suffix":""},{"dropping-particle":"","family":"Marfo","given":"Benjamin","non-dropping-particle":"","parse-names":false,"suffix":""},{"dropping-particle":"","family":"Amazigo","given":"Uche Veronica","non-dropping-particle":"","parse-names":false,"suffix":""},{"dropping-particle":"","family":"Gyapong","given":"John Owusu","non-dropping-particle":"","parse-names":false,"suffix":""}],"container-title":"Parasites &amp; Vectors","id":"ITEM-1","issue":"1","issued":{"date-parts":[["2021","12","2"]]},"page":"3","publisher":"BioMed Central","title":"Onchocerciasis control in Ghana (1974–2016)","type":"article-journal","volume":"14"}}],"schema":"https://github.com/citation-style-language/schema/raw/master/csl-citation.json"}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D6E3DC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6944E4D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Eastern</w:t>
            </w:r>
          </w:p>
        </w:tc>
        <w:tc>
          <w:tcPr>
            <w:tcW w:w="3202" w:type="dxa"/>
            <w:noWrap/>
            <w:hideMark/>
          </w:tcPr>
          <w:p w14:paraId="130CEFD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Afram Plains</w:t>
            </w:r>
          </w:p>
        </w:tc>
        <w:tc>
          <w:tcPr>
            <w:tcW w:w="7353" w:type="dxa"/>
            <w:noWrap/>
            <w:hideMark/>
          </w:tcPr>
          <w:p w14:paraId="725ADB9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0256D7EE" w14:textId="77777777" w:rsidTr="0025647A">
        <w:trPr>
          <w:trHeight w:val="312"/>
        </w:trPr>
        <w:tc>
          <w:tcPr>
            <w:tcW w:w="1316" w:type="dxa"/>
            <w:noWrap/>
            <w:hideMark/>
          </w:tcPr>
          <w:p w14:paraId="1877A919" w14:textId="04AF2875"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lastRenderedPageBreak/>
              <w:t>Biritwum</w:t>
            </w:r>
            <w:proofErr w:type="spellEnd"/>
            <w:r w:rsidRPr="00AE371D">
              <w:rPr>
                <w:rFonts w:ascii="Times New Roman" w:eastAsia="Times New Roman" w:hAnsi="Times New Roman" w:cs="Times New Roman"/>
                <w:kern w:val="0"/>
                <w:sz w:val="20"/>
                <w:szCs w:val="20"/>
                <w14:ligatures w14:val="none"/>
              </w:rPr>
              <w:t xml:space="preserve"> (2021)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d9y2PCbg","properties":{"formattedCitation":"[3]","plainCitation":"[3]","noteIndex":0},"citationItems":[{"id":"kQ8JjSWs/3m6px1JY","uris":["http://www.mendeley.com/documents/?uuid=7d0219d7-dd5b-4f93-97d7-1c8b4d07bbb4"],"itemData":{"DOI":"10.1186/s13071-020-04507-2","ISSN":"1756-3305","PMID":"33388081","abstract":"Background: The control of onchocerciasis in Ghana started in 1974 under the auspices of the Onchocerciasis Control Programme (OCP). Between 1974 and 2002, a combination of approaches including vector control, mobile community ivermectin treatment, and community-directed treatment with ivermectin (CDTI) were employed. From 1997, CDTI became the main control strategy employed by the Ghana OCP (GOCP). This review was undertaken to assess the impact of the control interventions on onchocerciasis in Ghana between 1974 and 2016, since which time the focus has changed from control to elimination. Methods: In this paper, we review programme data from 1974 to 2016 to assess the impact of control activities on prevalence indicators of onchocerciasis. This review includes an evaluation of CDTI implementation, microfilaria (Mf) prevalence assessments and rapid epidemiological mapping of onchocerciasis results. Results: This review indicates that the control of onchocerciasis in Ghana has been very successful, with a significant decrease in the prevalence of infection from 69.13% [95% confidence interval) CI 60.24–78.01] in 1975 to 0.72% (95% CI 0.19–1.26) in 2015. Similarly, the mean community Mf load decreased from 14.48 MF/skin snip in 1975 to 0.07 MF/skin snip (95% CI 0.00–0.19) in 2015. Between 1997 and 2016, the therapeutic coverage increased from 58.50 to 83.80%, with nearly 100 million ivermectin tablets distributed. Conclusions: Despite the significant reduction in the prevalence of onchocerciasis in Ghana, there are still communities with MF prevalence above 1%. As the focus of the GOCP has changed from the control of onchocerciasis to its elimination, both guidance and financial support are required to ensure that the latter goal is met.[Figure not available: see fulltext.]","author":[{"dropping-particle":"","family":"Biritwum","given":"Nana-Kwadwo","non-dropping-particle":"","parse-names":false,"suffix":""},{"dropping-particle":"","family":"Souza","given":"Dziedzom K.","non-dropping-particle":"de","parse-names":false,"suffix":""},{"dropping-particle":"","family":"Asiedu","given":"Odame","non-dropping-particle":"","parse-names":false,"suffix":""},{"dropping-particle":"","family":"Marfo","given":"Benjamin","non-dropping-particle":"","parse-names":false,"suffix":""},{"dropping-particle":"","family":"Amazigo","given":"Uche Veronica","non-dropping-particle":"","parse-names":false,"suffix":""},{"dropping-particle":"","family":"Gyapong","given":"John Owusu","non-dropping-particle":"","parse-names":false,"suffix":""}],"container-title":"Parasites &amp; Vectors","id":"ITEM-1","issue":"1","issued":{"date-parts":[["2021","12","2"]]},"page":"3","publisher":"BioMed Central","title":"Onchocerciasis control in Ghana (1974–2016)","type":"article-journal","volume":"14"}}],"schema":"https://github.com/citation-style-language/schema/raw/master/csl-citation.json"}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19EDF9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06F3ECC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Volta</w:t>
            </w:r>
          </w:p>
        </w:tc>
        <w:tc>
          <w:tcPr>
            <w:tcW w:w="3202" w:type="dxa"/>
            <w:noWrap/>
            <w:hideMark/>
          </w:tcPr>
          <w:p w14:paraId="56CFA17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Ho </w:t>
            </w:r>
          </w:p>
        </w:tc>
        <w:tc>
          <w:tcPr>
            <w:tcW w:w="7353" w:type="dxa"/>
            <w:noWrap/>
            <w:hideMark/>
          </w:tcPr>
          <w:p w14:paraId="7671AF1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2B155936" w14:textId="77777777" w:rsidTr="0025647A">
        <w:trPr>
          <w:trHeight w:val="312"/>
        </w:trPr>
        <w:tc>
          <w:tcPr>
            <w:tcW w:w="1316" w:type="dxa"/>
            <w:noWrap/>
            <w:hideMark/>
          </w:tcPr>
          <w:p w14:paraId="58A67F87" w14:textId="76740965"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Biritwum</w:t>
            </w:r>
            <w:proofErr w:type="spellEnd"/>
            <w:r w:rsidRPr="00AE371D">
              <w:rPr>
                <w:rFonts w:ascii="Times New Roman" w:eastAsia="Times New Roman" w:hAnsi="Times New Roman" w:cs="Times New Roman"/>
                <w:kern w:val="0"/>
                <w:sz w:val="20"/>
                <w:szCs w:val="20"/>
                <w14:ligatures w14:val="none"/>
              </w:rPr>
              <w:t xml:space="preserve"> (2021)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8b0Yd1OZ","properties":{"formattedCitation":"[3]","plainCitation":"[3]","noteIndex":0},"citationItems":[{"id":"kQ8JjSWs/3m6px1JY","uris":["http://www.mendeley.com/documents/?uuid=7d0219d7-dd5b-4f93-97d7-1c8b4d07bbb4"],"itemData":{"DOI":"10.1186/s13071-020-04507-2","ISSN":"1756-3305","PMID":"33388081","abstract":"Background: The control of onchocerciasis in Ghana started in 1974 under the auspices of the Onchocerciasis Control Programme (OCP). Between 1974 and 2002, a combination of approaches including vector control, mobile community ivermectin treatment, and community-directed treatment with ivermectin (CDTI) were employed. From 1997, CDTI became the main control strategy employed by the Ghana OCP (GOCP). This review was undertaken to assess the impact of the control interventions on onchocerciasis in Ghana between 1974 and 2016, since which time the focus has changed from control to elimination. Methods: In this paper, we review programme data from 1974 to 2016 to assess the impact of control activities on prevalence indicators of onchocerciasis. This review includes an evaluation of CDTI implementation, microfilaria (Mf) prevalence assessments and rapid epidemiological mapping of onchocerciasis results. Results: This review indicates that the control of onchocerciasis in Ghana has been very successful, with a significant decrease in the prevalence of infection from 69.13% [95% confidence interval) CI 60.24–78.01] in 1975 to 0.72% (95% CI 0.19–1.26) in 2015. Similarly, the mean community Mf load decreased from 14.48 MF/skin snip in 1975 to 0.07 MF/skin snip (95% CI 0.00–0.19) in 2015. Between 1997 and 2016, the therapeutic coverage increased from 58.50 to 83.80%, with nearly 100 million ivermectin tablets distributed. Conclusions: Despite the significant reduction in the prevalence of onchocerciasis in Ghana, there are still communities with MF prevalence above 1%. As the focus of the GOCP has changed from the control of onchocerciasis to its elimination, both guidance and financial support are required to ensure that the latter goal is met.[Figure not available: see fulltext.]","author":[{"dropping-particle":"","family":"Biritwum","given":"Nana-Kwadwo","non-dropping-particle":"","parse-names":false,"suffix":""},{"dropping-particle":"","family":"Souza","given":"Dziedzom K.","non-dropping-particle":"de","parse-names":false,"suffix":""},{"dropping-particle":"","family":"Asiedu","given":"Odame","non-dropping-particle":"","parse-names":false,"suffix":""},{"dropping-particle":"","family":"Marfo","given":"Benjamin","non-dropping-particle":"","parse-names":false,"suffix":""},{"dropping-particle":"","family":"Amazigo","given":"Uche Veronica","non-dropping-particle":"","parse-names":false,"suffix":""},{"dropping-particle":"","family":"Gyapong","given":"John Owusu","non-dropping-particle":"","parse-names":false,"suffix":""}],"container-title":"Parasites &amp; Vectors","id":"ITEM-1","issue":"1","issued":{"date-parts":[["2021","12","2"]]},"page":"3","publisher":"BioMed Central","title":"Onchocerciasis control in Ghana (1974–2016)","type":"article-journal","volume":"14"}}],"schema":"https://github.com/citation-style-language/schema/raw/master/csl-citation.json"}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677557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B172EB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Oti </w:t>
            </w:r>
          </w:p>
        </w:tc>
        <w:tc>
          <w:tcPr>
            <w:tcW w:w="3202" w:type="dxa"/>
            <w:noWrap/>
            <w:hideMark/>
          </w:tcPr>
          <w:p w14:paraId="3367226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16A09F8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69E1982F" w14:textId="77777777" w:rsidTr="0025647A">
        <w:trPr>
          <w:trHeight w:val="312"/>
        </w:trPr>
        <w:tc>
          <w:tcPr>
            <w:tcW w:w="1316" w:type="dxa"/>
            <w:noWrap/>
            <w:hideMark/>
          </w:tcPr>
          <w:p w14:paraId="6D0C2B8E" w14:textId="1EC8CCC9"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Biritwum</w:t>
            </w:r>
            <w:proofErr w:type="spellEnd"/>
            <w:r w:rsidRPr="00AE371D">
              <w:rPr>
                <w:rFonts w:ascii="Times New Roman" w:eastAsia="Times New Roman" w:hAnsi="Times New Roman" w:cs="Times New Roman"/>
                <w:kern w:val="0"/>
                <w:sz w:val="20"/>
                <w:szCs w:val="20"/>
                <w14:ligatures w14:val="none"/>
              </w:rPr>
              <w:t xml:space="preserve"> (2021)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ENCoiVn8","properties":{"formattedCitation":"[3]","plainCitation":"[3]","noteIndex":0},"citationItems":[{"id":"kQ8JjSWs/3m6px1JY","uris":["http://www.mendeley.com/documents/?uuid=7d0219d7-dd5b-4f93-97d7-1c8b4d07bbb4"],"itemData":{"DOI":"10.1186/s13071-020-04507-2","ISSN":"1756-3305","PMID":"33388081","abstract":"Background: The control of onchocerciasis in Ghana started in 1974 under the auspices of the Onchocerciasis Control Programme (OCP). Between 1974 and 2002, a combination of approaches including vector control, mobile community ivermectin treatment, and community-directed treatment with ivermectin (CDTI) were employed. From 1997, CDTI became the main control strategy employed by the Ghana OCP (GOCP). This review was undertaken to assess the impact of the control interventions on onchocerciasis in Ghana between 1974 and 2016, since which time the focus has changed from control to elimination. Methods: In this paper, we review programme data from 1974 to 2016 to assess the impact of control activities on prevalence indicators of onchocerciasis. This review includes an evaluation of CDTI implementation, microfilaria (Mf) prevalence assessments and rapid epidemiological mapping of onchocerciasis results. Results: This review indicates that the control of onchocerciasis in Ghana has been very successful, with a significant decrease in the prevalence of infection from 69.13% [95% confidence interval) CI 60.24–78.01] in 1975 to 0.72% (95% CI 0.19–1.26) in 2015. Similarly, the mean community Mf load decreased from 14.48 MF/skin snip in 1975 to 0.07 MF/skin snip (95% CI 0.00–0.19) in 2015. Between 1997 and 2016, the therapeutic coverage increased from 58.50 to 83.80%, with nearly 100 million ivermectin tablets distributed. Conclusions: Despite the significant reduction in the prevalence of onchocerciasis in Ghana, there are still communities with MF prevalence above 1%. As the focus of the GOCP has changed from the control of onchocerciasis to its elimination, both guidance and financial support are required to ensure that the latter goal is met.[Figure not available: see fulltext.]","author":[{"dropping-particle":"","family":"Biritwum","given":"Nana-Kwadwo","non-dropping-particle":"","parse-names":false,"suffix":""},{"dropping-particle":"","family":"Souza","given":"Dziedzom K.","non-dropping-particle":"de","parse-names":false,"suffix":""},{"dropping-particle":"","family":"Asiedu","given":"Odame","non-dropping-particle":"","parse-names":false,"suffix":""},{"dropping-particle":"","family":"Marfo","given":"Benjamin","non-dropping-particle":"","parse-names":false,"suffix":""},{"dropping-particle":"","family":"Amazigo","given":"Uche Veronica","non-dropping-particle":"","parse-names":false,"suffix":""},{"dropping-particle":"","family":"Gyapong","given":"John Owusu","non-dropping-particle":"","parse-names":false,"suffix":""}],"container-title":"Parasites &amp; Vectors","id":"ITEM-1","issue":"1","issued":{"date-parts":[["2021","12","2"]]},"page":"3","publisher":"BioMed Central","title":"Onchocerciasis control in Ghana (1974–2016)","type":"article-journal","volume":"14"}}],"schema":"https://github.com/citation-style-language/schema/raw/master/csl-citation.json"}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6EFD69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3A08C11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Ashanti</w:t>
            </w:r>
          </w:p>
        </w:tc>
        <w:tc>
          <w:tcPr>
            <w:tcW w:w="3202" w:type="dxa"/>
            <w:noWrap/>
            <w:hideMark/>
          </w:tcPr>
          <w:p w14:paraId="7CE36AF6"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Amansie</w:t>
            </w:r>
            <w:proofErr w:type="spellEnd"/>
            <w:r w:rsidRPr="00AE371D">
              <w:rPr>
                <w:rFonts w:ascii="Times New Roman" w:eastAsia="Times New Roman" w:hAnsi="Times New Roman" w:cs="Times New Roman"/>
                <w:kern w:val="0"/>
                <w:sz w:val="20"/>
                <w:szCs w:val="20"/>
                <w14:ligatures w14:val="none"/>
              </w:rPr>
              <w:t xml:space="preserve"> Central</w:t>
            </w:r>
          </w:p>
        </w:tc>
        <w:tc>
          <w:tcPr>
            <w:tcW w:w="7353" w:type="dxa"/>
            <w:noWrap/>
            <w:hideMark/>
          </w:tcPr>
          <w:p w14:paraId="3B8B4BA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685FF134" w14:textId="77777777" w:rsidTr="0025647A">
        <w:trPr>
          <w:trHeight w:val="312"/>
        </w:trPr>
        <w:tc>
          <w:tcPr>
            <w:tcW w:w="1316" w:type="dxa"/>
            <w:noWrap/>
            <w:hideMark/>
          </w:tcPr>
          <w:p w14:paraId="0E983977" w14:textId="0BB1D96C"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Biritwum</w:t>
            </w:r>
            <w:proofErr w:type="spellEnd"/>
            <w:r w:rsidRPr="00AE371D">
              <w:rPr>
                <w:rFonts w:ascii="Times New Roman" w:eastAsia="Times New Roman" w:hAnsi="Times New Roman" w:cs="Times New Roman"/>
                <w:kern w:val="0"/>
                <w:sz w:val="20"/>
                <w:szCs w:val="20"/>
                <w14:ligatures w14:val="none"/>
              </w:rPr>
              <w:t xml:space="preserve"> (2021)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5TQliv83","properties":{"formattedCitation":"[3]","plainCitation":"[3]","noteIndex":0},"citationItems":[{"id":"kQ8JjSWs/3m6px1JY","uris":["http://www.mendeley.com/documents/?uuid=7d0219d7-dd5b-4f93-97d7-1c8b4d07bbb4"],"itemData":{"DOI":"10.1186/s13071-020-04507-2","ISSN":"1756-3305","PMID":"33388081","abstract":"Background: The control of onchocerciasis in Ghana started in 1974 under the auspices of the Onchocerciasis Control Programme (OCP). Between 1974 and 2002, a combination of approaches including vector control, mobile community ivermectin treatment, and community-directed treatment with ivermectin (CDTI) were employed. From 1997, CDTI became the main control strategy employed by the Ghana OCP (GOCP). This review was undertaken to assess the impact of the control interventions on onchocerciasis in Ghana between 1974 and 2016, since which time the focus has changed from control to elimination. Methods: In this paper, we review programme data from 1974 to 2016 to assess the impact of control activities on prevalence indicators of onchocerciasis. This review includes an evaluation of CDTI implementation, microfilaria (Mf) prevalence assessments and rapid epidemiological mapping of onchocerciasis results. Results: This review indicates that the control of onchocerciasis in Ghana has been very successful, with a significant decrease in the prevalence of infection from 69.13% [95% confidence interval) CI 60.24–78.01] in 1975 to 0.72% (95% CI 0.19–1.26) in 2015. Similarly, the mean community Mf load decreased from 14.48 MF/skin snip in 1975 to 0.07 MF/skin snip (95% CI 0.00–0.19) in 2015. Between 1997 and 2016, the therapeutic coverage increased from 58.50 to 83.80%, with nearly 100 million ivermectin tablets distributed. Conclusions: Despite the significant reduction in the prevalence of onchocerciasis in Ghana, there are still communities with MF prevalence above 1%. As the focus of the GOCP has changed from the control of onchocerciasis to its elimination, both guidance and financial support are required to ensure that the latter goal is met.[Figure not available: see fulltext.]","author":[{"dropping-particle":"","family":"Biritwum","given":"Nana-Kwadwo","non-dropping-particle":"","parse-names":false,"suffix":""},{"dropping-particle":"","family":"Souza","given":"Dziedzom K.","non-dropping-particle":"de","parse-names":false,"suffix":""},{"dropping-particle":"","family":"Asiedu","given":"Odame","non-dropping-particle":"","parse-names":false,"suffix":""},{"dropping-particle":"","family":"Marfo","given":"Benjamin","non-dropping-particle":"","parse-names":false,"suffix":""},{"dropping-particle":"","family":"Amazigo","given":"Uche Veronica","non-dropping-particle":"","parse-names":false,"suffix":""},{"dropping-particle":"","family":"Gyapong","given":"John Owusu","non-dropping-particle":"","parse-names":false,"suffix":""}],"container-title":"Parasites &amp; Vectors","id":"ITEM-1","issue":"1","issued":{"date-parts":[["2021","12","2"]]},"page":"3","publisher":"BioMed Central","title":"Onchocerciasis control in Ghana (1974–2016)","type":"article-journal","volume":"14"}}],"schema":"https://github.com/citation-style-language/schema/raw/master/csl-citation.json"}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0E13D6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5BFD9AF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Savannah</w:t>
            </w:r>
          </w:p>
        </w:tc>
        <w:tc>
          <w:tcPr>
            <w:tcW w:w="3202" w:type="dxa"/>
            <w:noWrap/>
            <w:hideMark/>
          </w:tcPr>
          <w:p w14:paraId="2B2DF96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Bole</w:t>
            </w:r>
          </w:p>
        </w:tc>
        <w:tc>
          <w:tcPr>
            <w:tcW w:w="7353" w:type="dxa"/>
            <w:noWrap/>
            <w:hideMark/>
          </w:tcPr>
          <w:p w14:paraId="1DC6A2C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4CA15E49" w14:textId="77777777" w:rsidTr="0025647A">
        <w:trPr>
          <w:trHeight w:val="312"/>
        </w:trPr>
        <w:tc>
          <w:tcPr>
            <w:tcW w:w="1316" w:type="dxa"/>
            <w:noWrap/>
            <w:hideMark/>
          </w:tcPr>
          <w:p w14:paraId="43B53F38" w14:textId="6963E673"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Biritwum</w:t>
            </w:r>
            <w:proofErr w:type="spellEnd"/>
            <w:r w:rsidRPr="00AE371D">
              <w:rPr>
                <w:rFonts w:ascii="Times New Roman" w:eastAsia="Times New Roman" w:hAnsi="Times New Roman" w:cs="Times New Roman"/>
                <w:kern w:val="0"/>
                <w:sz w:val="20"/>
                <w:szCs w:val="20"/>
                <w14:ligatures w14:val="none"/>
              </w:rPr>
              <w:t xml:space="preserve"> (2021)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xiNnRYJC","properties":{"formattedCitation":"[3]","plainCitation":"[3]","noteIndex":0},"citationItems":[{"id":"kQ8JjSWs/3m6px1JY","uris":["http://www.mendeley.com/documents/?uuid=7d0219d7-dd5b-4f93-97d7-1c8b4d07bbb4"],"itemData":{"DOI":"10.1186/s13071-020-04507-2","ISSN":"1756-3305","PMID":"33388081","abstract":"Background: The control of onchocerciasis in Ghana started in 1974 under the auspices of the Onchocerciasis Control Programme (OCP). Between 1974 and 2002, a combination of approaches including vector control, mobile community ivermectin treatment, and community-directed treatment with ivermectin (CDTI) were employed. From 1997, CDTI became the main control strategy employed by the Ghana OCP (GOCP). This review was undertaken to assess the impact of the control interventions on onchocerciasis in Ghana between 1974 and 2016, since which time the focus has changed from control to elimination. Methods: In this paper, we review programme data from 1974 to 2016 to assess the impact of control activities on prevalence indicators of onchocerciasis. This review includes an evaluation of CDTI implementation, microfilaria (Mf) prevalence assessments and rapid epidemiological mapping of onchocerciasis results. Results: This review indicates that the control of onchocerciasis in Ghana has been very successful, with a significant decrease in the prevalence of infection from 69.13% [95% confidence interval) CI 60.24–78.01] in 1975 to 0.72% (95% CI 0.19–1.26) in 2015. Similarly, the mean community Mf load decreased from 14.48 MF/skin snip in 1975 to 0.07 MF/skin snip (95% CI 0.00–0.19) in 2015. Between 1997 and 2016, the therapeutic coverage increased from 58.50 to 83.80%, with nearly 100 million ivermectin tablets distributed. Conclusions: Despite the significant reduction in the prevalence of onchocerciasis in Ghana, there are still communities with MF prevalence above 1%. As the focus of the GOCP has changed from the control of onchocerciasis to its elimination, both guidance and financial support are required to ensure that the latter goal is met.[Figure not available: see fulltext.]","author":[{"dropping-particle":"","family":"Biritwum","given":"Nana-Kwadwo","non-dropping-particle":"","parse-names":false,"suffix":""},{"dropping-particle":"","family":"Souza","given":"Dziedzom K.","non-dropping-particle":"de","parse-names":false,"suffix":""},{"dropping-particle":"","family":"Asiedu","given":"Odame","non-dropping-particle":"","parse-names":false,"suffix":""},{"dropping-particle":"","family":"Marfo","given":"Benjamin","non-dropping-particle":"","parse-names":false,"suffix":""},{"dropping-particle":"","family":"Amazigo","given":"Uche Veronica","non-dropping-particle":"","parse-names":false,"suffix":""},{"dropping-particle":"","family":"Gyapong","given":"John Owusu","non-dropping-particle":"","parse-names":false,"suffix":""}],"container-title":"Parasites &amp; Vectors","id":"ITEM-1","issue":"1","issued":{"date-parts":[["2021","12","2"]]},"page":"3","publisher":"BioMed Central","title":"Onchocerciasis control in Ghana (1974–2016)","type":"article-journal","volume":"14"}}],"schema":"https://github.com/citation-style-language/schema/raw/master/csl-citation.json"}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1B470D5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0FD71C0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Greater Accra</w:t>
            </w:r>
          </w:p>
        </w:tc>
        <w:tc>
          <w:tcPr>
            <w:tcW w:w="3202" w:type="dxa"/>
            <w:noWrap/>
            <w:hideMark/>
          </w:tcPr>
          <w:p w14:paraId="4A5AB0C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143B93C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4A16213A" w14:textId="77777777" w:rsidTr="0025647A">
        <w:trPr>
          <w:trHeight w:val="312"/>
        </w:trPr>
        <w:tc>
          <w:tcPr>
            <w:tcW w:w="1316" w:type="dxa"/>
            <w:noWrap/>
            <w:hideMark/>
          </w:tcPr>
          <w:p w14:paraId="65AAEF4F" w14:textId="35EBAAAE"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Biritwum</w:t>
            </w:r>
            <w:proofErr w:type="spellEnd"/>
            <w:r w:rsidRPr="00AE371D">
              <w:rPr>
                <w:rFonts w:ascii="Times New Roman" w:eastAsia="Times New Roman" w:hAnsi="Times New Roman" w:cs="Times New Roman"/>
                <w:kern w:val="0"/>
                <w:sz w:val="20"/>
                <w:szCs w:val="20"/>
                <w14:ligatures w14:val="none"/>
              </w:rPr>
              <w:t xml:space="preserve"> (2021)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ccF2Fp8I","properties":{"formattedCitation":"[3]","plainCitation":"[3]","noteIndex":0},"citationItems":[{"id":"kQ8JjSWs/3m6px1JY","uris":["http://www.mendeley.com/documents/?uuid=7d0219d7-dd5b-4f93-97d7-1c8b4d07bbb4"],"itemData":{"DOI":"10.1186/s13071-020-04507-2","ISSN":"1756-3305","PMID":"33388081","abstract":"Background: The control of onchocerciasis in Ghana started in 1974 under the auspices of the Onchocerciasis Control Programme (OCP). Between 1974 and 2002, a combination of approaches including vector control, mobile community ivermectin treatment, and community-directed treatment with ivermectin (CDTI) were employed. From 1997, CDTI became the main control strategy employed by the Ghana OCP (GOCP). This review was undertaken to assess the impact of the control interventions on onchocerciasis in Ghana between 1974 and 2016, since which time the focus has changed from control to elimination. Methods: In this paper, we review programme data from 1974 to 2016 to assess the impact of control activities on prevalence indicators of onchocerciasis. This review includes an evaluation of CDTI implementation, microfilaria (Mf) prevalence assessments and rapid epidemiological mapping of onchocerciasis results. Results: This review indicates that the control of onchocerciasis in Ghana has been very successful, with a significant decrease in the prevalence of infection from 69.13% [95% confidence interval) CI 60.24–78.01] in 1975 to 0.72% (95% CI 0.19–1.26) in 2015. Similarly, the mean community Mf load decreased from 14.48 MF/skin snip in 1975 to 0.07 MF/skin snip (95% CI 0.00–0.19) in 2015. Between 1997 and 2016, the therapeutic coverage increased from 58.50 to 83.80%, with nearly 100 million ivermectin tablets distributed. Conclusions: Despite the significant reduction in the prevalence of onchocerciasis in Ghana, there are still communities with MF prevalence above 1%. As the focus of the GOCP has changed from the control of onchocerciasis to its elimination, both guidance and financial support are required to ensure that the latter goal is met.[Figure not available: see fulltext.]","author":[{"dropping-particle":"","family":"Biritwum","given":"Nana-Kwadwo","non-dropping-particle":"","parse-names":false,"suffix":""},{"dropping-particle":"","family":"Souza","given":"Dziedzom K.","non-dropping-particle":"de","parse-names":false,"suffix":""},{"dropping-particle":"","family":"Asiedu","given":"Odame","non-dropping-particle":"","parse-names":false,"suffix":""},{"dropping-particle":"","family":"Marfo","given":"Benjamin","non-dropping-particle":"","parse-names":false,"suffix":""},{"dropping-particle":"","family":"Amazigo","given":"Uche Veronica","non-dropping-particle":"","parse-names":false,"suffix":""},{"dropping-particle":"","family":"Gyapong","given":"John Owusu","non-dropping-particle":"","parse-names":false,"suffix":""}],"container-title":"Parasites &amp; Vectors","id":"ITEM-1","issue":"1","issued":{"date-parts":[["2021","12","2"]]},"page":"3","publisher":"BioMed Central","title":"Onchocerciasis control in Ghana (1974–2016)","type":"article-journal","volume":"14"}}],"schema":"https://github.com/citation-style-language/schema/raw/master/csl-citation.json"}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9AB8CE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54966A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Western</w:t>
            </w:r>
          </w:p>
        </w:tc>
        <w:tc>
          <w:tcPr>
            <w:tcW w:w="3202" w:type="dxa"/>
            <w:noWrap/>
            <w:hideMark/>
          </w:tcPr>
          <w:p w14:paraId="1BF36A90"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644BC6CA"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7BFA0C0D" w14:textId="77777777" w:rsidTr="0025647A">
        <w:trPr>
          <w:trHeight w:val="312"/>
        </w:trPr>
        <w:tc>
          <w:tcPr>
            <w:tcW w:w="1316" w:type="dxa"/>
            <w:noWrap/>
            <w:hideMark/>
          </w:tcPr>
          <w:p w14:paraId="4E0592D9" w14:textId="228B0876"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Biritwum</w:t>
            </w:r>
            <w:proofErr w:type="spellEnd"/>
            <w:r w:rsidRPr="00AE371D">
              <w:rPr>
                <w:rFonts w:ascii="Times New Roman" w:eastAsia="Times New Roman" w:hAnsi="Times New Roman" w:cs="Times New Roman"/>
                <w:kern w:val="0"/>
                <w:sz w:val="20"/>
                <w:szCs w:val="20"/>
                <w14:ligatures w14:val="none"/>
              </w:rPr>
              <w:t xml:space="preserve"> (2021)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0pqr1e3K","properties":{"formattedCitation":"[3]","plainCitation":"[3]","noteIndex":0},"citationItems":[{"id":"kQ8JjSWs/3m6px1JY","uris":["http://www.mendeley.com/documents/?uuid=7d0219d7-dd5b-4f93-97d7-1c8b4d07bbb4"],"itemData":{"DOI":"10.1186/s13071-020-04507-2","ISSN":"1756-3305","PMID":"33388081","abstract":"Background: The control of onchocerciasis in Ghana started in 1974 under the auspices of the Onchocerciasis Control Programme (OCP). Between 1974 and 2002, a combination of approaches including vector control, mobile community ivermectin treatment, and community-directed treatment with ivermectin (CDTI) were employed. From 1997, CDTI became the main control strategy employed by the Ghana OCP (GOCP). This review was undertaken to assess the impact of the control interventions on onchocerciasis in Ghana between 1974 and 2016, since which time the focus has changed from control to elimination. Methods: In this paper, we review programme data from 1974 to 2016 to assess the impact of control activities on prevalence indicators of onchocerciasis. This review includes an evaluation of CDTI implementation, microfilaria (Mf) prevalence assessments and rapid epidemiological mapping of onchocerciasis results. Results: This review indicates that the control of onchocerciasis in Ghana has been very successful, with a significant decrease in the prevalence of infection from 69.13% [95% confidence interval) CI 60.24–78.01] in 1975 to 0.72% (95% CI 0.19–1.26) in 2015. Similarly, the mean community Mf load decreased from 14.48 MF/skin snip in 1975 to 0.07 MF/skin snip (95% CI 0.00–0.19) in 2015. Between 1997 and 2016, the therapeutic coverage increased from 58.50 to 83.80%, with nearly 100 million ivermectin tablets distributed. Conclusions: Despite the significant reduction in the prevalence of onchocerciasis in Ghana, there are still communities with MF prevalence above 1%. As the focus of the GOCP has changed from the control of onchocerciasis to its elimination, both guidance and financial support are required to ensure that the latter goal is met.[Figure not available: see fulltext.]","author":[{"dropping-particle":"","family":"Biritwum","given":"Nana-Kwadwo","non-dropping-particle":"","parse-names":false,"suffix":""},{"dropping-particle":"","family":"Souza","given":"Dziedzom K.","non-dropping-particle":"de","parse-names":false,"suffix":""},{"dropping-particle":"","family":"Asiedu","given":"Odame","non-dropping-particle":"","parse-names":false,"suffix":""},{"dropping-particle":"","family":"Marfo","given":"Benjamin","non-dropping-particle":"","parse-names":false,"suffix":""},{"dropping-particle":"","family":"Amazigo","given":"Uche Veronica","non-dropping-particle":"","parse-names":false,"suffix":""},{"dropping-particle":"","family":"Gyapong","given":"John Owusu","non-dropping-particle":"","parse-names":false,"suffix":""}],"container-title":"Parasites &amp; Vectors","id":"ITEM-1","issue":"1","issued":{"date-parts":[["2021","12","2"]]},"page":"3","publisher":"BioMed Central","title":"Onchocerciasis control in Ghana (1974–2016)","type":"article-journal","volume":"14"}}],"schema":"https://github.com/citation-style-language/schema/raw/master/csl-citation.json"}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6DF746F"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0582ABD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Upper East</w:t>
            </w:r>
          </w:p>
        </w:tc>
        <w:tc>
          <w:tcPr>
            <w:tcW w:w="3202" w:type="dxa"/>
            <w:noWrap/>
            <w:hideMark/>
          </w:tcPr>
          <w:p w14:paraId="0107A8C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1DE1D6C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1680748B" w14:textId="77777777" w:rsidTr="0025647A">
        <w:trPr>
          <w:trHeight w:val="312"/>
        </w:trPr>
        <w:tc>
          <w:tcPr>
            <w:tcW w:w="1316" w:type="dxa"/>
            <w:noWrap/>
            <w:hideMark/>
          </w:tcPr>
          <w:p w14:paraId="42AD400D" w14:textId="03A41228"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Biritwum</w:t>
            </w:r>
            <w:proofErr w:type="spellEnd"/>
            <w:r w:rsidRPr="00AE371D">
              <w:rPr>
                <w:rFonts w:ascii="Times New Roman" w:eastAsia="Times New Roman" w:hAnsi="Times New Roman" w:cs="Times New Roman"/>
                <w:kern w:val="0"/>
                <w:sz w:val="20"/>
                <w:szCs w:val="20"/>
                <w14:ligatures w14:val="none"/>
              </w:rPr>
              <w:t xml:space="preserve"> (2021)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VFlALphc","properties":{"formattedCitation":"[3]","plainCitation":"[3]","noteIndex":0},"citationItems":[{"id":"kQ8JjSWs/3m6px1JY","uris":["http://www.mendeley.com/documents/?uuid=7d0219d7-dd5b-4f93-97d7-1c8b4d07bbb4"],"itemData":{"DOI":"10.1186/s13071-020-04507-2","ISSN":"1756-3305","PMID":"33388081","abstract":"Background: The control of onchocerciasis in Ghana started in 1974 under the auspices of the Onchocerciasis Control Programme (OCP). Between 1974 and 2002, a combination of approaches including vector control, mobile community ivermectin treatment, and community-directed treatment with ivermectin (CDTI) were employed. From 1997, CDTI became the main control strategy employed by the Ghana OCP (GOCP). This review was undertaken to assess the impact of the control interventions on onchocerciasis in Ghana between 1974 and 2016, since which time the focus has changed from control to elimination. Methods: In this paper, we review programme data from 1974 to 2016 to assess the impact of control activities on prevalence indicators of onchocerciasis. This review includes an evaluation of CDTI implementation, microfilaria (Mf) prevalence assessments and rapid epidemiological mapping of onchocerciasis results. Results: This review indicates that the control of onchocerciasis in Ghana has been very successful, with a significant decrease in the prevalence of infection from 69.13% [95% confidence interval) CI 60.24–78.01] in 1975 to 0.72% (95% CI 0.19–1.26) in 2015. Similarly, the mean community Mf load decreased from 14.48 MF/skin snip in 1975 to 0.07 MF/skin snip (95% CI 0.00–0.19) in 2015. Between 1997 and 2016, the therapeutic coverage increased from 58.50 to 83.80%, with nearly 100 million ivermectin tablets distributed. Conclusions: Despite the significant reduction in the prevalence of onchocerciasis in Ghana, there are still communities with MF prevalence above 1%. As the focus of the GOCP has changed from the control of onchocerciasis to its elimination, both guidance and financial support are required to ensure that the latter goal is met.[Figure not available: see fulltext.]","author":[{"dropping-particle":"","family":"Biritwum","given":"Nana-Kwadwo","non-dropping-particle":"","parse-names":false,"suffix":""},{"dropping-particle":"","family":"Souza","given":"Dziedzom K.","non-dropping-particle":"de","parse-names":false,"suffix":""},{"dropping-particle":"","family":"Asiedu","given":"Odame","non-dropping-particle":"","parse-names":false,"suffix":""},{"dropping-particle":"","family":"Marfo","given":"Benjamin","non-dropping-particle":"","parse-names":false,"suffix":""},{"dropping-particle":"","family":"Amazigo","given":"Uche Veronica","non-dropping-particle":"","parse-names":false,"suffix":""},{"dropping-particle":"","family":"Gyapong","given":"John Owusu","non-dropping-particle":"","parse-names":false,"suffix":""}],"container-title":"Parasites &amp; Vectors","id":"ITEM-1","issue":"1","issued":{"date-parts":[["2021","12","2"]]},"page":"3","publisher":"BioMed Central","title":"Onchocerciasis control in Ghana (1974–2016)","type":"article-journal","volume":"14"}}],"schema":"https://github.com/citation-style-language/schema/raw/master/csl-citation.json"}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0B7F158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256AB27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Upper West</w:t>
            </w:r>
          </w:p>
        </w:tc>
        <w:tc>
          <w:tcPr>
            <w:tcW w:w="3202" w:type="dxa"/>
            <w:noWrap/>
            <w:hideMark/>
          </w:tcPr>
          <w:p w14:paraId="094D5CD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77EE92B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28ED674E" w14:textId="77777777" w:rsidTr="0025647A">
        <w:trPr>
          <w:trHeight w:val="312"/>
        </w:trPr>
        <w:tc>
          <w:tcPr>
            <w:tcW w:w="1316" w:type="dxa"/>
            <w:noWrap/>
            <w:hideMark/>
          </w:tcPr>
          <w:p w14:paraId="5903B32A" w14:textId="62456313"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Opoku (2022)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eApZOvkZ","properties":{"formattedCitation":"[102]","plainCitation":"[102]","noteIndex":0},"citationItems":[{"id":"kQ8JjSWs/ON4pFC94","uris":["http://www.mendeley.com/documents/?uuid=557aa730-8985-40a4-bbe3-8ea93f54f77c"],"itemData":{"DOI":"10.4269/ajtmh.21-0859","ISSN":"0002-9637","PMID":"34844204","abstract":"Mass administration of ivermectin (IVM) has significantly reduced onchocerciasis prevalence, intensity, and morbidity in most endemic areas. Most IVM clinical trials were performed long ago in persons with high-intensity infections that are uncommon in West Africa today. This cohort treatment study recruited participants from a hypoendemic area in eastern Ghana to reevaluate the efficacy and tolerability of IVM with a special focus on the kinetics of microfilaria (Mf) clearance. Mf in the skin and anterior chambers (AC) were assessed by skin snip and slit lamp examinations at baseline and at 3 and 6 months after treatment with IVM 150 μg/kg. Most participants (184–231, 79.7%) enrolled were treatment-naïve. The baseline geometric mean skin Mf count was 12.67/mg (range 3–86). Although persons with MfAC at baseline (64/231, 27%) had significantly higher skin Mf counts than people without MfAC, 7 of 39 (15%) of persons with skin Mf counts in the range of 3–5 Mf/mg had MfAC. Skin Mf were detected in 14% (31/218) and 45% (96/216) of participants 3 and 6 months after IVM treatment, respectively. MfAC were detected in 12 of 212 (5.7%) study participants at 6 months. 81% (187 of 231) of participants experienced 439 adverse events within 7 days after treatment; all adverse events were mild (96.1%) or moderate. This study has provided new data on the kinetics of Mf in the skin and eyes after IVM treatment of persons with light to moderate intensity Onchocerca volvulus infections that are common in Africa at this time.","author":[{"dropping-particle":"","family":"Opoku","given":"Nicholas O.","non-dropping-particle":"","parse-names":false,"suffix":""},{"dropping-particle":"","family":"Gyasi","given":"Michael E.","non-dropping-particle":"","parse-names":false,"suffix":""},{"dropping-particle":"","family":"Doe","given":"Felix","non-dropping-particle":"","parse-names":false,"suffix":""},{"dropping-particle":"","family":"Lew","given":"Daphne","non-dropping-particle":"","parse-names":false,"suffix":""},{"dropping-particle":"","family":"Hong","given":"Augustine R.","non-dropping-particle":"","parse-names":false,"suffix":""},{"dropping-particle":"","family":"Chithenga","given":"Sithembele","non-dropping-particle":"","parse-names":false,"suffix":""},{"dropping-particle":"","family":"Fischer","given":"Peter U.","non-dropping-particle":"","parse-names":false,"suffix":""},{"dropping-particle":"","family":"King","given":"Christopher L.","non-dropping-particle":"","parse-names":false,"suffix":""},{"dropping-particle":"","family":"Weil","given":"Gary J.","non-dropping-particle":"","parse-names":false,"suffix":""}],"container-title":"The American Journal of Tropical Medicine and Hygiene","id":"ITEM-1","issue":"2","issued":{"date-parts":[["2022","2","2"]]},"page":"740-745","title":"A Reevaluation of the Tolerability and Effects of Single-Dose Ivermectin Treatment on Onchocerca volvulus Microfilariae in the Skin and Eyes in Eastern Ghana","type":"article-journal","volume":"106"}}],"schema":"https://github.com/citation-style-language/schema/raw/master/csl-citation.json"}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[102]</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7DFD34B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5DC1DE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Oti </w:t>
            </w:r>
          </w:p>
        </w:tc>
        <w:tc>
          <w:tcPr>
            <w:tcW w:w="3202" w:type="dxa"/>
            <w:noWrap/>
            <w:hideMark/>
          </w:tcPr>
          <w:p w14:paraId="18733302"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Nkwata</w:t>
            </w:r>
            <w:proofErr w:type="spellEnd"/>
            <w:r w:rsidRPr="00AE371D">
              <w:rPr>
                <w:rFonts w:ascii="Times New Roman" w:eastAsia="Times New Roman" w:hAnsi="Times New Roman" w:cs="Times New Roman"/>
                <w:kern w:val="0"/>
                <w:sz w:val="20"/>
                <w:szCs w:val="20"/>
                <w14:ligatures w14:val="none"/>
              </w:rPr>
              <w:t xml:space="preserve"> North </w:t>
            </w:r>
          </w:p>
        </w:tc>
        <w:tc>
          <w:tcPr>
            <w:tcW w:w="7353" w:type="dxa"/>
            <w:noWrap/>
            <w:hideMark/>
          </w:tcPr>
          <w:p w14:paraId="1678875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67ABAA84" w14:textId="77777777" w:rsidTr="0025647A">
        <w:trPr>
          <w:trHeight w:val="312"/>
        </w:trPr>
        <w:tc>
          <w:tcPr>
            <w:tcW w:w="1316" w:type="dxa"/>
            <w:noWrap/>
            <w:hideMark/>
          </w:tcPr>
          <w:p w14:paraId="36A0EC7C" w14:textId="41DD68EB"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Bakajika (2022)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eOrB0JfP","properties":{"formattedCitation":"[103]","plainCitation":"[103]","noteIndex":0},"citationItems":[{"id":"kQ8JjSWs/cSQMNEoJ","uris":["http://www.mendeley.com/documents/?uuid=d7027121-977d-38dd-b2fc-a0025b46c5cb"],"itemData":{"DOI":"10.1371/journal.pntd.0010079","ISSN":"19352735","PMID":"35476631","abstract":"BACKGROUND: Our study in CDTI-naïve areas in Nord Kivu and Ituri (Democratic Republic of the Congo, DRC), Lofa County (Liberia) and Nkwanta district (Ghana) showed that a single 8 mg moxidectin dose reduced skin microfilariae density (microfilariae/mg skin, SmfD) better and for longer than a single 150μg/kg ivermectin dose. We now analysed efficacy by study area and pre-treatment SmfD (intensity of infection, IoI). METHODOLOGY/PRINCIPAL FINDINGS: Four and three IoI categories were defined for across-study and by-study area analyses, respectively. We used a general linear model to analyse SmfD 1, 6, 12 and 18 months post-treatment, a logistic model to determine the odds of undetectable SmfD from month 1 to month 6 (UD1-6), month 12 (UD1-12) and month 18 (UD1-18), and descriptive statistics to quantitate inter-interindividual response differences. Twelve months post-treatment, treatment differences (difference in adjusted geometric mean SmfD after moxidectin and ivermectin in percentage of the adjusted geometric mean SmfD after ivermectin treatment) were 92.9%, 90.1%, 86.8% and 84.5% in Nord Kivu, Ituri, Lofa and Nkwanta, and 74.1%, 84.2%, 90.0% and 95.4% for participants with SmfD 10-20, ≥20-&lt;50, ≥50-&lt;80, ≥80, respectively. Ivermectin's efficacy was lower in Ituri and Nkwanta than Nord Kivu and Lofa (p≤0.002) and moxidectin's efficacy lower in Nkwanta than Nord Kivu, Ituri and Lofa (p&lt;0.006). Odds ratios for UD1-6, UD1-12 or UD1-18 after moxidectin versus ivermectin treatment exceeded 7.0. Suboptimal response (SmfD 12 months post-treatment &gt;40% of pre-treatment SmfD) occurred in 0%, 0.3%, 1.6% and 3.9% of moxidectin and 12.1%, 23.7%, 10.8% and 28.0% of ivermectin treated participants in Nord Kivu, Ituri, Lofa and Nkwanta, respectively. CONCLUSIONS/SIGNIFICANCE: The benefit of moxidectin vs ivermectin treatment increased with pre-treatment IoI. The possibility that parasite populations in different areas have different drug susceptibility without prior ivermectin selection pressure needs to be considered and further investigated. CLINICAL TRIAL REGISTRATION: Registered on 14 November 2008 in Clinicaltrials.gov (ID: NCT00790998).","author":[{"dropping-particle":"","family":"Bakajika","given":"Didier","non-dropping-particle":"","parse-names":false,"suffix":""},{"dropping-particle":"","family":"Kanza","given":"Eric M.","non-dropping-particle":"","parse-names":false,"suffix":""},{"dropping-particle":"","family":"Opoku","given":"Nicholas O.","non-dropping-particle":"","parse-names":false,"suffix":""},{"dropping-particle":"","family":"Howard","given":"Hayford M.","non-dropping-particle":"","parse-names":false,"suffix":""},{"dropping-particle":"","family":"Mambandu","given":"Germain L.","non-dropping-particle":"","parse-names":false,"suffix":""},{"dropping-particle":"","family":"Nyathirombo","given":"Amos","non-dropping-particle":"","parse-names":false,"suffix":""},{"dropping-particle":"","family":"Nigo","given":"Maurice M.","non-dropping-particle":"","parse-names":false,"suffix":""},{"dropping-particle":"","family":"Kennedy","given":"Kambale Kasonia","non-dropping-particle":"","parse-names":false,"suffix":""},{"dropping-particle":"","family":"Masembe","given":"Safari L.","non-dropping-particle":"","parse-names":false,"suffix":""},{"dropping-particle":"","family":"Mumbere","given":"Mupenzi","non-dropping-particle":"","parse-names":false,"suffix":""},{"dropping-particle":"","family":"Kataliko","given":"Kambale","non-dropping-particle":"","parse-names":false,"suffix":""},{"dropping-particle":"","family":"Bolay","given":"Kpehe M.","non-dropping-particle":"","parse-names":false,"suffix":""},{"dropping-particle":"","family":"Attah","given":"Simon K.","non-dropping-particle":"","parse-names":false,"suffix":""},{"dropping-particle":"","family":"Olipoh","given":"George","non-dropping-particle":"","parse-names":false,"suffix":""},{"dropping-particle":"","family":"Asare","given":"Sampson","non-dropping-particle":"","parse-names":false,"suffix":""},{"dropping-particle":"","family":"Vaillant","given":"Michel","non-dropping-particle":"","parse-names":false,"suffix":""},{"dropping-particle":"","family":"Halleux","given":"Christine M.","non-dropping-particle":"","parse-names":false,"suffix":""},{"dropping-particle":"","family":"Kuesel","given":"Annette C.","non-dropping-particle":"","parse-names":false,"suffix":""}],"container-title":"PLoS neglected tropical diseases","id":"ITEM-1","issue":"4","issued":{"date-parts":[["2022","4","1"]]},"page":"e0010079","publisher":"NLM (Medline)","title":"Effect of a single dose of 8 mg moxidectin or 150 μg/kg ivermectin on O. volvulus skin microfilariae in a randomized trial: Differences between areas in the Democratic Republic of the Congo, Liberia and Ghana and impact of intensity of infection","type":"article-journal","volume":"16"}}],"schema":"https://github.com/citation-style-language/schema/raw/master/csl-citation.json"}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[103]</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69D200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64E24AE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Oti </w:t>
            </w:r>
          </w:p>
        </w:tc>
        <w:tc>
          <w:tcPr>
            <w:tcW w:w="3202" w:type="dxa"/>
            <w:noWrap/>
            <w:hideMark/>
          </w:tcPr>
          <w:p w14:paraId="585FD5F5"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Nkwata</w:t>
            </w:r>
            <w:proofErr w:type="spellEnd"/>
            <w:r w:rsidRPr="00AE371D">
              <w:rPr>
                <w:rFonts w:ascii="Times New Roman" w:eastAsia="Times New Roman" w:hAnsi="Times New Roman" w:cs="Times New Roman"/>
                <w:kern w:val="0"/>
                <w:sz w:val="20"/>
                <w:szCs w:val="20"/>
                <w14:ligatures w14:val="none"/>
              </w:rPr>
              <w:t xml:space="preserve"> North </w:t>
            </w:r>
          </w:p>
        </w:tc>
        <w:tc>
          <w:tcPr>
            <w:tcW w:w="7353" w:type="dxa"/>
            <w:noWrap/>
            <w:hideMark/>
          </w:tcPr>
          <w:p w14:paraId="6F9FFCA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2B4E76DE" w14:textId="77777777" w:rsidTr="0025647A">
        <w:trPr>
          <w:trHeight w:val="312"/>
        </w:trPr>
        <w:tc>
          <w:tcPr>
            <w:tcW w:w="1316" w:type="dxa"/>
            <w:noWrap/>
            <w:hideMark/>
          </w:tcPr>
          <w:p w14:paraId="3FB977E0" w14:textId="5F0B59B2"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Mensah (2022)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UkkVkvJ5","properties":{"formattedCitation":"[104]","plainCitation":"[104]","noteIndex":0},"citationItems":[{"id":"kQ8JjSWs/2WRTm0vi","uris":["http://www.mendeley.com/documents/?uuid=7a5a1a56-24ac-46bc-9d82-d1d17b7022b9"],"itemData":{"DOI":"10.21203/rs.3.rs-1925871/v2","abstract":"Background Onchocerciasis is the world’s second leading cause of infectious blindness and a major public health problem in many parts of the world, including Ghana, with severe impact on the skin also. Mass drug administration (MDA) with ivermectin began in the Sefwi Akontombra district of the Western North Region of Ghana in 1994. The aim of this cross-sectional study was to evaluate the impact of about three decades of MDA on onchocerciasis and its clinical manifestations by investigating the current nodule and microfilaria (MF) prevalence in the Sefwi Akontombra district using established protocols. Methodology This cross-sectional study had participants examined for signs of dermal/skin onchocerciasis and palpated, and those with ≥ 1 palpable sub-cutaneous nodule had skin snips taken from the left and right iliac crests for later parasitological (microfilariae) assessment. Logistic regression models were used to identify independent predictive and risk factors significantly associated with nodule and MF prevalence. Results A total of 1980 participants from 25 communities in three sub-districts were recruited. Compliance to the MDA intervention in the district was 93.7%. The study recorded Onchocerca nodule prevalence of 35.4% (N = 701), out of which 31.5% (N = 221) were MF positives, with district community microfilariae load (CMFL) and geometric mean intensity of 0.25 MF/ss and 0.26 MF/ss respectively. Adawu, the central community among the 25 surveyed recorded the highest CMFL (0.77 MF/ss)— with 14 communities being hypoendemic and 11, mesoendemic for the onchocerciasis infection. The overall estimated district onchocerciasis MF prevalence was 11.2%, making the district hypoendemic. Of the 17 participants who presented with dermal symptoms, acute papular onchodermatitis (41.2%) was the most prevalent. Age, ivermectin intake and gender were the independent predictive factors significantly associated (p &lt; 0.05) with onchocerciasis in the district. Conclusion Despite decades of ivermectin administration in the district, the MF prevalence in the district was &gt; the 1% threshold required for elimination. As the focus of the Ghana Onchocerciasis Control Programme has changed from control to elimination, MDA should be intensified in areas with MF prevalence &gt; 1%. Though the district’s CMFL was far below the 5.0 MF/ss public health problem threshold, macrofilaricidal drugs should be explored to complement the microfilaricidal ivermectin.","author":[{"dropping-particle":"","family":"Mensah","given":"Derrick Adu","non-dropping-particle":"","parse-names":false,"suffix":""},{"dropping-particle":"","family":"Debrah","given":"Linda Batsa","non-dropping-particle":"","parse-names":false,"suffix":""},{"dropping-particle":"","family":"Boateng","given":"John","non-dropping-particle":"","parse-names":false,"suffix":""},{"dropping-particle":"","family":"Ahiadorme","given":"Monica","non-dropping-particle":"","parse-names":false,"suffix":""},{"dropping-particle":"","family":"Osei-Mensah","given":"Jubin","non-dropping-particle":"","parse-names":false,"suffix":""},{"dropping-particle":"","family":"Opoku","given":"Vera Serwaa","non-dropping-particle":"","parse-names":false,"suffix":""},{"dropping-particle":"","family":"Obeng","given":"Michael Agyemang","non-dropping-particle":"","parse-names":false,"suffix":""},{"dropping-particle":"","family":"Kuutiero","given":"Eunice Kyaakyile","non-dropping-particle":"","parse-names":false,"suffix":""},{"dropping-particle":"","family":"Opoku","given":"John","non-dropping-particle":"","parse-names":false,"suffix":""},{"dropping-particle":"","family":"Rahamani","given":"Abu Abudu","non-dropping-particle":"","parse-names":false,"suffix":""},{"dropping-particle":"","family":"Amponsem","given":"Sarfowaa","non-dropping-particle":"","parse-names":false,"suffix":""},{"dropping-particle":"","family":"Obeng","given":"Prince","non-dropping-particle":"","parse-names":false,"suffix":""},{"dropping-particle":"","family":"Gyasi","given":"Charles","non-dropping-particle":"","parse-names":false,"suffix":""},{"dropping-particle":"","family":"Kutu","given":"Emmanuel Donawugube","non-dropping-particle":"","parse-names":false,"suffix":""},{"dropping-particle":"","family":"Debrah","given":"Alexander Yaw","non-dropping-particle":"","parse-names":false,"suffix":""}],"id":"ITEM-1","issued":{"date-parts":[["2022","9","21"]]},"page":"1-30","title":"Occurrence of Onchocerciasis infection after decades of mass drug administration in the Western North Region of Ghana: The case of Sefwi Akontombra district [Preprint]","type":"article"}}],"schema":"https://github.com/citation-style-language/schema/raw/master/csl-citation.json"}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[104]</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93891C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Preprint</w:t>
            </w:r>
          </w:p>
        </w:tc>
        <w:tc>
          <w:tcPr>
            <w:tcW w:w="1383" w:type="dxa"/>
            <w:noWrap/>
            <w:hideMark/>
          </w:tcPr>
          <w:p w14:paraId="1A3CA0F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Western North </w:t>
            </w:r>
          </w:p>
        </w:tc>
        <w:tc>
          <w:tcPr>
            <w:tcW w:w="3202" w:type="dxa"/>
            <w:noWrap/>
            <w:hideMark/>
          </w:tcPr>
          <w:p w14:paraId="22F7BCE9"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Sefwi</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Akontombra</w:t>
            </w:r>
            <w:proofErr w:type="spellEnd"/>
          </w:p>
        </w:tc>
        <w:tc>
          <w:tcPr>
            <w:tcW w:w="7353" w:type="dxa"/>
            <w:noWrap/>
            <w:hideMark/>
          </w:tcPr>
          <w:p w14:paraId="1516EB52"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5E8BC1B8" w14:textId="77777777" w:rsidTr="0025647A">
        <w:trPr>
          <w:trHeight w:val="312"/>
        </w:trPr>
        <w:tc>
          <w:tcPr>
            <w:tcW w:w="1316" w:type="dxa"/>
            <w:noWrap/>
            <w:hideMark/>
          </w:tcPr>
          <w:p w14:paraId="7C32E076" w14:textId="0D7CB231"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Tan (2022)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xvNA417V","properties":{"formattedCitation":"[105]","plainCitation":"[105]","noteIndex":0},"citationItems":[{"id":"kQ8JjSWs/PoFr4qeX","uris":["http://www.mendeley.com/documents/?uuid=0b8e92fe-3787-4b6b-b855-bb67d139627f"],"itemData":{"DOI":"10.1371/journal.pntd.0010005","ISBN":"1111111111","ISSN":"1935-2735","author":[{"dropping-particle":"","family":"Tan","given":"Beesan","non-dropping-particle":"","parse-names":false,"suffix":""},{"dropping-particle":"","family":"Opoku","given":"Nicholas","non-dropping-particle":"","parse-names":false,"suffix":""},{"dropping-particle":"","family":"Attah","given":"Simon K","non-dropping-particle":"","parse-names":false,"suffix":""},{"dropping-particle":"","family":"Awadzi","given":"Kwablah","non-dropping-particle":"","parse-names":false,"suffix":""},{"dropping-particle":"","family":"Kuesel","given":"Annette C","non-dropping-particle":"","parse-names":false,"suffix":""},{"dropping-particle":"","family":"Lazdins-Helds","given":"Janis","non-dropping-particle":"","parse-names":false,"suffix":""},{"dropping-particle":"","family":"Rayner","given":"Craig","non-dropping-particle":"","parse-names":false,"suffix":""},{"dropping-particle":"","family":"Ryg-Cornejo","given":"Victoria","non-dropping-particle":"","parse-names":false,"suffix":""},{"dropping-particle":"","family":"Sullivan","given":"Mark","non-dropping-particle":"","parse-names":false,"suffix":""},{"dropping-particle":"","family":"Fleckenstein","given":"Lawrence","non-dropping-particle":"","parse-names":false,"suffix":""}],"container-title":"PLOS Neglected Tropical Diseases","editor":[{"dropping-particle":"","family":"Ngondi","given":"Jeremiah M.","non-dropping-particle":"","parse-names":false,"suffix":""}],"id":"ITEM-1","issue":"3","issued":{"date-parts":[["2022","3","25"]]},"page":"e0010005","title":"Pharmacokinetics of oral moxidectin in individuals with Onchocerca volvulus infection","type":"article-journal","volume":"16"}}],"schema":"https://github.com/citation-style-language/schema/raw/master/csl-citation.json"}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[105]</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46DA0973"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35A960E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Volta </w:t>
            </w:r>
          </w:p>
        </w:tc>
        <w:tc>
          <w:tcPr>
            <w:tcW w:w="3202" w:type="dxa"/>
            <w:noWrap/>
            <w:hideMark/>
          </w:tcPr>
          <w:p w14:paraId="3DF7A63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60B017BE"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Tordzi</w:t>
            </w:r>
            <w:proofErr w:type="spellEnd"/>
          </w:p>
        </w:tc>
      </w:tr>
      <w:tr w:rsidR="00AE371D" w:rsidRPr="00AE371D" w14:paraId="3D067BC2" w14:textId="77777777" w:rsidTr="0025647A">
        <w:trPr>
          <w:trHeight w:val="312"/>
        </w:trPr>
        <w:tc>
          <w:tcPr>
            <w:tcW w:w="1316" w:type="dxa"/>
            <w:noWrap/>
            <w:hideMark/>
          </w:tcPr>
          <w:p w14:paraId="329386B0" w14:textId="2D8D38DB"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Bannister (2022)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s6P5YwjF","properties":{"formattedCitation":"[106]","plainCitation":"[106]","noteIndex":0},"citationItems":[{"id":"kQ8JjSWs/PZkOKCtx","uris":["http://www.mendeley.com/documents/?uuid=b5d718c2-791b-314c-9d33-86136f384f78"],"itemData":{"DOI":"10.1093/SHM/HKAB119","ISSN":"0951-631X","abstract":"As a contribution to the existing literature on deliberate or unintended neglect, concealment and ignorance regarding significant and enduring public health problems - produced by economic marginality, lack of political power and institutional failures affecting specific places and groups - this article discusses the history of epidemic sleeping sickness and endemic onchocerciasis in colonial northern Ghana from 1909 to 1957. Despite accumulating evidence of their serious impacts on the health of northern communities, and calls to action on the part of some health officials, both diseases were only officially recognised as significant risks when it was no longer politically possible to deny them. The particular histories of each disease, in the same region over the same decades, reveal two comparable and interrelated trajectories of neglect.","author":[{"dropping-particle":"","family":"Bannister","given":"David","non-dropping-particle":"","parse-names":false,"suffix":""}],"container-title":"Social History of Medicine","id":"ITEM-1","issue":"2","issued":{"date-parts":[["2022","5","10"]]},"page":"635-660","publisher":"Oxford Academic","title":"Wilful Blindness: Sleeping Sickness and Onchocerciasis in Colonial Northern Ghana, 1909–1957","type":"article-journal","volume":"35"}}],"schema":"https://github.com/citation-style-language/schema/raw/master/csl-citation.json"}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[106]</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0A2D56B"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61E24EA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Upper West</w:t>
            </w:r>
          </w:p>
        </w:tc>
        <w:tc>
          <w:tcPr>
            <w:tcW w:w="3202" w:type="dxa"/>
            <w:noWrap/>
            <w:hideMark/>
          </w:tcPr>
          <w:p w14:paraId="41F01BE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c>
          <w:tcPr>
            <w:tcW w:w="7353" w:type="dxa"/>
            <w:noWrap/>
            <w:hideMark/>
          </w:tcPr>
          <w:p w14:paraId="336B78CF"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Funsi</w:t>
            </w:r>
            <w:proofErr w:type="spellEnd"/>
          </w:p>
        </w:tc>
      </w:tr>
      <w:tr w:rsidR="00AE371D" w:rsidRPr="00AE371D" w14:paraId="7C7FD1B1" w14:textId="77777777" w:rsidTr="0025647A">
        <w:trPr>
          <w:trHeight w:val="312"/>
        </w:trPr>
        <w:tc>
          <w:tcPr>
            <w:tcW w:w="1316" w:type="dxa"/>
            <w:noWrap/>
            <w:hideMark/>
          </w:tcPr>
          <w:p w14:paraId="3CC6A428" w14:textId="23FDA14D"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Osei (2023)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SLySvM01","properties":{"formattedCitation":"[107]","plainCitation":"[107]","noteIndex":0},"citationItems":[{"id":"kQ8JjSWs/EhVbkzEi","uris":["http://www.mendeley.com/documents/?uuid=8169197e-37df-47b9-b4be-5946a3facdc0"],"itemData":{"DOI":"10.1186/s41256-023-00331-0","ISSN":"23970642","PMID":"37964321","abstract":"Background: Studies on Mass drug administration (MDA) in Ghana targeting various diseases, have mostly focused on factors that affect coverage and compliance to MDA with limited focus on evidence regarding awareness and community perception of the program. Therefore, this study sought to provide empirical evidence on the knowledge of onchocerciasis, and awareness of and participation in the MDA among community members. Methods: A community-based cross-sectional survey was conducted from August to October 2019 in communities within the Atwima Nwabiagya North District, Ghana. Data was collected from 2,008 respondents. Bivariate and multivariate logistic regression analyses were performed to measure the associations between socio-demographics, having heard of onchocerciasis and its prevention, and levels of awareness of the MDA program. Results: A total of 1268 respondents (63.2%) were aware of the MDA program. The majority ofMost respondents (74.4%) were of the view that the information given about the program was not enough and 45.4% of the respondents had no idea about the relevance of the MDA program. Respondents who had ever heard about onchocerciasis prevention and persons who had previously participated in the MDA program were more likely to be aware of the MDA program during implementation (AOR = 2.32; 95% CI 1.79–3.01 and AOR = 9.31; 95% CI 7.06–12.26, respectively). Conclusions: We observed a significant association between being aware of MDA campaigns and knowledge of onchocerciasis and its preventive methods, and participation in previous MDA campaigns. We recommend intensification and improvement of prevention campaigns regarding the onchocerciasis MDA program as key to ensuring increased MDA program participation.","author":[{"dropping-particle":"","family":"Osei","given":"Francis Adjei","non-dropping-particle":"","parse-names":false,"suffix":""},{"dropping-particle":"","family":"Newton","given":"Sam Kofi Tekyi","non-dropping-particle":"","parse-names":false,"suffix":""},{"dropping-particle":"","family":"Nyanor","given":"Isaac","non-dropping-particle":"","parse-names":false,"suffix":""},{"dropping-particle":"","family":"Osei-Yeboah","given":"Eugene","non-dropping-particle":"","parse-names":false,"suffix":""},{"dropping-particle":"","family":"Amuzu","given":"Evans Xorse","non-dropping-particle":"","parse-names":false,"suffix":""},{"dropping-particle":"","family":"Mensah","given":"Nicholas Karikari","non-dropping-particle":"","parse-names":false,"suffix":""},{"dropping-particle":"","family":"Nyarko","given":"Obed Ofori","non-dropping-particle":"","parse-names":false,"suffix":""},{"dropping-particle":"","family":"Amanor","given":"Ernest","non-dropping-particle":"","parse-names":false,"suffix":""},{"dropping-particle":"","family":"Odoom","given":"Samuel Frimpong","non-dropping-particle":"","parse-names":false,"suffix":""},{"dropping-particle":"","family":"Abubakar","given":"Suraj Yawnumah","non-dropping-particle":"","parse-names":false,"suffix":""},{"dropping-particle":"","family":"Dongyele","given":"Mathias","non-dropping-particle":"","parse-names":false,"suffix":""},{"dropping-particle":"","family":"Mohammed","given":"Aliyu","non-dropping-particle":"","parse-names":false,"suffix":""},{"dropping-particle":"","family":"Asare","given":"Ofeibea","non-dropping-particle":"","parse-names":false,"suffix":""},{"dropping-particle":"","family":"Boadi","given":"Stephanie","non-dropping-particle":"","parse-names":false,"suffix":""},{"dropping-particle":"","family":"Furu","given":"Peter","non-dropping-particle":"","parse-names":false,"suffix":""},{"dropping-particle":"","family":"Meyrowitsch","given":"Dan Wolf","non-dropping-particle":"","parse-names":false,"suffix":""},{"dropping-particle":"","family":"Owusu-Dabo","given":"Ellis","non-dropping-particle":"","parse-names":false,"suffix":""}],"container-title":"Global Health Research and Policy","id":"ITEM-1","issue":"1","issued":{"date-parts":[["2023"]]},"publisher":"BioMed Central","title":"Awareness of and participation in mass drug administration programs used for onchocerciasis control in the Atwima Nwabiagya North District, Ghana","type":"article-journal","volume":"8"}}],"schema":"https://github.com/citation-style-language/schema/raw/master/csl-citation.json"}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[107]</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2B9474D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9531B91"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Ashanti </w:t>
            </w:r>
          </w:p>
        </w:tc>
        <w:tc>
          <w:tcPr>
            <w:tcW w:w="3202" w:type="dxa"/>
            <w:noWrap/>
            <w:hideMark/>
          </w:tcPr>
          <w:p w14:paraId="0455841D"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Asante Akim South/</w:t>
            </w:r>
            <w:proofErr w:type="spellStart"/>
            <w:r w:rsidRPr="00AE371D">
              <w:rPr>
                <w:rFonts w:ascii="Times New Roman" w:eastAsia="Times New Roman" w:hAnsi="Times New Roman" w:cs="Times New Roman"/>
                <w:kern w:val="0"/>
                <w:sz w:val="20"/>
                <w:szCs w:val="20"/>
                <w14:ligatures w14:val="none"/>
              </w:rPr>
              <w:t>Bompata</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Juaso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Komeso</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Obogu</w:t>
            </w:r>
            <w:proofErr w:type="spellEnd"/>
            <w:r w:rsidRPr="00AE371D">
              <w:rPr>
                <w:rFonts w:ascii="Times New Roman" w:eastAsia="Times New Roman" w:hAnsi="Times New Roman" w:cs="Times New Roman"/>
                <w:kern w:val="0"/>
                <w:sz w:val="20"/>
                <w:szCs w:val="20"/>
                <w14:ligatures w14:val="none"/>
              </w:rPr>
              <w:t xml:space="preserve"> and </w:t>
            </w:r>
            <w:proofErr w:type="spellStart"/>
            <w:r w:rsidRPr="00AE371D">
              <w:rPr>
                <w:rFonts w:ascii="Times New Roman" w:eastAsia="Times New Roman" w:hAnsi="Times New Roman" w:cs="Times New Roman"/>
                <w:kern w:val="0"/>
                <w:sz w:val="20"/>
                <w:szCs w:val="20"/>
                <w14:ligatures w14:val="none"/>
              </w:rPr>
              <w:t>Ofoase</w:t>
            </w:r>
            <w:proofErr w:type="spellEnd"/>
          </w:p>
        </w:tc>
        <w:tc>
          <w:tcPr>
            <w:tcW w:w="7353" w:type="dxa"/>
            <w:noWrap/>
            <w:hideMark/>
          </w:tcPr>
          <w:p w14:paraId="5FB9F884"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Not specified</w:t>
            </w:r>
          </w:p>
        </w:tc>
      </w:tr>
      <w:tr w:rsidR="00AE371D" w:rsidRPr="00AE371D" w14:paraId="4B3465DC" w14:textId="77777777" w:rsidTr="0025647A">
        <w:trPr>
          <w:trHeight w:val="312"/>
        </w:trPr>
        <w:tc>
          <w:tcPr>
            <w:tcW w:w="1316" w:type="dxa"/>
            <w:noWrap/>
            <w:hideMark/>
          </w:tcPr>
          <w:p w14:paraId="4E9C692A" w14:textId="77520C30"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Otabil</w:t>
            </w:r>
            <w:proofErr w:type="spellEnd"/>
            <w:r w:rsidRPr="00AE371D">
              <w:rPr>
                <w:rFonts w:ascii="Times New Roman" w:eastAsia="Times New Roman" w:hAnsi="Times New Roman" w:cs="Times New Roman"/>
                <w:kern w:val="0"/>
                <w:sz w:val="20"/>
                <w:szCs w:val="20"/>
                <w14:ligatures w14:val="none"/>
              </w:rPr>
              <w:t xml:space="preserve"> (2023)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UaeqzaRr","properties":{"formattedCitation":"[16]","plainCitation":"[16]","noteIndex":0},"citationItems":[{"id":"kQ8JjSWs/vTo59kJG","uris":["http://www.mendeley.com/documents/?uuid=0b84f0fa-3d48-4144-afd3-2de1e61f63f7"],"itemData":{"DOI":"10.1186/s12879-023-08806-8","ISBN":"1287902308","ISSN":"1471-2334","PMID":"37974087","abstract":"BACKGROUND The World Health Organization has proposed that onchocerciasis elimination (interruption) of transmission be verified in 12 (approximately a third) endemic countries by 2030. The strategy to reach this goal is based on ivermectin Mass Drug Administration (MDA) with high geographical and therapeutic coverage. In addition to coverage, high levels of treatment adherence are paramount. We investigated factors associated with ivermectin intake in an area of Ghana with persistent Onchocerca volvulus infection. METHODS In August 2021, a cross-sectional mixed-methods study was conducted in 13 onchocerciasis-endemic communities in the Bono Region of Ghana. Individuals aged ≥ 10 years were invited to participate in a questionnaire survey. A total of 48 focus group discussions and in-depth interviews with 10 community drug distributors and 13 community leaders were conducted. RESULTS A total of 510 people participated in the study [median age: 32, interquartile range 30 (20‒50) years]; 274 (53.7%) were females. Of the total, 320 (62.7%) declared that they adhered to each treatment round and 190 (37.3%) admitted they had not taken ivermectin during at least one MDA round, since becoming eligible for treatment. Of 483 participants with complete information, 139 (28.8%) did not take ivermectin during the last round (March 2021), and 24 (5.0%) had never taken ivermectin (systematic non-adherers). Reasons for not taking ivermectin included previous experience/fear of side-effects, being absent during MDA, pregnancy, the desire to drink alcohol, and drug distribution challenges. Being male, having good knowledge and perception of the disease, and not having secondary or higher level of formal education were significantly associated with higher odds of ivermectin intake. CONCLUSIONS A relatively high level of non-adherence to ivermectin treatment was documented. There is a need for targeted educational and behavioural change campaigns to reverse these trends and ensure a steady course toward meeting onchocerciasis elimination targets in Ghana.","author":[{"dropping-particle":"","family":"Otabil","given":"Kenneth Bentum","non-dropping-particle":"","parse-names":false,"suffix":""},{"dropping-particle":"","family":"Basáñez","given":"María-Gloria","non-dropping-particle":"","parse-names":false,"suffix":""},{"dropping-particle":"","family":"Ankrah","given":"Blessing","non-dropping-particle":"","parse-names":false,"suffix":""},{"dropping-particle":"","family":"Bart-Plange","given":"Emmanuel John","non-dropping-particle":"","parse-names":false,"suffix":""},{"dropping-particle":"","family":"Babae","given":"Theophilus Nti","non-dropping-particle":"","parse-names":false,"suffix":""},{"dropping-particle":"","family":"Kudzordzi","given":"Prince-Charles","non-dropping-particle":"","parse-names":false,"suffix":""},{"dropping-particle":"","family":"Darko","given":"Vera Achiaa","non-dropping-particle":"","parse-names":false,"suffix":""},{"dropping-particle":"","family":"Raji","given":"Abdul Sakibu","non-dropping-particle":"","parse-names":false,"suffix":""},{"dropping-particle":"","family":"Datsa","given":"Lydia","non-dropping-particle":"","parse-names":false,"suffix":""},{"dropping-particle":"","family":"Boakye","given":"Andrews Agyapong","non-dropping-particle":"","parse-names":false,"suffix":""},{"dropping-particle":"","family":"Yeboah","given":"Michael Tawiah","non-dropping-particle":"","parse-names":false,"suffix":""},{"dropping-particle":"","family":"Fodjo","given":"Joseph Nelson Siewe","non-dropping-particle":"","parse-names":false,"suffix":""},{"dropping-particle":"","family":"Schallig","given":"Henk D F H","non-dropping-particle":"","parse-names":false,"suffix":""},{"dropping-particle":"","family":"Colebunders","given":"Robert","non-dropping-particle":"","parse-names":false,"suffix":""}],"container-title":"BMC infectious diseases","id":"ITEM-1","issue":"1","issued":{"date-parts":[["2023","11","16"]]},"page":"805","title":"Non-adherence to ivermectin in onchocerciasis-endemic communities with persistent infection in the Bono Region of Ghana: a mixed-methods study.","type":"article-journal","volume":"23"}}],"schema":"https://github.com/citation-style-language/schema/raw/master/csl-citation.json"}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[16]</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617B3F75"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503E451E"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Bono </w:t>
            </w:r>
          </w:p>
        </w:tc>
        <w:tc>
          <w:tcPr>
            <w:tcW w:w="3202" w:type="dxa"/>
            <w:noWrap/>
            <w:hideMark/>
          </w:tcPr>
          <w:p w14:paraId="7FEE7306"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Tain , Wenchi Municipal</w:t>
            </w:r>
          </w:p>
        </w:tc>
        <w:tc>
          <w:tcPr>
            <w:tcW w:w="7353" w:type="dxa"/>
            <w:noWrap/>
            <w:hideMark/>
          </w:tcPr>
          <w:p w14:paraId="79BFB94B"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Abekwai</w:t>
            </w:r>
            <w:proofErr w:type="spellEnd"/>
            <w:r w:rsidRPr="00AE371D">
              <w:rPr>
                <w:rFonts w:ascii="Times New Roman" w:eastAsia="Times New Roman" w:hAnsi="Times New Roman" w:cs="Times New Roman"/>
                <w:kern w:val="0"/>
                <w:sz w:val="20"/>
                <w:szCs w:val="20"/>
                <w14:ligatures w14:val="none"/>
              </w:rPr>
              <w:t xml:space="preserve"> 2, </w:t>
            </w:r>
            <w:proofErr w:type="spellStart"/>
            <w:r w:rsidRPr="00AE371D">
              <w:rPr>
                <w:rFonts w:ascii="Times New Roman" w:eastAsia="Times New Roman" w:hAnsi="Times New Roman" w:cs="Times New Roman"/>
                <w:kern w:val="0"/>
                <w:sz w:val="20"/>
                <w:szCs w:val="20"/>
                <w14:ligatures w14:val="none"/>
              </w:rPr>
              <w:t>Abekwai</w:t>
            </w:r>
            <w:proofErr w:type="spellEnd"/>
            <w:r w:rsidRPr="00AE371D">
              <w:rPr>
                <w:rFonts w:ascii="Times New Roman" w:eastAsia="Times New Roman" w:hAnsi="Times New Roman" w:cs="Times New Roman"/>
                <w:kern w:val="0"/>
                <w:sz w:val="20"/>
                <w:szCs w:val="20"/>
                <w14:ligatures w14:val="none"/>
              </w:rPr>
              <w:t xml:space="preserve"> 3, </w:t>
            </w:r>
            <w:proofErr w:type="spellStart"/>
            <w:r w:rsidRPr="00AE371D">
              <w:rPr>
                <w:rFonts w:ascii="Times New Roman" w:eastAsia="Times New Roman" w:hAnsi="Times New Roman" w:cs="Times New Roman"/>
                <w:kern w:val="0"/>
                <w:sz w:val="20"/>
                <w:szCs w:val="20"/>
                <w14:ligatures w14:val="none"/>
              </w:rPr>
              <w:t>Attakrom</w:t>
            </w:r>
            <w:proofErr w:type="spellEnd"/>
            <w:r w:rsidRPr="00AE371D">
              <w:rPr>
                <w:rFonts w:ascii="Times New Roman" w:eastAsia="Times New Roman" w:hAnsi="Times New Roman" w:cs="Times New Roman"/>
                <w:kern w:val="0"/>
                <w:sz w:val="20"/>
                <w:szCs w:val="20"/>
                <w14:ligatures w14:val="none"/>
              </w:rPr>
              <w:t xml:space="preserve"> and </w:t>
            </w:r>
            <w:proofErr w:type="spellStart"/>
            <w:r w:rsidRPr="00AE371D">
              <w:rPr>
                <w:rFonts w:ascii="Times New Roman" w:eastAsia="Times New Roman" w:hAnsi="Times New Roman" w:cs="Times New Roman"/>
                <w:kern w:val="0"/>
                <w:sz w:val="20"/>
                <w:szCs w:val="20"/>
                <w14:ligatures w14:val="none"/>
              </w:rPr>
              <w:t>Kokomba</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Adamukuraa</w:t>
            </w:r>
            <w:proofErr w:type="spellEnd"/>
            <w:r w:rsidRPr="00AE371D">
              <w:rPr>
                <w:rFonts w:ascii="Times New Roman" w:eastAsia="Times New Roman" w:hAnsi="Times New Roman" w:cs="Times New Roman"/>
                <w:kern w:val="0"/>
                <w:sz w:val="20"/>
                <w:szCs w:val="20"/>
                <w14:ligatures w14:val="none"/>
              </w:rPr>
              <w:t xml:space="preserve">, Branam, </w:t>
            </w:r>
            <w:proofErr w:type="spellStart"/>
            <w:r w:rsidRPr="00AE371D">
              <w:rPr>
                <w:rFonts w:ascii="Times New Roman" w:eastAsia="Times New Roman" w:hAnsi="Times New Roman" w:cs="Times New Roman"/>
                <w:kern w:val="0"/>
                <w:sz w:val="20"/>
                <w:szCs w:val="20"/>
                <w14:ligatures w14:val="none"/>
              </w:rPr>
              <w:t>Gyabaa</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Kwanware</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Ottukrom</w:t>
            </w:r>
            <w:proofErr w:type="spellEnd"/>
            <w:r w:rsidRPr="00AE371D">
              <w:rPr>
                <w:rFonts w:ascii="Times New Roman" w:eastAsia="Times New Roman" w:hAnsi="Times New Roman" w:cs="Times New Roman"/>
                <w:kern w:val="0"/>
                <w:sz w:val="20"/>
                <w:szCs w:val="20"/>
                <w14:ligatures w14:val="none"/>
              </w:rPr>
              <w:t xml:space="preserve">, State Farms, </w:t>
            </w:r>
            <w:proofErr w:type="spellStart"/>
            <w:r w:rsidRPr="00AE371D">
              <w:rPr>
                <w:rFonts w:ascii="Times New Roman" w:eastAsia="Times New Roman" w:hAnsi="Times New Roman" w:cs="Times New Roman"/>
                <w:kern w:val="0"/>
                <w:sz w:val="20"/>
                <w:szCs w:val="20"/>
                <w14:ligatures w14:val="none"/>
              </w:rPr>
              <w:t>Subinso</w:t>
            </w:r>
            <w:proofErr w:type="spellEnd"/>
            <w:r w:rsidRPr="00AE371D">
              <w:rPr>
                <w:rFonts w:ascii="Times New Roman" w:eastAsia="Times New Roman" w:hAnsi="Times New Roman" w:cs="Times New Roman"/>
                <w:kern w:val="0"/>
                <w:sz w:val="20"/>
                <w:szCs w:val="20"/>
                <w14:ligatures w14:val="none"/>
              </w:rPr>
              <w:t xml:space="preserve"> 1, </w:t>
            </w:r>
            <w:proofErr w:type="spellStart"/>
            <w:r w:rsidRPr="00AE371D">
              <w:rPr>
                <w:rFonts w:ascii="Times New Roman" w:eastAsia="Times New Roman" w:hAnsi="Times New Roman" w:cs="Times New Roman"/>
                <w:kern w:val="0"/>
                <w:sz w:val="20"/>
                <w:szCs w:val="20"/>
                <w14:ligatures w14:val="none"/>
              </w:rPr>
              <w:t>Subinso</w:t>
            </w:r>
            <w:proofErr w:type="spellEnd"/>
            <w:r w:rsidRPr="00AE371D">
              <w:rPr>
                <w:rFonts w:ascii="Times New Roman" w:eastAsia="Times New Roman" w:hAnsi="Times New Roman" w:cs="Times New Roman"/>
                <w:kern w:val="0"/>
                <w:sz w:val="20"/>
                <w:szCs w:val="20"/>
                <w14:ligatures w14:val="none"/>
              </w:rPr>
              <w:t xml:space="preserve"> 2 and Wawama</w:t>
            </w:r>
          </w:p>
        </w:tc>
      </w:tr>
      <w:tr w:rsidR="00AE371D" w:rsidRPr="00AE371D" w14:paraId="3D76CE6F" w14:textId="77777777" w:rsidTr="0025647A">
        <w:trPr>
          <w:trHeight w:val="312"/>
        </w:trPr>
        <w:tc>
          <w:tcPr>
            <w:tcW w:w="1316" w:type="dxa"/>
            <w:noWrap/>
            <w:hideMark/>
          </w:tcPr>
          <w:p w14:paraId="34348D40" w14:textId="5DCDBFB5"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Otabil</w:t>
            </w:r>
            <w:proofErr w:type="spellEnd"/>
            <w:r w:rsidRPr="00AE371D">
              <w:rPr>
                <w:rFonts w:ascii="Times New Roman" w:eastAsia="Times New Roman" w:hAnsi="Times New Roman" w:cs="Times New Roman"/>
                <w:kern w:val="0"/>
                <w:sz w:val="20"/>
                <w:szCs w:val="20"/>
                <w14:ligatures w14:val="none"/>
              </w:rPr>
              <w:t xml:space="preserve"> (2023)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dxIab3ZB","properties":{"formattedCitation":"[108]","plainCitation":"[108]","noteIndex":0},"citationItems":[{"id":"kQ8JjSWs/bEuoxAJ4","uris":["http://www.mendeley.com/documents/?uuid=fbd2f39b-20f0-4d01-b8ce-b34e0c771913"],"itemData":{"DOI":"10.1111/tmi.13937","ISSN":"13653156","PMID":"37846505","abstract":"Objectives: There is a pressing need to regularly evaluate the progress of onchocerciasis elimination programmes to timely identify and mitigate potential risks hindering the reaching of the 2030 targets proposed by the World Health Organization (WHO) in its roadmap on neglected tropical diseases (NTDs). We determined the prevalence of onchocerciasis and associated dermatological and ophthalmological manifestations in six endemic communities in the Bono Region of Ghana after 27 years of ivermectin mass treatment. Methods: In a cross-sectional study, 564 participants aged ≥5 years were enrolled (49.1% females), with a median age of 26 (range: 5–89) years. In 54% and 47%, skin-snip microscopy and Ov16 rapid diagnostic tests were performed, respectively. Skin disease was determined using the WHO Skin NTD App. Visual function assessments included tests of visual acuity. Results: The overall microfilarial prevalence was 12.5% (38/305) and Ov16 seroprevalence was 24.2% (64/265). Severe itching was recorded in 24.3%, acute papular onchodermatitis in 52.8%, chronic papular onchodermatitis in 12.5%, lichenified onchodermatitis in 0.7%, skin atrophy in 11.3%, depigmentation in 1.7% and palpable nodules in 5.3%. Of the 301 persons in which visual acuity was examined, 17% were visually impaired and 5.3% were blind and 47.3% presented with cataract. Chronic papular onchodermatitis, lichenified onchodermatitis, depigmentation and visual impairment were significantly associated with the presence of skin microfilariae and Ov16 seropositivity. Conclusions: The persistence of Onchocerca volvulus infection and onchocerciasis-associated dermatological and ophthalmological pathologies after prolonged treatment is of concern. There is a need to include morbidity management in onchocerciasis elimination programmes and understand better patterns of treatment coverage, adherence and actual intake of ivermectin.","author":[{"dropping-particle":"","family":"Otabil","given":"Kenneth Bentum","non-dropping-particle":"","parse-names":false,"suffix":""},{"dropping-particle":"","family":"Basáñez","given":"María Gloria","non-dropping-particle":"","parse-names":false,"suffix":""},{"dropping-particle":"","family":"Ankrah","given":"Blessing","non-dropping-particle":"","parse-names":false,"suffix":""},{"dropping-particle":"","family":"Opoku","given":"Stephen Agyemang","non-dropping-particle":"","parse-names":false,"suffix":""},{"dropping-particle":"","family":"Kyei","given":"Dennis Ofori","non-dropping-particle":"","parse-names":false,"suffix":""},{"dropping-particle":"","family":"Hagan","given":"Rhoda","non-dropping-particle":"","parse-names":false,"suffix":""},{"dropping-particle":"","family":"Ababio","given":"Richmond","non-dropping-particle":"","parse-names":false,"suffix":""},{"dropping-particle":"","family":"Bart-Plange","given":"Emmanuel John","non-dropping-particle":"","parse-names":false,"suffix":""},{"dropping-particle":"","family":"Babae","given":"Theophilus Nti","non-dropping-particle":"","parse-names":false,"suffix":""},{"dropping-particle":"","family":"Kudzordzi","given":"Prince Charles","non-dropping-particle":"","parse-names":false,"suffix":""},{"dropping-particle":"","family":"Darko","given":"Vera Achiaa","non-dropping-particle":"","parse-names":false,"suffix":""},{"dropping-particle":"","family":"Bamfo","given":"Joseph G.","non-dropping-particle":"","parse-names":false,"suffix":""},{"dropping-particle":"","family":"Ameyaw","given":"Joseph","non-dropping-particle":"","parse-names":false,"suffix":""},{"dropping-particle":"","family":"Raji","given":"Abdul Sakibu","non-dropping-particle":"","parse-names":false,"suffix":""},{"dropping-particle":"","family":"Hadermann","given":"Amber","non-dropping-particle":"","parse-names":false,"suffix":""},{"dropping-particle":"","family":"Schallig","given":"Henk D.F.H.","non-dropping-particle":"","parse-names":false,"suffix":""},{"dropping-particle":"","family":"Colebunders","given":"Robert","non-dropping-particle":"","parse-names":false,"suffix":""}],"container-title":"Tropical Medicine and International Health","id":"ITEM-1","issue":"11","issued":{"date-parts":[["2023"]]},"page":"844-854","title":"Persistence of onchocerciasis and associated dermatologic and ophthalmic pathologies after 27 years of ivermectin mass drug administration in the middle belt of Ghana","type":"article-journal","volume":"28"}}],"schema":"https://github.com/citation-style-language/schema/raw/master/csl-citation.json"}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[108]</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5F1BB26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449817A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Bono </w:t>
            </w:r>
          </w:p>
        </w:tc>
        <w:tc>
          <w:tcPr>
            <w:tcW w:w="3202" w:type="dxa"/>
            <w:noWrap/>
            <w:hideMark/>
          </w:tcPr>
          <w:p w14:paraId="19D0FDCC"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Wenchi Municipality, Tain </w:t>
            </w:r>
          </w:p>
        </w:tc>
        <w:tc>
          <w:tcPr>
            <w:tcW w:w="7353" w:type="dxa"/>
            <w:noWrap/>
            <w:hideMark/>
          </w:tcPr>
          <w:p w14:paraId="01A54C90"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Johnykrom</w:t>
            </w:r>
            <w:proofErr w:type="spellEnd"/>
            <w:r w:rsidRPr="00AE371D">
              <w:rPr>
                <w:rFonts w:ascii="Times New Roman" w:eastAsia="Times New Roman" w:hAnsi="Times New Roman" w:cs="Times New Roman"/>
                <w:kern w:val="0"/>
                <w:sz w:val="20"/>
                <w:szCs w:val="20"/>
                <w14:ligatures w14:val="none"/>
              </w:rPr>
              <w:t xml:space="preserve"> and </w:t>
            </w:r>
            <w:proofErr w:type="spellStart"/>
            <w:r w:rsidRPr="00AE371D">
              <w:rPr>
                <w:rFonts w:ascii="Times New Roman" w:eastAsia="Times New Roman" w:hAnsi="Times New Roman" w:cs="Times New Roman"/>
                <w:kern w:val="0"/>
                <w:sz w:val="20"/>
                <w:szCs w:val="20"/>
                <w14:ligatures w14:val="none"/>
              </w:rPr>
              <w:t>Blibor</w:t>
            </w:r>
            <w:proofErr w:type="spellEnd"/>
            <w:r w:rsidRPr="00AE371D">
              <w:rPr>
                <w:rFonts w:ascii="Times New Roman" w:eastAsia="Times New Roman" w:hAnsi="Times New Roman" w:cs="Times New Roman"/>
                <w:kern w:val="0"/>
                <w:sz w:val="20"/>
                <w:szCs w:val="20"/>
                <w14:ligatures w14:val="none"/>
              </w:rPr>
              <w:t xml:space="preserve">, Tain, </w:t>
            </w:r>
            <w:proofErr w:type="spellStart"/>
            <w:r w:rsidRPr="00AE371D">
              <w:rPr>
                <w:rFonts w:ascii="Times New Roman" w:eastAsia="Times New Roman" w:hAnsi="Times New Roman" w:cs="Times New Roman"/>
                <w:kern w:val="0"/>
                <w:sz w:val="20"/>
                <w:szCs w:val="20"/>
                <w14:ligatures w14:val="none"/>
              </w:rPr>
              <w:t>Abekwai</w:t>
            </w:r>
            <w:proofErr w:type="spellEnd"/>
            <w:r w:rsidRPr="00AE371D">
              <w:rPr>
                <w:rFonts w:ascii="Times New Roman" w:eastAsia="Times New Roman" w:hAnsi="Times New Roman" w:cs="Times New Roman"/>
                <w:kern w:val="0"/>
                <w:sz w:val="20"/>
                <w:szCs w:val="20"/>
                <w14:ligatures w14:val="none"/>
              </w:rPr>
              <w:t xml:space="preserve"> 2, </w:t>
            </w:r>
            <w:proofErr w:type="spellStart"/>
            <w:r w:rsidRPr="00AE371D">
              <w:rPr>
                <w:rFonts w:ascii="Times New Roman" w:eastAsia="Times New Roman" w:hAnsi="Times New Roman" w:cs="Times New Roman"/>
                <w:kern w:val="0"/>
                <w:sz w:val="20"/>
                <w:szCs w:val="20"/>
                <w14:ligatures w14:val="none"/>
              </w:rPr>
              <w:t>Abekwai</w:t>
            </w:r>
            <w:proofErr w:type="spellEnd"/>
            <w:r w:rsidRPr="00AE371D">
              <w:rPr>
                <w:rFonts w:ascii="Times New Roman" w:eastAsia="Times New Roman" w:hAnsi="Times New Roman" w:cs="Times New Roman"/>
                <w:kern w:val="0"/>
                <w:sz w:val="20"/>
                <w:szCs w:val="20"/>
                <w14:ligatures w14:val="none"/>
              </w:rPr>
              <w:t xml:space="preserve"> 3, </w:t>
            </w:r>
            <w:proofErr w:type="spellStart"/>
            <w:r w:rsidRPr="00AE371D">
              <w:rPr>
                <w:rFonts w:ascii="Times New Roman" w:eastAsia="Times New Roman" w:hAnsi="Times New Roman" w:cs="Times New Roman"/>
                <w:kern w:val="0"/>
                <w:sz w:val="20"/>
                <w:szCs w:val="20"/>
                <w14:ligatures w14:val="none"/>
              </w:rPr>
              <w:t>Attakrom</w:t>
            </w:r>
            <w:proofErr w:type="spellEnd"/>
            <w:r w:rsidRPr="00AE371D">
              <w:rPr>
                <w:rFonts w:ascii="Times New Roman" w:eastAsia="Times New Roman" w:hAnsi="Times New Roman" w:cs="Times New Roman"/>
                <w:kern w:val="0"/>
                <w:sz w:val="20"/>
                <w:szCs w:val="20"/>
                <w14:ligatures w14:val="none"/>
              </w:rPr>
              <w:t xml:space="preserve"> and </w:t>
            </w:r>
            <w:proofErr w:type="spellStart"/>
            <w:r w:rsidRPr="00AE371D">
              <w:rPr>
                <w:rFonts w:ascii="Times New Roman" w:eastAsia="Times New Roman" w:hAnsi="Times New Roman" w:cs="Times New Roman"/>
                <w:kern w:val="0"/>
                <w:sz w:val="20"/>
                <w:szCs w:val="20"/>
                <w14:ligatures w14:val="none"/>
              </w:rPr>
              <w:t>Kokomba</w:t>
            </w:r>
            <w:proofErr w:type="spellEnd"/>
          </w:p>
        </w:tc>
      </w:tr>
      <w:tr w:rsidR="00AE371D" w:rsidRPr="00AE371D" w14:paraId="057F125C" w14:textId="77777777" w:rsidTr="0025647A">
        <w:trPr>
          <w:trHeight w:val="312"/>
        </w:trPr>
        <w:tc>
          <w:tcPr>
            <w:tcW w:w="1316" w:type="dxa"/>
            <w:noWrap/>
            <w:hideMark/>
          </w:tcPr>
          <w:p w14:paraId="11DA52EB" w14:textId="32D4947B"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Otabil</w:t>
            </w:r>
            <w:proofErr w:type="spellEnd"/>
            <w:r w:rsidRPr="00AE371D">
              <w:rPr>
                <w:rFonts w:ascii="Times New Roman" w:eastAsia="Times New Roman" w:hAnsi="Times New Roman" w:cs="Times New Roman"/>
                <w:kern w:val="0"/>
                <w:sz w:val="20"/>
                <w:szCs w:val="20"/>
                <w14:ligatures w14:val="none"/>
              </w:rPr>
              <w:t xml:space="preserve"> (2023) </w:t>
            </w:r>
            <w:r w:rsidRPr="00AE371D">
              <w:rPr>
                <w:rFonts w:ascii="Times New Roman" w:eastAsia="Times New Roman" w:hAnsi="Times New Roman" w:cs="Times New Roman"/>
                <w:kern w:val="0"/>
                <w:sz w:val="20"/>
                <w:szCs w:val="20"/>
                <w14:ligatures w14:val="none"/>
              </w:rPr>
              <w:fldChar w:fldCharType="begin" w:fldLock="1"/>
            </w:r>
            <w:r w:rsidR="00EE3817" w:rsidRPr="00AE371D">
              <w:rPr>
                <w:rFonts w:ascii="Times New Roman" w:eastAsia="Times New Roman" w:hAnsi="Times New Roman" w:cs="Times New Roman"/>
                <w:kern w:val="0"/>
                <w:sz w:val="20"/>
                <w:szCs w:val="20"/>
                <w14:ligatures w14:val="none"/>
              </w:rPr>
              <w:instrText xml:space="preserve"> ADDIN ZOTERO_ITEM CSL_CITATION {"citationID":"vs3oOLMB","properties":{"formattedCitation":"[109]","plainCitation":"[109]","noteIndex":0},"citationItems":[{"id":"kQ8JjSWs/3GInceGf","uris":["http://www.mendeley.com/documents/?uuid=5b5ac1d1-1434-4030-ae8c-3bbe8fafc589"],"itemData":{"DOI":"10.1186/s40249-023-01117-9","ISSN":"2049-9957","author":[{"dropping-particle":"","family":"Otabil","given":"Kenneth Bentum","non-dropping-particle":"","parse-names":false,"suffix":""},{"dropping-particle":"","family":"Ankrah","given":"Blessing","non-dropping-particle":"","parse-names":false,"suffix":""},{"dropping-particle":"","family":"John","given":"Emmanuel","non-dropping-particle":"","parse-names":false,"suffix":""},{"dropping-particle":"","family":"Plange","given":"Bart","non-dropping-particle":"","parse-names":false,"suffix":""},{"dropping-particle":"","family":"Donkoh","given":"Emmanuel Sam","non-dropping-particle":"","parse-names":false,"suffix":""},{"dropping-particle":"","family":"Avarikame","given":"Fiona Amoabil","non-dropping-particle":"","parse-names":false,"suffix":""},{"dropping-particle":"","family":"Obeng","given":"Fredrick","non-dropping-particle":"","parse-names":false,"suffix":""},{"dropping-particle":"","family":"Appiah","given":"Ofori","non-dropping-particle":"","parse-names":false,"suffix":""},{"dropping-particle":"","family":"Babae","given":"Theophilus Nti","non-dropping-particle":"","parse-names":false,"suffix":""},{"dropping-particle":"","family":"Kudzordzi","given":"Prince Charles","non-dropping-particle":"","parse-names":false,"suffix":""},{"dropping-particle":"","family":"Darko","given":"Vera Achiaa","non-dropping-particle":"","parse-names":false,"suffix":""},{"dropping-particle":"","family":"Ameyaw","given":"Joseph","non-dropping-particle":"","parse-names":false,"suffix":""},{"dropping-particle":"","family":"Bamfo","given":"Joseph Gyekye","non-dropping-particle":"","parse-names":false,"suffix":""},{"dropping-particle":"","family":"Sakibu","given":"Raji Abdul","non-dropping-particle":"","parse-names":false,"suffix":""},{"dropping-particle":"","family":"Berko","given":"Daniel Antwi","non-dropping-particle":"","parse-names":false,"suffix":""},{"dropping-particle":"","family":"Nelson","given":"Joseph","non-dropping-particle":"","parse-names":false,"suffix":""},{"dropping-particle":"","family":"Fodjo","given":"Siewe","non-dropping-particle":"","parse-names":false,"suffix":""},{"dropping-particle":"","family":"Basáñez","given":"María Gloria","non-dropping-particle":"","parse-names":false,"suffix":""},{"dropping-particle":"","family":"Schallig","given":"Henk D F H","non-dropping-particle":"","parse-names":false,"suffix":""},{"dropping-particle":"","family":"Colebunders","given":"Robert","non-dropping-particle":"","parse-names":false,"suffix":""}],"container-title":"Infectious Diseases of Poverty","id":"ITEM-1","issued":{"date-parts":[["2023"]]},"page":"1-14","publisher":"BioMed Central","title":"Prevalence of epilepsy in the onchocerciasis endemic middle belt of Ghana after 27 years of mass drug administration with ivermectin","type":"article-journal"}}],"schema":"https://github.com/citation-style-language/schema/raw/master/csl-citation.json"} </w:instrText>
            </w:r>
            <w:r w:rsidRPr="00AE371D">
              <w:rPr>
                <w:rFonts w:ascii="Times New Roman" w:eastAsia="Times New Roman" w:hAnsi="Times New Roman" w:cs="Times New Roman"/>
                <w:kern w:val="0"/>
                <w:sz w:val="20"/>
                <w:szCs w:val="20"/>
                <w14:ligatures w14:val="none"/>
              </w:rPr>
              <w:fldChar w:fldCharType="separate"/>
            </w:r>
            <w:r w:rsidR="00D766E6" w:rsidRPr="00AE371D">
              <w:rPr>
                <w:rFonts w:ascii="Times New Roman" w:hAnsi="Times New Roman" w:cs="Times New Roman"/>
                <w:sz w:val="20"/>
              </w:rPr>
              <w:t>[109]</w:t>
            </w:r>
            <w:r w:rsidRPr="00AE371D">
              <w:rPr>
                <w:rFonts w:ascii="Times New Roman" w:eastAsia="Times New Roman" w:hAnsi="Times New Roman" w:cs="Times New Roman"/>
                <w:kern w:val="0"/>
                <w:sz w:val="20"/>
                <w:szCs w:val="20"/>
                <w14:ligatures w14:val="none"/>
              </w:rPr>
              <w:fldChar w:fldCharType="end"/>
            </w:r>
          </w:p>
        </w:tc>
        <w:tc>
          <w:tcPr>
            <w:tcW w:w="1102" w:type="dxa"/>
            <w:noWrap/>
            <w:hideMark/>
          </w:tcPr>
          <w:p w14:paraId="7FABB119"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Peer-reviewed</w:t>
            </w:r>
          </w:p>
        </w:tc>
        <w:tc>
          <w:tcPr>
            <w:tcW w:w="1383" w:type="dxa"/>
            <w:noWrap/>
            <w:hideMark/>
          </w:tcPr>
          <w:p w14:paraId="78B600F8"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 xml:space="preserve">Bono </w:t>
            </w:r>
          </w:p>
        </w:tc>
        <w:tc>
          <w:tcPr>
            <w:tcW w:w="3202" w:type="dxa"/>
            <w:noWrap/>
            <w:hideMark/>
          </w:tcPr>
          <w:p w14:paraId="795011B7" w14:textId="77777777" w:rsidR="00461A2D" w:rsidRPr="00AE371D" w:rsidRDefault="00461A2D" w:rsidP="006F7045">
            <w:pPr>
              <w:rPr>
                <w:rFonts w:ascii="Times New Roman" w:eastAsia="Times New Roman" w:hAnsi="Times New Roman" w:cs="Times New Roman"/>
                <w:kern w:val="0"/>
                <w:sz w:val="20"/>
                <w:szCs w:val="20"/>
                <w14:ligatures w14:val="none"/>
              </w:rPr>
            </w:pPr>
            <w:r w:rsidRPr="00AE371D">
              <w:rPr>
                <w:rFonts w:ascii="Times New Roman" w:eastAsia="Times New Roman" w:hAnsi="Times New Roman" w:cs="Times New Roman"/>
                <w:kern w:val="0"/>
                <w:sz w:val="20"/>
                <w:szCs w:val="20"/>
                <w14:ligatures w14:val="none"/>
              </w:rPr>
              <w:t>Tain  and Wenchi Municipality</w:t>
            </w:r>
          </w:p>
        </w:tc>
        <w:tc>
          <w:tcPr>
            <w:tcW w:w="7353" w:type="dxa"/>
            <w:noWrap/>
            <w:hideMark/>
          </w:tcPr>
          <w:p w14:paraId="0FC4A1C7" w14:textId="77777777" w:rsidR="00461A2D" w:rsidRPr="00AE371D" w:rsidRDefault="00461A2D" w:rsidP="006F7045">
            <w:pPr>
              <w:rPr>
                <w:rFonts w:ascii="Times New Roman" w:eastAsia="Times New Roman" w:hAnsi="Times New Roman" w:cs="Times New Roman"/>
                <w:kern w:val="0"/>
                <w:sz w:val="20"/>
                <w:szCs w:val="20"/>
                <w14:ligatures w14:val="none"/>
              </w:rPr>
            </w:pPr>
            <w:proofErr w:type="spellStart"/>
            <w:r w:rsidRPr="00AE371D">
              <w:rPr>
                <w:rFonts w:ascii="Times New Roman" w:eastAsia="Times New Roman" w:hAnsi="Times New Roman" w:cs="Times New Roman"/>
                <w:kern w:val="0"/>
                <w:sz w:val="20"/>
                <w:szCs w:val="20"/>
                <w14:ligatures w14:val="none"/>
              </w:rPr>
              <w:t>Abekwai</w:t>
            </w:r>
            <w:proofErr w:type="spellEnd"/>
            <w:r w:rsidRPr="00AE371D">
              <w:rPr>
                <w:rFonts w:ascii="Times New Roman" w:eastAsia="Times New Roman" w:hAnsi="Times New Roman" w:cs="Times New Roman"/>
                <w:kern w:val="0"/>
                <w:sz w:val="20"/>
                <w:szCs w:val="20"/>
                <w14:ligatures w14:val="none"/>
              </w:rPr>
              <w:t xml:space="preserve"> 2, </w:t>
            </w:r>
            <w:proofErr w:type="spellStart"/>
            <w:r w:rsidRPr="00AE371D">
              <w:rPr>
                <w:rFonts w:ascii="Times New Roman" w:eastAsia="Times New Roman" w:hAnsi="Times New Roman" w:cs="Times New Roman"/>
                <w:kern w:val="0"/>
                <w:sz w:val="20"/>
                <w:szCs w:val="20"/>
                <w14:ligatures w14:val="none"/>
              </w:rPr>
              <w:t>Abekwai</w:t>
            </w:r>
            <w:proofErr w:type="spellEnd"/>
            <w:r w:rsidRPr="00AE371D">
              <w:rPr>
                <w:rFonts w:ascii="Times New Roman" w:eastAsia="Times New Roman" w:hAnsi="Times New Roman" w:cs="Times New Roman"/>
                <w:kern w:val="0"/>
                <w:sz w:val="20"/>
                <w:szCs w:val="20"/>
                <w14:ligatures w14:val="none"/>
              </w:rPr>
              <w:t xml:space="preserve"> 3, </w:t>
            </w:r>
            <w:proofErr w:type="spellStart"/>
            <w:r w:rsidRPr="00AE371D">
              <w:rPr>
                <w:rFonts w:ascii="Times New Roman" w:eastAsia="Times New Roman" w:hAnsi="Times New Roman" w:cs="Times New Roman"/>
                <w:kern w:val="0"/>
                <w:sz w:val="20"/>
                <w:szCs w:val="20"/>
                <w14:ligatures w14:val="none"/>
              </w:rPr>
              <w:t>Attakrom</w:t>
            </w:r>
            <w:proofErr w:type="spellEnd"/>
            <w:r w:rsidRPr="00AE371D">
              <w:rPr>
                <w:rFonts w:ascii="Times New Roman" w:eastAsia="Times New Roman" w:hAnsi="Times New Roman" w:cs="Times New Roman"/>
                <w:kern w:val="0"/>
                <w:sz w:val="20"/>
                <w:szCs w:val="20"/>
                <w14:ligatures w14:val="none"/>
              </w:rPr>
              <w:t xml:space="preserve">, and </w:t>
            </w:r>
            <w:proofErr w:type="spellStart"/>
            <w:r w:rsidRPr="00AE371D">
              <w:rPr>
                <w:rFonts w:ascii="Times New Roman" w:eastAsia="Times New Roman" w:hAnsi="Times New Roman" w:cs="Times New Roman"/>
                <w:kern w:val="0"/>
                <w:sz w:val="20"/>
                <w:szCs w:val="20"/>
                <w14:ligatures w14:val="none"/>
              </w:rPr>
              <w:t>Kokomba</w:t>
            </w:r>
            <w:proofErr w:type="spellEnd"/>
            <w:r w:rsidRPr="00AE371D">
              <w:rPr>
                <w:rFonts w:ascii="Times New Roman" w:eastAsia="Times New Roman" w:hAnsi="Times New Roman" w:cs="Times New Roman"/>
                <w:kern w:val="0"/>
                <w:sz w:val="20"/>
                <w:szCs w:val="20"/>
                <w14:ligatures w14:val="none"/>
              </w:rPr>
              <w:t xml:space="preserve"> in the Tain District, and </w:t>
            </w:r>
            <w:proofErr w:type="spellStart"/>
            <w:r w:rsidRPr="00AE371D">
              <w:rPr>
                <w:rFonts w:ascii="Times New Roman" w:eastAsia="Times New Roman" w:hAnsi="Times New Roman" w:cs="Times New Roman"/>
                <w:kern w:val="0"/>
                <w:sz w:val="20"/>
                <w:szCs w:val="20"/>
                <w14:ligatures w14:val="none"/>
              </w:rPr>
              <w:t>Blibor</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Johnykrom</w:t>
            </w:r>
            <w:proofErr w:type="spellEnd"/>
            <w:r w:rsidRPr="00AE371D">
              <w:rPr>
                <w:rFonts w:ascii="Times New Roman" w:eastAsia="Times New Roman" w:hAnsi="Times New Roman" w:cs="Times New Roman"/>
                <w:kern w:val="0"/>
                <w:sz w:val="20"/>
                <w:szCs w:val="20"/>
                <w14:ligatures w14:val="none"/>
              </w:rPr>
              <w:t xml:space="preserve">, </w:t>
            </w:r>
            <w:proofErr w:type="spellStart"/>
            <w:r w:rsidRPr="00AE371D">
              <w:rPr>
                <w:rFonts w:ascii="Times New Roman" w:eastAsia="Times New Roman" w:hAnsi="Times New Roman" w:cs="Times New Roman"/>
                <w:kern w:val="0"/>
                <w:sz w:val="20"/>
                <w:szCs w:val="20"/>
                <w14:ligatures w14:val="none"/>
              </w:rPr>
              <w:t>Subinso</w:t>
            </w:r>
            <w:proofErr w:type="spellEnd"/>
            <w:r w:rsidRPr="00AE371D">
              <w:rPr>
                <w:rFonts w:ascii="Times New Roman" w:eastAsia="Times New Roman" w:hAnsi="Times New Roman" w:cs="Times New Roman"/>
                <w:kern w:val="0"/>
                <w:sz w:val="20"/>
                <w:szCs w:val="20"/>
                <w14:ligatures w14:val="none"/>
              </w:rPr>
              <w:t xml:space="preserve"> 1, </w:t>
            </w:r>
            <w:proofErr w:type="spellStart"/>
            <w:r w:rsidRPr="00AE371D">
              <w:rPr>
                <w:rFonts w:ascii="Times New Roman" w:eastAsia="Times New Roman" w:hAnsi="Times New Roman" w:cs="Times New Roman"/>
                <w:kern w:val="0"/>
                <w:sz w:val="20"/>
                <w:szCs w:val="20"/>
                <w14:ligatures w14:val="none"/>
              </w:rPr>
              <w:t>Subinso</w:t>
            </w:r>
            <w:proofErr w:type="spellEnd"/>
            <w:r w:rsidRPr="00AE371D">
              <w:rPr>
                <w:rFonts w:ascii="Times New Roman" w:eastAsia="Times New Roman" w:hAnsi="Times New Roman" w:cs="Times New Roman"/>
                <w:kern w:val="0"/>
                <w:sz w:val="20"/>
                <w:szCs w:val="20"/>
                <w14:ligatures w14:val="none"/>
              </w:rPr>
              <w:t xml:space="preserve"> 2, and </w:t>
            </w:r>
            <w:proofErr w:type="spellStart"/>
            <w:r w:rsidRPr="00AE371D">
              <w:rPr>
                <w:rFonts w:ascii="Times New Roman" w:eastAsia="Times New Roman" w:hAnsi="Times New Roman" w:cs="Times New Roman"/>
                <w:kern w:val="0"/>
                <w:sz w:val="20"/>
                <w:szCs w:val="20"/>
                <w14:ligatures w14:val="none"/>
              </w:rPr>
              <w:t>Kwanware</w:t>
            </w:r>
            <w:proofErr w:type="spellEnd"/>
          </w:p>
        </w:tc>
      </w:tr>
    </w:tbl>
    <w:p w14:paraId="76EFF656" w14:textId="77777777" w:rsidR="00461A2D" w:rsidRPr="00AE371D" w:rsidRDefault="00461A2D" w:rsidP="00A2316B">
      <w:pPr>
        <w:spacing w:after="0" w:line="480" w:lineRule="auto"/>
        <w:rPr>
          <w:rFonts w:ascii="Times New Roman" w:hAnsi="Times New Roman" w:cs="Times New Roman"/>
          <w:i/>
          <w:iCs/>
        </w:rPr>
      </w:pPr>
      <w:r w:rsidRPr="00AE371D">
        <w:rPr>
          <w:rFonts w:ascii="Times New Roman" w:hAnsi="Times New Roman" w:cs="Times New Roman"/>
          <w:i/>
          <w:iCs/>
        </w:rPr>
        <w:t>Community names and regions were standardized to Ghana’s current administrative divisions following the 2019 reorganization into 16 regions. Studies covering multiple regions are listed under each relevant region; therefore, some studies appear more than once in the table, with each entry corresponding to the specific region (s) where data were reported.</w:t>
      </w:r>
    </w:p>
    <w:sectPr w:rsidR="00461A2D" w:rsidRPr="00AE371D" w:rsidSect="006F7045">
      <w:type w:val="continuous"/>
      <w:pgSz w:w="18000" w:h="12240" w:orient="landscape" w:code="1"/>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69A19" w14:textId="77777777" w:rsidR="000F5508" w:rsidRDefault="000F5508" w:rsidP="004D3AED">
      <w:pPr>
        <w:spacing w:after="0" w:line="240" w:lineRule="auto"/>
      </w:pPr>
      <w:r>
        <w:separator/>
      </w:r>
    </w:p>
  </w:endnote>
  <w:endnote w:type="continuationSeparator" w:id="0">
    <w:p w14:paraId="6AF77E01" w14:textId="77777777" w:rsidR="000F5508" w:rsidRDefault="000F5508" w:rsidP="004D3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441900"/>
      <w:docPartObj>
        <w:docPartGallery w:val="Page Numbers (Bottom of Page)"/>
        <w:docPartUnique/>
      </w:docPartObj>
    </w:sdtPr>
    <w:sdtEndPr>
      <w:rPr>
        <w:noProof/>
      </w:rPr>
    </w:sdtEndPr>
    <w:sdtContent>
      <w:p w14:paraId="623FD7AF" w14:textId="77777777" w:rsidR="00461A2D" w:rsidRDefault="00461A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4237B4" w14:textId="77777777" w:rsidR="00461A2D" w:rsidRDefault="00461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3D2AF" w14:textId="77777777" w:rsidR="000F5508" w:rsidRDefault="000F5508" w:rsidP="004D3AED">
      <w:pPr>
        <w:spacing w:after="0" w:line="240" w:lineRule="auto"/>
      </w:pPr>
      <w:r>
        <w:separator/>
      </w:r>
    </w:p>
  </w:footnote>
  <w:footnote w:type="continuationSeparator" w:id="0">
    <w:p w14:paraId="10DE55D0" w14:textId="77777777" w:rsidR="000F5508" w:rsidRDefault="000F5508" w:rsidP="004D3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D2CB0"/>
    <w:multiLevelType w:val="hybridMultilevel"/>
    <w:tmpl w:val="536A9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A73841"/>
    <w:multiLevelType w:val="multilevel"/>
    <w:tmpl w:val="83F0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720911">
    <w:abstractNumId w:val="0"/>
  </w:num>
  <w:num w:numId="2" w16cid:durableId="1017848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E28"/>
    <w:rsid w:val="000000D2"/>
    <w:rsid w:val="000017F3"/>
    <w:rsid w:val="0000559F"/>
    <w:rsid w:val="000103C8"/>
    <w:rsid w:val="00013BC6"/>
    <w:rsid w:val="00017AD7"/>
    <w:rsid w:val="00025E42"/>
    <w:rsid w:val="000266A8"/>
    <w:rsid w:val="0002697A"/>
    <w:rsid w:val="00034BA5"/>
    <w:rsid w:val="000358FF"/>
    <w:rsid w:val="00047212"/>
    <w:rsid w:val="0005220E"/>
    <w:rsid w:val="00054A78"/>
    <w:rsid w:val="00056F38"/>
    <w:rsid w:val="00057415"/>
    <w:rsid w:val="000578CD"/>
    <w:rsid w:val="00060608"/>
    <w:rsid w:val="000616FC"/>
    <w:rsid w:val="00061C7E"/>
    <w:rsid w:val="000646DA"/>
    <w:rsid w:val="00070E3C"/>
    <w:rsid w:val="00071DDF"/>
    <w:rsid w:val="000728E6"/>
    <w:rsid w:val="00075448"/>
    <w:rsid w:val="00075450"/>
    <w:rsid w:val="000762A8"/>
    <w:rsid w:val="000774C7"/>
    <w:rsid w:val="00077B82"/>
    <w:rsid w:val="00082492"/>
    <w:rsid w:val="000829E2"/>
    <w:rsid w:val="00086959"/>
    <w:rsid w:val="00091057"/>
    <w:rsid w:val="00092CB7"/>
    <w:rsid w:val="00093B10"/>
    <w:rsid w:val="000956F1"/>
    <w:rsid w:val="00097E51"/>
    <w:rsid w:val="000A123A"/>
    <w:rsid w:val="000A15A8"/>
    <w:rsid w:val="000A322E"/>
    <w:rsid w:val="000A3C21"/>
    <w:rsid w:val="000A4D97"/>
    <w:rsid w:val="000A744F"/>
    <w:rsid w:val="000B50F8"/>
    <w:rsid w:val="000C18EC"/>
    <w:rsid w:val="000C1EA5"/>
    <w:rsid w:val="000C23F3"/>
    <w:rsid w:val="000C2EBF"/>
    <w:rsid w:val="000C409A"/>
    <w:rsid w:val="000C7956"/>
    <w:rsid w:val="000D5DF1"/>
    <w:rsid w:val="000D6EA7"/>
    <w:rsid w:val="000D7888"/>
    <w:rsid w:val="000E24B3"/>
    <w:rsid w:val="000E296F"/>
    <w:rsid w:val="000E3C7D"/>
    <w:rsid w:val="000E40DE"/>
    <w:rsid w:val="000F5150"/>
    <w:rsid w:val="000F5508"/>
    <w:rsid w:val="001008C5"/>
    <w:rsid w:val="00104626"/>
    <w:rsid w:val="001062EA"/>
    <w:rsid w:val="00111774"/>
    <w:rsid w:val="001135A5"/>
    <w:rsid w:val="00123BE3"/>
    <w:rsid w:val="001267AB"/>
    <w:rsid w:val="001268D6"/>
    <w:rsid w:val="00134BC2"/>
    <w:rsid w:val="00137D81"/>
    <w:rsid w:val="0014022A"/>
    <w:rsid w:val="00141C11"/>
    <w:rsid w:val="00146B2B"/>
    <w:rsid w:val="00150EE8"/>
    <w:rsid w:val="001518EE"/>
    <w:rsid w:val="00154C71"/>
    <w:rsid w:val="00160887"/>
    <w:rsid w:val="001625E1"/>
    <w:rsid w:val="0016662C"/>
    <w:rsid w:val="0016672A"/>
    <w:rsid w:val="00166BF5"/>
    <w:rsid w:val="001705E1"/>
    <w:rsid w:val="00172863"/>
    <w:rsid w:val="00172DE6"/>
    <w:rsid w:val="001734DC"/>
    <w:rsid w:val="00174A94"/>
    <w:rsid w:val="0017516E"/>
    <w:rsid w:val="0017578E"/>
    <w:rsid w:val="00181E07"/>
    <w:rsid w:val="00183851"/>
    <w:rsid w:val="00184234"/>
    <w:rsid w:val="00193AF0"/>
    <w:rsid w:val="00194380"/>
    <w:rsid w:val="00194747"/>
    <w:rsid w:val="00196AF9"/>
    <w:rsid w:val="001A115E"/>
    <w:rsid w:val="001A3352"/>
    <w:rsid w:val="001A3B12"/>
    <w:rsid w:val="001A4229"/>
    <w:rsid w:val="001B0AED"/>
    <w:rsid w:val="001B1B9F"/>
    <w:rsid w:val="001B2D79"/>
    <w:rsid w:val="001B4EE5"/>
    <w:rsid w:val="001C091D"/>
    <w:rsid w:val="001C11F6"/>
    <w:rsid w:val="001C51C3"/>
    <w:rsid w:val="001C6810"/>
    <w:rsid w:val="001E0607"/>
    <w:rsid w:val="001E09AA"/>
    <w:rsid w:val="001E2C21"/>
    <w:rsid w:val="001E7745"/>
    <w:rsid w:val="001F023E"/>
    <w:rsid w:val="001F1256"/>
    <w:rsid w:val="001F3CAA"/>
    <w:rsid w:val="001F434D"/>
    <w:rsid w:val="001F46A8"/>
    <w:rsid w:val="00200AC3"/>
    <w:rsid w:val="002025A8"/>
    <w:rsid w:val="00203493"/>
    <w:rsid w:val="002037FD"/>
    <w:rsid w:val="00204DF3"/>
    <w:rsid w:val="00207348"/>
    <w:rsid w:val="00210C9A"/>
    <w:rsid w:val="002140D2"/>
    <w:rsid w:val="002159DE"/>
    <w:rsid w:val="002207CD"/>
    <w:rsid w:val="00222EF8"/>
    <w:rsid w:val="00233D40"/>
    <w:rsid w:val="00234593"/>
    <w:rsid w:val="002369A4"/>
    <w:rsid w:val="00236E53"/>
    <w:rsid w:val="002379F7"/>
    <w:rsid w:val="00237B60"/>
    <w:rsid w:val="00240718"/>
    <w:rsid w:val="002428E5"/>
    <w:rsid w:val="00247ABA"/>
    <w:rsid w:val="00252AC7"/>
    <w:rsid w:val="00256396"/>
    <w:rsid w:val="00256ED4"/>
    <w:rsid w:val="002603BA"/>
    <w:rsid w:val="00261B52"/>
    <w:rsid w:val="00272C0A"/>
    <w:rsid w:val="002732BC"/>
    <w:rsid w:val="00274103"/>
    <w:rsid w:val="00274987"/>
    <w:rsid w:val="00275E19"/>
    <w:rsid w:val="00276D03"/>
    <w:rsid w:val="00281562"/>
    <w:rsid w:val="00282634"/>
    <w:rsid w:val="00283336"/>
    <w:rsid w:val="002909B4"/>
    <w:rsid w:val="002911F8"/>
    <w:rsid w:val="00294778"/>
    <w:rsid w:val="002A0EAC"/>
    <w:rsid w:val="002A2A3C"/>
    <w:rsid w:val="002A3C94"/>
    <w:rsid w:val="002A6F77"/>
    <w:rsid w:val="002B3678"/>
    <w:rsid w:val="002B602C"/>
    <w:rsid w:val="002B62F6"/>
    <w:rsid w:val="002B735E"/>
    <w:rsid w:val="002B79D3"/>
    <w:rsid w:val="002C48EA"/>
    <w:rsid w:val="002D36CD"/>
    <w:rsid w:val="002D413A"/>
    <w:rsid w:val="002D5C19"/>
    <w:rsid w:val="002D679F"/>
    <w:rsid w:val="002D6E3F"/>
    <w:rsid w:val="002E39ED"/>
    <w:rsid w:val="002E554A"/>
    <w:rsid w:val="002E6FB2"/>
    <w:rsid w:val="002E79D5"/>
    <w:rsid w:val="002F01CD"/>
    <w:rsid w:val="002F088D"/>
    <w:rsid w:val="002F0F71"/>
    <w:rsid w:val="003003B5"/>
    <w:rsid w:val="0030115E"/>
    <w:rsid w:val="0030128B"/>
    <w:rsid w:val="003048F4"/>
    <w:rsid w:val="003062A8"/>
    <w:rsid w:val="00307ED9"/>
    <w:rsid w:val="003168D9"/>
    <w:rsid w:val="003344DB"/>
    <w:rsid w:val="00335188"/>
    <w:rsid w:val="00335315"/>
    <w:rsid w:val="00335BAC"/>
    <w:rsid w:val="00335DD0"/>
    <w:rsid w:val="003418C4"/>
    <w:rsid w:val="003420C0"/>
    <w:rsid w:val="003421B4"/>
    <w:rsid w:val="0034450B"/>
    <w:rsid w:val="00344E56"/>
    <w:rsid w:val="00346896"/>
    <w:rsid w:val="003614C9"/>
    <w:rsid w:val="0036166F"/>
    <w:rsid w:val="003624A9"/>
    <w:rsid w:val="003640B1"/>
    <w:rsid w:val="00365F58"/>
    <w:rsid w:val="00376074"/>
    <w:rsid w:val="00376C52"/>
    <w:rsid w:val="00376D91"/>
    <w:rsid w:val="003814F1"/>
    <w:rsid w:val="00381C36"/>
    <w:rsid w:val="00381E09"/>
    <w:rsid w:val="003828CA"/>
    <w:rsid w:val="00385092"/>
    <w:rsid w:val="00385891"/>
    <w:rsid w:val="003928DB"/>
    <w:rsid w:val="00395E7A"/>
    <w:rsid w:val="0039657C"/>
    <w:rsid w:val="003A0A87"/>
    <w:rsid w:val="003A4FA9"/>
    <w:rsid w:val="003A5508"/>
    <w:rsid w:val="003B16C3"/>
    <w:rsid w:val="003B2FB5"/>
    <w:rsid w:val="003B68AA"/>
    <w:rsid w:val="003C00B3"/>
    <w:rsid w:val="003C08F4"/>
    <w:rsid w:val="003C1282"/>
    <w:rsid w:val="003C24CC"/>
    <w:rsid w:val="003C2889"/>
    <w:rsid w:val="003C3403"/>
    <w:rsid w:val="003C3989"/>
    <w:rsid w:val="003C5F9D"/>
    <w:rsid w:val="003C6F6C"/>
    <w:rsid w:val="003E0275"/>
    <w:rsid w:val="003E25FF"/>
    <w:rsid w:val="003E2E84"/>
    <w:rsid w:val="003E604A"/>
    <w:rsid w:val="003E6257"/>
    <w:rsid w:val="003E6C76"/>
    <w:rsid w:val="003F040F"/>
    <w:rsid w:val="003F1C17"/>
    <w:rsid w:val="00404CF0"/>
    <w:rsid w:val="00410227"/>
    <w:rsid w:val="004106DC"/>
    <w:rsid w:val="004124BC"/>
    <w:rsid w:val="004135BE"/>
    <w:rsid w:val="00413673"/>
    <w:rsid w:val="00414F1E"/>
    <w:rsid w:val="00416DF9"/>
    <w:rsid w:val="00421C2B"/>
    <w:rsid w:val="00422A8A"/>
    <w:rsid w:val="00426AA0"/>
    <w:rsid w:val="00427904"/>
    <w:rsid w:val="00430DF4"/>
    <w:rsid w:val="00432E15"/>
    <w:rsid w:val="004371AF"/>
    <w:rsid w:val="00443D8B"/>
    <w:rsid w:val="004458EA"/>
    <w:rsid w:val="00451273"/>
    <w:rsid w:val="00451B6C"/>
    <w:rsid w:val="004532C8"/>
    <w:rsid w:val="00457803"/>
    <w:rsid w:val="00461A2D"/>
    <w:rsid w:val="00463DFA"/>
    <w:rsid w:val="00465635"/>
    <w:rsid w:val="00471719"/>
    <w:rsid w:val="004748B4"/>
    <w:rsid w:val="00476B3D"/>
    <w:rsid w:val="004857B7"/>
    <w:rsid w:val="00485C23"/>
    <w:rsid w:val="00492CB1"/>
    <w:rsid w:val="00497301"/>
    <w:rsid w:val="004A313D"/>
    <w:rsid w:val="004A31F4"/>
    <w:rsid w:val="004A50CE"/>
    <w:rsid w:val="004C0930"/>
    <w:rsid w:val="004D3AED"/>
    <w:rsid w:val="004D425A"/>
    <w:rsid w:val="004D4945"/>
    <w:rsid w:val="004D66B7"/>
    <w:rsid w:val="004E1FCB"/>
    <w:rsid w:val="004E38FD"/>
    <w:rsid w:val="004E5499"/>
    <w:rsid w:val="004F580C"/>
    <w:rsid w:val="004F6D9C"/>
    <w:rsid w:val="004F77E3"/>
    <w:rsid w:val="00502946"/>
    <w:rsid w:val="00502C37"/>
    <w:rsid w:val="005073C4"/>
    <w:rsid w:val="00510F86"/>
    <w:rsid w:val="0051249F"/>
    <w:rsid w:val="00515E52"/>
    <w:rsid w:val="00517961"/>
    <w:rsid w:val="0052379B"/>
    <w:rsid w:val="0052499A"/>
    <w:rsid w:val="00527342"/>
    <w:rsid w:val="00532192"/>
    <w:rsid w:val="0054233D"/>
    <w:rsid w:val="0054512E"/>
    <w:rsid w:val="005500F3"/>
    <w:rsid w:val="00550833"/>
    <w:rsid w:val="00551B7D"/>
    <w:rsid w:val="0055488C"/>
    <w:rsid w:val="00554C2B"/>
    <w:rsid w:val="00557C4C"/>
    <w:rsid w:val="0056118E"/>
    <w:rsid w:val="00561982"/>
    <w:rsid w:val="0056306A"/>
    <w:rsid w:val="00563B5B"/>
    <w:rsid w:val="00563F91"/>
    <w:rsid w:val="00565266"/>
    <w:rsid w:val="005676A3"/>
    <w:rsid w:val="00570C32"/>
    <w:rsid w:val="00572254"/>
    <w:rsid w:val="00574D91"/>
    <w:rsid w:val="00576D2C"/>
    <w:rsid w:val="00577907"/>
    <w:rsid w:val="00590217"/>
    <w:rsid w:val="00591812"/>
    <w:rsid w:val="00591F04"/>
    <w:rsid w:val="00592B79"/>
    <w:rsid w:val="00592B82"/>
    <w:rsid w:val="005A0FAC"/>
    <w:rsid w:val="005A4DB9"/>
    <w:rsid w:val="005A59CB"/>
    <w:rsid w:val="005A5D3C"/>
    <w:rsid w:val="005A6E39"/>
    <w:rsid w:val="005A7004"/>
    <w:rsid w:val="005B0183"/>
    <w:rsid w:val="005B05C4"/>
    <w:rsid w:val="005B2F93"/>
    <w:rsid w:val="005B500C"/>
    <w:rsid w:val="005B519C"/>
    <w:rsid w:val="005B772A"/>
    <w:rsid w:val="005B772F"/>
    <w:rsid w:val="005C0495"/>
    <w:rsid w:val="005C0AFC"/>
    <w:rsid w:val="005C21C9"/>
    <w:rsid w:val="005C6C1F"/>
    <w:rsid w:val="005D4291"/>
    <w:rsid w:val="005D4584"/>
    <w:rsid w:val="005E4590"/>
    <w:rsid w:val="005E7DC9"/>
    <w:rsid w:val="005F2918"/>
    <w:rsid w:val="005F43F0"/>
    <w:rsid w:val="005F6F28"/>
    <w:rsid w:val="005F7469"/>
    <w:rsid w:val="005F76E3"/>
    <w:rsid w:val="00601E7A"/>
    <w:rsid w:val="00603ED5"/>
    <w:rsid w:val="006064B4"/>
    <w:rsid w:val="00607FD9"/>
    <w:rsid w:val="0061062A"/>
    <w:rsid w:val="00612CAC"/>
    <w:rsid w:val="0061552D"/>
    <w:rsid w:val="00615A0F"/>
    <w:rsid w:val="0061630C"/>
    <w:rsid w:val="0061746A"/>
    <w:rsid w:val="006200A6"/>
    <w:rsid w:val="00624398"/>
    <w:rsid w:val="0062527E"/>
    <w:rsid w:val="00625430"/>
    <w:rsid w:val="00626048"/>
    <w:rsid w:val="006261F4"/>
    <w:rsid w:val="00630CD6"/>
    <w:rsid w:val="006349FC"/>
    <w:rsid w:val="00637AF9"/>
    <w:rsid w:val="00637D2C"/>
    <w:rsid w:val="00641C79"/>
    <w:rsid w:val="0064257A"/>
    <w:rsid w:val="0064394B"/>
    <w:rsid w:val="00643A4D"/>
    <w:rsid w:val="00645BAA"/>
    <w:rsid w:val="00646215"/>
    <w:rsid w:val="00646889"/>
    <w:rsid w:val="00647384"/>
    <w:rsid w:val="006546B3"/>
    <w:rsid w:val="00655082"/>
    <w:rsid w:val="0066773A"/>
    <w:rsid w:val="0067405F"/>
    <w:rsid w:val="006758C1"/>
    <w:rsid w:val="006772CD"/>
    <w:rsid w:val="00680624"/>
    <w:rsid w:val="00687008"/>
    <w:rsid w:val="006870E5"/>
    <w:rsid w:val="0069651B"/>
    <w:rsid w:val="006A0369"/>
    <w:rsid w:val="006A3BD6"/>
    <w:rsid w:val="006A7505"/>
    <w:rsid w:val="006B15B0"/>
    <w:rsid w:val="006B1B7E"/>
    <w:rsid w:val="006B37EE"/>
    <w:rsid w:val="006B3878"/>
    <w:rsid w:val="006B4CE7"/>
    <w:rsid w:val="006B718A"/>
    <w:rsid w:val="006C6637"/>
    <w:rsid w:val="006D06A5"/>
    <w:rsid w:val="006D09C1"/>
    <w:rsid w:val="006D2A84"/>
    <w:rsid w:val="006D567E"/>
    <w:rsid w:val="006D6251"/>
    <w:rsid w:val="006D653B"/>
    <w:rsid w:val="006D746F"/>
    <w:rsid w:val="006E07C0"/>
    <w:rsid w:val="006E2286"/>
    <w:rsid w:val="006E276B"/>
    <w:rsid w:val="006E7F05"/>
    <w:rsid w:val="006F2ADA"/>
    <w:rsid w:val="006F6E6A"/>
    <w:rsid w:val="006F7045"/>
    <w:rsid w:val="00703219"/>
    <w:rsid w:val="00703270"/>
    <w:rsid w:val="007051AA"/>
    <w:rsid w:val="00711ACE"/>
    <w:rsid w:val="00711C25"/>
    <w:rsid w:val="00713782"/>
    <w:rsid w:val="007148F3"/>
    <w:rsid w:val="007156D2"/>
    <w:rsid w:val="00717A26"/>
    <w:rsid w:val="00725455"/>
    <w:rsid w:val="0072551C"/>
    <w:rsid w:val="007274D3"/>
    <w:rsid w:val="00731697"/>
    <w:rsid w:val="00735E56"/>
    <w:rsid w:val="00741BB7"/>
    <w:rsid w:val="00743DFF"/>
    <w:rsid w:val="007469F4"/>
    <w:rsid w:val="00747E40"/>
    <w:rsid w:val="007508DD"/>
    <w:rsid w:val="00753F55"/>
    <w:rsid w:val="00754178"/>
    <w:rsid w:val="00754BF6"/>
    <w:rsid w:val="00755400"/>
    <w:rsid w:val="0076002D"/>
    <w:rsid w:val="00761CFE"/>
    <w:rsid w:val="00765480"/>
    <w:rsid w:val="007721D2"/>
    <w:rsid w:val="007726CA"/>
    <w:rsid w:val="00772DFF"/>
    <w:rsid w:val="00776FDF"/>
    <w:rsid w:val="00781793"/>
    <w:rsid w:val="00781841"/>
    <w:rsid w:val="00786092"/>
    <w:rsid w:val="007870FE"/>
    <w:rsid w:val="007879C8"/>
    <w:rsid w:val="0079040A"/>
    <w:rsid w:val="00791A6B"/>
    <w:rsid w:val="00792B23"/>
    <w:rsid w:val="00793FEE"/>
    <w:rsid w:val="0079481E"/>
    <w:rsid w:val="0079619A"/>
    <w:rsid w:val="007A29E1"/>
    <w:rsid w:val="007B0464"/>
    <w:rsid w:val="007B27D0"/>
    <w:rsid w:val="007B45AF"/>
    <w:rsid w:val="007B56ED"/>
    <w:rsid w:val="007C27F1"/>
    <w:rsid w:val="007C3276"/>
    <w:rsid w:val="007C38BD"/>
    <w:rsid w:val="007C3F66"/>
    <w:rsid w:val="007C5949"/>
    <w:rsid w:val="007D5E51"/>
    <w:rsid w:val="007D6435"/>
    <w:rsid w:val="007D6A04"/>
    <w:rsid w:val="007D6BA5"/>
    <w:rsid w:val="007D7B59"/>
    <w:rsid w:val="007E12F7"/>
    <w:rsid w:val="007E3032"/>
    <w:rsid w:val="007E3669"/>
    <w:rsid w:val="007E3CF2"/>
    <w:rsid w:val="007E4913"/>
    <w:rsid w:val="007F1E15"/>
    <w:rsid w:val="007F4F68"/>
    <w:rsid w:val="007F54FD"/>
    <w:rsid w:val="007F56BD"/>
    <w:rsid w:val="008038C5"/>
    <w:rsid w:val="00805A57"/>
    <w:rsid w:val="00807CA2"/>
    <w:rsid w:val="0081078E"/>
    <w:rsid w:val="008107DF"/>
    <w:rsid w:val="0081189D"/>
    <w:rsid w:val="00814CE9"/>
    <w:rsid w:val="00815567"/>
    <w:rsid w:val="00816D3D"/>
    <w:rsid w:val="00821A2D"/>
    <w:rsid w:val="00825FE4"/>
    <w:rsid w:val="008334C7"/>
    <w:rsid w:val="00834687"/>
    <w:rsid w:val="00837230"/>
    <w:rsid w:val="00845F93"/>
    <w:rsid w:val="00851E0C"/>
    <w:rsid w:val="00852111"/>
    <w:rsid w:val="00853489"/>
    <w:rsid w:val="0085652F"/>
    <w:rsid w:val="00856BF4"/>
    <w:rsid w:val="00856CC5"/>
    <w:rsid w:val="008609E9"/>
    <w:rsid w:val="00866462"/>
    <w:rsid w:val="00867E9F"/>
    <w:rsid w:val="00877A43"/>
    <w:rsid w:val="00881674"/>
    <w:rsid w:val="008833F3"/>
    <w:rsid w:val="008845D8"/>
    <w:rsid w:val="00885869"/>
    <w:rsid w:val="008867A0"/>
    <w:rsid w:val="00890240"/>
    <w:rsid w:val="008A22E2"/>
    <w:rsid w:val="008A5A37"/>
    <w:rsid w:val="008B1173"/>
    <w:rsid w:val="008B6D9E"/>
    <w:rsid w:val="008C0F61"/>
    <w:rsid w:val="008C5BE8"/>
    <w:rsid w:val="008D0F7C"/>
    <w:rsid w:val="008D6641"/>
    <w:rsid w:val="008D7B02"/>
    <w:rsid w:val="008E2A67"/>
    <w:rsid w:val="008E2F3F"/>
    <w:rsid w:val="008E3BF0"/>
    <w:rsid w:val="008F04D8"/>
    <w:rsid w:val="008F1675"/>
    <w:rsid w:val="008F29D4"/>
    <w:rsid w:val="008F3A2D"/>
    <w:rsid w:val="008F3C2F"/>
    <w:rsid w:val="008F786C"/>
    <w:rsid w:val="0090287A"/>
    <w:rsid w:val="009034BE"/>
    <w:rsid w:val="0090408D"/>
    <w:rsid w:val="00905946"/>
    <w:rsid w:val="0090615F"/>
    <w:rsid w:val="00911B7D"/>
    <w:rsid w:val="0091311E"/>
    <w:rsid w:val="00914BD1"/>
    <w:rsid w:val="009150AA"/>
    <w:rsid w:val="00920529"/>
    <w:rsid w:val="00922BE8"/>
    <w:rsid w:val="009234A6"/>
    <w:rsid w:val="009254B4"/>
    <w:rsid w:val="009262BF"/>
    <w:rsid w:val="00926F0B"/>
    <w:rsid w:val="0093050A"/>
    <w:rsid w:val="00931982"/>
    <w:rsid w:val="009341DE"/>
    <w:rsid w:val="00934984"/>
    <w:rsid w:val="009351C7"/>
    <w:rsid w:val="00935D11"/>
    <w:rsid w:val="00936300"/>
    <w:rsid w:val="009367CA"/>
    <w:rsid w:val="0093694F"/>
    <w:rsid w:val="00940D54"/>
    <w:rsid w:val="00943E2D"/>
    <w:rsid w:val="00947BC7"/>
    <w:rsid w:val="00947E29"/>
    <w:rsid w:val="0095044F"/>
    <w:rsid w:val="0095134B"/>
    <w:rsid w:val="0095157A"/>
    <w:rsid w:val="0095181E"/>
    <w:rsid w:val="00953BC5"/>
    <w:rsid w:val="00954EA9"/>
    <w:rsid w:val="00956021"/>
    <w:rsid w:val="009562B0"/>
    <w:rsid w:val="00956955"/>
    <w:rsid w:val="00957A9E"/>
    <w:rsid w:val="00957BA1"/>
    <w:rsid w:val="00960C47"/>
    <w:rsid w:val="00962980"/>
    <w:rsid w:val="00962A18"/>
    <w:rsid w:val="00966B8C"/>
    <w:rsid w:val="00967BEE"/>
    <w:rsid w:val="00970B94"/>
    <w:rsid w:val="00971D64"/>
    <w:rsid w:val="0097301C"/>
    <w:rsid w:val="00973DFE"/>
    <w:rsid w:val="00980D05"/>
    <w:rsid w:val="00986FBD"/>
    <w:rsid w:val="00992E3B"/>
    <w:rsid w:val="0099466B"/>
    <w:rsid w:val="0099525C"/>
    <w:rsid w:val="00995CBB"/>
    <w:rsid w:val="009A261F"/>
    <w:rsid w:val="009A2FA6"/>
    <w:rsid w:val="009A40E0"/>
    <w:rsid w:val="009A420F"/>
    <w:rsid w:val="009A4458"/>
    <w:rsid w:val="009A4B1D"/>
    <w:rsid w:val="009A54DD"/>
    <w:rsid w:val="009A730E"/>
    <w:rsid w:val="009B1BD8"/>
    <w:rsid w:val="009B323A"/>
    <w:rsid w:val="009C034B"/>
    <w:rsid w:val="009C0E74"/>
    <w:rsid w:val="009C215D"/>
    <w:rsid w:val="009C2419"/>
    <w:rsid w:val="009C2FE8"/>
    <w:rsid w:val="009C3D18"/>
    <w:rsid w:val="009C4D40"/>
    <w:rsid w:val="009C6701"/>
    <w:rsid w:val="009D1FF0"/>
    <w:rsid w:val="009D203C"/>
    <w:rsid w:val="009D48C7"/>
    <w:rsid w:val="009E202C"/>
    <w:rsid w:val="009E2D75"/>
    <w:rsid w:val="009E2FD5"/>
    <w:rsid w:val="009E4D24"/>
    <w:rsid w:val="009E5B23"/>
    <w:rsid w:val="009F144B"/>
    <w:rsid w:val="009F5A2D"/>
    <w:rsid w:val="00A070B0"/>
    <w:rsid w:val="00A07F9F"/>
    <w:rsid w:val="00A10FAA"/>
    <w:rsid w:val="00A1127A"/>
    <w:rsid w:val="00A11CD6"/>
    <w:rsid w:val="00A13042"/>
    <w:rsid w:val="00A1336E"/>
    <w:rsid w:val="00A13D85"/>
    <w:rsid w:val="00A147F5"/>
    <w:rsid w:val="00A155B1"/>
    <w:rsid w:val="00A2316B"/>
    <w:rsid w:val="00A3318D"/>
    <w:rsid w:val="00A348B2"/>
    <w:rsid w:val="00A37A9C"/>
    <w:rsid w:val="00A413A9"/>
    <w:rsid w:val="00A43B75"/>
    <w:rsid w:val="00A53593"/>
    <w:rsid w:val="00A67A68"/>
    <w:rsid w:val="00A71618"/>
    <w:rsid w:val="00A71848"/>
    <w:rsid w:val="00A72533"/>
    <w:rsid w:val="00A73876"/>
    <w:rsid w:val="00A75B8B"/>
    <w:rsid w:val="00A80122"/>
    <w:rsid w:val="00A80A5E"/>
    <w:rsid w:val="00A829B4"/>
    <w:rsid w:val="00A829D4"/>
    <w:rsid w:val="00A82B57"/>
    <w:rsid w:val="00A85F8A"/>
    <w:rsid w:val="00A91201"/>
    <w:rsid w:val="00AA3768"/>
    <w:rsid w:val="00AA4652"/>
    <w:rsid w:val="00AA7900"/>
    <w:rsid w:val="00AB1176"/>
    <w:rsid w:val="00AC01F7"/>
    <w:rsid w:val="00AC11E0"/>
    <w:rsid w:val="00AC3415"/>
    <w:rsid w:val="00AC5C67"/>
    <w:rsid w:val="00AC7BA4"/>
    <w:rsid w:val="00AD255A"/>
    <w:rsid w:val="00AD4BBD"/>
    <w:rsid w:val="00AD6317"/>
    <w:rsid w:val="00AD73D8"/>
    <w:rsid w:val="00AD75EC"/>
    <w:rsid w:val="00AE162D"/>
    <w:rsid w:val="00AE1DA9"/>
    <w:rsid w:val="00AE371D"/>
    <w:rsid w:val="00AE3FC7"/>
    <w:rsid w:val="00AE5EE7"/>
    <w:rsid w:val="00AF2D7C"/>
    <w:rsid w:val="00AF3C1F"/>
    <w:rsid w:val="00AF3C57"/>
    <w:rsid w:val="00AF6D69"/>
    <w:rsid w:val="00B000F4"/>
    <w:rsid w:val="00B04729"/>
    <w:rsid w:val="00B066F4"/>
    <w:rsid w:val="00B06F35"/>
    <w:rsid w:val="00B07E6F"/>
    <w:rsid w:val="00B11D99"/>
    <w:rsid w:val="00B1783F"/>
    <w:rsid w:val="00B21CCE"/>
    <w:rsid w:val="00B26210"/>
    <w:rsid w:val="00B26A8F"/>
    <w:rsid w:val="00B3082D"/>
    <w:rsid w:val="00B32B71"/>
    <w:rsid w:val="00B40608"/>
    <w:rsid w:val="00B44B51"/>
    <w:rsid w:val="00B535BF"/>
    <w:rsid w:val="00B54842"/>
    <w:rsid w:val="00B5546F"/>
    <w:rsid w:val="00B56688"/>
    <w:rsid w:val="00B5703D"/>
    <w:rsid w:val="00B60C8E"/>
    <w:rsid w:val="00B61F31"/>
    <w:rsid w:val="00B62DF6"/>
    <w:rsid w:val="00B64201"/>
    <w:rsid w:val="00B64914"/>
    <w:rsid w:val="00B65D8C"/>
    <w:rsid w:val="00B67963"/>
    <w:rsid w:val="00B70E6D"/>
    <w:rsid w:val="00B71407"/>
    <w:rsid w:val="00B756C7"/>
    <w:rsid w:val="00B81D11"/>
    <w:rsid w:val="00B82B6D"/>
    <w:rsid w:val="00B82C10"/>
    <w:rsid w:val="00B921EA"/>
    <w:rsid w:val="00B93C99"/>
    <w:rsid w:val="00B93F21"/>
    <w:rsid w:val="00BA0E6A"/>
    <w:rsid w:val="00BA1DA3"/>
    <w:rsid w:val="00BA1E13"/>
    <w:rsid w:val="00BA213F"/>
    <w:rsid w:val="00BA24AF"/>
    <w:rsid w:val="00BA2CC0"/>
    <w:rsid w:val="00BA4D3B"/>
    <w:rsid w:val="00BA7113"/>
    <w:rsid w:val="00BB10F3"/>
    <w:rsid w:val="00BB4BB6"/>
    <w:rsid w:val="00BB627E"/>
    <w:rsid w:val="00BB7B8F"/>
    <w:rsid w:val="00BB7F4E"/>
    <w:rsid w:val="00BC03DD"/>
    <w:rsid w:val="00BC15A8"/>
    <w:rsid w:val="00BC2451"/>
    <w:rsid w:val="00BC2768"/>
    <w:rsid w:val="00BC2A91"/>
    <w:rsid w:val="00BC4CBF"/>
    <w:rsid w:val="00BC7814"/>
    <w:rsid w:val="00BD1A07"/>
    <w:rsid w:val="00BD3062"/>
    <w:rsid w:val="00BD6B70"/>
    <w:rsid w:val="00BE0EB2"/>
    <w:rsid w:val="00BE1066"/>
    <w:rsid w:val="00BE2157"/>
    <w:rsid w:val="00BE3A50"/>
    <w:rsid w:val="00BE3A55"/>
    <w:rsid w:val="00BE3EC4"/>
    <w:rsid w:val="00BE451E"/>
    <w:rsid w:val="00BF4D55"/>
    <w:rsid w:val="00C023E5"/>
    <w:rsid w:val="00C040A6"/>
    <w:rsid w:val="00C06F4B"/>
    <w:rsid w:val="00C11F6F"/>
    <w:rsid w:val="00C135DF"/>
    <w:rsid w:val="00C153F3"/>
    <w:rsid w:val="00C16985"/>
    <w:rsid w:val="00C2096D"/>
    <w:rsid w:val="00C30E6E"/>
    <w:rsid w:val="00C3327A"/>
    <w:rsid w:val="00C3546D"/>
    <w:rsid w:val="00C448DF"/>
    <w:rsid w:val="00C459BE"/>
    <w:rsid w:val="00C46163"/>
    <w:rsid w:val="00C50965"/>
    <w:rsid w:val="00C509BD"/>
    <w:rsid w:val="00C50C57"/>
    <w:rsid w:val="00C566F5"/>
    <w:rsid w:val="00C56ED3"/>
    <w:rsid w:val="00C6080C"/>
    <w:rsid w:val="00C62441"/>
    <w:rsid w:val="00C62B37"/>
    <w:rsid w:val="00C6644A"/>
    <w:rsid w:val="00C76729"/>
    <w:rsid w:val="00C80FE0"/>
    <w:rsid w:val="00C827C0"/>
    <w:rsid w:val="00C82849"/>
    <w:rsid w:val="00C861B4"/>
    <w:rsid w:val="00C863E4"/>
    <w:rsid w:val="00C908DA"/>
    <w:rsid w:val="00C9320A"/>
    <w:rsid w:val="00C9760D"/>
    <w:rsid w:val="00CA4028"/>
    <w:rsid w:val="00CA461E"/>
    <w:rsid w:val="00CA4B56"/>
    <w:rsid w:val="00CA6888"/>
    <w:rsid w:val="00CB07E9"/>
    <w:rsid w:val="00CB4C26"/>
    <w:rsid w:val="00CB5428"/>
    <w:rsid w:val="00CB7010"/>
    <w:rsid w:val="00CC09F7"/>
    <w:rsid w:val="00CC1C5C"/>
    <w:rsid w:val="00CC3196"/>
    <w:rsid w:val="00CC3E4E"/>
    <w:rsid w:val="00CC3F6C"/>
    <w:rsid w:val="00CC4272"/>
    <w:rsid w:val="00CC5D03"/>
    <w:rsid w:val="00CC6CC6"/>
    <w:rsid w:val="00CC7B01"/>
    <w:rsid w:val="00CD2188"/>
    <w:rsid w:val="00CD3162"/>
    <w:rsid w:val="00CE0BFB"/>
    <w:rsid w:val="00CE2DFE"/>
    <w:rsid w:val="00CF3088"/>
    <w:rsid w:val="00CF4597"/>
    <w:rsid w:val="00CF5BD2"/>
    <w:rsid w:val="00CF76B3"/>
    <w:rsid w:val="00D01655"/>
    <w:rsid w:val="00D01E90"/>
    <w:rsid w:val="00D020BE"/>
    <w:rsid w:val="00D10EF4"/>
    <w:rsid w:val="00D12F70"/>
    <w:rsid w:val="00D13E5E"/>
    <w:rsid w:val="00D20BB9"/>
    <w:rsid w:val="00D21308"/>
    <w:rsid w:val="00D24477"/>
    <w:rsid w:val="00D255A7"/>
    <w:rsid w:val="00D25962"/>
    <w:rsid w:val="00D27D89"/>
    <w:rsid w:val="00D309A5"/>
    <w:rsid w:val="00D3151F"/>
    <w:rsid w:val="00D32C8D"/>
    <w:rsid w:val="00D33B39"/>
    <w:rsid w:val="00D3789D"/>
    <w:rsid w:val="00D37E31"/>
    <w:rsid w:val="00D4075F"/>
    <w:rsid w:val="00D43F0D"/>
    <w:rsid w:val="00D45E28"/>
    <w:rsid w:val="00D523F2"/>
    <w:rsid w:val="00D55A38"/>
    <w:rsid w:val="00D567EB"/>
    <w:rsid w:val="00D602FF"/>
    <w:rsid w:val="00D6083C"/>
    <w:rsid w:val="00D60BB6"/>
    <w:rsid w:val="00D60E91"/>
    <w:rsid w:val="00D61CE6"/>
    <w:rsid w:val="00D7203B"/>
    <w:rsid w:val="00D725B1"/>
    <w:rsid w:val="00D73939"/>
    <w:rsid w:val="00D7653F"/>
    <w:rsid w:val="00D766E6"/>
    <w:rsid w:val="00D80917"/>
    <w:rsid w:val="00D859E5"/>
    <w:rsid w:val="00D876AC"/>
    <w:rsid w:val="00D90956"/>
    <w:rsid w:val="00D95B99"/>
    <w:rsid w:val="00DA08B9"/>
    <w:rsid w:val="00DA2323"/>
    <w:rsid w:val="00DA2672"/>
    <w:rsid w:val="00DA2738"/>
    <w:rsid w:val="00DA4688"/>
    <w:rsid w:val="00DA740C"/>
    <w:rsid w:val="00DB205C"/>
    <w:rsid w:val="00DB45FB"/>
    <w:rsid w:val="00DC593C"/>
    <w:rsid w:val="00DD399C"/>
    <w:rsid w:val="00DD48CB"/>
    <w:rsid w:val="00DE01EC"/>
    <w:rsid w:val="00DE1930"/>
    <w:rsid w:val="00DE3757"/>
    <w:rsid w:val="00DE4F61"/>
    <w:rsid w:val="00DE78B6"/>
    <w:rsid w:val="00DF220B"/>
    <w:rsid w:val="00DF32E7"/>
    <w:rsid w:val="00DF3856"/>
    <w:rsid w:val="00DF5C82"/>
    <w:rsid w:val="00DF5E70"/>
    <w:rsid w:val="00DF60CD"/>
    <w:rsid w:val="00E038EC"/>
    <w:rsid w:val="00E053DE"/>
    <w:rsid w:val="00E05668"/>
    <w:rsid w:val="00E10E2F"/>
    <w:rsid w:val="00E1496A"/>
    <w:rsid w:val="00E1628D"/>
    <w:rsid w:val="00E16293"/>
    <w:rsid w:val="00E17823"/>
    <w:rsid w:val="00E17F20"/>
    <w:rsid w:val="00E2038B"/>
    <w:rsid w:val="00E20A03"/>
    <w:rsid w:val="00E22091"/>
    <w:rsid w:val="00E264C4"/>
    <w:rsid w:val="00E27E42"/>
    <w:rsid w:val="00E340D7"/>
    <w:rsid w:val="00E342C1"/>
    <w:rsid w:val="00E34892"/>
    <w:rsid w:val="00E43E3C"/>
    <w:rsid w:val="00E4603E"/>
    <w:rsid w:val="00E46108"/>
    <w:rsid w:val="00E50268"/>
    <w:rsid w:val="00E50891"/>
    <w:rsid w:val="00E50D18"/>
    <w:rsid w:val="00E52CFB"/>
    <w:rsid w:val="00E552D0"/>
    <w:rsid w:val="00E55A26"/>
    <w:rsid w:val="00E55BC1"/>
    <w:rsid w:val="00E62D1D"/>
    <w:rsid w:val="00E63AFC"/>
    <w:rsid w:val="00E748C7"/>
    <w:rsid w:val="00E74A90"/>
    <w:rsid w:val="00E76D48"/>
    <w:rsid w:val="00E83B1C"/>
    <w:rsid w:val="00E83E6A"/>
    <w:rsid w:val="00E85697"/>
    <w:rsid w:val="00E87859"/>
    <w:rsid w:val="00E910B5"/>
    <w:rsid w:val="00EA1121"/>
    <w:rsid w:val="00EA7347"/>
    <w:rsid w:val="00EB0B1B"/>
    <w:rsid w:val="00EB54A5"/>
    <w:rsid w:val="00EB54FC"/>
    <w:rsid w:val="00EB55D5"/>
    <w:rsid w:val="00EB6CD2"/>
    <w:rsid w:val="00EB704E"/>
    <w:rsid w:val="00EC0647"/>
    <w:rsid w:val="00EC1551"/>
    <w:rsid w:val="00EC3991"/>
    <w:rsid w:val="00EC52AA"/>
    <w:rsid w:val="00EC6FE2"/>
    <w:rsid w:val="00EC7CAD"/>
    <w:rsid w:val="00ED0519"/>
    <w:rsid w:val="00ED070A"/>
    <w:rsid w:val="00ED0DC7"/>
    <w:rsid w:val="00ED1172"/>
    <w:rsid w:val="00ED37BF"/>
    <w:rsid w:val="00ED695C"/>
    <w:rsid w:val="00EE3817"/>
    <w:rsid w:val="00EE3D7C"/>
    <w:rsid w:val="00EE3D98"/>
    <w:rsid w:val="00EE5EE5"/>
    <w:rsid w:val="00EE7A0F"/>
    <w:rsid w:val="00EF0719"/>
    <w:rsid w:val="00EF15FC"/>
    <w:rsid w:val="00EF3BC2"/>
    <w:rsid w:val="00EF3F4F"/>
    <w:rsid w:val="00EF50B7"/>
    <w:rsid w:val="00EF520B"/>
    <w:rsid w:val="00EF5CFD"/>
    <w:rsid w:val="00EF7FD1"/>
    <w:rsid w:val="00F00DA4"/>
    <w:rsid w:val="00F00FBC"/>
    <w:rsid w:val="00F02093"/>
    <w:rsid w:val="00F020D0"/>
    <w:rsid w:val="00F056C4"/>
    <w:rsid w:val="00F05835"/>
    <w:rsid w:val="00F059EE"/>
    <w:rsid w:val="00F0735F"/>
    <w:rsid w:val="00F10331"/>
    <w:rsid w:val="00F11B1C"/>
    <w:rsid w:val="00F134A6"/>
    <w:rsid w:val="00F142A5"/>
    <w:rsid w:val="00F15C58"/>
    <w:rsid w:val="00F166D3"/>
    <w:rsid w:val="00F20F5B"/>
    <w:rsid w:val="00F24043"/>
    <w:rsid w:val="00F24057"/>
    <w:rsid w:val="00F25DD1"/>
    <w:rsid w:val="00F328CB"/>
    <w:rsid w:val="00F341AD"/>
    <w:rsid w:val="00F40200"/>
    <w:rsid w:val="00F46B93"/>
    <w:rsid w:val="00F53C33"/>
    <w:rsid w:val="00F543DD"/>
    <w:rsid w:val="00F5626C"/>
    <w:rsid w:val="00F575D1"/>
    <w:rsid w:val="00F6417F"/>
    <w:rsid w:val="00F654C1"/>
    <w:rsid w:val="00F65BA4"/>
    <w:rsid w:val="00F67EC5"/>
    <w:rsid w:val="00F72173"/>
    <w:rsid w:val="00F747AF"/>
    <w:rsid w:val="00F769FF"/>
    <w:rsid w:val="00F80984"/>
    <w:rsid w:val="00F81670"/>
    <w:rsid w:val="00F842AD"/>
    <w:rsid w:val="00F85FF9"/>
    <w:rsid w:val="00F92E0B"/>
    <w:rsid w:val="00F9735E"/>
    <w:rsid w:val="00FA10B1"/>
    <w:rsid w:val="00FA4E12"/>
    <w:rsid w:val="00FB0E59"/>
    <w:rsid w:val="00FB106D"/>
    <w:rsid w:val="00FB76BF"/>
    <w:rsid w:val="00FC2006"/>
    <w:rsid w:val="00FC4243"/>
    <w:rsid w:val="00FC783A"/>
    <w:rsid w:val="00FC7E0B"/>
    <w:rsid w:val="00FD0B57"/>
    <w:rsid w:val="00FD301E"/>
    <w:rsid w:val="00FD44AB"/>
    <w:rsid w:val="00FD553D"/>
    <w:rsid w:val="00FD7919"/>
    <w:rsid w:val="00FE10B2"/>
    <w:rsid w:val="00FE16AD"/>
    <w:rsid w:val="00FE37E9"/>
    <w:rsid w:val="00FE3AAC"/>
    <w:rsid w:val="00FF4766"/>
    <w:rsid w:val="00FF6598"/>
    <w:rsid w:val="00FF65E5"/>
    <w:rsid w:val="00FF7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D7C486"/>
  <w15:chartTrackingRefBased/>
  <w15:docId w15:val="{309882E8-048F-4690-8733-3960D0DE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B07E9"/>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6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F040F"/>
    <w:pPr>
      <w:spacing w:after="200" w:line="240" w:lineRule="auto"/>
    </w:pPr>
    <w:rPr>
      <w:i/>
      <w:iCs/>
      <w:color w:val="0E2841" w:themeColor="text2"/>
      <w:sz w:val="18"/>
      <w:szCs w:val="18"/>
    </w:rPr>
  </w:style>
  <w:style w:type="paragraph" w:styleId="Header">
    <w:name w:val="header"/>
    <w:basedOn w:val="Normal"/>
    <w:link w:val="HeaderChar"/>
    <w:uiPriority w:val="99"/>
    <w:unhideWhenUsed/>
    <w:rsid w:val="004D3A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AED"/>
  </w:style>
  <w:style w:type="paragraph" w:styleId="Footer">
    <w:name w:val="footer"/>
    <w:basedOn w:val="Normal"/>
    <w:link w:val="FooterChar"/>
    <w:uiPriority w:val="99"/>
    <w:unhideWhenUsed/>
    <w:rsid w:val="004D3A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AED"/>
  </w:style>
  <w:style w:type="paragraph" w:styleId="ListParagraph">
    <w:name w:val="List Paragraph"/>
    <w:basedOn w:val="Normal"/>
    <w:uiPriority w:val="34"/>
    <w:qFormat/>
    <w:rsid w:val="008F3A2D"/>
    <w:pPr>
      <w:ind w:left="720"/>
      <w:contextualSpacing/>
    </w:pPr>
  </w:style>
  <w:style w:type="character" w:styleId="PlaceholderText">
    <w:name w:val="Placeholder Text"/>
    <w:basedOn w:val="DefaultParagraphFont"/>
    <w:uiPriority w:val="99"/>
    <w:semiHidden/>
    <w:rsid w:val="00344E56"/>
    <w:rPr>
      <w:color w:val="808080"/>
    </w:rPr>
  </w:style>
  <w:style w:type="character" w:styleId="Hyperlink">
    <w:name w:val="Hyperlink"/>
    <w:basedOn w:val="DefaultParagraphFont"/>
    <w:uiPriority w:val="99"/>
    <w:unhideWhenUsed/>
    <w:rsid w:val="00914BD1"/>
    <w:rPr>
      <w:color w:val="467886" w:themeColor="hyperlink"/>
      <w:u w:val="single"/>
    </w:rPr>
  </w:style>
  <w:style w:type="character" w:styleId="UnresolvedMention">
    <w:name w:val="Unresolved Mention"/>
    <w:basedOn w:val="DefaultParagraphFont"/>
    <w:uiPriority w:val="99"/>
    <w:semiHidden/>
    <w:unhideWhenUsed/>
    <w:rsid w:val="00914BD1"/>
    <w:rPr>
      <w:color w:val="605E5C"/>
      <w:shd w:val="clear" w:color="auto" w:fill="E1DFDD"/>
    </w:rPr>
  </w:style>
  <w:style w:type="character" w:styleId="CommentReference">
    <w:name w:val="annotation reference"/>
    <w:basedOn w:val="DefaultParagraphFont"/>
    <w:uiPriority w:val="99"/>
    <w:semiHidden/>
    <w:unhideWhenUsed/>
    <w:rsid w:val="005676A3"/>
    <w:rPr>
      <w:sz w:val="16"/>
      <w:szCs w:val="16"/>
    </w:rPr>
  </w:style>
  <w:style w:type="paragraph" w:styleId="CommentText">
    <w:name w:val="annotation text"/>
    <w:basedOn w:val="Normal"/>
    <w:link w:val="CommentTextChar"/>
    <w:uiPriority w:val="99"/>
    <w:unhideWhenUsed/>
    <w:rsid w:val="005676A3"/>
    <w:pPr>
      <w:spacing w:line="240" w:lineRule="auto"/>
    </w:pPr>
    <w:rPr>
      <w:sz w:val="20"/>
      <w:szCs w:val="20"/>
    </w:rPr>
  </w:style>
  <w:style w:type="character" w:customStyle="1" w:styleId="CommentTextChar">
    <w:name w:val="Comment Text Char"/>
    <w:basedOn w:val="DefaultParagraphFont"/>
    <w:link w:val="CommentText"/>
    <w:uiPriority w:val="99"/>
    <w:rsid w:val="005676A3"/>
    <w:rPr>
      <w:sz w:val="20"/>
      <w:szCs w:val="20"/>
    </w:rPr>
  </w:style>
  <w:style w:type="character" w:styleId="LineNumber">
    <w:name w:val="line number"/>
    <w:basedOn w:val="DefaultParagraphFont"/>
    <w:uiPriority w:val="99"/>
    <w:semiHidden/>
    <w:unhideWhenUsed/>
    <w:rsid w:val="00E55A26"/>
  </w:style>
  <w:style w:type="character" w:customStyle="1" w:styleId="Heading4Char">
    <w:name w:val="Heading 4 Char"/>
    <w:basedOn w:val="DefaultParagraphFont"/>
    <w:link w:val="Heading4"/>
    <w:uiPriority w:val="9"/>
    <w:rsid w:val="00CB07E9"/>
    <w:rPr>
      <w:rFonts w:ascii="Times New Roman" w:eastAsia="Times New Roman" w:hAnsi="Times New Roman" w:cs="Times New Roman"/>
      <w:b/>
      <w:bCs/>
      <w:kern w:val="0"/>
      <w:sz w:val="24"/>
      <w:szCs w:val="24"/>
      <w14:ligatures w14:val="none"/>
    </w:rPr>
  </w:style>
  <w:style w:type="paragraph" w:styleId="Bibliography">
    <w:name w:val="Bibliography"/>
    <w:basedOn w:val="Normal"/>
    <w:next w:val="Normal"/>
    <w:uiPriority w:val="37"/>
    <w:unhideWhenUsed/>
    <w:rsid w:val="00612CAC"/>
    <w:pPr>
      <w:spacing w:after="240" w:line="240" w:lineRule="auto"/>
    </w:pPr>
  </w:style>
  <w:style w:type="paragraph" w:styleId="Revision">
    <w:name w:val="Revision"/>
    <w:hidden/>
    <w:uiPriority w:val="99"/>
    <w:semiHidden/>
    <w:rsid w:val="00F842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897130">
      <w:bodyDiv w:val="1"/>
      <w:marLeft w:val="0"/>
      <w:marRight w:val="0"/>
      <w:marTop w:val="0"/>
      <w:marBottom w:val="0"/>
      <w:divBdr>
        <w:top w:val="none" w:sz="0" w:space="0" w:color="auto"/>
        <w:left w:val="none" w:sz="0" w:space="0" w:color="auto"/>
        <w:bottom w:val="none" w:sz="0" w:space="0" w:color="auto"/>
        <w:right w:val="none" w:sz="0" w:space="0" w:color="auto"/>
      </w:divBdr>
    </w:div>
    <w:div w:id="139303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manyeh@uhas.edu.g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2126F6-A1F3-4E9D-ACD7-EC76F6ABF895}">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4264256742"/>
    <we:property name="MENDELEY_CITATIONS" value="[]"/>
    <we:property name="MENDELEY_CITATIONS_LOCALE_CODE" value="&quot;en-US&quot;"/>
    <we:property name="MENDELEY_CITATIONS_STYLE" value="{&quot;id&quot;:&quot;https://www.zotero.org/styles/bmc-infectious-diseases&quot;,&quot;title&quot;:&quot;BMC Infectious Disease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DDB42-0830-4B87-B628-6A02CB95C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47470</Words>
  <Characters>270584</Characters>
  <Application>Microsoft Office Word</Application>
  <DocSecurity>0</DocSecurity>
  <Lines>2254</Lines>
  <Paragraphs>634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dc:creator>
  <cp:keywords/>
  <dc:description/>
  <cp:lastModifiedBy>Monica Ahiadorme</cp:lastModifiedBy>
  <cp:revision>2</cp:revision>
  <dcterms:created xsi:type="dcterms:W3CDTF">2026-03-25T14:30:00Z</dcterms:created>
  <dcterms:modified xsi:type="dcterms:W3CDTF">2026-03-25T14:30:00Z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70a127ce-04ab-4273-a8f5-64da350d07ad</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6th/7th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http://www.zotero.org/styles/harvard-cite-them-right-no-et-al</vt:lpwstr>
  </property>
  <property fmtid="{D5CDD505-2E9C-101B-9397-08002B2CF9AE}" pid="10" name="Mendeley Recent Style Name 3_1">
    <vt:lpwstr>Cite Them Right 12th edition - Harvard (no "et al.")</vt:lpwstr>
  </property>
  <property fmtid="{D5CDD505-2E9C-101B-9397-08002B2CF9AE}" pid="11" name="Mendeley Recent Style Id 4_1">
    <vt:lpwstr>http://csl.mendeley.com/styles/625786891/harvard-cite-them-right-2-Vera-2</vt:lpwstr>
  </property>
  <property fmtid="{D5CDD505-2E9C-101B-9397-08002B2CF9AE}" pid="12" name="Mendeley Recent Style Name 4_1">
    <vt:lpwstr>Cite Them Right 12th edition - Harvard - John Boateng</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4th edition (note with bibliography)</vt:lpwstr>
  </property>
  <property fmtid="{D5CDD505-2E9C-101B-9397-08002B2CF9AE}" pid="17" name="Mendeley Recent Style Id 7_1">
    <vt:lpwstr>http://www.zotero.org/styles/plos-neglected-tropical-diseases</vt:lpwstr>
  </property>
  <property fmtid="{D5CDD505-2E9C-101B-9397-08002B2CF9AE}" pid="18" name="Mendeley Recent Style Name 7_1">
    <vt:lpwstr>PLOS Neglected Tropical Diseases</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http://www.zotero.org/styles/vancouver-bmc-square-brackets</vt:lpwstr>
  </property>
  <property fmtid="{D5CDD505-2E9C-101B-9397-08002B2CF9AE}" pid="22" name="Mendeley Recent Style Name 9_1">
    <vt:lpwstr>Vancouver (BMC Infectious Diseases - Square Brackets)</vt:lpwstr>
  </property>
  <property fmtid="{D5CDD505-2E9C-101B-9397-08002B2CF9AE}" pid="23" name="Mendeley Document_1">
    <vt:lpwstr>True</vt:lpwstr>
  </property>
  <property fmtid="{D5CDD505-2E9C-101B-9397-08002B2CF9AE}" pid="24" name="Mendeley Unique User Id_1">
    <vt:lpwstr>89aaf1ae-5a10-3fc4-b23d-b6b86c492026</vt:lpwstr>
  </property>
  <property fmtid="{D5CDD505-2E9C-101B-9397-08002B2CF9AE}" pid="25" name="Mendeley Citation Style_1">
    <vt:lpwstr>http://www.zotero.org/styles/vancouver-bmc-square-brackets</vt:lpwstr>
  </property>
  <property fmtid="{D5CDD505-2E9C-101B-9397-08002B2CF9AE}" pid="26" name="ZOTERO_PREF_1">
    <vt:lpwstr>&lt;data data-version="3" zotero-version="6.0.36"&gt;&lt;session id="kQ8JjSWs"/&gt;&lt;style id="http://www.zotero.org/styles/bmc-infectious-diseases" hasBibliography="1" bibliographyStyleHasBeenSet="1"/&gt;&lt;prefs&gt;&lt;pref name="fieldType" value="Field"/&gt;&lt;pref name="automatic</vt:lpwstr>
  </property>
  <property fmtid="{D5CDD505-2E9C-101B-9397-08002B2CF9AE}" pid="27" name="ZOTERO_PREF_2">
    <vt:lpwstr>JournalAbbreviations" value="true"/&gt;&lt;pref name="dontAskDelayCitationUpdates" value="true"/&gt;&lt;/prefs&gt;&lt;/data&gt;</vt:lpwstr>
  </property>
</Properties>
</file>