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14B0B2">
      <w:pPr>
        <w:keepNext/>
        <w:keepLines/>
        <w:spacing w:before="120" w:after="120"/>
        <w:outlineLvl w:val="1"/>
        <w:rPr>
          <w:rFonts w:hint="eastAsia" w:ascii="Times New Roman" w:hAnsi="Times New Roman" w:eastAsia="等线" w:cs="Times New Roman"/>
          <w:b/>
          <w:bCs/>
          <w:color w:val="44546A"/>
          <w:sz w:val="26"/>
          <w:szCs w:val="26"/>
          <w:lang w:val="en-US" w:eastAsia="ja-JP" w:bidi="ar-SA"/>
        </w:rPr>
      </w:pPr>
      <w:bookmarkStart w:id="0" w:name="_Toc177762002"/>
      <w:r>
        <w:rPr>
          <w:rFonts w:ascii="Times New Roman" w:hAnsi="Times New Roman" w:eastAsia="等线" w:cs="Times New Roman"/>
          <w:b/>
          <w:bCs/>
          <w:color w:val="44546A"/>
          <w:sz w:val="26"/>
          <w:szCs w:val="26"/>
          <w:lang w:val="en-US" w:eastAsia="ja-JP" w:bidi="ar-SA"/>
        </w:rPr>
        <w:t>Summary table of three-stag</w:t>
      </w:r>
      <w:bookmarkStart w:id="1" w:name="_GoBack"/>
      <w:bookmarkEnd w:id="1"/>
      <w:r>
        <w:rPr>
          <w:rFonts w:ascii="Times New Roman" w:hAnsi="Times New Roman" w:eastAsia="等线" w:cs="Times New Roman"/>
          <w:b/>
          <w:bCs/>
          <w:color w:val="44546A"/>
          <w:sz w:val="26"/>
          <w:szCs w:val="26"/>
          <w:lang w:val="en-US" w:eastAsia="ja-JP" w:bidi="ar-SA"/>
        </w:rPr>
        <w:t>e variables</w:t>
      </w:r>
      <w:bookmarkEnd w:id="0"/>
    </w:p>
    <w:tbl>
      <w:tblPr>
        <w:tblStyle w:val="2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1"/>
        <w:gridCol w:w="3352"/>
        <w:gridCol w:w="2856"/>
        <w:gridCol w:w="1740"/>
      </w:tblGrid>
      <w:tr w14:paraId="67885D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3CB5AE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No.</w:t>
            </w:r>
          </w:p>
        </w:tc>
        <w:tc>
          <w:tcPr>
            <w:tcW w:w="1967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B6C3421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Literature Variable</w:t>
            </w:r>
          </w:p>
        </w:tc>
        <w:tc>
          <w:tcPr>
            <w:tcW w:w="1676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1189D66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Interview Refining</w:t>
            </w:r>
          </w:p>
        </w:tc>
        <w:tc>
          <w:tcPr>
            <w:tcW w:w="1021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85B0980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MICMAC Quadrant</w:t>
            </w:r>
          </w:p>
        </w:tc>
      </w:tr>
      <w:tr w14:paraId="5A7224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D38D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1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2B3200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Susceptible Population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2A215C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Delete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4EADE5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—</w:t>
            </w:r>
          </w:p>
        </w:tc>
      </w:tr>
      <w:tr w14:paraId="0E46BA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E209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2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64B9D0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Contact Rate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39378D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Retain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151801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Autonomous Variable</w:t>
            </w:r>
          </w:p>
        </w:tc>
      </w:tr>
      <w:tr w14:paraId="19D415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CEFE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3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0C75C4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Contact with Susceptible Population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0EBBEB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Delete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4BE670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—</w:t>
            </w:r>
          </w:p>
        </w:tc>
      </w:tr>
      <w:tr w14:paraId="6696B8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44AE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4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C9A6E7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Contact with the Infected Population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14CDD9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Delete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29E72E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—</w:t>
            </w:r>
          </w:p>
        </w:tc>
      </w:tr>
      <w:tr w14:paraId="054838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C7E4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5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F5ABEF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4874CB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4874CB"/>
                <w:kern w:val="0"/>
                <w:sz w:val="15"/>
                <w:szCs w:val="15"/>
                <w:lang w:bidi="ar"/>
              </w:rPr>
              <w:t>Infection Rate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D1BB80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4874CB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4874CB"/>
                <w:kern w:val="0"/>
                <w:sz w:val="15"/>
                <w:szCs w:val="15"/>
                <w:lang w:bidi="ar"/>
              </w:rPr>
              <w:t>Retain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1308DF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4874CB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4874CB"/>
                <w:kern w:val="0"/>
                <w:sz w:val="15"/>
                <w:szCs w:val="15"/>
                <w:lang w:bidi="ar"/>
              </w:rPr>
              <w:t>Dependent Variable</w:t>
            </w:r>
          </w:p>
        </w:tc>
      </w:tr>
      <w:tr w14:paraId="0434C6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CA57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6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84C1A4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Infected Population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056A45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Delete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CAD406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—</w:t>
            </w:r>
          </w:p>
        </w:tc>
      </w:tr>
      <w:tr w14:paraId="300372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E009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7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28DDA5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Infectivity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CBDF7A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Delete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4931AC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—</w:t>
            </w:r>
          </w:p>
        </w:tc>
      </w:tr>
      <w:tr w14:paraId="4FCBD8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DD28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8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C3230B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Probability of Contact Infection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244333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Delete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32CC12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—</w:t>
            </w:r>
          </w:p>
        </w:tc>
      </w:tr>
      <w:tr w14:paraId="6730DA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B2F6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9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65BD0A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Recovered Population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11D478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Delete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10BD09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—</w:t>
            </w:r>
          </w:p>
        </w:tc>
      </w:tr>
      <w:tr w14:paraId="1314F9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8737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10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E275EC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EE822F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EE822F"/>
                <w:kern w:val="0"/>
                <w:sz w:val="15"/>
                <w:szCs w:val="15"/>
                <w:lang w:bidi="ar"/>
              </w:rPr>
              <w:t>Asymptomatic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2A278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EE822F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EE822F"/>
                <w:kern w:val="0"/>
                <w:sz w:val="15"/>
                <w:szCs w:val="15"/>
                <w:lang w:bidi="ar"/>
              </w:rPr>
              <w:t>Asymptomatic Population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AFB739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EE822F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EE822F"/>
                <w:kern w:val="0"/>
                <w:sz w:val="15"/>
                <w:szCs w:val="15"/>
                <w:lang w:bidi="ar"/>
              </w:rPr>
              <w:t>Relay Variable</w:t>
            </w:r>
          </w:p>
        </w:tc>
      </w:tr>
      <w:tr w14:paraId="08E01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642C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11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2DB599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Sequelae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9C837A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Delete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6CB170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—</w:t>
            </w:r>
          </w:p>
        </w:tc>
      </w:tr>
      <w:tr w14:paraId="4076F4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7986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12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0E7C63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4874CB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4874CB"/>
                <w:kern w:val="0"/>
                <w:sz w:val="15"/>
                <w:szCs w:val="15"/>
                <w:lang w:bidi="ar"/>
              </w:rPr>
              <w:t>Cost of Sequelae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C6BB0E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4874CB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4874CB"/>
                <w:kern w:val="0"/>
                <w:sz w:val="15"/>
                <w:szCs w:val="15"/>
                <w:lang w:bidi="ar"/>
              </w:rPr>
              <w:t>Disease Burden of Chlamydia Infection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02E0CE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4874CB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4874CB"/>
                <w:kern w:val="0"/>
                <w:sz w:val="15"/>
                <w:szCs w:val="15"/>
                <w:lang w:bidi="ar"/>
              </w:rPr>
              <w:t>Dependent Variable</w:t>
            </w:r>
          </w:p>
        </w:tc>
      </w:tr>
      <w:tr w14:paraId="749566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6B49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13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9B1A2F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Target Screening Number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487DA6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Delete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093DD1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—</w:t>
            </w:r>
          </w:p>
        </w:tc>
      </w:tr>
      <w:tr w14:paraId="2EA60E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9B70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14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6E5B95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EE822F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EE822F"/>
                <w:kern w:val="0"/>
                <w:sz w:val="15"/>
                <w:szCs w:val="15"/>
                <w:lang w:bidi="ar"/>
              </w:rPr>
              <w:t>Screening Rate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BC4223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EE822F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EE822F"/>
                <w:kern w:val="0"/>
                <w:sz w:val="15"/>
                <w:szCs w:val="15"/>
                <w:lang w:bidi="ar"/>
              </w:rPr>
              <w:t>Retain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421ED8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EE822F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EE822F"/>
                <w:kern w:val="0"/>
                <w:sz w:val="15"/>
                <w:szCs w:val="15"/>
                <w:lang w:bidi="ar"/>
              </w:rPr>
              <w:t>Relay Variable</w:t>
            </w:r>
          </w:p>
        </w:tc>
      </w:tr>
      <w:tr w14:paraId="556B51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5CA7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15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E3E9A1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4874CB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4874CB"/>
                <w:kern w:val="0"/>
                <w:sz w:val="15"/>
                <w:szCs w:val="15"/>
                <w:lang w:bidi="ar"/>
              </w:rPr>
              <w:t>Screening Willingness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868F24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4874CB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4874CB"/>
                <w:kern w:val="0"/>
                <w:sz w:val="15"/>
                <w:szCs w:val="15"/>
                <w:lang w:bidi="ar"/>
              </w:rPr>
              <w:t>Retain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2E471F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4874CB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4874CB"/>
                <w:kern w:val="0"/>
                <w:sz w:val="15"/>
                <w:szCs w:val="15"/>
                <w:lang w:bidi="ar"/>
              </w:rPr>
              <w:t>Dependent Variable</w:t>
            </w:r>
          </w:p>
        </w:tc>
      </w:tr>
      <w:tr w14:paraId="6AEC43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04C7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16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217693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Screening Costs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CEB1FA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Testing Costs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8EB616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Autonomous Variable</w:t>
            </w:r>
          </w:p>
        </w:tc>
      </w:tr>
      <w:tr w14:paraId="575FC0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5F3E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17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9B7A13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High-Risk Population Identification Accuracy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A726D5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Retain*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89A3DA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Autonomous Variable</w:t>
            </w:r>
          </w:p>
        </w:tc>
      </w:tr>
      <w:tr w14:paraId="44F68B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14F9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18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3668B6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4874CB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4874CB"/>
                <w:kern w:val="0"/>
                <w:sz w:val="15"/>
                <w:szCs w:val="15"/>
                <w:lang w:bidi="ar"/>
              </w:rPr>
              <w:t>Coinfection with Other STDs</w:t>
            </w:r>
            <w:r>
              <w:rPr>
                <w:rFonts w:ascii="Times New Roman" w:hAnsi="Times New Roman" w:eastAsia="等线" w:cs="Times New Roman"/>
                <w:color w:val="4874CB"/>
                <w:kern w:val="0"/>
                <w:sz w:val="15"/>
                <w:szCs w:val="15"/>
                <w:lang w:bidi="ar"/>
              </w:rPr>
              <w:br w:type="textWrapping"/>
            </w:r>
            <w:r>
              <w:rPr>
                <w:rFonts w:ascii="Times New Roman" w:hAnsi="Times New Roman" w:eastAsia="等线" w:cs="Times New Roman"/>
                <w:color w:val="4874CB"/>
                <w:kern w:val="0"/>
                <w:sz w:val="15"/>
                <w:szCs w:val="15"/>
                <w:lang w:bidi="ar"/>
              </w:rPr>
              <w:t xml:space="preserve"> (e.g. Gonorrhea)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5BCB55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4874CB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4874CB"/>
                <w:kern w:val="0"/>
                <w:sz w:val="15"/>
                <w:szCs w:val="15"/>
                <w:lang w:bidi="ar"/>
              </w:rPr>
              <w:t xml:space="preserve">Coinfection with Other STDs </w:t>
            </w:r>
            <w:r>
              <w:rPr>
                <w:rFonts w:ascii="Times New Roman" w:hAnsi="Times New Roman" w:eastAsia="等线" w:cs="Times New Roman"/>
                <w:color w:val="4874CB"/>
                <w:kern w:val="0"/>
                <w:sz w:val="15"/>
                <w:szCs w:val="15"/>
                <w:lang w:bidi="ar"/>
              </w:rPr>
              <w:br w:type="textWrapping"/>
            </w:r>
            <w:r>
              <w:rPr>
                <w:rFonts w:ascii="Times New Roman" w:hAnsi="Times New Roman" w:eastAsia="等线" w:cs="Times New Roman"/>
                <w:color w:val="4874CB"/>
                <w:kern w:val="0"/>
                <w:sz w:val="15"/>
                <w:szCs w:val="15"/>
                <w:lang w:bidi="ar"/>
              </w:rPr>
              <w:t>(e.g.VCT Testing)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946514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4874CB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4874CB"/>
                <w:kern w:val="0"/>
                <w:sz w:val="15"/>
                <w:szCs w:val="15"/>
                <w:lang w:bidi="ar"/>
              </w:rPr>
              <w:t>Dependent Variable</w:t>
            </w:r>
          </w:p>
        </w:tc>
      </w:tr>
      <w:tr w14:paraId="612AC6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F7DE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19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CEE1C3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Clinic Visits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7C890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Delete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96042B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—</w:t>
            </w:r>
          </w:p>
        </w:tc>
      </w:tr>
      <w:tr w14:paraId="4E4C9C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C76B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20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03F1B2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4874CB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4874CB"/>
                <w:kern w:val="0"/>
                <w:sz w:val="15"/>
                <w:szCs w:val="15"/>
                <w:lang w:bidi="ar"/>
              </w:rPr>
              <w:t>Hospital Confirmed Cases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5C2CFB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4874CB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4874CB"/>
                <w:kern w:val="0"/>
                <w:sz w:val="15"/>
                <w:szCs w:val="15"/>
                <w:lang w:bidi="ar"/>
              </w:rPr>
              <w:t>Confirmed Cases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3661A3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4874CB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4874CB"/>
                <w:kern w:val="0"/>
                <w:sz w:val="15"/>
                <w:szCs w:val="15"/>
                <w:lang w:bidi="ar"/>
              </w:rPr>
              <w:t>Dependent Variable</w:t>
            </w:r>
          </w:p>
        </w:tc>
      </w:tr>
      <w:tr w14:paraId="60B782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A541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21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E93B6B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Surveillance System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9946EC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Retain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429769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Autonomous Variable</w:t>
            </w:r>
          </w:p>
        </w:tc>
      </w:tr>
      <w:tr w14:paraId="013030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6E6F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22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A71926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Treated Population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7CA00A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Delete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14ACA6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—</w:t>
            </w:r>
          </w:p>
        </w:tc>
      </w:tr>
      <w:tr w14:paraId="31C272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F84F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23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5BF13C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Treatment Effect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426E69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Delete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92B1F9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—</w:t>
            </w:r>
          </w:p>
        </w:tc>
      </w:tr>
      <w:tr w14:paraId="16E402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5384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24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3DAE53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Recovery Rate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558383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Delete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A31EDF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—</w:t>
            </w:r>
          </w:p>
        </w:tc>
      </w:tr>
      <w:tr w14:paraId="0753CE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3E51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25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E88969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Chlamydia Testing Levels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EC43C2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Retain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F02F4F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Autonomous Variable</w:t>
            </w:r>
          </w:p>
        </w:tc>
      </w:tr>
      <w:tr w14:paraId="766C01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AC3A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26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A12E0B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EE822F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EE822F"/>
                <w:kern w:val="0"/>
                <w:sz w:val="15"/>
                <w:szCs w:val="15"/>
                <w:lang w:bidi="ar"/>
              </w:rPr>
              <w:t>Awareness and Competence in Chlamydia Testing (Outpatient)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703B4D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EE822F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EE822F"/>
                <w:kern w:val="0"/>
                <w:sz w:val="15"/>
                <w:szCs w:val="15"/>
                <w:lang w:bidi="ar"/>
              </w:rPr>
              <w:t>Doctors' Awareness and Competence in Chlamydia Testing and Treatment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9FFAF9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EE822F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EE822F"/>
                <w:kern w:val="0"/>
                <w:sz w:val="15"/>
                <w:szCs w:val="15"/>
                <w:lang w:bidi="ar"/>
              </w:rPr>
              <w:t>Relay Variable</w:t>
            </w:r>
          </w:p>
        </w:tc>
      </w:tr>
      <w:tr w14:paraId="193E94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5377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27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7D3062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EE822F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EE822F"/>
                <w:kern w:val="0"/>
                <w:sz w:val="15"/>
                <w:szCs w:val="15"/>
                <w:lang w:bidi="ar"/>
              </w:rPr>
              <w:t>Social Risk Network Intervention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B6183E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EE822F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EE822F"/>
                <w:kern w:val="0"/>
                <w:sz w:val="15"/>
                <w:szCs w:val="15"/>
                <w:lang w:bidi="ar"/>
              </w:rPr>
              <w:t>Partner Notification</w:t>
            </w:r>
            <w:r>
              <w:rPr>
                <w:rFonts w:ascii="Times New Roman" w:hAnsi="Times New Roman" w:eastAsia="等线" w:cs="Times New Roman"/>
                <w:color w:val="EE822F"/>
                <w:kern w:val="0"/>
                <w:sz w:val="15"/>
                <w:szCs w:val="15"/>
                <w:lang w:bidi="ar"/>
              </w:rPr>
              <w:br w:type="textWrapping"/>
            </w:r>
            <w:r>
              <w:rPr>
                <w:rFonts w:ascii="Times New Roman" w:hAnsi="Times New Roman" w:eastAsia="等线" w:cs="Times New Roman"/>
                <w:color w:val="EE822F"/>
                <w:kern w:val="0"/>
                <w:sz w:val="15"/>
                <w:szCs w:val="15"/>
                <w:lang w:bidi="ar"/>
              </w:rPr>
              <w:t xml:space="preserve"> (Partner Follow-up Rate)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CCA0B8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EE822F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EE822F"/>
                <w:kern w:val="0"/>
                <w:sz w:val="15"/>
                <w:szCs w:val="15"/>
                <w:lang w:bidi="ar"/>
              </w:rPr>
              <w:t>Relay Variable</w:t>
            </w:r>
          </w:p>
        </w:tc>
      </w:tr>
      <w:tr w14:paraId="50CC59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0056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28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6B9C3B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Healthcare Institution Human Resources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55412D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Retain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B22899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Autonomous Variable</w:t>
            </w:r>
          </w:p>
        </w:tc>
      </w:tr>
      <w:tr w14:paraId="6BC31F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F41E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29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B12379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Untreated Cases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AAB4E5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Delete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EA8A29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—</w:t>
            </w:r>
          </w:p>
        </w:tc>
      </w:tr>
      <w:tr w14:paraId="14D4B5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EDF4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30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B7E994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Medication Adherence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889D3F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Adherence*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05427D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Autonomous Variable</w:t>
            </w:r>
          </w:p>
        </w:tc>
      </w:tr>
      <w:tr w14:paraId="135F91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6791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31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6F1F98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Medical Quality Control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1C00AF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Delete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52F3CC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—</w:t>
            </w:r>
          </w:p>
        </w:tc>
      </w:tr>
      <w:tr w14:paraId="1F934C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77F3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32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89371B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Treatment Dropout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13C886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Delete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007B9F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—</w:t>
            </w:r>
          </w:p>
        </w:tc>
      </w:tr>
      <w:tr w14:paraId="33769D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76D8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33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629B67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4874CB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4874CB"/>
                <w:kern w:val="0"/>
                <w:sz w:val="15"/>
                <w:szCs w:val="15"/>
                <w:lang w:bidi="ar"/>
              </w:rPr>
              <w:t>Chlamydia Antibiotic Resistance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F0AEE2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4874CB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4874CB"/>
                <w:kern w:val="0"/>
                <w:sz w:val="15"/>
                <w:szCs w:val="15"/>
                <w:lang w:bidi="ar"/>
              </w:rPr>
              <w:t>Retain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7206AA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4874CB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4874CB"/>
                <w:kern w:val="0"/>
                <w:sz w:val="15"/>
                <w:szCs w:val="15"/>
                <w:lang w:bidi="ar"/>
              </w:rPr>
              <w:t>Dependent Variable</w:t>
            </w:r>
          </w:p>
        </w:tc>
      </w:tr>
      <w:tr w14:paraId="753BC7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6CC0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34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4D8C39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Population Mobility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092739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Retain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32783E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Autonomous Variable</w:t>
            </w:r>
          </w:p>
        </w:tc>
      </w:tr>
      <w:tr w14:paraId="6B83FD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AF9C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35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FDFA6C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Sexual Activity Level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7CEFFA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Retain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0F357F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Autonomous Variable</w:t>
            </w:r>
          </w:p>
        </w:tc>
      </w:tr>
      <w:tr w14:paraId="72AAC8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8C38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36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92863D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EE822F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EE822F"/>
                <w:kern w:val="0"/>
                <w:sz w:val="15"/>
                <w:szCs w:val="15"/>
                <w:lang w:bidi="ar"/>
              </w:rPr>
              <w:t>Health Education Coverage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34845D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EE822F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EE822F"/>
                <w:kern w:val="0"/>
                <w:sz w:val="15"/>
                <w:szCs w:val="15"/>
                <w:lang w:bidi="ar"/>
              </w:rPr>
              <w:t>Retain*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C6B216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EE822F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EE822F"/>
                <w:kern w:val="0"/>
                <w:sz w:val="15"/>
                <w:szCs w:val="15"/>
                <w:lang w:bidi="ar"/>
              </w:rPr>
              <w:t>Relay Variable</w:t>
            </w:r>
          </w:p>
        </w:tc>
      </w:tr>
      <w:tr w14:paraId="733E45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2DC5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37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2BB093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4874CB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4874CB"/>
                <w:kern w:val="0"/>
                <w:sz w:val="15"/>
                <w:szCs w:val="15"/>
                <w:lang w:bidi="ar"/>
              </w:rPr>
              <w:t>Condom Use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21CF5F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4874CB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4874CB"/>
                <w:kern w:val="0"/>
                <w:sz w:val="15"/>
                <w:szCs w:val="15"/>
                <w:lang w:bidi="ar"/>
              </w:rPr>
              <w:t>Condom Promotion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1D2C6E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4874CB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4874CB"/>
                <w:kern w:val="0"/>
                <w:sz w:val="15"/>
                <w:szCs w:val="15"/>
                <w:lang w:bidi="ar"/>
              </w:rPr>
              <w:t>Dependent Variable</w:t>
            </w:r>
          </w:p>
        </w:tc>
      </w:tr>
      <w:tr w14:paraId="4112A6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4ECB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No.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2B0C2A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Literature Variable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7E8A9D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Interview Refining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987D7B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MICMAC Quadrant</w:t>
            </w:r>
          </w:p>
        </w:tc>
      </w:tr>
      <w:tr w14:paraId="6197C4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4E6A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38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903B61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75BD42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75BD42"/>
                <w:kern w:val="0"/>
                <w:sz w:val="15"/>
                <w:szCs w:val="15"/>
                <w:lang w:bidi="ar"/>
              </w:rPr>
              <w:t>Health Literacy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42B501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75BD42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75BD42"/>
                <w:kern w:val="0"/>
                <w:sz w:val="15"/>
                <w:szCs w:val="15"/>
                <w:lang w:bidi="ar"/>
              </w:rPr>
              <w:t>Awareness of Chlamydia Prevention and Control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26CD1D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75BD42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75BD42"/>
                <w:kern w:val="0"/>
                <w:sz w:val="15"/>
                <w:szCs w:val="15"/>
                <w:lang w:bidi="ar"/>
              </w:rPr>
              <w:t>Influential Variable</w:t>
            </w:r>
          </w:p>
        </w:tc>
      </w:tr>
      <w:tr w14:paraId="332136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D676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39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2451B9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Willingness to Use Health Services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6023B6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Delete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46E08C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—</w:t>
            </w:r>
          </w:p>
        </w:tc>
      </w:tr>
      <w:tr w14:paraId="3A1109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6263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40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95F056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Sexual Stigma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320EF3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Stigma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7455EB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Autonomous Variable</w:t>
            </w:r>
          </w:p>
        </w:tc>
      </w:tr>
      <w:tr w14:paraId="0AB5DB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24AB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41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E8A292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Socioeconomic and Healthcare Level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B1AA4F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Delete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DF686B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—</w:t>
            </w:r>
          </w:p>
        </w:tc>
      </w:tr>
      <w:tr w14:paraId="14A68D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9860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42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88DCCA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75BD42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75BD42"/>
                <w:kern w:val="0"/>
                <w:sz w:val="15"/>
                <w:szCs w:val="15"/>
                <w:lang w:bidi="ar"/>
              </w:rPr>
              <w:t>Policy Requirements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8B2E96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75BD42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75BD42"/>
                <w:kern w:val="0"/>
                <w:sz w:val="15"/>
                <w:szCs w:val="15"/>
                <w:lang w:bidi="ar"/>
              </w:rPr>
              <w:t>Retain*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871E6B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75BD42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75BD42"/>
                <w:kern w:val="0"/>
                <w:sz w:val="15"/>
                <w:szCs w:val="15"/>
                <w:lang w:bidi="ar"/>
              </w:rPr>
              <w:t>Influential Variable</w:t>
            </w:r>
          </w:p>
        </w:tc>
      </w:tr>
      <w:tr w14:paraId="5434B5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1252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43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1C4E7F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EE822F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EE822F"/>
                <w:kern w:val="0"/>
                <w:sz w:val="15"/>
                <w:szCs w:val="15"/>
                <w:lang w:bidi="ar"/>
              </w:rPr>
              <w:t>Government Investment Amount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FC307B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EE822F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EE822F"/>
                <w:kern w:val="0"/>
                <w:sz w:val="15"/>
                <w:szCs w:val="15"/>
                <w:lang w:bidi="ar"/>
              </w:rPr>
              <w:t>Retain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DCD06E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EE822F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EE822F"/>
                <w:kern w:val="0"/>
                <w:sz w:val="15"/>
                <w:szCs w:val="15"/>
                <w:lang w:bidi="ar"/>
              </w:rPr>
              <w:t>Relay Variable</w:t>
            </w:r>
          </w:p>
        </w:tc>
      </w:tr>
      <w:tr w14:paraId="15CD1E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44F3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44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2F76E6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Public Health Service Coverage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F13CCE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Delete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B6905E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—</w:t>
            </w:r>
          </w:p>
        </w:tc>
      </w:tr>
      <w:tr w14:paraId="3DA552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4D88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45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C34481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Free Public Health Services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27C8C6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Delete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4E51D0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—</w:t>
            </w:r>
          </w:p>
        </w:tc>
      </w:tr>
      <w:tr w14:paraId="2BFB9A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8E2F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46</w:t>
            </w:r>
          </w:p>
        </w:tc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37B9FB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Public Health Service Capacity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E69804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Delete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62B661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—</w:t>
            </w:r>
          </w:p>
        </w:tc>
      </w:tr>
      <w:tr w14:paraId="026A2B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E6DA1B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  <w:lang w:bidi="ar"/>
              </w:rPr>
              <w:t>47</w:t>
            </w:r>
          </w:p>
        </w:tc>
        <w:tc>
          <w:tcPr>
            <w:tcW w:w="196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EE249D0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75BD42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75BD42"/>
                <w:kern w:val="0"/>
                <w:sz w:val="15"/>
                <w:szCs w:val="15"/>
                <w:lang w:bidi="ar"/>
              </w:rPr>
              <w:t>Community Mobilization</w:t>
            </w:r>
          </w:p>
        </w:tc>
        <w:tc>
          <w:tcPr>
            <w:tcW w:w="167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A36AA78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75BD42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75BD42"/>
                <w:kern w:val="0"/>
                <w:sz w:val="15"/>
                <w:szCs w:val="15"/>
                <w:lang w:bidi="ar"/>
              </w:rPr>
              <w:t>Retain</w:t>
            </w:r>
          </w:p>
        </w:tc>
        <w:tc>
          <w:tcPr>
            <w:tcW w:w="102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E36ABD1"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75BD42"/>
                <w:sz w:val="15"/>
                <w:szCs w:val="15"/>
              </w:rPr>
            </w:pPr>
            <w:r>
              <w:rPr>
                <w:rFonts w:ascii="Times New Roman" w:hAnsi="Times New Roman" w:eastAsia="等线" w:cs="Times New Roman"/>
                <w:color w:val="75BD42"/>
                <w:kern w:val="0"/>
                <w:sz w:val="15"/>
                <w:szCs w:val="15"/>
                <w:lang w:bidi="ar"/>
              </w:rPr>
              <w:t>Influential Variable</w:t>
            </w:r>
          </w:p>
        </w:tc>
      </w:tr>
    </w:tbl>
    <w:p w14:paraId="3E1FE849">
      <w:pPr>
        <w:rPr>
          <w:rFonts w:ascii="Times New Roman" w:hAnsi="Times New Roman" w:eastAsia="等线" w:cs="Times New Roman"/>
          <w:szCs w:val="22"/>
        </w:rPr>
      </w:pPr>
      <w:r>
        <w:rPr>
          <w:rFonts w:hint="eastAsia" w:ascii="Times New Roman" w:hAnsi="Times New Roman" w:eastAsia="等线" w:cs="Times New Roman"/>
          <w:szCs w:val="22"/>
        </w:rPr>
        <w:t>*Indicates that it is a theme word in the qualitative analysis</w:t>
      </w:r>
    </w:p>
    <w:p w14:paraId="2631982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8D0"/>
    <w:rsid w:val="001448D0"/>
    <w:rsid w:val="29B60EF3"/>
    <w:rsid w:val="2E2C79CF"/>
    <w:rsid w:val="42F66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361</Words>
  <Characters>2245</Characters>
  <Lines>0</Lines>
  <Paragraphs>0</Paragraphs>
  <TotalTime>0</TotalTime>
  <ScaleCrop>false</ScaleCrop>
  <LinksUpToDate>false</LinksUpToDate>
  <CharactersWithSpaces>2408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2025-02-20T03:20:00Z</dcterms:created>
  <dc:creator>枯木逢春</dc:creator>
  <cp:lastModifiedBy>wyting</cp:lastModifiedBy>
  <dcterms:modified xsi:type="dcterms:W3CDTF">2026-04-19T11:48:15Z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6A2B2F437D2A4FDC963DD47022C28A2B_13</vt:lpwstr>
  </property>
  <property fmtid="{D5CDD505-2E9C-101B-9397-08002B2CF9AE}" pid="4" name="KSOTemplateDocerSaveRecord">
    <vt:lpwstr>eyJoZGlkIjoiZjgyNDQ4ZTUwNTBiMmE4ZWY2YmVkMTNmOGM2N2FiZDMiLCJ1c2VySWQiOiIyOTI1NjkxNTAifQ==</vt:lpwstr>
  </property>
</Properties>
</file>