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6CCA3" w14:textId="03E7D7DA" w:rsidR="00722AF5" w:rsidRDefault="00722AF5" w:rsidP="00722AF5">
      <w:pPr>
        <w:spacing w:after="160" w:line="259" w:lineRule="auto"/>
        <w:rPr>
          <w:rFonts w:ascii="Calibri" w:hAnsi="Calibri" w:cs="Calibri"/>
          <w:b/>
          <w:sz w:val="24"/>
          <w:szCs w:val="24"/>
        </w:rPr>
      </w:pPr>
    </w:p>
    <w:p w14:paraId="705088A7" w14:textId="77777777" w:rsidR="001C7CA9" w:rsidRPr="00DB3CB7" w:rsidRDefault="001C7CA9" w:rsidP="00722AF5">
      <w:pPr>
        <w:spacing w:after="160" w:line="259" w:lineRule="auto"/>
        <w:rPr>
          <w:rFonts w:ascii="Calibri" w:hAnsi="Calibri" w:cs="Calibri"/>
          <w:b/>
          <w:sz w:val="24"/>
          <w:szCs w:val="24"/>
        </w:rPr>
      </w:pPr>
    </w:p>
    <w:p w14:paraId="323548C1" w14:textId="77777777" w:rsidR="00722AF5" w:rsidRPr="00DB3CB7" w:rsidRDefault="00722AF5" w:rsidP="00722AF5">
      <w:pPr>
        <w:spacing w:after="160" w:line="259" w:lineRule="auto"/>
        <w:jc w:val="center"/>
        <w:rPr>
          <w:rFonts w:ascii="Calibri" w:hAnsi="Calibri" w:cs="Calibri"/>
          <w:b/>
          <w:sz w:val="24"/>
          <w:szCs w:val="24"/>
          <w:u w:val="single"/>
        </w:rPr>
      </w:pPr>
      <w:r w:rsidRPr="00DB3CB7">
        <w:rPr>
          <w:rFonts w:ascii="Calibri" w:hAnsi="Calibri" w:cs="Calibri"/>
          <w:b/>
          <w:sz w:val="24"/>
          <w:szCs w:val="24"/>
          <w:u w:val="single"/>
        </w:rPr>
        <w:t>Table of Contents</w:t>
      </w:r>
    </w:p>
    <w:p w14:paraId="4134EF27" w14:textId="77777777" w:rsidR="00722AF5" w:rsidRPr="00DB3CB7" w:rsidRDefault="00722AF5" w:rsidP="00FC079B">
      <w:pPr>
        <w:spacing w:after="160" w:line="259" w:lineRule="auto"/>
        <w:jc w:val="both"/>
        <w:rPr>
          <w:rFonts w:ascii="Calibri" w:hAnsi="Calibri" w:cs="Calibri"/>
          <w:bCs/>
          <w:sz w:val="24"/>
          <w:szCs w:val="24"/>
        </w:rPr>
      </w:pPr>
    </w:p>
    <w:p w14:paraId="26C7793F" w14:textId="01F19AA0" w:rsidR="00722AF5" w:rsidRPr="00DB3CB7" w:rsidRDefault="00722AF5" w:rsidP="00FC079B">
      <w:pPr>
        <w:jc w:val="both"/>
        <w:rPr>
          <w:rFonts w:ascii="Calibri" w:hAnsi="Calibri" w:cs="Calibri"/>
          <w:sz w:val="24"/>
          <w:szCs w:val="24"/>
        </w:rPr>
      </w:pPr>
      <w:r w:rsidRPr="00DB3CB7">
        <w:rPr>
          <w:rFonts w:ascii="Calibri" w:hAnsi="Calibri" w:cs="Calibri"/>
          <w:b/>
          <w:sz w:val="24"/>
          <w:szCs w:val="24"/>
        </w:rPr>
        <w:t xml:space="preserve">Supplemental Material </w:t>
      </w:r>
      <w:r w:rsidRPr="00DB3CB7">
        <w:rPr>
          <w:rFonts w:ascii="Calibri" w:hAnsi="Calibri" w:cs="Calibri"/>
          <w:sz w:val="24"/>
          <w:szCs w:val="24"/>
        </w:rPr>
        <w:t xml:space="preserve">Summary of </w:t>
      </w:r>
      <w:r w:rsidR="00DB3CB7" w:rsidRPr="00DB3CB7">
        <w:rPr>
          <w:rFonts w:ascii="Calibri" w:hAnsi="Calibri" w:cs="Calibri"/>
          <w:sz w:val="24"/>
          <w:szCs w:val="24"/>
        </w:rPr>
        <w:t>study setting, study design, data collection, and missing data</w:t>
      </w:r>
      <w:r w:rsidRPr="00DB3CB7">
        <w:rPr>
          <w:rFonts w:ascii="Calibri" w:hAnsi="Calibri" w:cs="Calibri"/>
          <w:sz w:val="24"/>
          <w:szCs w:val="24"/>
        </w:rPr>
        <w:t>…………</w:t>
      </w:r>
      <w:r w:rsidR="00FC079B">
        <w:rPr>
          <w:rFonts w:ascii="Calibri" w:hAnsi="Calibri" w:cs="Calibri"/>
          <w:sz w:val="24"/>
          <w:szCs w:val="24"/>
        </w:rPr>
        <w:t>…………………</w:t>
      </w:r>
      <w:r w:rsidR="00FC079B" w:rsidRPr="00DB3CB7">
        <w:rPr>
          <w:rFonts w:ascii="Calibri" w:hAnsi="Calibri" w:cs="Calibri"/>
          <w:sz w:val="24"/>
          <w:szCs w:val="24"/>
        </w:rPr>
        <w:t>………</w:t>
      </w:r>
      <w:r w:rsidR="00FC079B">
        <w:rPr>
          <w:rFonts w:ascii="Calibri" w:hAnsi="Calibri" w:cs="Calibri"/>
          <w:sz w:val="24"/>
          <w:szCs w:val="24"/>
        </w:rPr>
        <w:t>…</w:t>
      </w:r>
      <w:r w:rsidR="0035545A">
        <w:rPr>
          <w:rFonts w:ascii="Calibri" w:hAnsi="Calibri" w:cs="Calibri"/>
          <w:sz w:val="24"/>
          <w:szCs w:val="24"/>
        </w:rPr>
        <w:t>…………..</w:t>
      </w:r>
      <w:r w:rsidR="00FC079B">
        <w:rPr>
          <w:rFonts w:ascii="Calibri" w:hAnsi="Calibri" w:cs="Calibri"/>
          <w:sz w:val="24"/>
          <w:szCs w:val="24"/>
        </w:rPr>
        <w:t>………………</w:t>
      </w:r>
      <w:r w:rsidR="00FC079B" w:rsidRPr="00DB3CB7">
        <w:rPr>
          <w:rFonts w:ascii="Calibri" w:hAnsi="Calibri" w:cs="Calibri"/>
          <w:sz w:val="24"/>
          <w:szCs w:val="24"/>
        </w:rPr>
        <w:t>………</w:t>
      </w:r>
      <w:r w:rsidR="00FC079B">
        <w:rPr>
          <w:rFonts w:ascii="Calibri" w:hAnsi="Calibri" w:cs="Calibri"/>
          <w:sz w:val="24"/>
          <w:szCs w:val="24"/>
        </w:rPr>
        <w:t>…………………</w:t>
      </w:r>
      <w:r w:rsidR="00FC079B" w:rsidRPr="00DB3CB7">
        <w:rPr>
          <w:rFonts w:ascii="Calibri" w:hAnsi="Calibri" w:cs="Calibri"/>
          <w:sz w:val="24"/>
          <w:szCs w:val="24"/>
        </w:rPr>
        <w:t>………</w:t>
      </w:r>
      <w:r w:rsidR="00FC079B">
        <w:rPr>
          <w:rFonts w:ascii="Calibri" w:hAnsi="Calibri" w:cs="Calibri"/>
          <w:sz w:val="24"/>
          <w:szCs w:val="24"/>
        </w:rPr>
        <w:t>……………………………….</w:t>
      </w:r>
      <w:r w:rsidRPr="00DB3CB7">
        <w:rPr>
          <w:rFonts w:ascii="Calibri" w:hAnsi="Calibri" w:cs="Calibri"/>
          <w:sz w:val="24"/>
          <w:szCs w:val="24"/>
        </w:rPr>
        <w:t>2</w:t>
      </w:r>
    </w:p>
    <w:p w14:paraId="4D8323B4" w14:textId="77777777" w:rsidR="00722AF5" w:rsidRPr="00DB3CB7" w:rsidRDefault="00722AF5" w:rsidP="00FC079B">
      <w:pPr>
        <w:jc w:val="both"/>
        <w:rPr>
          <w:rFonts w:ascii="Calibri" w:hAnsi="Calibri" w:cs="Calibri"/>
          <w:sz w:val="24"/>
          <w:szCs w:val="24"/>
        </w:rPr>
      </w:pPr>
    </w:p>
    <w:p w14:paraId="5BB86676" w14:textId="42EF78D8" w:rsidR="0005174A" w:rsidRPr="00DB3CB7" w:rsidRDefault="0005174A" w:rsidP="0005174A">
      <w:pPr>
        <w:jc w:val="both"/>
        <w:rPr>
          <w:rFonts w:ascii="Calibri" w:eastAsia="Times New Roman" w:hAnsi="Calibri" w:cs="Calibri"/>
          <w:color w:val="000000" w:themeColor="text1"/>
          <w:sz w:val="24"/>
          <w:szCs w:val="24"/>
          <w:lang w:val="en-US" w:eastAsia="el-GR"/>
        </w:rPr>
      </w:pPr>
      <w:r w:rsidRPr="00297B88">
        <w:rPr>
          <w:rFonts w:ascii="Calibri" w:hAnsi="Calibri" w:cs="Calibri"/>
          <w:b/>
          <w:bCs/>
          <w:sz w:val="24"/>
          <w:szCs w:val="24"/>
        </w:rPr>
        <w:t>References</w:t>
      </w:r>
      <w:r>
        <w:rPr>
          <w:rFonts w:ascii="Calibri" w:hAnsi="Calibri" w:cs="Calibri"/>
          <w:sz w:val="24"/>
          <w:szCs w:val="24"/>
        </w:rPr>
        <w:t>……………………………………………………………………………………………………………………………</w:t>
      </w:r>
      <w:r>
        <w:rPr>
          <w:rFonts w:ascii="Calibri" w:hAnsi="Calibri" w:cs="Calibri"/>
          <w:sz w:val="24"/>
          <w:szCs w:val="24"/>
        </w:rPr>
        <w:t>5</w:t>
      </w:r>
    </w:p>
    <w:p w14:paraId="1100690F" w14:textId="77777777" w:rsidR="0005174A" w:rsidRDefault="0005174A" w:rsidP="00FC079B">
      <w:pPr>
        <w:jc w:val="both"/>
        <w:rPr>
          <w:rFonts w:ascii="Calibri" w:hAnsi="Calibri" w:cs="Calibri"/>
          <w:b/>
          <w:sz w:val="24"/>
          <w:szCs w:val="24"/>
        </w:rPr>
      </w:pPr>
    </w:p>
    <w:p w14:paraId="3AFD849C" w14:textId="24817ADC" w:rsidR="00722AF5" w:rsidRPr="00DB3CB7" w:rsidRDefault="00722AF5" w:rsidP="00FC079B">
      <w:pPr>
        <w:jc w:val="both"/>
        <w:rPr>
          <w:rFonts w:ascii="Calibri" w:hAnsi="Calibri" w:cs="Calibri"/>
          <w:sz w:val="24"/>
          <w:szCs w:val="24"/>
        </w:rPr>
      </w:pPr>
      <w:r w:rsidRPr="00DB3CB7">
        <w:rPr>
          <w:rFonts w:ascii="Calibri" w:hAnsi="Calibri" w:cs="Calibri"/>
          <w:b/>
          <w:sz w:val="24"/>
          <w:szCs w:val="24"/>
        </w:rPr>
        <w:t xml:space="preserve">Supplemental Table </w:t>
      </w:r>
      <w:r w:rsidR="008A30AB">
        <w:rPr>
          <w:rFonts w:ascii="Calibri" w:hAnsi="Calibri" w:cs="Calibri"/>
          <w:b/>
          <w:sz w:val="24"/>
          <w:szCs w:val="24"/>
        </w:rPr>
        <w:t>1</w:t>
      </w:r>
      <w:r w:rsidRPr="00DB3CB7">
        <w:rPr>
          <w:rFonts w:ascii="Calibri" w:hAnsi="Calibri" w:cs="Calibri"/>
          <w:b/>
          <w:sz w:val="24"/>
          <w:szCs w:val="24"/>
        </w:rPr>
        <w:t xml:space="preserve">. </w:t>
      </w:r>
      <w:r w:rsidR="00442D71" w:rsidRPr="00DB3CB7">
        <w:rPr>
          <w:rFonts w:ascii="Calibri" w:hAnsi="Calibri" w:cs="Calibri"/>
          <w:sz w:val="24"/>
          <w:szCs w:val="24"/>
        </w:rPr>
        <w:t>Patient demographics at each step of the hepatitis C virus care cascade, Bassett Healthcare Network primary care patients 2013-2023</w:t>
      </w:r>
      <w:r w:rsidRPr="00DB3CB7">
        <w:rPr>
          <w:rFonts w:ascii="Calibri" w:hAnsi="Calibri" w:cs="Calibri"/>
          <w:sz w:val="24"/>
          <w:szCs w:val="24"/>
        </w:rPr>
        <w:t>…….</w:t>
      </w:r>
      <w:r w:rsidR="00FC079B" w:rsidRPr="00DB3CB7">
        <w:rPr>
          <w:rFonts w:ascii="Calibri" w:hAnsi="Calibri" w:cs="Calibri"/>
          <w:sz w:val="24"/>
          <w:szCs w:val="24"/>
        </w:rPr>
        <w:t>………</w:t>
      </w:r>
      <w:r w:rsidR="00FC079B">
        <w:rPr>
          <w:rFonts w:ascii="Calibri" w:hAnsi="Calibri" w:cs="Calibri"/>
          <w:sz w:val="24"/>
          <w:szCs w:val="24"/>
        </w:rPr>
        <w:t>………………….</w:t>
      </w:r>
      <w:r w:rsidR="0005174A">
        <w:rPr>
          <w:rFonts w:ascii="Calibri" w:hAnsi="Calibri" w:cs="Calibri"/>
          <w:sz w:val="24"/>
          <w:szCs w:val="24"/>
        </w:rPr>
        <w:t>6</w:t>
      </w:r>
    </w:p>
    <w:p w14:paraId="4C64878B" w14:textId="77777777" w:rsidR="00722AF5" w:rsidRPr="00DB3CB7" w:rsidRDefault="00722AF5" w:rsidP="00FC079B">
      <w:pPr>
        <w:jc w:val="both"/>
        <w:rPr>
          <w:rFonts w:ascii="Calibri" w:hAnsi="Calibri" w:cs="Calibri"/>
          <w:sz w:val="24"/>
          <w:szCs w:val="24"/>
        </w:rPr>
      </w:pPr>
    </w:p>
    <w:p w14:paraId="47B0CD31" w14:textId="69044677" w:rsidR="00722AF5" w:rsidRDefault="00722AF5" w:rsidP="00FC079B">
      <w:pPr>
        <w:jc w:val="both"/>
        <w:rPr>
          <w:rFonts w:ascii="Calibri" w:hAnsi="Calibri" w:cs="Calibri"/>
          <w:sz w:val="24"/>
          <w:szCs w:val="24"/>
        </w:rPr>
      </w:pPr>
      <w:r w:rsidRPr="00DB3CB7">
        <w:rPr>
          <w:rFonts w:ascii="Calibri" w:hAnsi="Calibri" w:cs="Calibri"/>
          <w:b/>
          <w:sz w:val="24"/>
          <w:szCs w:val="24"/>
        </w:rPr>
        <w:t xml:space="preserve">Supplemental Table </w:t>
      </w:r>
      <w:r w:rsidR="00AC2A07">
        <w:rPr>
          <w:rFonts w:ascii="Calibri" w:hAnsi="Calibri" w:cs="Calibri"/>
          <w:b/>
          <w:sz w:val="24"/>
          <w:szCs w:val="24"/>
        </w:rPr>
        <w:t>2</w:t>
      </w:r>
      <w:r w:rsidRPr="00DB3CB7">
        <w:rPr>
          <w:rFonts w:ascii="Calibri" w:hAnsi="Calibri" w:cs="Calibri"/>
          <w:b/>
          <w:sz w:val="24"/>
          <w:szCs w:val="24"/>
        </w:rPr>
        <w:t xml:space="preserve">. </w:t>
      </w:r>
      <w:r w:rsidR="00442D71" w:rsidRPr="00DB3CB7">
        <w:rPr>
          <w:rFonts w:ascii="Calibri" w:hAnsi="Calibri" w:cs="Calibri"/>
          <w:color w:val="000000" w:themeColor="text1"/>
          <w:sz w:val="24"/>
          <w:szCs w:val="24"/>
          <w:lang w:val="en-US"/>
        </w:rPr>
        <w:t>Comparison of the hepatitis C virus care cascade between people with and without opioid use disorder, pooled 2013-2023</w:t>
      </w:r>
      <w:r w:rsidRPr="00DB3CB7">
        <w:rPr>
          <w:rFonts w:ascii="Calibri" w:hAnsi="Calibri" w:cs="Calibri"/>
          <w:sz w:val="24"/>
          <w:szCs w:val="24"/>
        </w:rPr>
        <w:t>……</w:t>
      </w:r>
      <w:r w:rsidR="00FC079B" w:rsidRPr="00DB3CB7">
        <w:rPr>
          <w:rFonts w:ascii="Calibri" w:hAnsi="Calibri" w:cs="Calibri"/>
          <w:sz w:val="24"/>
          <w:szCs w:val="24"/>
        </w:rPr>
        <w:t>………</w:t>
      </w:r>
      <w:r w:rsidR="00FC079B">
        <w:rPr>
          <w:rFonts w:ascii="Calibri" w:hAnsi="Calibri" w:cs="Calibri"/>
          <w:sz w:val="24"/>
          <w:szCs w:val="24"/>
        </w:rPr>
        <w:t>……………………………………..</w:t>
      </w:r>
      <w:r w:rsidRPr="00DB3CB7">
        <w:rPr>
          <w:rFonts w:ascii="Calibri" w:hAnsi="Calibri" w:cs="Calibri"/>
          <w:sz w:val="24"/>
          <w:szCs w:val="24"/>
        </w:rPr>
        <w:t>..</w:t>
      </w:r>
      <w:r w:rsidR="00FC079B">
        <w:rPr>
          <w:rFonts w:ascii="Calibri" w:hAnsi="Calibri" w:cs="Calibri"/>
          <w:sz w:val="24"/>
          <w:szCs w:val="24"/>
        </w:rPr>
        <w:t>.........</w:t>
      </w:r>
      <w:r w:rsidR="00297B88">
        <w:rPr>
          <w:rFonts w:ascii="Calibri" w:hAnsi="Calibri" w:cs="Calibri"/>
          <w:sz w:val="24"/>
          <w:szCs w:val="24"/>
        </w:rPr>
        <w:t>7</w:t>
      </w:r>
    </w:p>
    <w:p w14:paraId="3745AAEF" w14:textId="77777777" w:rsidR="00297B88" w:rsidRDefault="00297B88" w:rsidP="00FC079B">
      <w:pPr>
        <w:jc w:val="both"/>
        <w:rPr>
          <w:rFonts w:ascii="Calibri" w:hAnsi="Calibri" w:cs="Calibri"/>
          <w:sz w:val="24"/>
          <w:szCs w:val="24"/>
        </w:rPr>
      </w:pPr>
    </w:p>
    <w:p w14:paraId="64BCA7A4" w14:textId="5801973A" w:rsidR="00722AF5" w:rsidRPr="00DB3CB7" w:rsidRDefault="0005174A" w:rsidP="00FC079B">
      <w:pPr>
        <w:jc w:val="both"/>
        <w:rPr>
          <w:rFonts w:ascii="Calibri" w:hAnsi="Calibri" w:cs="Calibri"/>
          <w:sz w:val="24"/>
          <w:szCs w:val="24"/>
        </w:rPr>
      </w:pPr>
      <w:r w:rsidRPr="00DB3CB7">
        <w:rPr>
          <w:rFonts w:ascii="Calibri" w:hAnsi="Calibri" w:cs="Calibri"/>
          <w:b/>
          <w:sz w:val="24"/>
          <w:szCs w:val="24"/>
        </w:rPr>
        <w:t xml:space="preserve">Supplemental </w:t>
      </w:r>
      <w:r>
        <w:rPr>
          <w:rFonts w:ascii="Calibri" w:hAnsi="Calibri" w:cs="Calibri"/>
          <w:b/>
          <w:sz w:val="24"/>
          <w:szCs w:val="24"/>
        </w:rPr>
        <w:t>Fig 1</w:t>
      </w:r>
      <w:r w:rsidRPr="00DB3CB7">
        <w:rPr>
          <w:rFonts w:ascii="Calibri" w:hAnsi="Calibri" w:cs="Calibri"/>
          <w:b/>
          <w:sz w:val="24"/>
          <w:szCs w:val="24"/>
        </w:rPr>
        <w:t xml:space="preserve">. </w:t>
      </w:r>
      <w:r w:rsidRPr="00DB3CB7">
        <w:rPr>
          <w:rFonts w:ascii="Calibri" w:hAnsi="Calibri" w:cs="Calibri"/>
          <w:color w:val="000000" w:themeColor="text1"/>
          <w:sz w:val="24"/>
          <w:szCs w:val="24"/>
          <w:lang w:val="en-US"/>
        </w:rPr>
        <w:t>Elapsed time between hepatitis C virus RNA positivity and initiation of direct acting antivirals, by year (2013-</w:t>
      </w:r>
      <w:proofErr w:type="gramStart"/>
      <w:r w:rsidRPr="00DB3CB7">
        <w:rPr>
          <w:rFonts w:ascii="Calibri" w:hAnsi="Calibri" w:cs="Calibri"/>
          <w:color w:val="000000" w:themeColor="text1"/>
          <w:sz w:val="24"/>
          <w:szCs w:val="24"/>
          <w:lang w:val="en-US"/>
        </w:rPr>
        <w:t>2023)</w:t>
      </w:r>
      <w:r w:rsidRPr="00DB3CB7">
        <w:rPr>
          <w:rFonts w:ascii="Calibri" w:hAnsi="Calibri" w:cs="Calibri"/>
          <w:sz w:val="24"/>
          <w:szCs w:val="24"/>
        </w:rPr>
        <w:t>…</w:t>
      </w:r>
      <w:proofErr w:type="gramEnd"/>
      <w:r w:rsidRPr="00DB3CB7">
        <w:rPr>
          <w:rFonts w:ascii="Calibri" w:hAnsi="Calibri" w:cs="Calibri"/>
          <w:sz w:val="24"/>
          <w:szCs w:val="24"/>
        </w:rPr>
        <w:t>………………</w:t>
      </w:r>
      <w:r>
        <w:rPr>
          <w:rFonts w:ascii="Calibri" w:hAnsi="Calibri" w:cs="Calibri"/>
          <w:sz w:val="24"/>
          <w:szCs w:val="24"/>
        </w:rPr>
        <w:t>……………….</w:t>
      </w:r>
      <w:r w:rsidRPr="00DB3CB7">
        <w:rPr>
          <w:rFonts w:ascii="Calibri" w:hAnsi="Calibri" w:cs="Calibri"/>
          <w:sz w:val="24"/>
          <w:szCs w:val="24"/>
        </w:rPr>
        <w:t>………</w:t>
      </w:r>
      <w:r>
        <w:rPr>
          <w:rFonts w:ascii="Calibri" w:hAnsi="Calibri" w:cs="Calibri"/>
          <w:sz w:val="24"/>
          <w:szCs w:val="24"/>
        </w:rPr>
        <w:t>…………………</w:t>
      </w:r>
      <w:r w:rsidRPr="00DB3CB7">
        <w:rPr>
          <w:rFonts w:ascii="Calibri" w:hAnsi="Calibri" w:cs="Calibri"/>
          <w:sz w:val="24"/>
          <w:szCs w:val="24"/>
        </w:rPr>
        <w:t>………</w:t>
      </w:r>
      <w:r>
        <w:rPr>
          <w:rFonts w:ascii="Calibri" w:hAnsi="Calibri" w:cs="Calibri"/>
          <w:sz w:val="24"/>
          <w:szCs w:val="24"/>
        </w:rPr>
        <w:t>.</w:t>
      </w:r>
      <w:r>
        <w:rPr>
          <w:rFonts w:ascii="Calibri" w:hAnsi="Calibri" w:cs="Calibri"/>
          <w:sz w:val="24"/>
          <w:szCs w:val="24"/>
        </w:rPr>
        <w:t>8-9</w:t>
      </w:r>
    </w:p>
    <w:p w14:paraId="34782C6D" w14:textId="77777777" w:rsidR="00722AF5" w:rsidRPr="00DB3CB7" w:rsidRDefault="00722AF5" w:rsidP="00FC079B">
      <w:pPr>
        <w:jc w:val="both"/>
        <w:rPr>
          <w:rFonts w:ascii="Calibri" w:hAnsi="Calibri" w:cs="Calibri"/>
          <w:sz w:val="24"/>
          <w:szCs w:val="24"/>
        </w:rPr>
      </w:pPr>
    </w:p>
    <w:p w14:paraId="014D1004" w14:textId="77777777" w:rsidR="00722AF5" w:rsidRPr="00DB3CB7" w:rsidRDefault="00722AF5" w:rsidP="00722AF5">
      <w:pPr>
        <w:spacing w:after="160" w:line="259" w:lineRule="auto"/>
        <w:rPr>
          <w:rFonts w:ascii="Calibri" w:hAnsi="Calibri" w:cs="Calibri"/>
          <w:b/>
        </w:rPr>
      </w:pPr>
    </w:p>
    <w:p w14:paraId="14686045" w14:textId="77777777" w:rsidR="00847BFA" w:rsidRPr="00DB3CB7" w:rsidRDefault="00847BFA">
      <w:pPr>
        <w:rPr>
          <w:rFonts w:ascii="Calibri" w:hAnsi="Calibri" w:cs="Calibri"/>
        </w:rPr>
      </w:pPr>
    </w:p>
    <w:p w14:paraId="4A94B998" w14:textId="77777777" w:rsidR="00722AF5" w:rsidRPr="00DB3CB7" w:rsidRDefault="00722AF5">
      <w:pPr>
        <w:rPr>
          <w:rFonts w:ascii="Calibri" w:hAnsi="Calibri" w:cs="Calibri"/>
        </w:rPr>
      </w:pPr>
    </w:p>
    <w:p w14:paraId="2146E5E2" w14:textId="77777777" w:rsidR="00722AF5" w:rsidRPr="00DB3CB7" w:rsidRDefault="00722AF5">
      <w:pPr>
        <w:rPr>
          <w:rFonts w:ascii="Calibri" w:hAnsi="Calibri" w:cs="Calibri"/>
        </w:rPr>
      </w:pPr>
    </w:p>
    <w:p w14:paraId="3C72FE35" w14:textId="77777777" w:rsidR="00722AF5" w:rsidRPr="00DB3CB7" w:rsidRDefault="00722AF5">
      <w:pPr>
        <w:rPr>
          <w:rFonts w:ascii="Calibri" w:hAnsi="Calibri" w:cs="Calibri"/>
        </w:rPr>
      </w:pPr>
    </w:p>
    <w:p w14:paraId="6459255B" w14:textId="77777777" w:rsidR="00722AF5" w:rsidRPr="00DB3CB7" w:rsidRDefault="00722AF5">
      <w:pPr>
        <w:rPr>
          <w:rFonts w:ascii="Calibri" w:hAnsi="Calibri" w:cs="Calibri"/>
        </w:rPr>
      </w:pPr>
    </w:p>
    <w:p w14:paraId="1AE97B2C" w14:textId="77777777" w:rsidR="00722AF5" w:rsidRPr="00DB3CB7" w:rsidRDefault="00722AF5">
      <w:pPr>
        <w:rPr>
          <w:rFonts w:ascii="Calibri" w:hAnsi="Calibri" w:cs="Calibri"/>
        </w:rPr>
      </w:pPr>
    </w:p>
    <w:p w14:paraId="17882E55" w14:textId="77777777" w:rsidR="00722AF5" w:rsidRPr="00DB3CB7" w:rsidRDefault="00722AF5">
      <w:pPr>
        <w:rPr>
          <w:rFonts w:ascii="Calibri" w:hAnsi="Calibri" w:cs="Calibri"/>
        </w:rPr>
      </w:pPr>
    </w:p>
    <w:p w14:paraId="0F5608AF" w14:textId="77777777" w:rsidR="00722AF5" w:rsidRPr="00DB3CB7" w:rsidRDefault="00722AF5">
      <w:pPr>
        <w:rPr>
          <w:rFonts w:ascii="Calibri" w:hAnsi="Calibri" w:cs="Calibri"/>
        </w:rPr>
      </w:pPr>
    </w:p>
    <w:p w14:paraId="456DAA0D" w14:textId="77777777" w:rsidR="00722AF5" w:rsidRPr="00DB3CB7" w:rsidRDefault="00722AF5">
      <w:pPr>
        <w:rPr>
          <w:rFonts w:ascii="Calibri" w:hAnsi="Calibri" w:cs="Calibri"/>
        </w:rPr>
      </w:pPr>
    </w:p>
    <w:p w14:paraId="7092458D" w14:textId="77777777" w:rsidR="00722AF5" w:rsidRPr="00DB3CB7" w:rsidRDefault="00722AF5">
      <w:pPr>
        <w:rPr>
          <w:rFonts w:ascii="Calibri" w:hAnsi="Calibri" w:cs="Calibri"/>
        </w:rPr>
      </w:pPr>
    </w:p>
    <w:p w14:paraId="61D6557B" w14:textId="77777777" w:rsidR="00722AF5" w:rsidRPr="00DB3CB7" w:rsidRDefault="00722AF5">
      <w:pPr>
        <w:rPr>
          <w:rFonts w:ascii="Calibri" w:hAnsi="Calibri" w:cs="Calibri"/>
        </w:rPr>
      </w:pPr>
    </w:p>
    <w:p w14:paraId="16B5C322" w14:textId="77777777" w:rsidR="00722AF5" w:rsidRPr="00DB3CB7" w:rsidRDefault="00722AF5">
      <w:pPr>
        <w:rPr>
          <w:rFonts w:ascii="Calibri" w:hAnsi="Calibri" w:cs="Calibri"/>
        </w:rPr>
      </w:pPr>
    </w:p>
    <w:p w14:paraId="1ACB0A27" w14:textId="77777777" w:rsidR="00722AF5" w:rsidRPr="00DB3CB7" w:rsidRDefault="00722AF5">
      <w:pPr>
        <w:rPr>
          <w:rFonts w:ascii="Calibri" w:hAnsi="Calibri" w:cs="Calibri"/>
        </w:rPr>
      </w:pPr>
    </w:p>
    <w:p w14:paraId="172E662B" w14:textId="77777777" w:rsidR="00722AF5" w:rsidRPr="00DB3CB7" w:rsidRDefault="00722AF5">
      <w:pPr>
        <w:rPr>
          <w:rFonts w:ascii="Calibri" w:hAnsi="Calibri" w:cs="Calibri"/>
        </w:rPr>
      </w:pPr>
    </w:p>
    <w:p w14:paraId="58D74563" w14:textId="77777777" w:rsidR="00722AF5" w:rsidRPr="00DB3CB7" w:rsidRDefault="00722AF5">
      <w:pPr>
        <w:rPr>
          <w:rFonts w:ascii="Calibri" w:hAnsi="Calibri" w:cs="Calibri"/>
        </w:rPr>
      </w:pPr>
    </w:p>
    <w:p w14:paraId="3E633FE2" w14:textId="77777777" w:rsidR="00722AF5" w:rsidRPr="00DB3CB7" w:rsidRDefault="00722AF5">
      <w:pPr>
        <w:rPr>
          <w:rFonts w:ascii="Calibri" w:hAnsi="Calibri" w:cs="Calibri"/>
        </w:rPr>
      </w:pPr>
    </w:p>
    <w:p w14:paraId="2A72BBDE" w14:textId="77777777" w:rsidR="00722AF5" w:rsidRPr="00DB3CB7" w:rsidRDefault="00722AF5">
      <w:pPr>
        <w:rPr>
          <w:rFonts w:ascii="Calibri" w:hAnsi="Calibri" w:cs="Calibri"/>
        </w:rPr>
      </w:pPr>
    </w:p>
    <w:p w14:paraId="5B650C0A" w14:textId="77777777" w:rsidR="00722AF5" w:rsidRPr="00DB3CB7" w:rsidRDefault="00722AF5">
      <w:pPr>
        <w:rPr>
          <w:rFonts w:ascii="Calibri" w:hAnsi="Calibri" w:cs="Calibri"/>
        </w:rPr>
      </w:pPr>
    </w:p>
    <w:p w14:paraId="604F09A5" w14:textId="77777777" w:rsidR="00722AF5" w:rsidRPr="00DB3CB7" w:rsidRDefault="00722AF5">
      <w:pPr>
        <w:rPr>
          <w:rFonts w:ascii="Calibri" w:hAnsi="Calibri" w:cs="Calibri"/>
        </w:rPr>
      </w:pPr>
    </w:p>
    <w:p w14:paraId="3B92741A" w14:textId="77777777" w:rsidR="00722AF5" w:rsidRPr="00DB3CB7" w:rsidRDefault="00722AF5">
      <w:pPr>
        <w:rPr>
          <w:rFonts w:ascii="Calibri" w:hAnsi="Calibri" w:cs="Calibri"/>
        </w:rPr>
      </w:pPr>
    </w:p>
    <w:p w14:paraId="5F252DCF" w14:textId="77777777" w:rsidR="00722AF5" w:rsidRPr="00DB3CB7" w:rsidRDefault="00722AF5">
      <w:pPr>
        <w:rPr>
          <w:rFonts w:ascii="Calibri" w:hAnsi="Calibri" w:cs="Calibri"/>
        </w:rPr>
      </w:pPr>
    </w:p>
    <w:p w14:paraId="399545DF" w14:textId="77777777" w:rsidR="00722AF5" w:rsidRPr="00DB3CB7" w:rsidRDefault="00722AF5">
      <w:pPr>
        <w:rPr>
          <w:rFonts w:ascii="Calibri" w:hAnsi="Calibri" w:cs="Calibri"/>
        </w:rPr>
      </w:pPr>
    </w:p>
    <w:p w14:paraId="3BA8FB5B" w14:textId="77777777" w:rsidR="00722AF5" w:rsidRPr="00DB3CB7" w:rsidRDefault="00722AF5">
      <w:pPr>
        <w:rPr>
          <w:rFonts w:ascii="Calibri" w:hAnsi="Calibri" w:cs="Calibri"/>
        </w:rPr>
      </w:pPr>
    </w:p>
    <w:p w14:paraId="7F1D7BE4" w14:textId="77777777" w:rsidR="00722AF5" w:rsidRPr="00DB3CB7" w:rsidRDefault="00722AF5">
      <w:pPr>
        <w:rPr>
          <w:rFonts w:ascii="Calibri" w:hAnsi="Calibri" w:cs="Calibri"/>
          <w:sz w:val="24"/>
          <w:szCs w:val="24"/>
        </w:rPr>
      </w:pPr>
    </w:p>
    <w:p w14:paraId="04768DB7" w14:textId="7AFFF052" w:rsidR="00722AF5" w:rsidRPr="00DB3CB7" w:rsidRDefault="00722AF5" w:rsidP="00722AF5">
      <w:pPr>
        <w:jc w:val="both"/>
        <w:rPr>
          <w:rFonts w:ascii="Calibri" w:hAnsi="Calibri" w:cs="Calibri"/>
          <w:b/>
          <w:bCs/>
          <w:color w:val="000000" w:themeColor="text1"/>
          <w:sz w:val="24"/>
          <w:szCs w:val="24"/>
        </w:rPr>
      </w:pPr>
      <w:r w:rsidRPr="00DB3CB7">
        <w:rPr>
          <w:rFonts w:ascii="Calibri" w:hAnsi="Calibri" w:cs="Calibri"/>
          <w:b/>
          <w:bCs/>
          <w:color w:val="000000" w:themeColor="text1"/>
          <w:sz w:val="24"/>
          <w:szCs w:val="24"/>
        </w:rPr>
        <w:t xml:space="preserve">Supplementary Material </w:t>
      </w:r>
    </w:p>
    <w:p w14:paraId="53274639" w14:textId="77777777" w:rsidR="00722AF5" w:rsidRPr="00DB3CB7" w:rsidRDefault="00722AF5" w:rsidP="00722AF5">
      <w:pPr>
        <w:jc w:val="both"/>
        <w:rPr>
          <w:rFonts w:ascii="Calibri" w:hAnsi="Calibri" w:cs="Calibri"/>
          <w:b/>
          <w:bCs/>
          <w:color w:val="000000" w:themeColor="text1"/>
          <w:sz w:val="24"/>
          <w:szCs w:val="24"/>
        </w:rPr>
      </w:pPr>
    </w:p>
    <w:p w14:paraId="24BDE102" w14:textId="77777777" w:rsidR="00722AF5" w:rsidRPr="00DB3CB7" w:rsidRDefault="00722AF5" w:rsidP="00722AF5">
      <w:pPr>
        <w:jc w:val="both"/>
        <w:rPr>
          <w:rFonts w:ascii="Calibri" w:hAnsi="Calibri" w:cs="Calibri"/>
          <w:b/>
          <w:bCs/>
          <w:color w:val="000000" w:themeColor="text1"/>
          <w:sz w:val="24"/>
          <w:szCs w:val="24"/>
        </w:rPr>
      </w:pPr>
      <w:r w:rsidRPr="00DB3CB7">
        <w:rPr>
          <w:rFonts w:ascii="Calibri" w:hAnsi="Calibri" w:cs="Calibri"/>
          <w:b/>
          <w:bCs/>
          <w:color w:val="000000" w:themeColor="text1"/>
          <w:sz w:val="24"/>
          <w:szCs w:val="24"/>
        </w:rPr>
        <w:t xml:space="preserve">Study Setting </w:t>
      </w:r>
    </w:p>
    <w:p w14:paraId="236DDD93" w14:textId="77777777" w:rsidR="00722AF5" w:rsidRPr="00DB3CB7" w:rsidRDefault="00722AF5" w:rsidP="00722AF5">
      <w:pPr>
        <w:jc w:val="both"/>
        <w:rPr>
          <w:rFonts w:ascii="Calibri" w:hAnsi="Calibri" w:cs="Calibri"/>
          <w:sz w:val="24"/>
          <w:szCs w:val="24"/>
          <w:u w:val="single"/>
        </w:rPr>
      </w:pPr>
    </w:p>
    <w:p w14:paraId="48DA0DB2" w14:textId="77777777" w:rsidR="00722AF5" w:rsidRPr="00DB3CB7" w:rsidRDefault="00722AF5" w:rsidP="00722AF5">
      <w:pPr>
        <w:jc w:val="both"/>
        <w:rPr>
          <w:rFonts w:ascii="Calibri" w:hAnsi="Calibri" w:cs="Calibri"/>
          <w:sz w:val="24"/>
          <w:szCs w:val="24"/>
          <w:u w:val="single"/>
        </w:rPr>
      </w:pPr>
      <w:r w:rsidRPr="00DB3CB7">
        <w:rPr>
          <w:rFonts w:ascii="Calibri" w:hAnsi="Calibri" w:cs="Calibri"/>
          <w:sz w:val="24"/>
          <w:szCs w:val="24"/>
        </w:rPr>
        <w:t>Bassett Healthcare Network is an integrated health care system in central New York State that includes an academic medical center (Bassett Medical Center), four affiliate hospitals and more than two dozen primary care clinics. The region served by the Bassett Healthcare Network covers the counties of Otsego, Delaware, Herkimer, Schoharie, Chenango, Madison, Oneida and Montgomery, an area of more than 5,600 square miles that is more than 90% rural by U.S. census definitions</w:t>
      </w:r>
      <w:r w:rsidRPr="00DB3CB7">
        <w:rPr>
          <w:rFonts w:ascii="Calibri" w:hAnsi="Calibri" w:cs="Calibri"/>
          <w:sz w:val="24"/>
          <w:szCs w:val="24"/>
        </w:rPr>
        <w:fldChar w:fldCharType="begin"/>
      </w:r>
      <w:r w:rsidRPr="00DB3CB7">
        <w:rPr>
          <w:rFonts w:ascii="Calibri" w:hAnsi="Calibri" w:cs="Calibri"/>
          <w:sz w:val="24"/>
          <w:szCs w:val="24"/>
        </w:rPr>
        <w:instrText xml:space="preserve"> ADDIN ZOTERO_ITEM CSL_CITATION {"citationID":"DepRDFTF","properties":{"formattedCitation":"\\super 13\\nosupersub{}","plainCitation":"13","noteIndex":0},"citationItems":[{"id":10288,"uris":["http://zotero.org/users/local/xPkmlLqr/items/SQZFIUMP"],"itemData":{"id":10288,"type":"post-weblog","title":"2010 Census Urban and Rural Classification and Urban Area Criteria.","URL":"https://www.census.gov/programs-surveys/geography/guidance/geo-areas/urban-rural/2010-urban-rural.html#:~:text=The%20Census%20Bureau%20identifies%20two,and%20less%20than%2050%2C000%20people","author":[{"family":"Bureau, USC.","given":""}],"accessed":{"date-parts":[["2025",3,3]]}}}],"schema":"https://github.com/citation-style-language/schema/raw/master/csl-citation.json"} </w:instrText>
      </w:r>
      <w:r w:rsidRPr="00DB3CB7">
        <w:rPr>
          <w:rFonts w:ascii="Calibri" w:hAnsi="Calibri" w:cs="Calibri"/>
          <w:sz w:val="24"/>
          <w:szCs w:val="24"/>
        </w:rPr>
        <w:fldChar w:fldCharType="separate"/>
      </w:r>
      <w:r w:rsidRPr="00DB3CB7">
        <w:rPr>
          <w:rFonts w:ascii="Calibri" w:hAnsi="Calibri" w:cs="Calibri"/>
          <w:sz w:val="24"/>
          <w:szCs w:val="24"/>
          <w:vertAlign w:val="superscript"/>
          <w:lang w:val="en-GB"/>
        </w:rPr>
        <w:t>13</w:t>
      </w:r>
      <w:r w:rsidRPr="00DB3CB7">
        <w:rPr>
          <w:rFonts w:ascii="Calibri" w:hAnsi="Calibri" w:cs="Calibri"/>
          <w:sz w:val="24"/>
          <w:szCs w:val="24"/>
        </w:rPr>
        <w:fldChar w:fldCharType="end"/>
      </w:r>
      <w:r w:rsidRPr="00DB3CB7">
        <w:rPr>
          <w:rFonts w:ascii="Calibri" w:hAnsi="Calibri" w:cs="Calibri"/>
          <w:sz w:val="24"/>
          <w:szCs w:val="24"/>
        </w:rPr>
        <w:t xml:space="preserve">. There are 14 urban clusters (population 2,500-50,000) in the region, however only two municipalities have more than 10,000 year-round inhabitants. Bassett is also a provider of opioid use disorder (OUD) treatment. Therefore, assessing the HCV management practices within the network provides a relatively complete ascertainment of HCV care within these counties in rural central New York State. </w:t>
      </w:r>
    </w:p>
    <w:p w14:paraId="704C2F77" w14:textId="77777777" w:rsidR="00722AF5" w:rsidRPr="00DB3CB7" w:rsidRDefault="00722AF5" w:rsidP="00722AF5">
      <w:pPr>
        <w:jc w:val="both"/>
        <w:rPr>
          <w:rFonts w:ascii="Calibri" w:hAnsi="Calibri" w:cs="Calibri"/>
          <w:b/>
          <w:bCs/>
          <w:color w:val="000000" w:themeColor="text1"/>
          <w:sz w:val="24"/>
          <w:szCs w:val="24"/>
        </w:rPr>
      </w:pPr>
    </w:p>
    <w:p w14:paraId="35C5E536" w14:textId="77777777" w:rsidR="00722AF5" w:rsidRPr="00DB3CB7" w:rsidRDefault="00722AF5" w:rsidP="00722AF5">
      <w:pPr>
        <w:jc w:val="both"/>
        <w:rPr>
          <w:rFonts w:ascii="Calibri" w:hAnsi="Calibri" w:cs="Calibri"/>
          <w:b/>
          <w:bCs/>
          <w:color w:val="000000" w:themeColor="text1"/>
          <w:sz w:val="24"/>
          <w:szCs w:val="24"/>
        </w:rPr>
      </w:pPr>
      <w:r w:rsidRPr="00DB3CB7">
        <w:rPr>
          <w:rFonts w:ascii="Calibri" w:hAnsi="Calibri" w:cs="Calibri"/>
          <w:b/>
          <w:bCs/>
          <w:color w:val="000000" w:themeColor="text1"/>
          <w:sz w:val="24"/>
          <w:szCs w:val="24"/>
        </w:rPr>
        <w:t xml:space="preserve">Study Design </w:t>
      </w:r>
    </w:p>
    <w:p w14:paraId="03F72190" w14:textId="77777777" w:rsidR="00722AF5" w:rsidRPr="00DB3CB7" w:rsidRDefault="00722AF5" w:rsidP="00722AF5">
      <w:pPr>
        <w:jc w:val="both"/>
        <w:rPr>
          <w:rFonts w:ascii="Calibri" w:hAnsi="Calibri" w:cs="Calibri"/>
          <w:color w:val="000000" w:themeColor="text1"/>
          <w:sz w:val="24"/>
          <w:szCs w:val="24"/>
        </w:rPr>
      </w:pPr>
    </w:p>
    <w:p w14:paraId="3ACF35BA" w14:textId="56B71B2F" w:rsidR="00722AF5" w:rsidRPr="00DB3CB7" w:rsidRDefault="00722AF5" w:rsidP="00722AF5">
      <w:pPr>
        <w:jc w:val="both"/>
        <w:rPr>
          <w:rFonts w:ascii="Calibri" w:hAnsi="Calibri" w:cs="Calibri"/>
          <w:color w:val="000000" w:themeColor="text1"/>
          <w:sz w:val="24"/>
          <w:szCs w:val="24"/>
        </w:rPr>
      </w:pPr>
      <w:r w:rsidRPr="00DB3CB7">
        <w:rPr>
          <w:rFonts w:ascii="Calibri" w:hAnsi="Calibri" w:cs="Calibri"/>
          <w:color w:val="000000" w:themeColor="text1"/>
          <w:sz w:val="24"/>
          <w:szCs w:val="24"/>
        </w:rPr>
        <w:t xml:space="preserve">The Bassett Healthcare Network utilizes an Epic® electronic health record (EHR) system for data capture. Using SQL queries powered by SQL Server Management Studio software version 18.11 (Redmond, WA) and with additional data manipulation conducted in SAS software version 9.4 (Cary, NC), annual datasets of eligible patient observations were constructed. The datasets were organized in 12-month cross-sections from January 1 to December 31 defined by the date of antibody testing (“testing period”). A total of eleven testing periods were analyzed (2013-2023), with a single observation per patient per period based on their first occurrence of </w:t>
      </w:r>
      <w:r w:rsidR="00E85721">
        <w:rPr>
          <w:rFonts w:ascii="Calibri" w:hAnsi="Calibri" w:cs="Calibri"/>
          <w:color w:val="000000" w:themeColor="text1"/>
          <w:sz w:val="24"/>
          <w:szCs w:val="24"/>
        </w:rPr>
        <w:t xml:space="preserve">a positive antibody test in that period, or for patients with multiple observations with all negative results, the occurrence of the first antibody test was used. </w:t>
      </w:r>
    </w:p>
    <w:p w14:paraId="3A4D050D" w14:textId="77777777" w:rsidR="00722AF5" w:rsidRPr="00DB3CB7" w:rsidRDefault="00722AF5" w:rsidP="00722AF5">
      <w:pPr>
        <w:jc w:val="both"/>
        <w:rPr>
          <w:rFonts w:ascii="Calibri" w:hAnsi="Calibri" w:cs="Calibri"/>
          <w:b/>
          <w:bCs/>
          <w:sz w:val="24"/>
          <w:szCs w:val="24"/>
        </w:rPr>
      </w:pPr>
    </w:p>
    <w:p w14:paraId="37C78D74" w14:textId="77777777" w:rsidR="00722AF5" w:rsidRPr="00DB3CB7" w:rsidRDefault="00722AF5" w:rsidP="00722AF5">
      <w:pPr>
        <w:jc w:val="both"/>
        <w:rPr>
          <w:rFonts w:ascii="Calibri" w:hAnsi="Calibri" w:cs="Calibri"/>
          <w:b/>
          <w:bCs/>
          <w:color w:val="000000" w:themeColor="text1"/>
          <w:sz w:val="24"/>
          <w:szCs w:val="24"/>
        </w:rPr>
      </w:pPr>
      <w:r w:rsidRPr="00DB3CB7">
        <w:rPr>
          <w:rFonts w:ascii="Calibri" w:hAnsi="Calibri" w:cs="Calibri"/>
          <w:b/>
          <w:bCs/>
          <w:color w:val="000000" w:themeColor="text1"/>
          <w:sz w:val="24"/>
          <w:szCs w:val="24"/>
        </w:rPr>
        <w:t>Data Collection</w:t>
      </w:r>
    </w:p>
    <w:p w14:paraId="7D8A6AC9" w14:textId="77777777" w:rsidR="00722AF5" w:rsidRPr="00DB3CB7" w:rsidRDefault="00722AF5" w:rsidP="00722AF5">
      <w:pPr>
        <w:jc w:val="both"/>
        <w:rPr>
          <w:rFonts w:ascii="Calibri" w:hAnsi="Calibri" w:cs="Calibri"/>
          <w:b/>
          <w:bCs/>
          <w:color w:val="000000" w:themeColor="text1"/>
          <w:sz w:val="24"/>
          <w:szCs w:val="24"/>
        </w:rPr>
      </w:pPr>
    </w:p>
    <w:p w14:paraId="422FA472" w14:textId="3C3E14F6" w:rsidR="00722AF5" w:rsidRPr="00DB3CB7" w:rsidRDefault="00722AF5" w:rsidP="00722AF5">
      <w:pPr>
        <w:jc w:val="both"/>
        <w:rPr>
          <w:rFonts w:ascii="Calibri" w:hAnsi="Calibri" w:cs="Calibri"/>
          <w:sz w:val="24"/>
          <w:szCs w:val="24"/>
        </w:rPr>
      </w:pPr>
      <w:r w:rsidRPr="00DB3CB7">
        <w:rPr>
          <w:rFonts w:ascii="Calibri" w:hAnsi="Calibri" w:cs="Calibri"/>
          <w:sz w:val="24"/>
          <w:szCs w:val="24"/>
        </w:rPr>
        <w:t xml:space="preserve">Receipt of antibody testing for the Hepatitis C antibody was determined from laboratory data within the EHR (included: HCV Ab, S; Hepatitis C Antibody, Interpretation; Hepatitis C, IgG Antibody </w:t>
      </w:r>
      <w:proofErr w:type="spellStart"/>
      <w:r w:rsidRPr="00DB3CB7">
        <w:rPr>
          <w:rFonts w:ascii="Calibri" w:hAnsi="Calibri" w:cs="Calibri"/>
          <w:sz w:val="24"/>
          <w:szCs w:val="24"/>
        </w:rPr>
        <w:t>Interp</w:t>
      </w:r>
      <w:proofErr w:type="spellEnd"/>
      <w:r w:rsidRPr="00DB3CB7">
        <w:rPr>
          <w:rFonts w:ascii="Calibri" w:hAnsi="Calibri" w:cs="Calibri"/>
          <w:sz w:val="24"/>
          <w:szCs w:val="24"/>
        </w:rPr>
        <w:t xml:space="preserve">; Hep C Ab </w:t>
      </w:r>
      <w:proofErr w:type="spellStart"/>
      <w:r w:rsidRPr="00DB3CB7">
        <w:rPr>
          <w:rFonts w:ascii="Calibri" w:hAnsi="Calibri" w:cs="Calibri"/>
          <w:sz w:val="24"/>
          <w:szCs w:val="24"/>
        </w:rPr>
        <w:t>Interp</w:t>
      </w:r>
      <w:proofErr w:type="spellEnd"/>
      <w:r w:rsidRPr="00DB3CB7">
        <w:rPr>
          <w:rFonts w:ascii="Calibri" w:hAnsi="Calibri" w:cs="Calibri"/>
          <w:sz w:val="24"/>
          <w:szCs w:val="24"/>
        </w:rPr>
        <w:t xml:space="preserve">). Among those with antibody tests, antibody positivity was determined from laboratory results (included as positive: Reactive; Positive; Presumptive Positive; Weakly Reactive). Among those with positive antibodies, RNA testing was determined from laboratory data (included: HCV RNA DETECT/QUANT, S; BMC LAB HCV RNA DETECT/QUANT, S (HCVQN)), where the closest RNA test result was used. Among those undergoing RNA testing, RNA positivity was determined from laboratory results (included: &lt;15; Detected; Any numeric value given; Result flag of abnormal or high). From 1/1/2013-3/27/2015, PCR testing was performed by the COBAS AmpliPrep/COBAS TaqMan HCV Test, </w:t>
      </w:r>
      <w:r w:rsidRPr="00DB3CB7">
        <w:rPr>
          <w:rFonts w:ascii="Calibri" w:hAnsi="Calibri" w:cs="Calibri"/>
          <w:sz w:val="24"/>
          <w:szCs w:val="24"/>
        </w:rPr>
        <w:lastRenderedPageBreak/>
        <w:t xml:space="preserve">version 2.0 (Roche Molecular Systems, Inc.). From 3/30/2015-12/31/2023, PCR testing was performed using the COBAS HCV test (Roche Molecular Systems, Inc.) with the COBAS 6800 System. Among those with RNA positivity, DAA treatment was defined, in consultation with co-authors including infectious disease physicians and hepatologists, as prescription of one of the following generic medications: </w:t>
      </w:r>
      <w:proofErr w:type="spellStart"/>
      <w:r w:rsidRPr="00DB3CB7">
        <w:rPr>
          <w:rFonts w:ascii="Calibri" w:hAnsi="Calibri" w:cs="Calibri"/>
          <w:sz w:val="24"/>
          <w:szCs w:val="24"/>
        </w:rPr>
        <w:t>glecaprevir</w:t>
      </w:r>
      <w:proofErr w:type="spellEnd"/>
      <w:r w:rsidRPr="00DB3CB7">
        <w:rPr>
          <w:rFonts w:ascii="Calibri" w:hAnsi="Calibri" w:cs="Calibri"/>
          <w:sz w:val="24"/>
          <w:szCs w:val="24"/>
        </w:rPr>
        <w:t>/</w:t>
      </w:r>
      <w:proofErr w:type="spellStart"/>
      <w:r w:rsidRPr="00DB3CB7">
        <w:rPr>
          <w:rFonts w:ascii="Calibri" w:hAnsi="Calibri" w:cs="Calibri"/>
          <w:sz w:val="24"/>
          <w:szCs w:val="24"/>
        </w:rPr>
        <w:t>pibrentasvir</w:t>
      </w:r>
      <w:proofErr w:type="spellEnd"/>
      <w:r w:rsidRPr="00DB3CB7">
        <w:rPr>
          <w:rFonts w:ascii="Calibri" w:hAnsi="Calibri" w:cs="Calibri"/>
          <w:sz w:val="24"/>
          <w:szCs w:val="24"/>
        </w:rPr>
        <w:t>; sofosbuvir/</w:t>
      </w:r>
      <w:proofErr w:type="spellStart"/>
      <w:r w:rsidRPr="00DB3CB7">
        <w:rPr>
          <w:rFonts w:ascii="Calibri" w:hAnsi="Calibri" w:cs="Calibri"/>
          <w:sz w:val="24"/>
          <w:szCs w:val="24"/>
        </w:rPr>
        <w:t>velpatasvir</w:t>
      </w:r>
      <w:proofErr w:type="spellEnd"/>
      <w:r w:rsidRPr="00DB3CB7">
        <w:rPr>
          <w:rFonts w:ascii="Calibri" w:hAnsi="Calibri" w:cs="Calibri"/>
          <w:sz w:val="24"/>
          <w:szCs w:val="24"/>
        </w:rPr>
        <w:t>; sofosbuvir/</w:t>
      </w:r>
      <w:proofErr w:type="spellStart"/>
      <w:r w:rsidRPr="00DB3CB7">
        <w:rPr>
          <w:rFonts w:ascii="Calibri" w:hAnsi="Calibri" w:cs="Calibri"/>
          <w:sz w:val="24"/>
          <w:szCs w:val="24"/>
        </w:rPr>
        <w:t>velpatas</w:t>
      </w:r>
      <w:r w:rsidR="00903944">
        <w:rPr>
          <w:rFonts w:ascii="Calibri" w:hAnsi="Calibri" w:cs="Calibri"/>
          <w:sz w:val="24"/>
          <w:szCs w:val="24"/>
        </w:rPr>
        <w:t>ir</w:t>
      </w:r>
      <w:proofErr w:type="spellEnd"/>
      <w:r w:rsidRPr="00DB3CB7">
        <w:rPr>
          <w:rFonts w:ascii="Calibri" w:hAnsi="Calibri" w:cs="Calibri"/>
          <w:sz w:val="24"/>
          <w:szCs w:val="24"/>
        </w:rPr>
        <w:t>/</w:t>
      </w:r>
      <w:proofErr w:type="spellStart"/>
      <w:r w:rsidRPr="00DB3CB7">
        <w:rPr>
          <w:rFonts w:ascii="Calibri" w:hAnsi="Calibri" w:cs="Calibri"/>
          <w:sz w:val="24"/>
          <w:szCs w:val="24"/>
        </w:rPr>
        <w:t>voxilaprev</w:t>
      </w:r>
      <w:r w:rsidR="00903944">
        <w:rPr>
          <w:rFonts w:ascii="Calibri" w:hAnsi="Calibri" w:cs="Calibri"/>
          <w:sz w:val="24"/>
          <w:szCs w:val="24"/>
        </w:rPr>
        <w:t>ir</w:t>
      </w:r>
      <w:proofErr w:type="spellEnd"/>
      <w:r w:rsidRPr="00DB3CB7">
        <w:rPr>
          <w:rFonts w:ascii="Calibri" w:hAnsi="Calibri" w:cs="Calibri"/>
          <w:sz w:val="24"/>
          <w:szCs w:val="24"/>
        </w:rPr>
        <w:t xml:space="preserve">; ledipasvir/sofosbuvir; elbasvir/grazoprevir; ribavirin; sofosbuvir; peginterferon alfa-2b; peginterferon alfa-2a; </w:t>
      </w:r>
      <w:proofErr w:type="spellStart"/>
      <w:r w:rsidR="00903944" w:rsidRPr="00DB3CB7">
        <w:rPr>
          <w:rFonts w:ascii="Calibri" w:hAnsi="Calibri" w:cs="Calibri"/>
          <w:sz w:val="24"/>
          <w:szCs w:val="24"/>
        </w:rPr>
        <w:t>ombita</w:t>
      </w:r>
      <w:r w:rsidR="00903944">
        <w:rPr>
          <w:rFonts w:ascii="Calibri" w:hAnsi="Calibri" w:cs="Calibri"/>
          <w:sz w:val="24"/>
          <w:szCs w:val="24"/>
        </w:rPr>
        <w:t>svir</w:t>
      </w:r>
      <w:proofErr w:type="spellEnd"/>
      <w:r w:rsidR="00903944" w:rsidRPr="00DB3CB7">
        <w:rPr>
          <w:rFonts w:ascii="Calibri" w:hAnsi="Calibri" w:cs="Calibri"/>
          <w:sz w:val="24"/>
          <w:szCs w:val="24"/>
        </w:rPr>
        <w:t>/</w:t>
      </w:r>
      <w:proofErr w:type="spellStart"/>
      <w:r w:rsidR="00903944" w:rsidRPr="00DB3CB7">
        <w:rPr>
          <w:rFonts w:ascii="Calibri" w:hAnsi="Calibri" w:cs="Calibri"/>
          <w:sz w:val="24"/>
          <w:szCs w:val="24"/>
        </w:rPr>
        <w:t>paritap</w:t>
      </w:r>
      <w:r w:rsidR="00903944">
        <w:rPr>
          <w:rFonts w:ascii="Calibri" w:hAnsi="Calibri" w:cs="Calibri"/>
          <w:sz w:val="24"/>
          <w:szCs w:val="24"/>
        </w:rPr>
        <w:t>revir</w:t>
      </w:r>
      <w:proofErr w:type="spellEnd"/>
      <w:r w:rsidR="00903944" w:rsidRPr="00DB3CB7">
        <w:rPr>
          <w:rFonts w:ascii="Calibri" w:hAnsi="Calibri" w:cs="Calibri"/>
          <w:sz w:val="24"/>
          <w:szCs w:val="24"/>
        </w:rPr>
        <w:t>/riton</w:t>
      </w:r>
      <w:r w:rsidR="00903944">
        <w:rPr>
          <w:rFonts w:ascii="Calibri" w:hAnsi="Calibri" w:cs="Calibri"/>
          <w:sz w:val="24"/>
          <w:szCs w:val="24"/>
        </w:rPr>
        <w:t>avir</w:t>
      </w:r>
      <w:r w:rsidR="00903944" w:rsidRPr="00DB3CB7">
        <w:rPr>
          <w:rFonts w:ascii="Calibri" w:hAnsi="Calibri" w:cs="Calibri"/>
          <w:sz w:val="24"/>
          <w:szCs w:val="24"/>
        </w:rPr>
        <w:t xml:space="preserve"> </w:t>
      </w:r>
      <w:r w:rsidRPr="00DB3CB7">
        <w:rPr>
          <w:rFonts w:ascii="Calibri" w:hAnsi="Calibri" w:cs="Calibri"/>
          <w:sz w:val="24"/>
          <w:szCs w:val="24"/>
        </w:rPr>
        <w:t>/dasabuvir. Among those completing treatment, achievement of</w:t>
      </w:r>
      <w:r w:rsidR="00855F4E">
        <w:rPr>
          <w:rFonts w:ascii="Calibri" w:hAnsi="Calibri" w:cs="Calibri"/>
          <w:sz w:val="24"/>
          <w:szCs w:val="24"/>
        </w:rPr>
        <w:t xml:space="preserve"> durable</w:t>
      </w:r>
      <w:r w:rsidRPr="00DB3CB7">
        <w:rPr>
          <w:rFonts w:ascii="Calibri" w:hAnsi="Calibri" w:cs="Calibri"/>
          <w:sz w:val="24"/>
          <w:szCs w:val="24"/>
        </w:rPr>
        <w:t xml:space="preserve"> </w:t>
      </w:r>
      <w:r w:rsidR="00896720">
        <w:rPr>
          <w:rFonts w:ascii="Calibri" w:hAnsi="Calibri" w:cs="Calibri"/>
          <w:sz w:val="24"/>
          <w:szCs w:val="24"/>
        </w:rPr>
        <w:t>viral clearance</w:t>
      </w:r>
      <w:r w:rsidRPr="00DB3CB7">
        <w:rPr>
          <w:rFonts w:ascii="Calibri" w:hAnsi="Calibri" w:cs="Calibri"/>
          <w:sz w:val="24"/>
          <w:szCs w:val="24"/>
        </w:rPr>
        <w:t xml:space="preserve"> was defined as a negative RNA test </w:t>
      </w:r>
      <w:r w:rsidR="00896720">
        <w:rPr>
          <w:rFonts w:ascii="Calibri" w:hAnsi="Calibri" w:cs="Calibri"/>
          <w:sz w:val="24"/>
          <w:szCs w:val="24"/>
        </w:rPr>
        <w:t>at least 6 weeks</w:t>
      </w:r>
      <w:r w:rsidRPr="00DB3CB7">
        <w:rPr>
          <w:rFonts w:ascii="Calibri" w:hAnsi="Calibri" w:cs="Calibri"/>
          <w:sz w:val="24"/>
          <w:szCs w:val="24"/>
        </w:rPr>
        <w:t xml:space="preserve"> after ending the treatment</w:t>
      </w:r>
      <w:r w:rsidR="00896720">
        <w:rPr>
          <w:rFonts w:ascii="Calibri" w:hAnsi="Calibri" w:cs="Calibri"/>
          <w:sz w:val="24"/>
          <w:szCs w:val="24"/>
        </w:rPr>
        <w:t xml:space="preserve"> (minimum time to viral clearance was recorded as 46 days)</w:t>
      </w:r>
      <w:r w:rsidRPr="00DB3CB7">
        <w:rPr>
          <w:rFonts w:ascii="Calibri" w:hAnsi="Calibri" w:cs="Calibri"/>
          <w:sz w:val="24"/>
          <w:szCs w:val="24"/>
        </w:rPr>
        <w:t xml:space="preserve">. </w:t>
      </w:r>
      <w:r w:rsidR="00CA4F52">
        <w:rPr>
          <w:rFonts w:ascii="Calibri" w:hAnsi="Calibri" w:cs="Calibri"/>
          <w:sz w:val="24"/>
          <w:szCs w:val="24"/>
        </w:rPr>
        <w:t xml:space="preserve">Six weeks was chosen as a conservative benchmark for durable viral clearance that surpassed </w:t>
      </w:r>
      <w:r w:rsidR="004155F0">
        <w:rPr>
          <w:rFonts w:ascii="Calibri" w:hAnsi="Calibri" w:cs="Calibri"/>
          <w:sz w:val="24"/>
          <w:szCs w:val="24"/>
        </w:rPr>
        <w:t>the typical relapse period</w:t>
      </w:r>
      <w:r w:rsidR="0035545A">
        <w:rPr>
          <w:rFonts w:ascii="Calibri" w:hAnsi="Calibri" w:cs="Calibri"/>
          <w:sz w:val="24"/>
          <w:szCs w:val="24"/>
        </w:rPr>
        <w:t xml:space="preserve"> and given the extremely high correlation between undetectable HCV RNA at post treatment weeks 4 and 12 </w:t>
      </w:r>
      <w:r w:rsidR="0035545A">
        <w:rPr>
          <w:rFonts w:ascii="Calibri" w:hAnsi="Calibri" w:cs="Calibri"/>
          <w:sz w:val="24"/>
          <w:szCs w:val="24"/>
        </w:rPr>
        <w:fldChar w:fldCharType="begin">
          <w:fldData xml:space="preserve">PEVuZE5vdGU+PENpdGU+PEF1dGhvcj5HYW5lPC9BdXRob3I+PFllYXI+MjAyMTwvWWVhcj48UmVj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</w:fldData>
        </w:fldChar>
      </w:r>
      <w:r w:rsidR="00132323">
        <w:rPr>
          <w:rFonts w:ascii="Calibri" w:hAnsi="Calibri" w:cs="Calibri"/>
          <w:sz w:val="24"/>
          <w:szCs w:val="24"/>
        </w:rPr>
        <w:instrText xml:space="preserve"> ADDIN EN.CITE </w:instrText>
      </w:r>
      <w:r w:rsidR="00132323">
        <w:rPr>
          <w:rFonts w:ascii="Calibri" w:hAnsi="Calibri" w:cs="Calibri"/>
          <w:sz w:val="24"/>
          <w:szCs w:val="24"/>
        </w:rPr>
        <w:fldChar w:fldCharType="begin">
          <w:fldData xml:space="preserve">PEVuZE5vdGU+PENpdGU+PEF1dGhvcj5HYW5lPC9BdXRob3I+PFllYXI+MjAyMTwvWWVhcj48UmVj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</w:fldData>
        </w:fldChar>
      </w:r>
      <w:r w:rsidR="00132323">
        <w:rPr>
          <w:rFonts w:ascii="Calibri" w:hAnsi="Calibri" w:cs="Calibri"/>
          <w:sz w:val="24"/>
          <w:szCs w:val="24"/>
        </w:rPr>
        <w:instrText xml:space="preserve"> ADDIN EN.CITE.DATA </w:instrText>
      </w:r>
      <w:r w:rsidR="00132323">
        <w:rPr>
          <w:rFonts w:ascii="Calibri" w:hAnsi="Calibri" w:cs="Calibri"/>
          <w:sz w:val="24"/>
          <w:szCs w:val="24"/>
        </w:rPr>
      </w:r>
      <w:r w:rsidR="00132323">
        <w:rPr>
          <w:rFonts w:ascii="Calibri" w:hAnsi="Calibri" w:cs="Calibri"/>
          <w:sz w:val="24"/>
          <w:szCs w:val="24"/>
        </w:rPr>
        <w:fldChar w:fldCharType="end"/>
      </w:r>
      <w:r w:rsidR="0035545A">
        <w:rPr>
          <w:rFonts w:ascii="Calibri" w:hAnsi="Calibri" w:cs="Calibri"/>
          <w:sz w:val="24"/>
          <w:szCs w:val="24"/>
        </w:rPr>
      </w:r>
      <w:r w:rsidR="0035545A">
        <w:rPr>
          <w:rFonts w:ascii="Calibri" w:hAnsi="Calibri" w:cs="Calibri"/>
          <w:sz w:val="24"/>
          <w:szCs w:val="24"/>
        </w:rPr>
        <w:fldChar w:fldCharType="separate"/>
      </w:r>
      <w:r w:rsidR="00132323">
        <w:rPr>
          <w:rFonts w:ascii="Calibri" w:hAnsi="Calibri" w:cs="Calibri"/>
          <w:noProof/>
          <w:sz w:val="24"/>
          <w:szCs w:val="24"/>
        </w:rPr>
        <w:t>[1, 2]</w:t>
      </w:r>
      <w:r w:rsidR="0035545A">
        <w:rPr>
          <w:rFonts w:ascii="Calibri" w:hAnsi="Calibri" w:cs="Calibri"/>
          <w:sz w:val="24"/>
          <w:szCs w:val="24"/>
        </w:rPr>
        <w:fldChar w:fldCharType="end"/>
      </w:r>
      <w:r w:rsidR="0035545A">
        <w:rPr>
          <w:rFonts w:ascii="Calibri" w:hAnsi="Calibri" w:cs="Calibri"/>
          <w:sz w:val="24"/>
          <w:szCs w:val="24"/>
        </w:rPr>
        <w:t xml:space="preserve"> </w:t>
      </w:r>
      <w:r w:rsidR="004155F0">
        <w:rPr>
          <w:rFonts w:ascii="Calibri" w:hAnsi="Calibri" w:cs="Calibri"/>
          <w:sz w:val="24"/>
          <w:szCs w:val="24"/>
        </w:rPr>
        <w:t xml:space="preserve">. </w:t>
      </w:r>
      <w:r w:rsidR="00CA4F52">
        <w:rPr>
          <w:rFonts w:ascii="Calibri" w:hAnsi="Calibri" w:cs="Calibri"/>
          <w:sz w:val="24"/>
          <w:szCs w:val="24"/>
        </w:rPr>
        <w:t xml:space="preserve">There were </w:t>
      </w:r>
      <w:r w:rsidR="000506E7">
        <w:rPr>
          <w:rFonts w:ascii="Calibri" w:hAnsi="Calibri" w:cs="Calibri"/>
          <w:sz w:val="24"/>
          <w:szCs w:val="24"/>
        </w:rPr>
        <w:t>11</w:t>
      </w:r>
      <w:r w:rsidR="00CA4F52">
        <w:rPr>
          <w:rFonts w:ascii="Calibri" w:hAnsi="Calibri" w:cs="Calibri"/>
          <w:sz w:val="24"/>
          <w:szCs w:val="24"/>
        </w:rPr>
        <w:t xml:space="preserve"> patients who had a negative RNA test prior to 6 weeks after completing treatment</w:t>
      </w:r>
      <w:r w:rsidR="000506E7">
        <w:rPr>
          <w:rFonts w:ascii="Calibri" w:hAnsi="Calibri" w:cs="Calibri"/>
          <w:sz w:val="24"/>
          <w:szCs w:val="24"/>
        </w:rPr>
        <w:t xml:space="preserve"> (had a </w:t>
      </w:r>
      <w:r w:rsidR="000506E7" w:rsidRPr="000506E7">
        <w:rPr>
          <w:rFonts w:ascii="Calibri" w:hAnsi="Calibri" w:cs="Calibri"/>
          <w:sz w:val="24"/>
          <w:szCs w:val="24"/>
        </w:rPr>
        <w:t>negative test on the day of completing treatment up to 34 days after completing treatment</w:t>
      </w:r>
      <w:r w:rsidR="000506E7">
        <w:rPr>
          <w:rFonts w:ascii="Calibri" w:hAnsi="Calibri" w:cs="Calibri"/>
          <w:sz w:val="24"/>
          <w:szCs w:val="24"/>
        </w:rPr>
        <w:t>)</w:t>
      </w:r>
      <w:r w:rsidR="00CA4F52">
        <w:rPr>
          <w:rFonts w:ascii="Calibri" w:hAnsi="Calibri" w:cs="Calibri"/>
          <w:sz w:val="24"/>
          <w:szCs w:val="24"/>
        </w:rPr>
        <w:t>; these patients were classified as not achieving durable viral clearance.</w:t>
      </w:r>
      <w:r w:rsidR="000506E7">
        <w:rPr>
          <w:rFonts w:ascii="Calibri" w:hAnsi="Calibri" w:cs="Calibri"/>
          <w:sz w:val="24"/>
          <w:szCs w:val="24"/>
        </w:rPr>
        <w:t xml:space="preserve"> </w:t>
      </w:r>
      <w:r w:rsidR="00CA4F52">
        <w:rPr>
          <w:rFonts w:ascii="Calibri" w:hAnsi="Calibri" w:cs="Calibri"/>
          <w:sz w:val="24"/>
          <w:szCs w:val="24"/>
        </w:rPr>
        <w:t xml:space="preserve"> </w:t>
      </w:r>
      <w:r w:rsidR="000506E7">
        <w:rPr>
          <w:rFonts w:ascii="Calibri" w:hAnsi="Calibri" w:cs="Calibri"/>
          <w:sz w:val="24"/>
          <w:szCs w:val="24"/>
        </w:rPr>
        <w:t xml:space="preserve">Seven patients had a </w:t>
      </w:r>
      <w:r w:rsidR="000506E7" w:rsidRPr="000506E7">
        <w:rPr>
          <w:rFonts w:ascii="Calibri" w:hAnsi="Calibri" w:cs="Calibri"/>
          <w:sz w:val="24"/>
          <w:szCs w:val="24"/>
        </w:rPr>
        <w:t>negative</w:t>
      </w:r>
      <w:r w:rsidR="000506E7">
        <w:rPr>
          <w:rFonts w:ascii="Calibri" w:hAnsi="Calibri" w:cs="Calibri"/>
          <w:sz w:val="24"/>
          <w:szCs w:val="24"/>
        </w:rPr>
        <w:t xml:space="preserve"> test</w:t>
      </w:r>
      <w:r w:rsidR="000506E7" w:rsidRPr="000506E7">
        <w:rPr>
          <w:rFonts w:ascii="Calibri" w:hAnsi="Calibri" w:cs="Calibri"/>
          <w:sz w:val="24"/>
          <w:szCs w:val="24"/>
        </w:rPr>
        <w:t xml:space="preserve"> before completing treatment</w:t>
      </w:r>
      <w:r w:rsidR="000506E7">
        <w:rPr>
          <w:rFonts w:ascii="Calibri" w:hAnsi="Calibri" w:cs="Calibri"/>
          <w:sz w:val="24"/>
          <w:szCs w:val="24"/>
        </w:rPr>
        <w:t xml:space="preserve"> and were also classified as not achieving durable viral clearance.</w:t>
      </w:r>
      <w:r w:rsidR="00CA4F52">
        <w:rPr>
          <w:rFonts w:ascii="Calibri" w:hAnsi="Calibri" w:cs="Calibri"/>
          <w:sz w:val="24"/>
          <w:szCs w:val="24"/>
        </w:rPr>
        <w:t xml:space="preserve"> </w:t>
      </w:r>
      <w:r w:rsidRPr="00DB3CB7">
        <w:rPr>
          <w:rFonts w:ascii="Calibri" w:hAnsi="Calibri" w:cs="Calibri"/>
          <w:sz w:val="24"/>
          <w:szCs w:val="24"/>
        </w:rPr>
        <w:t>For those whose completion of treatment was unclear from the database query, a study member (</w:t>
      </w:r>
      <w:r w:rsidR="00896720">
        <w:rPr>
          <w:rFonts w:ascii="Calibri" w:hAnsi="Calibri" w:cs="Calibri"/>
          <w:sz w:val="24"/>
          <w:szCs w:val="24"/>
        </w:rPr>
        <w:t>J.V.</w:t>
      </w:r>
      <w:r w:rsidRPr="00DB3CB7">
        <w:rPr>
          <w:rFonts w:ascii="Calibri" w:hAnsi="Calibri" w:cs="Calibri"/>
          <w:sz w:val="24"/>
          <w:szCs w:val="24"/>
        </w:rPr>
        <w:t xml:space="preserve">) reviewed the patient’s medical record for confirmation of treatment completion and </w:t>
      </w:r>
      <w:r w:rsidR="0035545A">
        <w:rPr>
          <w:rFonts w:ascii="Calibri" w:hAnsi="Calibri" w:cs="Calibri"/>
          <w:sz w:val="24"/>
          <w:szCs w:val="24"/>
        </w:rPr>
        <w:t xml:space="preserve">durable </w:t>
      </w:r>
      <w:r w:rsidR="00896720">
        <w:rPr>
          <w:rFonts w:ascii="Calibri" w:hAnsi="Calibri" w:cs="Calibri"/>
          <w:sz w:val="24"/>
          <w:szCs w:val="24"/>
        </w:rPr>
        <w:t>viral clearance</w:t>
      </w:r>
      <w:r w:rsidRPr="00DB3CB7">
        <w:rPr>
          <w:rFonts w:ascii="Calibri" w:hAnsi="Calibri" w:cs="Calibri"/>
          <w:sz w:val="24"/>
          <w:szCs w:val="24"/>
        </w:rPr>
        <w:t>.</w:t>
      </w:r>
    </w:p>
    <w:p w14:paraId="38C473D2" w14:textId="77777777" w:rsidR="00722AF5" w:rsidRPr="00DB3CB7" w:rsidRDefault="00722AF5" w:rsidP="00722AF5">
      <w:pPr>
        <w:jc w:val="both"/>
        <w:rPr>
          <w:rFonts w:ascii="Calibri" w:hAnsi="Calibri" w:cs="Calibri"/>
          <w:sz w:val="24"/>
          <w:szCs w:val="24"/>
        </w:rPr>
      </w:pPr>
    </w:p>
    <w:p w14:paraId="639C00ED" w14:textId="2A59B20F" w:rsidR="00722AF5" w:rsidRPr="00DB3CB7" w:rsidRDefault="00722AF5" w:rsidP="00722AF5">
      <w:pPr>
        <w:jc w:val="both"/>
        <w:rPr>
          <w:rFonts w:ascii="Calibri" w:hAnsi="Calibri" w:cs="Calibri"/>
          <w:sz w:val="24"/>
          <w:szCs w:val="24"/>
        </w:rPr>
      </w:pPr>
      <w:r w:rsidRPr="00DB3CB7">
        <w:rPr>
          <w:rFonts w:ascii="Calibri" w:hAnsi="Calibri" w:cs="Calibri"/>
          <w:sz w:val="24"/>
          <w:szCs w:val="24"/>
        </w:rPr>
        <w:t>For the subg</w:t>
      </w:r>
      <w:r w:rsidR="00E85721">
        <w:rPr>
          <w:rFonts w:ascii="Calibri" w:hAnsi="Calibri" w:cs="Calibri"/>
          <w:sz w:val="24"/>
          <w:szCs w:val="24"/>
        </w:rPr>
        <w:t>r</w:t>
      </w:r>
      <w:r w:rsidRPr="00DB3CB7">
        <w:rPr>
          <w:rFonts w:ascii="Calibri" w:hAnsi="Calibri" w:cs="Calibri"/>
          <w:sz w:val="24"/>
          <w:szCs w:val="24"/>
        </w:rPr>
        <w:t>oup of people with OUD, the active patient definition was a patient with at least one primary care office or telehealth visit that had a diagnosis of OUD (ICD9:304.0X, 305.5X, 304.7X/10:F11.XX) or were receiving treatment for OUD at any time (buprenorphine and/or methadone).</w:t>
      </w:r>
    </w:p>
    <w:p w14:paraId="72DC626E" w14:textId="77777777" w:rsidR="00722AF5" w:rsidRPr="00DB3CB7" w:rsidRDefault="00722AF5" w:rsidP="00722AF5">
      <w:pPr>
        <w:jc w:val="both"/>
        <w:rPr>
          <w:rFonts w:ascii="Calibri" w:hAnsi="Calibri" w:cs="Calibri"/>
          <w:sz w:val="24"/>
          <w:szCs w:val="24"/>
        </w:rPr>
      </w:pPr>
    </w:p>
    <w:p w14:paraId="0BB90A1A" w14:textId="77777777" w:rsidR="00722AF5" w:rsidRPr="00DB3CB7" w:rsidRDefault="00722AF5" w:rsidP="00722AF5">
      <w:pPr>
        <w:jc w:val="both"/>
        <w:rPr>
          <w:rFonts w:ascii="Calibri" w:hAnsi="Calibri" w:cs="Calibri"/>
          <w:color w:val="000000" w:themeColor="text1"/>
          <w:sz w:val="24"/>
          <w:szCs w:val="24"/>
        </w:rPr>
      </w:pPr>
      <w:r w:rsidRPr="00DB3CB7">
        <w:rPr>
          <w:rFonts w:ascii="Calibri" w:hAnsi="Calibri" w:cs="Calibri"/>
          <w:color w:val="000000" w:themeColor="text1"/>
          <w:sz w:val="24"/>
          <w:szCs w:val="24"/>
        </w:rPr>
        <w:t xml:space="preserve">We also accounted for the possibility that patients may have undergone multiple testing and treatment episodes across different calendar years. Additionally, patients may have had multiple HCV antibody and HCV RNA tests. If patients had multiple Ab tests in a given calendar year and all results were negative, only the first one is retained in the dataset. If multiple Ab tests were performed and at least one Ab test was positive, we used the first positive to initiate the care cascade. </w:t>
      </w:r>
    </w:p>
    <w:p w14:paraId="54C54FC0" w14:textId="77777777" w:rsidR="00722AF5" w:rsidRPr="00DB3CB7" w:rsidRDefault="00722AF5" w:rsidP="00722AF5">
      <w:pPr>
        <w:jc w:val="both"/>
        <w:rPr>
          <w:rFonts w:ascii="Calibri" w:hAnsi="Calibri" w:cs="Calibri"/>
          <w:sz w:val="24"/>
          <w:szCs w:val="24"/>
        </w:rPr>
      </w:pPr>
    </w:p>
    <w:p w14:paraId="30915D74" w14:textId="77777777" w:rsidR="00722AF5" w:rsidRPr="00DB3CB7" w:rsidRDefault="00722AF5" w:rsidP="00722AF5">
      <w:pPr>
        <w:jc w:val="both"/>
        <w:rPr>
          <w:rFonts w:ascii="Calibri" w:hAnsi="Calibri" w:cs="Calibri"/>
          <w:b/>
          <w:bCs/>
          <w:sz w:val="24"/>
          <w:szCs w:val="24"/>
        </w:rPr>
      </w:pPr>
      <w:r w:rsidRPr="00DB3CB7">
        <w:rPr>
          <w:rFonts w:ascii="Calibri" w:hAnsi="Calibri" w:cs="Calibri"/>
          <w:b/>
          <w:bCs/>
          <w:sz w:val="24"/>
          <w:szCs w:val="24"/>
        </w:rPr>
        <w:t xml:space="preserve">Missing Data </w:t>
      </w:r>
    </w:p>
    <w:p w14:paraId="53BB09C6" w14:textId="77777777" w:rsidR="00722AF5" w:rsidRPr="00DB3CB7" w:rsidRDefault="00722AF5" w:rsidP="00722AF5">
      <w:pPr>
        <w:jc w:val="both"/>
        <w:rPr>
          <w:rFonts w:ascii="Calibri" w:hAnsi="Calibri" w:cs="Calibri"/>
          <w:sz w:val="24"/>
          <w:szCs w:val="24"/>
        </w:rPr>
      </w:pPr>
    </w:p>
    <w:p w14:paraId="52F9237D" w14:textId="214F6098" w:rsidR="00051CC7" w:rsidRDefault="00722AF5" w:rsidP="00722AF5">
      <w:pPr>
        <w:jc w:val="both"/>
        <w:rPr>
          <w:rFonts w:ascii="Calibri" w:hAnsi="Calibri" w:cs="Calibri"/>
          <w:sz w:val="24"/>
          <w:szCs w:val="24"/>
        </w:rPr>
      </w:pPr>
      <w:r w:rsidRPr="00DB3CB7">
        <w:rPr>
          <w:rFonts w:ascii="Calibri" w:hAnsi="Calibri" w:cs="Calibri"/>
          <w:sz w:val="24"/>
          <w:szCs w:val="24"/>
        </w:rPr>
        <w:t xml:space="preserve">There </w:t>
      </w:r>
      <w:r w:rsidR="00E85721">
        <w:rPr>
          <w:rFonts w:ascii="Calibri" w:hAnsi="Calibri" w:cs="Calibri"/>
          <w:sz w:val="24"/>
          <w:szCs w:val="24"/>
        </w:rPr>
        <w:t>we</w:t>
      </w:r>
      <w:r w:rsidR="00E85721" w:rsidRPr="00DB3CB7">
        <w:rPr>
          <w:rFonts w:ascii="Calibri" w:hAnsi="Calibri" w:cs="Calibri"/>
          <w:sz w:val="24"/>
          <w:szCs w:val="24"/>
        </w:rPr>
        <w:t xml:space="preserve">re </w:t>
      </w:r>
      <w:r w:rsidRPr="00DB3CB7">
        <w:rPr>
          <w:rFonts w:ascii="Calibri" w:hAnsi="Calibri" w:cs="Calibri"/>
          <w:sz w:val="24"/>
          <w:szCs w:val="24"/>
        </w:rPr>
        <w:t xml:space="preserve">6 patients where the </w:t>
      </w:r>
      <w:r w:rsidR="0035545A">
        <w:rPr>
          <w:rFonts w:ascii="Calibri" w:hAnsi="Calibri" w:cs="Calibri"/>
          <w:sz w:val="24"/>
          <w:szCs w:val="24"/>
        </w:rPr>
        <w:t xml:space="preserve">data </w:t>
      </w:r>
      <w:r w:rsidRPr="00DB3CB7">
        <w:rPr>
          <w:rFonts w:ascii="Calibri" w:hAnsi="Calibri" w:cs="Calibri"/>
          <w:sz w:val="24"/>
          <w:szCs w:val="24"/>
        </w:rPr>
        <w:t xml:space="preserve">abstractor was </w:t>
      </w:r>
      <w:r w:rsidR="00E85721">
        <w:rPr>
          <w:rFonts w:ascii="Calibri" w:hAnsi="Calibri" w:cs="Calibri"/>
          <w:sz w:val="24"/>
          <w:szCs w:val="24"/>
        </w:rPr>
        <w:t>unable to determine</w:t>
      </w:r>
      <w:r w:rsidR="00E85721" w:rsidRPr="00DB3CB7">
        <w:rPr>
          <w:rFonts w:ascii="Calibri" w:hAnsi="Calibri" w:cs="Calibri"/>
          <w:sz w:val="24"/>
          <w:szCs w:val="24"/>
        </w:rPr>
        <w:t xml:space="preserve"> </w:t>
      </w:r>
      <w:r w:rsidRPr="00DB3CB7">
        <w:rPr>
          <w:rFonts w:ascii="Calibri" w:hAnsi="Calibri" w:cs="Calibri"/>
          <w:sz w:val="24"/>
          <w:szCs w:val="24"/>
        </w:rPr>
        <w:t xml:space="preserve">if the patient started treatment, therefore it was unknown if the </w:t>
      </w:r>
      <w:r w:rsidR="00E85721">
        <w:rPr>
          <w:rFonts w:ascii="Calibri" w:hAnsi="Calibri" w:cs="Calibri"/>
          <w:sz w:val="24"/>
          <w:szCs w:val="24"/>
        </w:rPr>
        <w:t>patient</w:t>
      </w:r>
      <w:r w:rsidRPr="00DB3CB7">
        <w:rPr>
          <w:rFonts w:ascii="Calibri" w:hAnsi="Calibri" w:cs="Calibri"/>
          <w:sz w:val="24"/>
          <w:szCs w:val="24"/>
        </w:rPr>
        <w:t xml:space="preserve"> completed treatment or attained </w:t>
      </w:r>
      <w:r w:rsidR="0035545A">
        <w:rPr>
          <w:rFonts w:ascii="Calibri" w:hAnsi="Calibri" w:cs="Calibri"/>
          <w:sz w:val="24"/>
          <w:szCs w:val="24"/>
        </w:rPr>
        <w:t xml:space="preserve">durable </w:t>
      </w:r>
      <w:r w:rsidR="00896720">
        <w:rPr>
          <w:rFonts w:ascii="Calibri" w:hAnsi="Calibri" w:cs="Calibri"/>
          <w:sz w:val="24"/>
          <w:szCs w:val="24"/>
        </w:rPr>
        <w:t>viral clearance</w:t>
      </w:r>
      <w:r w:rsidRPr="00DB3CB7">
        <w:rPr>
          <w:rFonts w:ascii="Calibri" w:hAnsi="Calibri" w:cs="Calibri"/>
          <w:sz w:val="24"/>
          <w:szCs w:val="24"/>
        </w:rPr>
        <w:t xml:space="preserve">. One patient passed away around the time of completing treatment, bringing the number up to 7 where it was unknown if treatment was completed. Lastly, the </w:t>
      </w:r>
      <w:r w:rsidR="00896720">
        <w:rPr>
          <w:rFonts w:ascii="Calibri" w:hAnsi="Calibri" w:cs="Calibri"/>
          <w:sz w:val="24"/>
          <w:szCs w:val="24"/>
        </w:rPr>
        <w:t>viral clearance</w:t>
      </w:r>
      <w:r w:rsidR="00896720" w:rsidRPr="00DB3CB7">
        <w:rPr>
          <w:rFonts w:ascii="Calibri" w:hAnsi="Calibri" w:cs="Calibri"/>
          <w:sz w:val="24"/>
          <w:szCs w:val="24"/>
        </w:rPr>
        <w:t xml:space="preserve"> </w:t>
      </w:r>
      <w:r w:rsidRPr="00DB3CB7">
        <w:rPr>
          <w:rFonts w:ascii="Calibri" w:hAnsi="Calibri" w:cs="Calibri"/>
          <w:sz w:val="24"/>
          <w:szCs w:val="24"/>
        </w:rPr>
        <w:t xml:space="preserve">status for a patient who hadn’t completed treatment by the time of the chart abstraction was also left as missing. There were six additional patients for whom treatment </w:t>
      </w:r>
      <w:r w:rsidRPr="00DB3CB7">
        <w:rPr>
          <w:rFonts w:ascii="Calibri" w:hAnsi="Calibri" w:cs="Calibri"/>
          <w:sz w:val="24"/>
          <w:szCs w:val="24"/>
        </w:rPr>
        <w:lastRenderedPageBreak/>
        <w:t xml:space="preserve">completion was unknown, but </w:t>
      </w:r>
      <w:r w:rsidR="00896720">
        <w:rPr>
          <w:rFonts w:ascii="Calibri" w:hAnsi="Calibri" w:cs="Calibri"/>
          <w:sz w:val="24"/>
          <w:szCs w:val="24"/>
        </w:rPr>
        <w:t>viral clearance</w:t>
      </w:r>
      <w:r w:rsidRPr="00DB3CB7">
        <w:rPr>
          <w:rFonts w:ascii="Calibri" w:hAnsi="Calibri" w:cs="Calibri"/>
          <w:sz w:val="24"/>
          <w:szCs w:val="24"/>
        </w:rPr>
        <w:t xml:space="preserve"> was reached. These were included as having completed treatment and achieving </w:t>
      </w:r>
      <w:r w:rsidR="00896720">
        <w:rPr>
          <w:rFonts w:ascii="Calibri" w:hAnsi="Calibri" w:cs="Calibri"/>
          <w:sz w:val="24"/>
          <w:szCs w:val="24"/>
        </w:rPr>
        <w:t>viral clearance</w:t>
      </w:r>
      <w:r w:rsidRPr="00DB3CB7">
        <w:rPr>
          <w:rFonts w:ascii="Calibri" w:hAnsi="Calibri" w:cs="Calibri"/>
          <w:sz w:val="24"/>
          <w:szCs w:val="24"/>
        </w:rPr>
        <w:t xml:space="preserve">. </w:t>
      </w:r>
    </w:p>
    <w:p w14:paraId="7D39749E" w14:textId="77777777" w:rsidR="00051CC7" w:rsidRDefault="00051CC7">
      <w:pPr>
        <w:spacing w:line="240" w:lineRule="auto"/>
        <w:rPr>
          <w:rFonts w:ascii="Calibri" w:hAnsi="Calibri" w:cs="Calibri"/>
          <w:sz w:val="24"/>
          <w:szCs w:val="24"/>
        </w:rPr>
      </w:pPr>
      <w:r>
        <w:rPr>
          <w:rFonts w:ascii="Calibri" w:hAnsi="Calibri" w:cs="Calibri"/>
          <w:sz w:val="24"/>
          <w:szCs w:val="24"/>
        </w:rPr>
        <w:br w:type="page"/>
      </w:r>
    </w:p>
    <w:p w14:paraId="23E0A979" w14:textId="77777777" w:rsidR="00051CC7" w:rsidRPr="00051CC7" w:rsidRDefault="00051CC7" w:rsidP="00051CC7">
      <w:pPr>
        <w:rPr>
          <w:b/>
          <w:bCs/>
          <w:lang w:val="en-US"/>
        </w:rPr>
      </w:pPr>
      <w:r w:rsidRPr="00051CC7">
        <w:rPr>
          <w:b/>
          <w:bCs/>
          <w:lang w:val="en-US"/>
        </w:rPr>
        <w:lastRenderedPageBreak/>
        <w:t>References</w:t>
      </w:r>
    </w:p>
    <w:p w14:paraId="7CD240B9" w14:textId="77777777" w:rsidR="00051CC7" w:rsidRDefault="00051CC7" w:rsidP="00051CC7">
      <w:pPr>
        <w:rPr>
          <w:rFonts w:ascii="Calibri" w:hAnsi="Calibri" w:cs="Calibri"/>
          <w:lang w:val="en-US"/>
        </w:rPr>
      </w:pPr>
    </w:p>
    <w:p w14:paraId="4A351194" w14:textId="77777777" w:rsidR="0005174A" w:rsidRPr="0005174A" w:rsidRDefault="00051CC7" w:rsidP="0005174A">
      <w:pPr>
        <w:pStyle w:val="EndNoteBibliography"/>
        <w:ind w:left="720" w:hanging="720"/>
      </w:pPr>
      <w:r w:rsidRPr="003D7022">
        <w:rPr>
          <w:rFonts w:ascii="Calibri" w:hAnsi="Calibri" w:cs="Calibri"/>
        </w:rPr>
        <w:fldChar w:fldCharType="begin"/>
      </w:r>
      <w:r w:rsidRPr="003D7022">
        <w:rPr>
          <w:rFonts w:ascii="Calibri" w:hAnsi="Calibri" w:cs="Calibri"/>
        </w:rPr>
        <w:instrText xml:space="preserve"> ADDIN EN.REFLIST </w:instrText>
      </w:r>
      <w:r w:rsidRPr="003D7022">
        <w:rPr>
          <w:rFonts w:ascii="Calibri" w:hAnsi="Calibri" w:cs="Calibri"/>
        </w:rPr>
        <w:fldChar w:fldCharType="separate"/>
      </w:r>
      <w:r w:rsidR="0005174A" w:rsidRPr="0005174A">
        <w:t>1.</w:t>
      </w:r>
      <w:r w:rsidR="0005174A" w:rsidRPr="0005174A">
        <w:tab/>
        <w:t>Gane E, de Ledinghen V, Dylla DE, Rizzardini G, Shiffman ML, Barclay ST, et al. Positive predictive value of sustained virologic response 4 weeks posttreatment for achieving sustained virologic response 12 weeks posttreatment in patients receiving glecaprevir/pibrentasvir in Phase 2 and 3 clinical trials. J Viral Hepat.</w:t>
      </w:r>
      <w:r w:rsidR="0005174A" w:rsidRPr="0005174A">
        <w:rPr>
          <w:i/>
        </w:rPr>
        <w:t xml:space="preserve"> </w:t>
      </w:r>
      <w:r w:rsidR="0005174A" w:rsidRPr="0005174A">
        <w:t>2021;28(11):1635-1642.</w:t>
      </w:r>
    </w:p>
    <w:p w14:paraId="0A42CE3C" w14:textId="77777777" w:rsidR="0005174A" w:rsidRPr="0005174A" w:rsidRDefault="0005174A" w:rsidP="0005174A">
      <w:pPr>
        <w:pStyle w:val="EndNoteBibliography"/>
        <w:ind w:left="720" w:hanging="720"/>
      </w:pPr>
      <w:r w:rsidRPr="0005174A">
        <w:t>2.</w:t>
      </w:r>
      <w:r w:rsidRPr="0005174A">
        <w:tab/>
        <w:t>Yoshida EM, Sulkowski MS, Gane EJ, Herring RW, Jr., Ratziu V, Ding X, et al. Concordance of sustained virological response 4, 12, and 24 weeks post-treatment with sofosbuvir-containing regimens for hepatitis C virus. Hepatology.</w:t>
      </w:r>
      <w:r w:rsidRPr="0005174A">
        <w:rPr>
          <w:i/>
        </w:rPr>
        <w:t xml:space="preserve"> </w:t>
      </w:r>
      <w:r w:rsidRPr="0005174A">
        <w:t>2015;61(1):41-45.</w:t>
      </w:r>
    </w:p>
    <w:p w14:paraId="3AB49207" w14:textId="77777777" w:rsidR="0005174A" w:rsidRPr="0005174A" w:rsidRDefault="0005174A" w:rsidP="0005174A">
      <w:pPr>
        <w:pStyle w:val="EndNoteBibliography"/>
        <w:ind w:left="720" w:hanging="720"/>
      </w:pPr>
      <w:r w:rsidRPr="0005174A">
        <w:t>3.</w:t>
      </w:r>
      <w:r w:rsidRPr="0005174A">
        <w:tab/>
        <w:t>Scott G: Major Insurers to Cover Early Hepatitis C Treatment in New York. In</w:t>
      </w:r>
      <w:r w:rsidRPr="0005174A">
        <w:rPr>
          <w:i/>
        </w:rPr>
        <w:t>.</w:t>
      </w:r>
      <w:r w:rsidRPr="0005174A">
        <w:t xml:space="preserve"> Pharmacy Times; 2016.</w:t>
      </w:r>
    </w:p>
    <w:p w14:paraId="1A49EE80" w14:textId="3FEE7969" w:rsidR="00051CC7" w:rsidRDefault="00051CC7" w:rsidP="00051CC7">
      <w:pPr>
        <w:jc w:val="both"/>
        <w:rPr>
          <w:rFonts w:ascii="Calibri" w:hAnsi="Calibri" w:cs="Calibri"/>
          <w:sz w:val="24"/>
          <w:szCs w:val="24"/>
        </w:rPr>
        <w:sectPr w:rsidR="00051CC7">
          <w:footerReference w:type="even" r:id="rId7"/>
          <w:footerReference w:type="default" r:id="rId8"/>
          <w:pgSz w:w="11906" w:h="16838"/>
          <w:pgMar w:top="1440" w:right="1440" w:bottom="1440" w:left="1440" w:header="708" w:footer="708" w:gutter="0"/>
          <w:cols w:space="708"/>
          <w:docGrid w:linePitch="360"/>
        </w:sectPr>
      </w:pPr>
      <w:r w:rsidRPr="003D7022">
        <w:rPr>
          <w:rFonts w:ascii="Calibri" w:hAnsi="Calibri" w:cs="Calibri"/>
          <w:lang w:val="en-US"/>
        </w:rPr>
        <w:fldChar w:fldCharType="end"/>
      </w:r>
    </w:p>
    <w:p w14:paraId="79E3580D" w14:textId="53B9F6EE" w:rsidR="00722AF5" w:rsidRPr="00DB3CB7" w:rsidRDefault="00722AF5" w:rsidP="00722AF5">
      <w:pPr>
        <w:rPr>
          <w:rFonts w:ascii="Calibri" w:hAnsi="Calibri" w:cs="Calibri"/>
          <w:sz w:val="24"/>
          <w:szCs w:val="24"/>
        </w:rPr>
      </w:pPr>
      <w:r w:rsidRPr="00DB3CB7">
        <w:rPr>
          <w:rFonts w:ascii="Calibri" w:hAnsi="Calibri" w:cs="Calibri"/>
          <w:b/>
          <w:bCs/>
          <w:sz w:val="24"/>
          <w:szCs w:val="24"/>
        </w:rPr>
        <w:lastRenderedPageBreak/>
        <w:t xml:space="preserve">Supplementary Table </w:t>
      </w:r>
      <w:r w:rsidR="0035545A">
        <w:rPr>
          <w:rFonts w:ascii="Calibri" w:hAnsi="Calibri" w:cs="Calibri"/>
          <w:b/>
          <w:bCs/>
          <w:sz w:val="24"/>
          <w:szCs w:val="24"/>
        </w:rPr>
        <w:t>1</w:t>
      </w:r>
      <w:r w:rsidRPr="00DB3CB7">
        <w:rPr>
          <w:rFonts w:ascii="Calibri" w:hAnsi="Calibri" w:cs="Calibri"/>
          <w:b/>
          <w:bCs/>
          <w:sz w:val="24"/>
          <w:szCs w:val="24"/>
        </w:rPr>
        <w:t>.</w:t>
      </w:r>
      <w:r w:rsidRPr="00DB3CB7">
        <w:rPr>
          <w:rFonts w:ascii="Calibri" w:hAnsi="Calibri" w:cs="Calibri"/>
          <w:sz w:val="24"/>
          <w:szCs w:val="24"/>
        </w:rPr>
        <w:t xml:space="preserve"> Patient demographics at each step of the hepatitis C virus care cascade, Bassett Healthcare Network primary care patients 2013-2023. </w:t>
      </w:r>
    </w:p>
    <w:tbl>
      <w:tblPr>
        <w:tblW w:w="5000" w:type="pct"/>
        <w:tblLook w:val="04A0" w:firstRow="1" w:lastRow="0" w:firstColumn="1" w:lastColumn="0" w:noHBand="0" w:noVBand="1"/>
      </w:tblPr>
      <w:tblGrid>
        <w:gridCol w:w="2357"/>
        <w:gridCol w:w="1649"/>
        <w:gridCol w:w="1610"/>
        <w:gridCol w:w="1571"/>
        <w:gridCol w:w="1208"/>
        <w:gridCol w:w="1333"/>
        <w:gridCol w:w="1333"/>
        <w:gridCol w:w="1445"/>
        <w:gridCol w:w="1442"/>
      </w:tblGrid>
      <w:tr w:rsidR="003E126A" w:rsidRPr="003E126A" w14:paraId="3E93C043" w14:textId="77777777" w:rsidTr="00E71FA0">
        <w:trPr>
          <w:trHeight w:val="610"/>
        </w:trPr>
        <w:tc>
          <w:tcPr>
            <w:tcW w:w="845" w:type="pct"/>
            <w:tcBorders>
              <w:top w:val="single" w:sz="4" w:space="0" w:color="auto"/>
              <w:left w:val="single" w:sz="4" w:space="0" w:color="auto"/>
              <w:bottom w:val="single" w:sz="4" w:space="0" w:color="auto"/>
              <w:right w:val="single" w:sz="4" w:space="0" w:color="auto"/>
            </w:tcBorders>
            <w:noWrap/>
            <w:vAlign w:val="bottom"/>
            <w:hideMark/>
          </w:tcPr>
          <w:p w14:paraId="21B5DB92" w14:textId="77777777" w:rsidR="00722AF5" w:rsidRPr="003E126A" w:rsidRDefault="00722AF5" w:rsidP="00C2055E">
            <w:pPr>
              <w:spacing w:line="240" w:lineRule="auto"/>
              <w:jc w:val="center"/>
              <w:rPr>
                <w:rFonts w:ascii="Calibri" w:eastAsia="Times New Roman" w:hAnsi="Calibri" w:cs="Calibri"/>
                <w:color w:val="000000"/>
                <w:sz w:val="18"/>
                <w:szCs w:val="18"/>
              </w:rPr>
            </w:pPr>
          </w:p>
        </w:tc>
        <w:tc>
          <w:tcPr>
            <w:tcW w:w="591" w:type="pct"/>
            <w:tcBorders>
              <w:top w:val="single" w:sz="4" w:space="0" w:color="auto"/>
              <w:left w:val="nil"/>
              <w:bottom w:val="single" w:sz="4" w:space="0" w:color="auto"/>
              <w:right w:val="single" w:sz="4" w:space="0" w:color="auto"/>
            </w:tcBorders>
            <w:noWrap/>
            <w:vAlign w:val="bottom"/>
            <w:hideMark/>
          </w:tcPr>
          <w:p w14:paraId="58B52935" w14:textId="464D0452"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Population (</w:t>
            </w:r>
            <w:proofErr w:type="spellStart"/>
            <w:r w:rsidRPr="003E126A">
              <w:rPr>
                <w:rFonts w:ascii="Calibri" w:eastAsia="Times New Roman" w:hAnsi="Calibri" w:cs="Calibri"/>
                <w:color w:val="000000"/>
                <w:sz w:val="18"/>
                <w:szCs w:val="18"/>
              </w:rPr>
              <w:t>n</w:t>
            </w:r>
            <w:r w:rsidR="00135E12" w:rsidRPr="00135E12">
              <w:rPr>
                <w:rFonts w:ascii="Calibri" w:eastAsia="Times New Roman" w:hAnsi="Calibri" w:cs="Calibri"/>
                <w:color w:val="000000"/>
                <w:sz w:val="18"/>
                <w:szCs w:val="18"/>
                <w:vertAlign w:val="superscript"/>
              </w:rPr>
              <w:t>a</w:t>
            </w:r>
            <w:proofErr w:type="spellEnd"/>
            <w:r w:rsidRPr="003E126A">
              <w:rPr>
                <w:rFonts w:ascii="Calibri" w:eastAsia="Times New Roman" w:hAnsi="Calibri" w:cs="Calibri"/>
                <w:color w:val="000000"/>
                <w:sz w:val="18"/>
                <w:szCs w:val="18"/>
              </w:rPr>
              <w:t>)</w:t>
            </w:r>
          </w:p>
          <w:p w14:paraId="38FAC6CC" w14:textId="77777777" w:rsidR="00722AF5" w:rsidRPr="003E126A" w:rsidRDefault="00722AF5" w:rsidP="00C2055E">
            <w:pPr>
              <w:spacing w:line="240" w:lineRule="auto"/>
              <w:rPr>
                <w:rFonts w:ascii="Calibri" w:eastAsia="Times New Roman" w:hAnsi="Calibri" w:cs="Calibri"/>
                <w:color w:val="000000"/>
                <w:sz w:val="18"/>
                <w:szCs w:val="18"/>
              </w:rPr>
            </w:pPr>
          </w:p>
        </w:tc>
        <w:tc>
          <w:tcPr>
            <w:tcW w:w="577" w:type="pct"/>
            <w:tcBorders>
              <w:top w:val="single" w:sz="4" w:space="0" w:color="auto"/>
              <w:left w:val="nil"/>
              <w:bottom w:val="single" w:sz="4" w:space="0" w:color="auto"/>
              <w:right w:val="single" w:sz="4" w:space="0" w:color="auto"/>
            </w:tcBorders>
            <w:vAlign w:val="center"/>
            <w:hideMark/>
          </w:tcPr>
          <w:p w14:paraId="07A95335" w14:textId="76E71968" w:rsidR="00722AF5" w:rsidRPr="003E126A" w:rsidRDefault="001B41CD" w:rsidP="00C2055E">
            <w:pPr>
              <w:spacing w:line="240" w:lineRule="auto"/>
              <w:jc w:val="center"/>
              <w:rPr>
                <w:rFonts w:ascii="Calibri" w:eastAsia="Times New Roman" w:hAnsi="Calibri" w:cs="Calibri"/>
                <w:color w:val="000000"/>
                <w:sz w:val="18"/>
                <w:szCs w:val="18"/>
              </w:rPr>
            </w:pPr>
            <w:r>
              <w:rPr>
                <w:rFonts w:ascii="Calibri" w:hAnsi="Calibri" w:cs="Calibri"/>
                <w:color w:val="000000"/>
                <w:sz w:val="18"/>
                <w:szCs w:val="18"/>
              </w:rPr>
              <w:t>HCV Antibody</w:t>
            </w:r>
            <w:r w:rsidR="00722AF5" w:rsidRPr="003E126A">
              <w:rPr>
                <w:rFonts w:ascii="Calibri" w:hAnsi="Calibri" w:cs="Calibri"/>
                <w:color w:val="000000"/>
                <w:sz w:val="18"/>
                <w:szCs w:val="18"/>
              </w:rPr>
              <w:t xml:space="preserve"> Testing</w:t>
            </w:r>
          </w:p>
        </w:tc>
        <w:tc>
          <w:tcPr>
            <w:tcW w:w="563" w:type="pct"/>
            <w:tcBorders>
              <w:top w:val="single" w:sz="4" w:space="0" w:color="auto"/>
              <w:left w:val="nil"/>
              <w:bottom w:val="single" w:sz="4" w:space="0" w:color="auto"/>
              <w:right w:val="single" w:sz="4" w:space="0" w:color="auto"/>
            </w:tcBorders>
            <w:vAlign w:val="center"/>
            <w:hideMark/>
          </w:tcPr>
          <w:p w14:paraId="21F5431D" w14:textId="77777777" w:rsidR="00C120A9" w:rsidRDefault="00722AF5" w:rsidP="00C2055E">
            <w:pPr>
              <w:spacing w:line="240" w:lineRule="auto"/>
              <w:jc w:val="center"/>
              <w:rPr>
                <w:rFonts w:ascii="Calibri" w:hAnsi="Calibri" w:cs="Calibri"/>
                <w:color w:val="000000"/>
                <w:sz w:val="18"/>
                <w:szCs w:val="18"/>
              </w:rPr>
            </w:pPr>
            <w:r w:rsidRPr="003E126A">
              <w:rPr>
                <w:rFonts w:ascii="Calibri" w:hAnsi="Calibri" w:cs="Calibri"/>
                <w:color w:val="000000"/>
                <w:sz w:val="18"/>
                <w:szCs w:val="18"/>
              </w:rPr>
              <w:t xml:space="preserve">HCV </w:t>
            </w:r>
          </w:p>
          <w:p w14:paraId="05E9DC98" w14:textId="080D6998" w:rsidR="00722AF5" w:rsidRPr="003E126A" w:rsidRDefault="00C120A9" w:rsidP="00C2055E">
            <w:pPr>
              <w:spacing w:line="240" w:lineRule="auto"/>
              <w:jc w:val="center"/>
              <w:rPr>
                <w:rFonts w:ascii="Calibri" w:eastAsia="Times New Roman" w:hAnsi="Calibri" w:cs="Calibri"/>
                <w:color w:val="000000"/>
                <w:sz w:val="18"/>
                <w:szCs w:val="18"/>
              </w:rPr>
            </w:pPr>
            <w:r>
              <w:rPr>
                <w:rFonts w:ascii="Calibri" w:hAnsi="Calibri" w:cs="Calibri"/>
                <w:color w:val="000000"/>
                <w:sz w:val="18"/>
                <w:szCs w:val="18"/>
              </w:rPr>
              <w:t>Serop</w:t>
            </w:r>
            <w:r w:rsidR="00722AF5" w:rsidRPr="003E126A">
              <w:rPr>
                <w:rFonts w:ascii="Calibri" w:hAnsi="Calibri" w:cs="Calibri"/>
                <w:color w:val="000000"/>
                <w:sz w:val="18"/>
                <w:szCs w:val="18"/>
              </w:rPr>
              <w:t>ositive</w:t>
            </w:r>
          </w:p>
        </w:tc>
        <w:tc>
          <w:tcPr>
            <w:tcW w:w="433" w:type="pct"/>
            <w:tcBorders>
              <w:top w:val="single" w:sz="4" w:space="0" w:color="auto"/>
              <w:left w:val="nil"/>
              <w:bottom w:val="single" w:sz="4" w:space="0" w:color="auto"/>
              <w:right w:val="single" w:sz="4" w:space="0" w:color="auto"/>
            </w:tcBorders>
            <w:vAlign w:val="center"/>
            <w:hideMark/>
          </w:tcPr>
          <w:p w14:paraId="77C05981" w14:textId="77777777" w:rsidR="00722AF5" w:rsidRPr="003E126A" w:rsidRDefault="00722AF5" w:rsidP="00C2055E">
            <w:pPr>
              <w:spacing w:line="240" w:lineRule="auto"/>
              <w:jc w:val="center"/>
              <w:rPr>
                <w:rFonts w:ascii="Calibri" w:eastAsia="Times New Roman" w:hAnsi="Calibri" w:cs="Calibri"/>
                <w:color w:val="000000"/>
                <w:sz w:val="18"/>
                <w:szCs w:val="18"/>
              </w:rPr>
            </w:pPr>
            <w:r w:rsidRPr="003E126A">
              <w:rPr>
                <w:rFonts w:ascii="Calibri" w:hAnsi="Calibri" w:cs="Calibri"/>
                <w:color w:val="000000"/>
                <w:sz w:val="18"/>
                <w:szCs w:val="18"/>
              </w:rPr>
              <w:t>HCV RNA Testing</w:t>
            </w:r>
          </w:p>
        </w:tc>
        <w:tc>
          <w:tcPr>
            <w:tcW w:w="478" w:type="pct"/>
            <w:tcBorders>
              <w:top w:val="single" w:sz="4" w:space="0" w:color="auto"/>
              <w:left w:val="nil"/>
              <w:bottom w:val="single" w:sz="4" w:space="0" w:color="auto"/>
              <w:right w:val="single" w:sz="4" w:space="0" w:color="auto"/>
            </w:tcBorders>
            <w:noWrap/>
            <w:vAlign w:val="center"/>
            <w:hideMark/>
          </w:tcPr>
          <w:p w14:paraId="136E483A" w14:textId="77777777" w:rsidR="003E126A" w:rsidRPr="003E126A" w:rsidRDefault="00722AF5" w:rsidP="00C2055E">
            <w:pPr>
              <w:spacing w:line="240" w:lineRule="auto"/>
              <w:jc w:val="center"/>
              <w:rPr>
                <w:rFonts w:ascii="Calibri" w:hAnsi="Calibri" w:cs="Calibri"/>
                <w:color w:val="000000"/>
                <w:sz w:val="18"/>
                <w:szCs w:val="18"/>
              </w:rPr>
            </w:pPr>
            <w:r w:rsidRPr="003E126A">
              <w:rPr>
                <w:rFonts w:ascii="Calibri" w:hAnsi="Calibri" w:cs="Calibri"/>
                <w:color w:val="000000"/>
                <w:sz w:val="18"/>
                <w:szCs w:val="18"/>
              </w:rPr>
              <w:t xml:space="preserve">HCV RNA </w:t>
            </w:r>
          </w:p>
          <w:p w14:paraId="2936A319" w14:textId="176B88DD" w:rsidR="00722AF5" w:rsidRPr="003E126A" w:rsidRDefault="00722AF5" w:rsidP="00C2055E">
            <w:pPr>
              <w:spacing w:line="240" w:lineRule="auto"/>
              <w:jc w:val="center"/>
              <w:rPr>
                <w:rFonts w:ascii="Calibri" w:eastAsia="Times New Roman" w:hAnsi="Calibri" w:cs="Calibri"/>
                <w:color w:val="000000"/>
                <w:sz w:val="18"/>
                <w:szCs w:val="18"/>
              </w:rPr>
            </w:pPr>
            <w:r w:rsidRPr="003E126A">
              <w:rPr>
                <w:rFonts w:ascii="Calibri" w:hAnsi="Calibri" w:cs="Calibri"/>
                <w:color w:val="000000"/>
                <w:sz w:val="18"/>
                <w:szCs w:val="18"/>
              </w:rPr>
              <w:t>Positive</w:t>
            </w:r>
          </w:p>
        </w:tc>
        <w:tc>
          <w:tcPr>
            <w:tcW w:w="478" w:type="pct"/>
            <w:tcBorders>
              <w:top w:val="single" w:sz="4" w:space="0" w:color="auto"/>
              <w:left w:val="nil"/>
              <w:bottom w:val="single" w:sz="4" w:space="0" w:color="auto"/>
              <w:right w:val="single" w:sz="4" w:space="0" w:color="auto"/>
            </w:tcBorders>
            <w:vAlign w:val="center"/>
            <w:hideMark/>
          </w:tcPr>
          <w:p w14:paraId="301BCBE0" w14:textId="77777777" w:rsidR="00722AF5" w:rsidRPr="003E126A" w:rsidRDefault="00722AF5" w:rsidP="00C2055E">
            <w:pPr>
              <w:spacing w:line="240" w:lineRule="auto"/>
              <w:jc w:val="center"/>
              <w:rPr>
                <w:rFonts w:ascii="Calibri" w:eastAsia="Times New Roman" w:hAnsi="Calibri" w:cs="Calibri"/>
                <w:color w:val="000000"/>
                <w:sz w:val="18"/>
                <w:szCs w:val="18"/>
              </w:rPr>
            </w:pPr>
            <w:r w:rsidRPr="003E126A">
              <w:rPr>
                <w:rFonts w:ascii="Calibri" w:hAnsi="Calibri" w:cs="Calibri"/>
                <w:color w:val="000000"/>
                <w:sz w:val="18"/>
                <w:szCs w:val="18"/>
              </w:rPr>
              <w:t>DAA treatment initiated</w:t>
            </w:r>
          </w:p>
        </w:tc>
        <w:tc>
          <w:tcPr>
            <w:tcW w:w="518" w:type="pct"/>
            <w:tcBorders>
              <w:top w:val="single" w:sz="4" w:space="0" w:color="auto"/>
              <w:left w:val="nil"/>
              <w:bottom w:val="single" w:sz="4" w:space="0" w:color="auto"/>
              <w:right w:val="single" w:sz="4" w:space="0" w:color="auto"/>
            </w:tcBorders>
            <w:vAlign w:val="center"/>
            <w:hideMark/>
          </w:tcPr>
          <w:p w14:paraId="35692964" w14:textId="77777777" w:rsidR="00722AF5" w:rsidRPr="003E126A" w:rsidRDefault="00722AF5" w:rsidP="00C2055E">
            <w:pPr>
              <w:spacing w:line="240" w:lineRule="auto"/>
              <w:jc w:val="center"/>
              <w:rPr>
                <w:rFonts w:ascii="Calibri" w:eastAsia="Times New Roman" w:hAnsi="Calibri" w:cs="Calibri"/>
                <w:color w:val="000000"/>
                <w:sz w:val="18"/>
                <w:szCs w:val="18"/>
              </w:rPr>
            </w:pPr>
            <w:r w:rsidRPr="003E126A">
              <w:rPr>
                <w:rFonts w:ascii="Calibri" w:hAnsi="Calibri" w:cs="Calibri"/>
                <w:color w:val="000000"/>
                <w:sz w:val="18"/>
                <w:szCs w:val="18"/>
              </w:rPr>
              <w:t>DAA treatment completed</w:t>
            </w:r>
          </w:p>
        </w:tc>
        <w:tc>
          <w:tcPr>
            <w:tcW w:w="517" w:type="pct"/>
            <w:tcBorders>
              <w:top w:val="single" w:sz="4" w:space="0" w:color="auto"/>
              <w:left w:val="nil"/>
              <w:bottom w:val="single" w:sz="4" w:space="0" w:color="auto"/>
              <w:right w:val="single" w:sz="4" w:space="0" w:color="auto"/>
            </w:tcBorders>
            <w:vAlign w:val="center"/>
            <w:hideMark/>
          </w:tcPr>
          <w:p w14:paraId="1E65B314" w14:textId="01366F02" w:rsidR="00722AF5" w:rsidRPr="003E126A" w:rsidRDefault="00896720" w:rsidP="00C2055E">
            <w:pPr>
              <w:spacing w:line="240" w:lineRule="auto"/>
              <w:jc w:val="center"/>
              <w:rPr>
                <w:rFonts w:ascii="Calibri" w:eastAsia="Times New Roman" w:hAnsi="Calibri" w:cs="Calibri"/>
                <w:color w:val="000000"/>
                <w:sz w:val="18"/>
                <w:szCs w:val="18"/>
              </w:rPr>
            </w:pPr>
            <w:r>
              <w:rPr>
                <w:rFonts w:ascii="Calibri" w:hAnsi="Calibri" w:cs="Calibri"/>
                <w:color w:val="000000"/>
                <w:sz w:val="18"/>
                <w:szCs w:val="18"/>
              </w:rPr>
              <w:t>Viral Clearance</w:t>
            </w:r>
          </w:p>
        </w:tc>
      </w:tr>
      <w:tr w:rsidR="003E126A" w:rsidRPr="003E126A" w14:paraId="2DCD134D" w14:textId="77777777" w:rsidTr="00E71FA0">
        <w:trPr>
          <w:trHeight w:val="320"/>
        </w:trPr>
        <w:tc>
          <w:tcPr>
            <w:tcW w:w="845" w:type="pct"/>
            <w:tcBorders>
              <w:top w:val="single" w:sz="4" w:space="0" w:color="auto"/>
              <w:left w:val="single" w:sz="4" w:space="0" w:color="auto"/>
              <w:bottom w:val="single" w:sz="4" w:space="0" w:color="auto"/>
              <w:right w:val="single" w:sz="4" w:space="0" w:color="auto"/>
            </w:tcBorders>
            <w:noWrap/>
            <w:vAlign w:val="bottom"/>
            <w:hideMark/>
          </w:tcPr>
          <w:p w14:paraId="45439472"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Total population</w:t>
            </w:r>
          </w:p>
        </w:tc>
        <w:tc>
          <w:tcPr>
            <w:tcW w:w="591" w:type="pct"/>
            <w:tcBorders>
              <w:top w:val="single" w:sz="4" w:space="0" w:color="auto"/>
              <w:left w:val="nil"/>
              <w:bottom w:val="single" w:sz="4" w:space="0" w:color="auto"/>
              <w:right w:val="single" w:sz="4" w:space="0" w:color="auto"/>
            </w:tcBorders>
            <w:noWrap/>
            <w:vAlign w:val="bottom"/>
            <w:hideMark/>
          </w:tcPr>
          <w:p w14:paraId="4CA2A58A"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162,016</w:t>
            </w:r>
          </w:p>
        </w:tc>
        <w:tc>
          <w:tcPr>
            <w:tcW w:w="577" w:type="pct"/>
            <w:tcBorders>
              <w:top w:val="single" w:sz="4" w:space="0" w:color="auto"/>
              <w:left w:val="nil"/>
              <w:bottom w:val="single" w:sz="4" w:space="0" w:color="auto"/>
              <w:right w:val="single" w:sz="4" w:space="0" w:color="auto"/>
            </w:tcBorders>
            <w:noWrap/>
            <w:vAlign w:val="bottom"/>
            <w:hideMark/>
          </w:tcPr>
          <w:p w14:paraId="16B58DF4" w14:textId="7DF040A2"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6,997 (4.32%)</w:t>
            </w:r>
          </w:p>
        </w:tc>
        <w:tc>
          <w:tcPr>
            <w:tcW w:w="563" w:type="pct"/>
            <w:tcBorders>
              <w:top w:val="single" w:sz="4" w:space="0" w:color="auto"/>
              <w:left w:val="nil"/>
              <w:bottom w:val="single" w:sz="4" w:space="0" w:color="auto"/>
              <w:right w:val="single" w:sz="4" w:space="0" w:color="auto"/>
            </w:tcBorders>
            <w:noWrap/>
            <w:vAlign w:val="bottom"/>
            <w:hideMark/>
          </w:tcPr>
          <w:p w14:paraId="4E1395EB"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195 (2.79%)</w:t>
            </w:r>
          </w:p>
        </w:tc>
        <w:tc>
          <w:tcPr>
            <w:tcW w:w="433" w:type="pct"/>
            <w:tcBorders>
              <w:top w:val="single" w:sz="4" w:space="0" w:color="auto"/>
              <w:left w:val="nil"/>
              <w:bottom w:val="single" w:sz="4" w:space="0" w:color="auto"/>
              <w:right w:val="single" w:sz="4" w:space="0" w:color="auto"/>
            </w:tcBorders>
            <w:noWrap/>
            <w:vAlign w:val="bottom"/>
            <w:hideMark/>
          </w:tcPr>
          <w:p w14:paraId="606B2EC3"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176 (90.26%)</w:t>
            </w:r>
          </w:p>
        </w:tc>
        <w:tc>
          <w:tcPr>
            <w:tcW w:w="478" w:type="pct"/>
            <w:tcBorders>
              <w:top w:val="single" w:sz="4" w:space="0" w:color="auto"/>
              <w:left w:val="nil"/>
              <w:bottom w:val="single" w:sz="4" w:space="0" w:color="auto"/>
              <w:right w:val="single" w:sz="4" w:space="0" w:color="auto"/>
            </w:tcBorders>
            <w:noWrap/>
            <w:vAlign w:val="bottom"/>
            <w:hideMark/>
          </w:tcPr>
          <w:p w14:paraId="0AEDD93E"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79 (44.89%)</w:t>
            </w:r>
          </w:p>
        </w:tc>
        <w:tc>
          <w:tcPr>
            <w:tcW w:w="478" w:type="pct"/>
            <w:tcBorders>
              <w:top w:val="single" w:sz="4" w:space="0" w:color="auto"/>
              <w:left w:val="nil"/>
              <w:bottom w:val="single" w:sz="4" w:space="0" w:color="auto"/>
              <w:right w:val="single" w:sz="4" w:space="0" w:color="auto"/>
            </w:tcBorders>
            <w:noWrap/>
            <w:vAlign w:val="bottom"/>
            <w:hideMark/>
          </w:tcPr>
          <w:p w14:paraId="61B3D04D"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26 (34.21%)</w:t>
            </w:r>
          </w:p>
        </w:tc>
        <w:tc>
          <w:tcPr>
            <w:tcW w:w="518" w:type="pct"/>
            <w:tcBorders>
              <w:top w:val="single" w:sz="4" w:space="0" w:color="auto"/>
              <w:left w:val="nil"/>
              <w:bottom w:val="single" w:sz="4" w:space="0" w:color="auto"/>
              <w:right w:val="single" w:sz="4" w:space="0" w:color="auto"/>
            </w:tcBorders>
            <w:noWrap/>
            <w:vAlign w:val="bottom"/>
            <w:hideMark/>
          </w:tcPr>
          <w:p w14:paraId="4A4AFD54"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25 (100.00%)</w:t>
            </w:r>
          </w:p>
        </w:tc>
        <w:tc>
          <w:tcPr>
            <w:tcW w:w="517" w:type="pct"/>
            <w:tcBorders>
              <w:top w:val="single" w:sz="4" w:space="0" w:color="auto"/>
              <w:left w:val="nil"/>
              <w:bottom w:val="single" w:sz="4" w:space="0" w:color="auto"/>
              <w:right w:val="single" w:sz="4" w:space="0" w:color="auto"/>
            </w:tcBorders>
            <w:noWrap/>
            <w:vAlign w:val="bottom"/>
            <w:hideMark/>
          </w:tcPr>
          <w:p w14:paraId="39E553D0"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21 (84.00%)</w:t>
            </w:r>
          </w:p>
        </w:tc>
      </w:tr>
      <w:tr w:rsidR="003E126A" w:rsidRPr="003E126A" w14:paraId="072D36EB" w14:textId="77777777" w:rsidTr="00E71FA0">
        <w:trPr>
          <w:trHeight w:val="320"/>
        </w:trPr>
        <w:tc>
          <w:tcPr>
            <w:tcW w:w="845" w:type="pct"/>
            <w:tcBorders>
              <w:top w:val="single" w:sz="4" w:space="0" w:color="auto"/>
              <w:left w:val="single" w:sz="4" w:space="0" w:color="auto"/>
              <w:bottom w:val="single" w:sz="4" w:space="0" w:color="auto"/>
              <w:right w:val="single" w:sz="4" w:space="0" w:color="auto"/>
            </w:tcBorders>
            <w:noWrap/>
            <w:vAlign w:val="bottom"/>
          </w:tcPr>
          <w:p w14:paraId="2F6A486A"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 xml:space="preserve">     People with OUD</w:t>
            </w:r>
          </w:p>
        </w:tc>
        <w:tc>
          <w:tcPr>
            <w:tcW w:w="591" w:type="pct"/>
            <w:tcBorders>
              <w:top w:val="single" w:sz="4" w:space="0" w:color="auto"/>
              <w:left w:val="single" w:sz="4" w:space="0" w:color="auto"/>
              <w:bottom w:val="single" w:sz="4" w:space="0" w:color="auto"/>
              <w:right w:val="single" w:sz="4" w:space="0" w:color="auto"/>
            </w:tcBorders>
            <w:noWrap/>
            <w:vAlign w:val="bottom"/>
          </w:tcPr>
          <w:p w14:paraId="1B68E360"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hAnsi="Calibri" w:cs="Calibri"/>
                <w:color w:val="000000"/>
                <w:sz w:val="18"/>
                <w:szCs w:val="18"/>
              </w:rPr>
              <w:t>6,144</w:t>
            </w:r>
          </w:p>
        </w:tc>
        <w:tc>
          <w:tcPr>
            <w:tcW w:w="577" w:type="pct"/>
            <w:tcBorders>
              <w:top w:val="single" w:sz="4" w:space="0" w:color="auto"/>
              <w:left w:val="single" w:sz="4" w:space="0" w:color="auto"/>
              <w:bottom w:val="single" w:sz="4" w:space="0" w:color="auto"/>
              <w:right w:val="single" w:sz="4" w:space="0" w:color="auto"/>
            </w:tcBorders>
            <w:noWrap/>
            <w:vAlign w:val="bottom"/>
          </w:tcPr>
          <w:p w14:paraId="21E79DB0"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hAnsi="Calibri" w:cs="Calibri"/>
                <w:color w:val="000000"/>
                <w:sz w:val="18"/>
                <w:szCs w:val="18"/>
              </w:rPr>
              <w:t>450 (7.32%)</w:t>
            </w:r>
          </w:p>
        </w:tc>
        <w:tc>
          <w:tcPr>
            <w:tcW w:w="563" w:type="pct"/>
            <w:tcBorders>
              <w:top w:val="single" w:sz="4" w:space="0" w:color="auto"/>
              <w:left w:val="single" w:sz="4" w:space="0" w:color="auto"/>
              <w:bottom w:val="single" w:sz="4" w:space="0" w:color="auto"/>
              <w:right w:val="single" w:sz="4" w:space="0" w:color="auto"/>
            </w:tcBorders>
            <w:noWrap/>
            <w:vAlign w:val="bottom"/>
          </w:tcPr>
          <w:p w14:paraId="4D992B2C"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hAnsi="Calibri" w:cs="Calibri"/>
                <w:color w:val="000000"/>
                <w:sz w:val="18"/>
                <w:szCs w:val="18"/>
              </w:rPr>
              <w:t>94 (20.89%)</w:t>
            </w:r>
          </w:p>
        </w:tc>
        <w:tc>
          <w:tcPr>
            <w:tcW w:w="433" w:type="pct"/>
            <w:tcBorders>
              <w:top w:val="single" w:sz="4" w:space="0" w:color="auto"/>
              <w:left w:val="single" w:sz="4" w:space="0" w:color="auto"/>
              <w:bottom w:val="single" w:sz="4" w:space="0" w:color="auto"/>
              <w:right w:val="single" w:sz="4" w:space="0" w:color="auto"/>
            </w:tcBorders>
            <w:noWrap/>
            <w:vAlign w:val="bottom"/>
          </w:tcPr>
          <w:p w14:paraId="081A26B5"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hAnsi="Calibri" w:cs="Calibri"/>
                <w:color w:val="000000"/>
                <w:sz w:val="18"/>
                <w:szCs w:val="18"/>
              </w:rPr>
              <w:t>84 (89.36%)</w:t>
            </w:r>
          </w:p>
        </w:tc>
        <w:tc>
          <w:tcPr>
            <w:tcW w:w="478" w:type="pct"/>
            <w:tcBorders>
              <w:top w:val="single" w:sz="4" w:space="0" w:color="auto"/>
              <w:left w:val="single" w:sz="4" w:space="0" w:color="auto"/>
              <w:bottom w:val="single" w:sz="4" w:space="0" w:color="auto"/>
              <w:right w:val="single" w:sz="4" w:space="0" w:color="auto"/>
            </w:tcBorders>
            <w:noWrap/>
            <w:vAlign w:val="bottom"/>
          </w:tcPr>
          <w:p w14:paraId="6E4B9A8F"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hAnsi="Calibri" w:cs="Calibri"/>
                <w:color w:val="000000"/>
                <w:sz w:val="18"/>
                <w:szCs w:val="18"/>
              </w:rPr>
              <w:t>49 (58.33%)</w:t>
            </w:r>
          </w:p>
        </w:tc>
        <w:tc>
          <w:tcPr>
            <w:tcW w:w="478" w:type="pct"/>
            <w:tcBorders>
              <w:top w:val="single" w:sz="4" w:space="0" w:color="auto"/>
              <w:left w:val="single" w:sz="4" w:space="0" w:color="auto"/>
              <w:bottom w:val="single" w:sz="4" w:space="0" w:color="auto"/>
              <w:right w:val="single" w:sz="4" w:space="0" w:color="auto"/>
            </w:tcBorders>
            <w:noWrap/>
            <w:vAlign w:val="bottom"/>
          </w:tcPr>
          <w:p w14:paraId="6575519D"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hAnsi="Calibri" w:cs="Calibri"/>
                <w:color w:val="000000"/>
                <w:sz w:val="18"/>
                <w:szCs w:val="18"/>
              </w:rPr>
              <w:t>13 (27.66%)</w:t>
            </w:r>
          </w:p>
        </w:tc>
        <w:tc>
          <w:tcPr>
            <w:tcW w:w="518" w:type="pct"/>
            <w:tcBorders>
              <w:top w:val="single" w:sz="4" w:space="0" w:color="auto"/>
              <w:left w:val="single" w:sz="4" w:space="0" w:color="auto"/>
              <w:bottom w:val="single" w:sz="4" w:space="0" w:color="auto"/>
              <w:right w:val="single" w:sz="4" w:space="0" w:color="auto"/>
            </w:tcBorders>
            <w:noWrap/>
            <w:vAlign w:val="bottom"/>
          </w:tcPr>
          <w:p w14:paraId="60C8E301"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hAnsi="Calibri" w:cs="Calibri"/>
                <w:color w:val="000000"/>
                <w:sz w:val="18"/>
                <w:szCs w:val="18"/>
              </w:rPr>
              <w:t>12 (100.00%)</w:t>
            </w:r>
          </w:p>
        </w:tc>
        <w:tc>
          <w:tcPr>
            <w:tcW w:w="517" w:type="pct"/>
            <w:tcBorders>
              <w:top w:val="single" w:sz="4" w:space="0" w:color="auto"/>
              <w:left w:val="single" w:sz="4" w:space="0" w:color="auto"/>
              <w:bottom w:val="single" w:sz="4" w:space="0" w:color="auto"/>
              <w:right w:val="single" w:sz="4" w:space="0" w:color="auto"/>
            </w:tcBorders>
            <w:noWrap/>
            <w:vAlign w:val="bottom"/>
          </w:tcPr>
          <w:p w14:paraId="15B97794"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hAnsi="Calibri" w:cs="Calibri"/>
                <w:color w:val="000000"/>
                <w:sz w:val="18"/>
                <w:szCs w:val="18"/>
              </w:rPr>
              <w:t>8 (66.67%)</w:t>
            </w:r>
          </w:p>
        </w:tc>
      </w:tr>
      <w:tr w:rsidR="003E126A" w:rsidRPr="003E126A" w14:paraId="053A2D74" w14:textId="77777777" w:rsidTr="00E71FA0">
        <w:trPr>
          <w:trHeight w:val="320"/>
        </w:trPr>
        <w:tc>
          <w:tcPr>
            <w:tcW w:w="845" w:type="pct"/>
            <w:tcBorders>
              <w:top w:val="single" w:sz="4" w:space="0" w:color="auto"/>
              <w:left w:val="single" w:sz="4" w:space="0" w:color="auto"/>
              <w:bottom w:val="single" w:sz="4" w:space="0" w:color="auto"/>
              <w:right w:val="single" w:sz="4" w:space="0" w:color="auto"/>
            </w:tcBorders>
            <w:noWrap/>
            <w:vAlign w:val="bottom"/>
          </w:tcPr>
          <w:p w14:paraId="6CA09A27"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 xml:space="preserve">     People without OUD</w:t>
            </w:r>
          </w:p>
        </w:tc>
        <w:tc>
          <w:tcPr>
            <w:tcW w:w="591" w:type="pct"/>
            <w:tcBorders>
              <w:top w:val="single" w:sz="4" w:space="0" w:color="auto"/>
              <w:left w:val="single" w:sz="4" w:space="0" w:color="auto"/>
              <w:bottom w:val="single" w:sz="4" w:space="0" w:color="auto"/>
              <w:right w:val="single" w:sz="4" w:space="0" w:color="auto"/>
            </w:tcBorders>
            <w:noWrap/>
            <w:vAlign w:val="bottom"/>
          </w:tcPr>
          <w:p w14:paraId="6846C0A1"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hAnsi="Calibri" w:cs="Calibri"/>
                <w:color w:val="000000"/>
                <w:sz w:val="18"/>
                <w:szCs w:val="18"/>
              </w:rPr>
              <w:t>155,872</w:t>
            </w:r>
          </w:p>
        </w:tc>
        <w:tc>
          <w:tcPr>
            <w:tcW w:w="577" w:type="pct"/>
            <w:tcBorders>
              <w:top w:val="single" w:sz="4" w:space="0" w:color="auto"/>
              <w:left w:val="single" w:sz="4" w:space="0" w:color="auto"/>
              <w:bottom w:val="single" w:sz="4" w:space="0" w:color="auto"/>
              <w:right w:val="single" w:sz="4" w:space="0" w:color="auto"/>
            </w:tcBorders>
            <w:noWrap/>
            <w:vAlign w:val="bottom"/>
          </w:tcPr>
          <w:p w14:paraId="7D58C111"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hAnsi="Calibri" w:cs="Calibri"/>
                <w:color w:val="000000"/>
                <w:sz w:val="18"/>
                <w:szCs w:val="18"/>
              </w:rPr>
              <w:t>6,547 (4.20%)</w:t>
            </w:r>
          </w:p>
        </w:tc>
        <w:tc>
          <w:tcPr>
            <w:tcW w:w="563" w:type="pct"/>
            <w:tcBorders>
              <w:top w:val="single" w:sz="4" w:space="0" w:color="auto"/>
              <w:left w:val="single" w:sz="4" w:space="0" w:color="auto"/>
              <w:bottom w:val="single" w:sz="4" w:space="0" w:color="auto"/>
              <w:right w:val="single" w:sz="4" w:space="0" w:color="auto"/>
            </w:tcBorders>
            <w:noWrap/>
            <w:vAlign w:val="bottom"/>
          </w:tcPr>
          <w:p w14:paraId="50F3AE8C"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hAnsi="Calibri" w:cs="Calibri"/>
                <w:color w:val="000000"/>
                <w:sz w:val="18"/>
                <w:szCs w:val="18"/>
              </w:rPr>
              <w:t>101 (1.54%)</w:t>
            </w:r>
          </w:p>
        </w:tc>
        <w:tc>
          <w:tcPr>
            <w:tcW w:w="433" w:type="pct"/>
            <w:tcBorders>
              <w:top w:val="single" w:sz="4" w:space="0" w:color="auto"/>
              <w:left w:val="single" w:sz="4" w:space="0" w:color="auto"/>
              <w:bottom w:val="single" w:sz="4" w:space="0" w:color="auto"/>
              <w:right w:val="single" w:sz="4" w:space="0" w:color="auto"/>
            </w:tcBorders>
            <w:noWrap/>
            <w:vAlign w:val="bottom"/>
          </w:tcPr>
          <w:p w14:paraId="2F7C16FD"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hAnsi="Calibri" w:cs="Calibri"/>
                <w:color w:val="000000"/>
                <w:sz w:val="18"/>
                <w:szCs w:val="18"/>
              </w:rPr>
              <w:t>92 (91.09%)</w:t>
            </w:r>
          </w:p>
        </w:tc>
        <w:tc>
          <w:tcPr>
            <w:tcW w:w="478" w:type="pct"/>
            <w:tcBorders>
              <w:top w:val="single" w:sz="4" w:space="0" w:color="auto"/>
              <w:left w:val="single" w:sz="4" w:space="0" w:color="auto"/>
              <w:bottom w:val="single" w:sz="4" w:space="0" w:color="auto"/>
              <w:right w:val="single" w:sz="4" w:space="0" w:color="auto"/>
            </w:tcBorders>
            <w:noWrap/>
            <w:vAlign w:val="bottom"/>
          </w:tcPr>
          <w:p w14:paraId="468AB17D"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hAnsi="Calibri" w:cs="Calibri"/>
                <w:color w:val="000000"/>
                <w:sz w:val="18"/>
                <w:szCs w:val="18"/>
              </w:rPr>
              <w:t>30 (32.61%)</w:t>
            </w:r>
          </w:p>
        </w:tc>
        <w:tc>
          <w:tcPr>
            <w:tcW w:w="478" w:type="pct"/>
            <w:tcBorders>
              <w:top w:val="single" w:sz="4" w:space="0" w:color="auto"/>
              <w:left w:val="single" w:sz="4" w:space="0" w:color="auto"/>
              <w:bottom w:val="single" w:sz="4" w:space="0" w:color="auto"/>
              <w:right w:val="single" w:sz="4" w:space="0" w:color="auto"/>
            </w:tcBorders>
            <w:noWrap/>
            <w:vAlign w:val="bottom"/>
          </w:tcPr>
          <w:p w14:paraId="51C7F07C"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hAnsi="Calibri" w:cs="Calibri"/>
                <w:color w:val="000000"/>
                <w:sz w:val="18"/>
                <w:szCs w:val="18"/>
              </w:rPr>
              <w:t>13 (44.83%)</w:t>
            </w:r>
          </w:p>
        </w:tc>
        <w:tc>
          <w:tcPr>
            <w:tcW w:w="518" w:type="pct"/>
            <w:tcBorders>
              <w:top w:val="single" w:sz="4" w:space="0" w:color="auto"/>
              <w:left w:val="single" w:sz="4" w:space="0" w:color="auto"/>
              <w:bottom w:val="single" w:sz="4" w:space="0" w:color="auto"/>
              <w:right w:val="single" w:sz="4" w:space="0" w:color="auto"/>
            </w:tcBorders>
            <w:noWrap/>
            <w:vAlign w:val="bottom"/>
          </w:tcPr>
          <w:p w14:paraId="7E61AA59"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hAnsi="Calibri" w:cs="Calibri"/>
                <w:color w:val="000000"/>
                <w:sz w:val="18"/>
                <w:szCs w:val="18"/>
              </w:rPr>
              <w:t>13 (100.00%)</w:t>
            </w:r>
          </w:p>
        </w:tc>
        <w:tc>
          <w:tcPr>
            <w:tcW w:w="517" w:type="pct"/>
            <w:tcBorders>
              <w:top w:val="single" w:sz="4" w:space="0" w:color="auto"/>
              <w:left w:val="single" w:sz="4" w:space="0" w:color="auto"/>
              <w:bottom w:val="single" w:sz="4" w:space="0" w:color="auto"/>
              <w:right w:val="single" w:sz="4" w:space="0" w:color="auto"/>
            </w:tcBorders>
            <w:noWrap/>
            <w:vAlign w:val="bottom"/>
          </w:tcPr>
          <w:p w14:paraId="03D1085B"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hAnsi="Calibri" w:cs="Calibri"/>
                <w:color w:val="000000"/>
                <w:sz w:val="18"/>
                <w:szCs w:val="18"/>
              </w:rPr>
              <w:t>13 (100.00%)</w:t>
            </w:r>
          </w:p>
        </w:tc>
      </w:tr>
      <w:tr w:rsidR="003E126A" w:rsidRPr="003E126A" w14:paraId="39E5F989" w14:textId="77777777" w:rsidTr="00E71FA0">
        <w:trPr>
          <w:trHeight w:val="305"/>
        </w:trPr>
        <w:tc>
          <w:tcPr>
            <w:tcW w:w="845" w:type="pct"/>
            <w:tcBorders>
              <w:top w:val="single" w:sz="4" w:space="0" w:color="auto"/>
              <w:left w:val="single" w:sz="4" w:space="0" w:color="auto"/>
              <w:bottom w:val="single" w:sz="4" w:space="0" w:color="auto"/>
              <w:right w:val="single" w:sz="4" w:space="0" w:color="auto"/>
            </w:tcBorders>
            <w:noWrap/>
            <w:vAlign w:val="bottom"/>
            <w:hideMark/>
          </w:tcPr>
          <w:p w14:paraId="23EE7CEE"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591" w:type="pct"/>
            <w:tcBorders>
              <w:top w:val="single" w:sz="4" w:space="0" w:color="auto"/>
              <w:left w:val="nil"/>
              <w:bottom w:val="single" w:sz="4" w:space="0" w:color="auto"/>
              <w:right w:val="single" w:sz="4" w:space="0" w:color="auto"/>
            </w:tcBorders>
            <w:noWrap/>
            <w:vAlign w:val="bottom"/>
            <w:hideMark/>
          </w:tcPr>
          <w:p w14:paraId="0F3B7C5F"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577" w:type="pct"/>
            <w:tcBorders>
              <w:top w:val="single" w:sz="4" w:space="0" w:color="auto"/>
              <w:left w:val="nil"/>
              <w:bottom w:val="single" w:sz="4" w:space="0" w:color="auto"/>
              <w:right w:val="single" w:sz="4" w:space="0" w:color="auto"/>
            </w:tcBorders>
            <w:vAlign w:val="bottom"/>
            <w:hideMark/>
          </w:tcPr>
          <w:p w14:paraId="781F0E0B"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563" w:type="pct"/>
            <w:tcBorders>
              <w:top w:val="single" w:sz="4" w:space="0" w:color="auto"/>
              <w:left w:val="nil"/>
              <w:bottom w:val="single" w:sz="4" w:space="0" w:color="auto"/>
              <w:right w:val="single" w:sz="4" w:space="0" w:color="auto"/>
            </w:tcBorders>
            <w:vAlign w:val="bottom"/>
            <w:hideMark/>
          </w:tcPr>
          <w:p w14:paraId="5A6AAB6A"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433" w:type="pct"/>
            <w:tcBorders>
              <w:top w:val="single" w:sz="4" w:space="0" w:color="auto"/>
              <w:left w:val="nil"/>
              <w:bottom w:val="single" w:sz="4" w:space="0" w:color="auto"/>
              <w:right w:val="single" w:sz="4" w:space="0" w:color="auto"/>
            </w:tcBorders>
            <w:vAlign w:val="bottom"/>
            <w:hideMark/>
          </w:tcPr>
          <w:p w14:paraId="493EDF3E"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478" w:type="pct"/>
            <w:tcBorders>
              <w:top w:val="single" w:sz="4" w:space="0" w:color="auto"/>
              <w:left w:val="nil"/>
              <w:bottom w:val="single" w:sz="4" w:space="0" w:color="auto"/>
              <w:right w:val="single" w:sz="4" w:space="0" w:color="auto"/>
            </w:tcBorders>
            <w:noWrap/>
            <w:vAlign w:val="bottom"/>
            <w:hideMark/>
          </w:tcPr>
          <w:p w14:paraId="0C073048"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478" w:type="pct"/>
            <w:tcBorders>
              <w:top w:val="single" w:sz="4" w:space="0" w:color="auto"/>
              <w:left w:val="nil"/>
              <w:bottom w:val="single" w:sz="4" w:space="0" w:color="auto"/>
              <w:right w:val="single" w:sz="4" w:space="0" w:color="auto"/>
            </w:tcBorders>
            <w:vAlign w:val="bottom"/>
            <w:hideMark/>
          </w:tcPr>
          <w:p w14:paraId="0AD3FD12"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518" w:type="pct"/>
            <w:tcBorders>
              <w:top w:val="single" w:sz="4" w:space="0" w:color="auto"/>
              <w:left w:val="nil"/>
              <w:bottom w:val="single" w:sz="4" w:space="0" w:color="auto"/>
              <w:right w:val="single" w:sz="4" w:space="0" w:color="auto"/>
            </w:tcBorders>
            <w:vAlign w:val="bottom"/>
            <w:hideMark/>
          </w:tcPr>
          <w:p w14:paraId="01A056E3"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517" w:type="pct"/>
            <w:tcBorders>
              <w:top w:val="single" w:sz="4" w:space="0" w:color="auto"/>
              <w:left w:val="nil"/>
              <w:bottom w:val="single" w:sz="4" w:space="0" w:color="auto"/>
              <w:right w:val="single" w:sz="4" w:space="0" w:color="auto"/>
            </w:tcBorders>
            <w:noWrap/>
            <w:vAlign w:val="bottom"/>
            <w:hideMark/>
          </w:tcPr>
          <w:p w14:paraId="7F31F08B"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r>
      <w:tr w:rsidR="003E126A" w:rsidRPr="003E126A" w14:paraId="6E26F493" w14:textId="77777777" w:rsidTr="00E71FA0">
        <w:trPr>
          <w:trHeight w:val="305"/>
        </w:trPr>
        <w:tc>
          <w:tcPr>
            <w:tcW w:w="845" w:type="pct"/>
            <w:tcBorders>
              <w:top w:val="nil"/>
              <w:left w:val="single" w:sz="4" w:space="0" w:color="auto"/>
              <w:bottom w:val="single" w:sz="4" w:space="0" w:color="auto"/>
              <w:right w:val="single" w:sz="4" w:space="0" w:color="auto"/>
            </w:tcBorders>
            <w:noWrap/>
            <w:vAlign w:val="bottom"/>
            <w:hideMark/>
          </w:tcPr>
          <w:p w14:paraId="46A2D782"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Female</w:t>
            </w:r>
          </w:p>
        </w:tc>
        <w:tc>
          <w:tcPr>
            <w:tcW w:w="591" w:type="pct"/>
            <w:tcBorders>
              <w:top w:val="nil"/>
              <w:left w:val="nil"/>
              <w:bottom w:val="single" w:sz="4" w:space="0" w:color="auto"/>
              <w:right w:val="single" w:sz="4" w:space="0" w:color="auto"/>
            </w:tcBorders>
            <w:noWrap/>
            <w:vAlign w:val="bottom"/>
            <w:hideMark/>
          </w:tcPr>
          <w:p w14:paraId="70326ECA"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85,345</w:t>
            </w:r>
          </w:p>
        </w:tc>
        <w:tc>
          <w:tcPr>
            <w:tcW w:w="577" w:type="pct"/>
            <w:tcBorders>
              <w:top w:val="nil"/>
              <w:left w:val="nil"/>
              <w:bottom w:val="single" w:sz="4" w:space="0" w:color="auto"/>
              <w:right w:val="single" w:sz="4" w:space="0" w:color="auto"/>
            </w:tcBorders>
            <w:noWrap/>
            <w:vAlign w:val="bottom"/>
            <w:hideMark/>
          </w:tcPr>
          <w:p w14:paraId="59D1300B"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3,957 (4.64%)</w:t>
            </w:r>
          </w:p>
        </w:tc>
        <w:tc>
          <w:tcPr>
            <w:tcW w:w="563" w:type="pct"/>
            <w:tcBorders>
              <w:top w:val="nil"/>
              <w:left w:val="nil"/>
              <w:bottom w:val="single" w:sz="4" w:space="0" w:color="auto"/>
              <w:right w:val="single" w:sz="4" w:space="0" w:color="auto"/>
            </w:tcBorders>
            <w:noWrap/>
            <w:vAlign w:val="bottom"/>
            <w:hideMark/>
          </w:tcPr>
          <w:p w14:paraId="492D0F28"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87 (2.20%)</w:t>
            </w:r>
          </w:p>
        </w:tc>
        <w:tc>
          <w:tcPr>
            <w:tcW w:w="433" w:type="pct"/>
            <w:tcBorders>
              <w:top w:val="nil"/>
              <w:left w:val="nil"/>
              <w:bottom w:val="single" w:sz="4" w:space="0" w:color="auto"/>
              <w:right w:val="single" w:sz="4" w:space="0" w:color="auto"/>
            </w:tcBorders>
            <w:noWrap/>
            <w:vAlign w:val="bottom"/>
            <w:hideMark/>
          </w:tcPr>
          <w:p w14:paraId="60AB405B"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79 (90.80%)</w:t>
            </w:r>
          </w:p>
        </w:tc>
        <w:tc>
          <w:tcPr>
            <w:tcW w:w="478" w:type="pct"/>
            <w:tcBorders>
              <w:top w:val="nil"/>
              <w:left w:val="nil"/>
              <w:bottom w:val="single" w:sz="4" w:space="0" w:color="auto"/>
              <w:right w:val="single" w:sz="4" w:space="0" w:color="auto"/>
            </w:tcBorders>
            <w:noWrap/>
            <w:vAlign w:val="bottom"/>
            <w:hideMark/>
          </w:tcPr>
          <w:p w14:paraId="24D0C032"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29 (36.71%)</w:t>
            </w:r>
          </w:p>
        </w:tc>
        <w:tc>
          <w:tcPr>
            <w:tcW w:w="478" w:type="pct"/>
            <w:tcBorders>
              <w:top w:val="nil"/>
              <w:left w:val="nil"/>
              <w:bottom w:val="single" w:sz="4" w:space="0" w:color="auto"/>
              <w:right w:val="single" w:sz="4" w:space="0" w:color="auto"/>
            </w:tcBorders>
            <w:noWrap/>
            <w:vAlign w:val="bottom"/>
            <w:hideMark/>
          </w:tcPr>
          <w:p w14:paraId="776A0F88"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4 (14.29%)</w:t>
            </w:r>
          </w:p>
        </w:tc>
        <w:tc>
          <w:tcPr>
            <w:tcW w:w="518" w:type="pct"/>
            <w:tcBorders>
              <w:top w:val="nil"/>
              <w:left w:val="nil"/>
              <w:bottom w:val="single" w:sz="4" w:space="0" w:color="auto"/>
              <w:right w:val="single" w:sz="4" w:space="0" w:color="auto"/>
            </w:tcBorders>
            <w:noWrap/>
            <w:vAlign w:val="bottom"/>
            <w:hideMark/>
          </w:tcPr>
          <w:p w14:paraId="3AE2DEA6"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4 (100.00%)</w:t>
            </w:r>
          </w:p>
        </w:tc>
        <w:tc>
          <w:tcPr>
            <w:tcW w:w="517" w:type="pct"/>
            <w:tcBorders>
              <w:top w:val="nil"/>
              <w:left w:val="nil"/>
              <w:bottom w:val="single" w:sz="4" w:space="0" w:color="auto"/>
              <w:right w:val="single" w:sz="4" w:space="0" w:color="auto"/>
            </w:tcBorders>
            <w:noWrap/>
            <w:vAlign w:val="bottom"/>
            <w:hideMark/>
          </w:tcPr>
          <w:p w14:paraId="2C846517"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3 (75.00%)</w:t>
            </w:r>
          </w:p>
        </w:tc>
      </w:tr>
      <w:tr w:rsidR="003E126A" w:rsidRPr="003E126A" w14:paraId="6559C757" w14:textId="77777777" w:rsidTr="00E71FA0">
        <w:trPr>
          <w:trHeight w:val="305"/>
        </w:trPr>
        <w:tc>
          <w:tcPr>
            <w:tcW w:w="845" w:type="pct"/>
            <w:tcBorders>
              <w:top w:val="nil"/>
              <w:left w:val="single" w:sz="4" w:space="0" w:color="auto"/>
              <w:bottom w:val="single" w:sz="4" w:space="0" w:color="auto"/>
              <w:right w:val="single" w:sz="4" w:space="0" w:color="auto"/>
            </w:tcBorders>
            <w:noWrap/>
            <w:vAlign w:val="bottom"/>
            <w:hideMark/>
          </w:tcPr>
          <w:p w14:paraId="6781A7B5"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Male</w:t>
            </w:r>
          </w:p>
        </w:tc>
        <w:tc>
          <w:tcPr>
            <w:tcW w:w="591" w:type="pct"/>
            <w:tcBorders>
              <w:top w:val="nil"/>
              <w:left w:val="nil"/>
              <w:bottom w:val="single" w:sz="4" w:space="0" w:color="auto"/>
              <w:right w:val="single" w:sz="4" w:space="0" w:color="auto"/>
            </w:tcBorders>
            <w:noWrap/>
            <w:vAlign w:val="bottom"/>
            <w:hideMark/>
          </w:tcPr>
          <w:p w14:paraId="740BB1C7"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76,643</w:t>
            </w:r>
          </w:p>
        </w:tc>
        <w:tc>
          <w:tcPr>
            <w:tcW w:w="577" w:type="pct"/>
            <w:tcBorders>
              <w:top w:val="nil"/>
              <w:left w:val="nil"/>
              <w:bottom w:val="single" w:sz="4" w:space="0" w:color="auto"/>
              <w:right w:val="single" w:sz="4" w:space="0" w:color="auto"/>
            </w:tcBorders>
            <w:noWrap/>
            <w:vAlign w:val="bottom"/>
            <w:hideMark/>
          </w:tcPr>
          <w:p w14:paraId="7FB01620"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3,038 (3.96%)</w:t>
            </w:r>
          </w:p>
        </w:tc>
        <w:tc>
          <w:tcPr>
            <w:tcW w:w="563" w:type="pct"/>
            <w:tcBorders>
              <w:top w:val="nil"/>
              <w:left w:val="nil"/>
              <w:bottom w:val="single" w:sz="4" w:space="0" w:color="auto"/>
              <w:right w:val="single" w:sz="4" w:space="0" w:color="auto"/>
            </w:tcBorders>
            <w:noWrap/>
            <w:vAlign w:val="bottom"/>
            <w:hideMark/>
          </w:tcPr>
          <w:p w14:paraId="214DCCFA"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108 (3.55%)</w:t>
            </w:r>
          </w:p>
        </w:tc>
        <w:tc>
          <w:tcPr>
            <w:tcW w:w="433" w:type="pct"/>
            <w:tcBorders>
              <w:top w:val="nil"/>
              <w:left w:val="nil"/>
              <w:bottom w:val="single" w:sz="4" w:space="0" w:color="auto"/>
              <w:right w:val="single" w:sz="4" w:space="0" w:color="auto"/>
            </w:tcBorders>
            <w:noWrap/>
            <w:vAlign w:val="bottom"/>
            <w:hideMark/>
          </w:tcPr>
          <w:p w14:paraId="40BD5655"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97 (89.81%)</w:t>
            </w:r>
          </w:p>
        </w:tc>
        <w:tc>
          <w:tcPr>
            <w:tcW w:w="478" w:type="pct"/>
            <w:tcBorders>
              <w:top w:val="nil"/>
              <w:left w:val="nil"/>
              <w:bottom w:val="single" w:sz="4" w:space="0" w:color="auto"/>
              <w:right w:val="single" w:sz="4" w:space="0" w:color="auto"/>
            </w:tcBorders>
            <w:noWrap/>
            <w:vAlign w:val="bottom"/>
            <w:hideMark/>
          </w:tcPr>
          <w:p w14:paraId="3AA5C79B"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50 (51.55%)</w:t>
            </w:r>
          </w:p>
        </w:tc>
        <w:tc>
          <w:tcPr>
            <w:tcW w:w="478" w:type="pct"/>
            <w:tcBorders>
              <w:top w:val="nil"/>
              <w:left w:val="nil"/>
              <w:bottom w:val="single" w:sz="4" w:space="0" w:color="auto"/>
              <w:right w:val="single" w:sz="4" w:space="0" w:color="auto"/>
            </w:tcBorders>
            <w:noWrap/>
            <w:vAlign w:val="bottom"/>
            <w:hideMark/>
          </w:tcPr>
          <w:p w14:paraId="04E75F27"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22 (45.83%)</w:t>
            </w:r>
          </w:p>
        </w:tc>
        <w:tc>
          <w:tcPr>
            <w:tcW w:w="518" w:type="pct"/>
            <w:tcBorders>
              <w:top w:val="nil"/>
              <w:left w:val="nil"/>
              <w:bottom w:val="single" w:sz="4" w:space="0" w:color="auto"/>
              <w:right w:val="single" w:sz="4" w:space="0" w:color="auto"/>
            </w:tcBorders>
            <w:noWrap/>
            <w:vAlign w:val="bottom"/>
            <w:hideMark/>
          </w:tcPr>
          <w:p w14:paraId="3B3A067A"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21 (100.00%)</w:t>
            </w:r>
          </w:p>
        </w:tc>
        <w:tc>
          <w:tcPr>
            <w:tcW w:w="517" w:type="pct"/>
            <w:tcBorders>
              <w:top w:val="nil"/>
              <w:left w:val="nil"/>
              <w:bottom w:val="single" w:sz="4" w:space="0" w:color="auto"/>
              <w:right w:val="single" w:sz="4" w:space="0" w:color="auto"/>
            </w:tcBorders>
            <w:noWrap/>
            <w:vAlign w:val="bottom"/>
            <w:hideMark/>
          </w:tcPr>
          <w:p w14:paraId="3C174FB6"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18 (85.71%)</w:t>
            </w:r>
          </w:p>
        </w:tc>
      </w:tr>
      <w:tr w:rsidR="003E126A" w:rsidRPr="003E126A" w14:paraId="5A1A7C5F" w14:textId="77777777" w:rsidTr="00E71FA0">
        <w:trPr>
          <w:trHeight w:val="305"/>
        </w:trPr>
        <w:tc>
          <w:tcPr>
            <w:tcW w:w="845" w:type="pct"/>
            <w:tcBorders>
              <w:top w:val="nil"/>
              <w:left w:val="single" w:sz="4" w:space="0" w:color="auto"/>
              <w:bottom w:val="single" w:sz="4" w:space="0" w:color="auto"/>
              <w:right w:val="single" w:sz="4" w:space="0" w:color="auto"/>
            </w:tcBorders>
            <w:noWrap/>
            <w:vAlign w:val="bottom"/>
            <w:hideMark/>
          </w:tcPr>
          <w:p w14:paraId="404146B9"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591" w:type="pct"/>
            <w:tcBorders>
              <w:top w:val="nil"/>
              <w:left w:val="nil"/>
              <w:bottom w:val="single" w:sz="4" w:space="0" w:color="auto"/>
              <w:right w:val="single" w:sz="4" w:space="0" w:color="auto"/>
            </w:tcBorders>
            <w:noWrap/>
            <w:vAlign w:val="bottom"/>
            <w:hideMark/>
          </w:tcPr>
          <w:p w14:paraId="2342F330"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577" w:type="pct"/>
            <w:tcBorders>
              <w:top w:val="nil"/>
              <w:left w:val="nil"/>
              <w:bottom w:val="single" w:sz="4" w:space="0" w:color="auto"/>
              <w:right w:val="single" w:sz="4" w:space="0" w:color="auto"/>
            </w:tcBorders>
            <w:noWrap/>
            <w:vAlign w:val="bottom"/>
            <w:hideMark/>
          </w:tcPr>
          <w:p w14:paraId="5A7832F5"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563" w:type="pct"/>
            <w:tcBorders>
              <w:top w:val="nil"/>
              <w:left w:val="nil"/>
              <w:bottom w:val="single" w:sz="4" w:space="0" w:color="auto"/>
              <w:right w:val="single" w:sz="4" w:space="0" w:color="auto"/>
            </w:tcBorders>
            <w:noWrap/>
            <w:vAlign w:val="bottom"/>
            <w:hideMark/>
          </w:tcPr>
          <w:p w14:paraId="5047B586"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433" w:type="pct"/>
            <w:tcBorders>
              <w:top w:val="nil"/>
              <w:left w:val="nil"/>
              <w:bottom w:val="single" w:sz="4" w:space="0" w:color="auto"/>
              <w:right w:val="single" w:sz="4" w:space="0" w:color="auto"/>
            </w:tcBorders>
            <w:noWrap/>
            <w:vAlign w:val="bottom"/>
            <w:hideMark/>
          </w:tcPr>
          <w:p w14:paraId="6A0BAB52" w14:textId="77777777" w:rsidR="00722AF5" w:rsidRPr="003E126A" w:rsidRDefault="00722AF5" w:rsidP="00C2055E">
            <w:pPr>
              <w:spacing w:line="240" w:lineRule="auto"/>
              <w:rPr>
                <w:rFonts w:ascii="Calibri" w:eastAsia="Times New Roman" w:hAnsi="Calibri" w:cs="Calibri"/>
                <w:color w:val="000000"/>
                <w:sz w:val="18"/>
                <w:szCs w:val="18"/>
              </w:rPr>
            </w:pPr>
          </w:p>
        </w:tc>
        <w:tc>
          <w:tcPr>
            <w:tcW w:w="478" w:type="pct"/>
            <w:tcBorders>
              <w:top w:val="nil"/>
              <w:left w:val="nil"/>
              <w:bottom w:val="single" w:sz="4" w:space="0" w:color="auto"/>
              <w:right w:val="single" w:sz="4" w:space="0" w:color="auto"/>
            </w:tcBorders>
            <w:noWrap/>
            <w:vAlign w:val="bottom"/>
            <w:hideMark/>
          </w:tcPr>
          <w:p w14:paraId="5CB85A3B"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478" w:type="pct"/>
            <w:tcBorders>
              <w:top w:val="nil"/>
              <w:left w:val="nil"/>
              <w:bottom w:val="single" w:sz="4" w:space="0" w:color="auto"/>
              <w:right w:val="single" w:sz="4" w:space="0" w:color="auto"/>
            </w:tcBorders>
            <w:noWrap/>
            <w:vAlign w:val="bottom"/>
            <w:hideMark/>
          </w:tcPr>
          <w:p w14:paraId="276A636D"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518" w:type="pct"/>
            <w:tcBorders>
              <w:top w:val="nil"/>
              <w:left w:val="nil"/>
              <w:bottom w:val="single" w:sz="4" w:space="0" w:color="auto"/>
              <w:right w:val="single" w:sz="4" w:space="0" w:color="auto"/>
            </w:tcBorders>
            <w:noWrap/>
            <w:vAlign w:val="bottom"/>
            <w:hideMark/>
          </w:tcPr>
          <w:p w14:paraId="377505D8"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517" w:type="pct"/>
            <w:tcBorders>
              <w:top w:val="nil"/>
              <w:left w:val="nil"/>
              <w:bottom w:val="single" w:sz="4" w:space="0" w:color="auto"/>
              <w:right w:val="single" w:sz="4" w:space="0" w:color="auto"/>
            </w:tcBorders>
            <w:noWrap/>
            <w:vAlign w:val="bottom"/>
            <w:hideMark/>
          </w:tcPr>
          <w:p w14:paraId="1F6E009E"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r>
      <w:tr w:rsidR="003E126A" w:rsidRPr="003E126A" w14:paraId="33063FF7" w14:textId="77777777" w:rsidTr="00E71FA0">
        <w:trPr>
          <w:trHeight w:val="305"/>
        </w:trPr>
        <w:tc>
          <w:tcPr>
            <w:tcW w:w="845" w:type="pct"/>
            <w:tcBorders>
              <w:top w:val="nil"/>
              <w:left w:val="single" w:sz="4" w:space="0" w:color="auto"/>
              <w:bottom w:val="single" w:sz="4" w:space="0" w:color="auto"/>
              <w:right w:val="single" w:sz="4" w:space="0" w:color="auto"/>
            </w:tcBorders>
            <w:noWrap/>
            <w:vAlign w:val="bottom"/>
            <w:hideMark/>
          </w:tcPr>
          <w:p w14:paraId="45223396"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0-19 years of age</w:t>
            </w:r>
          </w:p>
        </w:tc>
        <w:tc>
          <w:tcPr>
            <w:tcW w:w="591" w:type="pct"/>
            <w:tcBorders>
              <w:top w:val="nil"/>
              <w:left w:val="nil"/>
              <w:bottom w:val="single" w:sz="4" w:space="0" w:color="auto"/>
              <w:right w:val="single" w:sz="4" w:space="0" w:color="auto"/>
            </w:tcBorders>
            <w:noWrap/>
            <w:vAlign w:val="bottom"/>
            <w:hideMark/>
          </w:tcPr>
          <w:p w14:paraId="4C21CA9F"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8,997</w:t>
            </w:r>
          </w:p>
        </w:tc>
        <w:tc>
          <w:tcPr>
            <w:tcW w:w="577" w:type="pct"/>
            <w:tcBorders>
              <w:top w:val="nil"/>
              <w:left w:val="nil"/>
              <w:bottom w:val="single" w:sz="4" w:space="0" w:color="auto"/>
              <w:right w:val="single" w:sz="4" w:space="0" w:color="auto"/>
            </w:tcBorders>
            <w:noWrap/>
            <w:vAlign w:val="bottom"/>
            <w:hideMark/>
          </w:tcPr>
          <w:p w14:paraId="47671A64"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265 (2.95%)</w:t>
            </w:r>
          </w:p>
        </w:tc>
        <w:tc>
          <w:tcPr>
            <w:tcW w:w="563" w:type="pct"/>
            <w:tcBorders>
              <w:top w:val="nil"/>
              <w:left w:val="nil"/>
              <w:bottom w:val="single" w:sz="4" w:space="0" w:color="auto"/>
              <w:right w:val="single" w:sz="4" w:space="0" w:color="auto"/>
            </w:tcBorders>
            <w:noWrap/>
            <w:vAlign w:val="bottom"/>
            <w:hideMark/>
          </w:tcPr>
          <w:p w14:paraId="596C45FE"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 (0.38%)</w:t>
            </w:r>
          </w:p>
        </w:tc>
        <w:tc>
          <w:tcPr>
            <w:tcW w:w="433" w:type="pct"/>
            <w:tcBorders>
              <w:top w:val="nil"/>
              <w:left w:val="nil"/>
              <w:bottom w:val="single" w:sz="4" w:space="0" w:color="auto"/>
              <w:right w:val="single" w:sz="4" w:space="0" w:color="auto"/>
            </w:tcBorders>
            <w:noWrap/>
            <w:vAlign w:val="bottom"/>
            <w:hideMark/>
          </w:tcPr>
          <w:p w14:paraId="29C60F0C"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 (100.00%)</w:t>
            </w:r>
          </w:p>
        </w:tc>
        <w:tc>
          <w:tcPr>
            <w:tcW w:w="478" w:type="pct"/>
            <w:tcBorders>
              <w:top w:val="nil"/>
              <w:left w:val="nil"/>
              <w:bottom w:val="single" w:sz="4" w:space="0" w:color="auto"/>
              <w:right w:val="single" w:sz="4" w:space="0" w:color="auto"/>
            </w:tcBorders>
            <w:noWrap/>
            <w:vAlign w:val="bottom"/>
            <w:hideMark/>
          </w:tcPr>
          <w:p w14:paraId="2E3BF6CF"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 (100.00%)</w:t>
            </w:r>
          </w:p>
        </w:tc>
        <w:tc>
          <w:tcPr>
            <w:tcW w:w="478" w:type="pct"/>
            <w:tcBorders>
              <w:top w:val="nil"/>
              <w:left w:val="nil"/>
              <w:bottom w:val="single" w:sz="4" w:space="0" w:color="auto"/>
              <w:right w:val="single" w:sz="4" w:space="0" w:color="auto"/>
            </w:tcBorders>
            <w:noWrap/>
            <w:vAlign w:val="bottom"/>
            <w:hideMark/>
          </w:tcPr>
          <w:p w14:paraId="4D78268F"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0 (0.00%)</w:t>
            </w:r>
          </w:p>
        </w:tc>
        <w:tc>
          <w:tcPr>
            <w:tcW w:w="518" w:type="pct"/>
            <w:tcBorders>
              <w:top w:val="nil"/>
              <w:left w:val="nil"/>
              <w:bottom w:val="single" w:sz="4" w:space="0" w:color="auto"/>
              <w:right w:val="single" w:sz="4" w:space="0" w:color="auto"/>
            </w:tcBorders>
            <w:noWrap/>
            <w:vAlign w:val="bottom"/>
            <w:hideMark/>
          </w:tcPr>
          <w:p w14:paraId="156C211B"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NA</w:t>
            </w:r>
          </w:p>
        </w:tc>
        <w:tc>
          <w:tcPr>
            <w:tcW w:w="517" w:type="pct"/>
            <w:tcBorders>
              <w:top w:val="nil"/>
              <w:left w:val="nil"/>
              <w:bottom w:val="single" w:sz="4" w:space="0" w:color="auto"/>
              <w:right w:val="single" w:sz="4" w:space="0" w:color="auto"/>
            </w:tcBorders>
            <w:noWrap/>
            <w:vAlign w:val="bottom"/>
            <w:hideMark/>
          </w:tcPr>
          <w:p w14:paraId="703EC486"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NA</w:t>
            </w:r>
          </w:p>
        </w:tc>
      </w:tr>
      <w:tr w:rsidR="003E126A" w:rsidRPr="003E126A" w14:paraId="685C4995" w14:textId="77777777" w:rsidTr="00E71FA0">
        <w:trPr>
          <w:trHeight w:val="305"/>
        </w:trPr>
        <w:tc>
          <w:tcPr>
            <w:tcW w:w="845" w:type="pct"/>
            <w:tcBorders>
              <w:top w:val="nil"/>
              <w:left w:val="single" w:sz="4" w:space="0" w:color="auto"/>
              <w:bottom w:val="single" w:sz="4" w:space="0" w:color="auto"/>
              <w:right w:val="single" w:sz="4" w:space="0" w:color="auto"/>
            </w:tcBorders>
            <w:noWrap/>
            <w:vAlign w:val="bottom"/>
            <w:hideMark/>
          </w:tcPr>
          <w:p w14:paraId="11D0C72B"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20-39</w:t>
            </w:r>
          </w:p>
        </w:tc>
        <w:tc>
          <w:tcPr>
            <w:tcW w:w="591" w:type="pct"/>
            <w:tcBorders>
              <w:top w:val="nil"/>
              <w:left w:val="nil"/>
              <w:bottom w:val="single" w:sz="4" w:space="0" w:color="auto"/>
              <w:right w:val="single" w:sz="4" w:space="0" w:color="auto"/>
            </w:tcBorders>
            <w:noWrap/>
            <w:vAlign w:val="bottom"/>
            <w:hideMark/>
          </w:tcPr>
          <w:p w14:paraId="11756755"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52,500</w:t>
            </w:r>
          </w:p>
        </w:tc>
        <w:tc>
          <w:tcPr>
            <w:tcW w:w="577" w:type="pct"/>
            <w:tcBorders>
              <w:top w:val="nil"/>
              <w:left w:val="nil"/>
              <w:bottom w:val="single" w:sz="4" w:space="0" w:color="auto"/>
              <w:right w:val="single" w:sz="4" w:space="0" w:color="auto"/>
            </w:tcBorders>
            <w:noWrap/>
            <w:vAlign w:val="bottom"/>
            <w:hideMark/>
          </w:tcPr>
          <w:p w14:paraId="6009EFE2"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1,975 (3.76%)</w:t>
            </w:r>
          </w:p>
        </w:tc>
        <w:tc>
          <w:tcPr>
            <w:tcW w:w="563" w:type="pct"/>
            <w:tcBorders>
              <w:top w:val="nil"/>
              <w:left w:val="nil"/>
              <w:bottom w:val="single" w:sz="4" w:space="0" w:color="auto"/>
              <w:right w:val="single" w:sz="4" w:space="0" w:color="auto"/>
            </w:tcBorders>
            <w:noWrap/>
            <w:vAlign w:val="bottom"/>
            <w:hideMark/>
          </w:tcPr>
          <w:p w14:paraId="7844A04B"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80 (4.05%)</w:t>
            </w:r>
          </w:p>
        </w:tc>
        <w:tc>
          <w:tcPr>
            <w:tcW w:w="433" w:type="pct"/>
            <w:tcBorders>
              <w:top w:val="nil"/>
              <w:left w:val="nil"/>
              <w:bottom w:val="single" w:sz="4" w:space="0" w:color="auto"/>
              <w:right w:val="single" w:sz="4" w:space="0" w:color="auto"/>
            </w:tcBorders>
            <w:noWrap/>
            <w:vAlign w:val="bottom"/>
            <w:hideMark/>
          </w:tcPr>
          <w:p w14:paraId="7BC64C5D"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74 (92.50%)</w:t>
            </w:r>
          </w:p>
        </w:tc>
        <w:tc>
          <w:tcPr>
            <w:tcW w:w="478" w:type="pct"/>
            <w:tcBorders>
              <w:top w:val="nil"/>
              <w:left w:val="nil"/>
              <w:bottom w:val="single" w:sz="4" w:space="0" w:color="auto"/>
              <w:right w:val="single" w:sz="4" w:space="0" w:color="auto"/>
            </w:tcBorders>
            <w:noWrap/>
            <w:vAlign w:val="bottom"/>
            <w:hideMark/>
          </w:tcPr>
          <w:p w14:paraId="016C7404"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37 (50.00%)</w:t>
            </w:r>
          </w:p>
        </w:tc>
        <w:tc>
          <w:tcPr>
            <w:tcW w:w="478" w:type="pct"/>
            <w:tcBorders>
              <w:top w:val="nil"/>
              <w:left w:val="nil"/>
              <w:bottom w:val="single" w:sz="4" w:space="0" w:color="auto"/>
              <w:right w:val="single" w:sz="4" w:space="0" w:color="auto"/>
            </w:tcBorders>
            <w:noWrap/>
            <w:vAlign w:val="bottom"/>
            <w:hideMark/>
          </w:tcPr>
          <w:p w14:paraId="38AB640B"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6 (17.14%)</w:t>
            </w:r>
          </w:p>
        </w:tc>
        <w:tc>
          <w:tcPr>
            <w:tcW w:w="518" w:type="pct"/>
            <w:tcBorders>
              <w:top w:val="nil"/>
              <w:left w:val="nil"/>
              <w:bottom w:val="single" w:sz="4" w:space="0" w:color="auto"/>
              <w:right w:val="single" w:sz="4" w:space="0" w:color="auto"/>
            </w:tcBorders>
            <w:noWrap/>
            <w:vAlign w:val="bottom"/>
            <w:hideMark/>
          </w:tcPr>
          <w:p w14:paraId="2229C261"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6 (100.00%)</w:t>
            </w:r>
          </w:p>
        </w:tc>
        <w:tc>
          <w:tcPr>
            <w:tcW w:w="517" w:type="pct"/>
            <w:tcBorders>
              <w:top w:val="nil"/>
              <w:left w:val="nil"/>
              <w:bottom w:val="single" w:sz="4" w:space="0" w:color="auto"/>
              <w:right w:val="single" w:sz="4" w:space="0" w:color="auto"/>
            </w:tcBorders>
            <w:noWrap/>
            <w:vAlign w:val="bottom"/>
            <w:hideMark/>
          </w:tcPr>
          <w:p w14:paraId="3712D403"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5 (83.33%)</w:t>
            </w:r>
          </w:p>
        </w:tc>
      </w:tr>
      <w:tr w:rsidR="003E126A" w:rsidRPr="003E126A" w14:paraId="6A8D0DF1" w14:textId="77777777" w:rsidTr="00E71FA0">
        <w:trPr>
          <w:trHeight w:val="305"/>
        </w:trPr>
        <w:tc>
          <w:tcPr>
            <w:tcW w:w="845" w:type="pct"/>
            <w:tcBorders>
              <w:top w:val="nil"/>
              <w:left w:val="single" w:sz="4" w:space="0" w:color="auto"/>
              <w:bottom w:val="single" w:sz="4" w:space="0" w:color="auto"/>
              <w:right w:val="single" w:sz="4" w:space="0" w:color="auto"/>
            </w:tcBorders>
            <w:noWrap/>
            <w:vAlign w:val="bottom"/>
            <w:hideMark/>
          </w:tcPr>
          <w:p w14:paraId="377FD8CF"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40-59</w:t>
            </w:r>
          </w:p>
        </w:tc>
        <w:tc>
          <w:tcPr>
            <w:tcW w:w="591" w:type="pct"/>
            <w:tcBorders>
              <w:top w:val="nil"/>
              <w:left w:val="nil"/>
              <w:bottom w:val="single" w:sz="4" w:space="0" w:color="auto"/>
              <w:right w:val="single" w:sz="4" w:space="0" w:color="auto"/>
            </w:tcBorders>
            <w:noWrap/>
            <w:vAlign w:val="bottom"/>
            <w:hideMark/>
          </w:tcPr>
          <w:p w14:paraId="3EAD4475"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52,613</w:t>
            </w:r>
          </w:p>
        </w:tc>
        <w:tc>
          <w:tcPr>
            <w:tcW w:w="577" w:type="pct"/>
            <w:tcBorders>
              <w:top w:val="nil"/>
              <w:left w:val="nil"/>
              <w:bottom w:val="single" w:sz="4" w:space="0" w:color="auto"/>
              <w:right w:val="single" w:sz="4" w:space="0" w:color="auto"/>
            </w:tcBorders>
            <w:noWrap/>
            <w:vAlign w:val="bottom"/>
            <w:hideMark/>
          </w:tcPr>
          <w:p w14:paraId="18280C61"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2,449 (4.65%)</w:t>
            </w:r>
          </w:p>
        </w:tc>
        <w:tc>
          <w:tcPr>
            <w:tcW w:w="563" w:type="pct"/>
            <w:tcBorders>
              <w:top w:val="nil"/>
              <w:left w:val="nil"/>
              <w:bottom w:val="single" w:sz="4" w:space="0" w:color="auto"/>
              <w:right w:val="single" w:sz="4" w:space="0" w:color="auto"/>
            </w:tcBorders>
            <w:noWrap/>
            <w:vAlign w:val="bottom"/>
            <w:hideMark/>
          </w:tcPr>
          <w:p w14:paraId="536FB0D7"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66 (2.69%)</w:t>
            </w:r>
          </w:p>
        </w:tc>
        <w:tc>
          <w:tcPr>
            <w:tcW w:w="433" w:type="pct"/>
            <w:tcBorders>
              <w:top w:val="nil"/>
              <w:left w:val="nil"/>
              <w:bottom w:val="single" w:sz="4" w:space="0" w:color="auto"/>
              <w:right w:val="single" w:sz="4" w:space="0" w:color="auto"/>
            </w:tcBorders>
            <w:noWrap/>
            <w:vAlign w:val="bottom"/>
            <w:hideMark/>
          </w:tcPr>
          <w:p w14:paraId="7EE00C82"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58 (87.88%)</w:t>
            </w:r>
          </w:p>
        </w:tc>
        <w:tc>
          <w:tcPr>
            <w:tcW w:w="478" w:type="pct"/>
            <w:tcBorders>
              <w:top w:val="nil"/>
              <w:left w:val="nil"/>
              <w:bottom w:val="single" w:sz="4" w:space="0" w:color="auto"/>
              <w:right w:val="single" w:sz="4" w:space="0" w:color="auto"/>
            </w:tcBorders>
            <w:noWrap/>
            <w:vAlign w:val="bottom"/>
            <w:hideMark/>
          </w:tcPr>
          <w:p w14:paraId="744CC059"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25 (43.10%)</w:t>
            </w:r>
          </w:p>
        </w:tc>
        <w:tc>
          <w:tcPr>
            <w:tcW w:w="478" w:type="pct"/>
            <w:tcBorders>
              <w:top w:val="nil"/>
              <w:left w:val="nil"/>
              <w:bottom w:val="single" w:sz="4" w:space="0" w:color="auto"/>
              <w:right w:val="single" w:sz="4" w:space="0" w:color="auto"/>
            </w:tcBorders>
            <w:noWrap/>
            <w:vAlign w:val="bottom"/>
            <w:hideMark/>
          </w:tcPr>
          <w:p w14:paraId="3F7C108A"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10 (41.67%)</w:t>
            </w:r>
          </w:p>
        </w:tc>
        <w:tc>
          <w:tcPr>
            <w:tcW w:w="518" w:type="pct"/>
            <w:tcBorders>
              <w:top w:val="nil"/>
              <w:left w:val="nil"/>
              <w:bottom w:val="single" w:sz="4" w:space="0" w:color="auto"/>
              <w:right w:val="single" w:sz="4" w:space="0" w:color="auto"/>
            </w:tcBorders>
            <w:noWrap/>
            <w:vAlign w:val="bottom"/>
            <w:hideMark/>
          </w:tcPr>
          <w:p w14:paraId="159361DE"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9 (100.00%)</w:t>
            </w:r>
          </w:p>
        </w:tc>
        <w:tc>
          <w:tcPr>
            <w:tcW w:w="517" w:type="pct"/>
            <w:tcBorders>
              <w:top w:val="nil"/>
              <w:left w:val="nil"/>
              <w:bottom w:val="single" w:sz="4" w:space="0" w:color="auto"/>
              <w:right w:val="single" w:sz="4" w:space="0" w:color="auto"/>
            </w:tcBorders>
            <w:noWrap/>
            <w:vAlign w:val="bottom"/>
            <w:hideMark/>
          </w:tcPr>
          <w:p w14:paraId="521E2C0F"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7 (77.78%)</w:t>
            </w:r>
          </w:p>
        </w:tc>
      </w:tr>
      <w:tr w:rsidR="003E126A" w:rsidRPr="003E126A" w14:paraId="03FE3197" w14:textId="77777777" w:rsidTr="00E71FA0">
        <w:trPr>
          <w:trHeight w:val="305"/>
        </w:trPr>
        <w:tc>
          <w:tcPr>
            <w:tcW w:w="845" w:type="pct"/>
            <w:tcBorders>
              <w:top w:val="nil"/>
              <w:left w:val="single" w:sz="4" w:space="0" w:color="auto"/>
              <w:bottom w:val="single" w:sz="4" w:space="0" w:color="auto"/>
              <w:right w:val="single" w:sz="4" w:space="0" w:color="auto"/>
            </w:tcBorders>
            <w:noWrap/>
            <w:vAlign w:val="bottom"/>
            <w:hideMark/>
          </w:tcPr>
          <w:p w14:paraId="405CD63B"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60 and greater</w:t>
            </w:r>
          </w:p>
        </w:tc>
        <w:tc>
          <w:tcPr>
            <w:tcW w:w="591" w:type="pct"/>
            <w:tcBorders>
              <w:top w:val="nil"/>
              <w:left w:val="nil"/>
              <w:bottom w:val="single" w:sz="4" w:space="0" w:color="auto"/>
              <w:right w:val="single" w:sz="4" w:space="0" w:color="auto"/>
            </w:tcBorders>
            <w:noWrap/>
            <w:vAlign w:val="bottom"/>
            <w:hideMark/>
          </w:tcPr>
          <w:p w14:paraId="44935CB1"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47,906</w:t>
            </w:r>
          </w:p>
        </w:tc>
        <w:tc>
          <w:tcPr>
            <w:tcW w:w="577" w:type="pct"/>
            <w:tcBorders>
              <w:top w:val="nil"/>
              <w:left w:val="nil"/>
              <w:bottom w:val="single" w:sz="4" w:space="0" w:color="auto"/>
              <w:right w:val="single" w:sz="4" w:space="0" w:color="auto"/>
            </w:tcBorders>
            <w:noWrap/>
            <w:vAlign w:val="bottom"/>
            <w:hideMark/>
          </w:tcPr>
          <w:p w14:paraId="6457C22C"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2,308 (4.82%)</w:t>
            </w:r>
          </w:p>
        </w:tc>
        <w:tc>
          <w:tcPr>
            <w:tcW w:w="563" w:type="pct"/>
            <w:tcBorders>
              <w:top w:val="nil"/>
              <w:left w:val="nil"/>
              <w:bottom w:val="single" w:sz="4" w:space="0" w:color="auto"/>
              <w:right w:val="single" w:sz="4" w:space="0" w:color="auto"/>
            </w:tcBorders>
            <w:noWrap/>
            <w:vAlign w:val="bottom"/>
            <w:hideMark/>
          </w:tcPr>
          <w:p w14:paraId="15C103F4"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48 (2.08%)</w:t>
            </w:r>
          </w:p>
        </w:tc>
        <w:tc>
          <w:tcPr>
            <w:tcW w:w="433" w:type="pct"/>
            <w:tcBorders>
              <w:top w:val="nil"/>
              <w:left w:val="nil"/>
              <w:bottom w:val="single" w:sz="4" w:space="0" w:color="auto"/>
              <w:right w:val="single" w:sz="4" w:space="0" w:color="auto"/>
            </w:tcBorders>
            <w:noWrap/>
            <w:vAlign w:val="bottom"/>
            <w:hideMark/>
          </w:tcPr>
          <w:p w14:paraId="28C165AF"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43 (89.58%)</w:t>
            </w:r>
          </w:p>
        </w:tc>
        <w:tc>
          <w:tcPr>
            <w:tcW w:w="478" w:type="pct"/>
            <w:tcBorders>
              <w:top w:val="nil"/>
              <w:left w:val="nil"/>
              <w:bottom w:val="single" w:sz="4" w:space="0" w:color="auto"/>
              <w:right w:val="single" w:sz="4" w:space="0" w:color="auto"/>
            </w:tcBorders>
            <w:noWrap/>
            <w:vAlign w:val="bottom"/>
            <w:hideMark/>
          </w:tcPr>
          <w:p w14:paraId="1E66AD56"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16 (37.21%)</w:t>
            </w:r>
          </w:p>
        </w:tc>
        <w:tc>
          <w:tcPr>
            <w:tcW w:w="478" w:type="pct"/>
            <w:tcBorders>
              <w:top w:val="nil"/>
              <w:left w:val="nil"/>
              <w:bottom w:val="single" w:sz="4" w:space="0" w:color="auto"/>
              <w:right w:val="single" w:sz="4" w:space="0" w:color="auto"/>
            </w:tcBorders>
            <w:noWrap/>
            <w:vAlign w:val="bottom"/>
            <w:hideMark/>
          </w:tcPr>
          <w:p w14:paraId="64149003"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10 (62.50%)</w:t>
            </w:r>
          </w:p>
        </w:tc>
        <w:tc>
          <w:tcPr>
            <w:tcW w:w="518" w:type="pct"/>
            <w:tcBorders>
              <w:top w:val="nil"/>
              <w:left w:val="nil"/>
              <w:bottom w:val="single" w:sz="4" w:space="0" w:color="auto"/>
              <w:right w:val="single" w:sz="4" w:space="0" w:color="auto"/>
            </w:tcBorders>
            <w:noWrap/>
            <w:vAlign w:val="bottom"/>
            <w:hideMark/>
          </w:tcPr>
          <w:p w14:paraId="03E59FC8"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10 (100.00%)</w:t>
            </w:r>
          </w:p>
        </w:tc>
        <w:tc>
          <w:tcPr>
            <w:tcW w:w="517" w:type="pct"/>
            <w:tcBorders>
              <w:top w:val="nil"/>
              <w:left w:val="nil"/>
              <w:bottom w:val="single" w:sz="4" w:space="0" w:color="auto"/>
              <w:right w:val="single" w:sz="4" w:space="0" w:color="auto"/>
            </w:tcBorders>
            <w:noWrap/>
            <w:vAlign w:val="bottom"/>
            <w:hideMark/>
          </w:tcPr>
          <w:p w14:paraId="1B2F6339"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9 (90.00%)</w:t>
            </w:r>
          </w:p>
        </w:tc>
      </w:tr>
      <w:tr w:rsidR="003E126A" w:rsidRPr="003E126A" w14:paraId="68104AB9" w14:textId="77777777" w:rsidTr="00E71FA0">
        <w:trPr>
          <w:trHeight w:val="305"/>
        </w:trPr>
        <w:tc>
          <w:tcPr>
            <w:tcW w:w="845" w:type="pct"/>
            <w:tcBorders>
              <w:top w:val="nil"/>
              <w:left w:val="single" w:sz="4" w:space="0" w:color="auto"/>
              <w:bottom w:val="single" w:sz="4" w:space="0" w:color="auto"/>
              <w:right w:val="single" w:sz="4" w:space="0" w:color="auto"/>
            </w:tcBorders>
            <w:noWrap/>
            <w:vAlign w:val="bottom"/>
            <w:hideMark/>
          </w:tcPr>
          <w:p w14:paraId="49C123F4"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591" w:type="pct"/>
            <w:tcBorders>
              <w:top w:val="nil"/>
              <w:left w:val="nil"/>
              <w:bottom w:val="single" w:sz="4" w:space="0" w:color="auto"/>
              <w:right w:val="single" w:sz="4" w:space="0" w:color="auto"/>
            </w:tcBorders>
            <w:noWrap/>
            <w:vAlign w:val="bottom"/>
            <w:hideMark/>
          </w:tcPr>
          <w:p w14:paraId="118D2707"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577" w:type="pct"/>
            <w:tcBorders>
              <w:top w:val="nil"/>
              <w:left w:val="nil"/>
              <w:bottom w:val="single" w:sz="4" w:space="0" w:color="auto"/>
              <w:right w:val="single" w:sz="4" w:space="0" w:color="auto"/>
            </w:tcBorders>
            <w:noWrap/>
            <w:vAlign w:val="bottom"/>
            <w:hideMark/>
          </w:tcPr>
          <w:p w14:paraId="6F1EF3C8"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563" w:type="pct"/>
            <w:tcBorders>
              <w:top w:val="nil"/>
              <w:left w:val="nil"/>
              <w:bottom w:val="single" w:sz="4" w:space="0" w:color="auto"/>
              <w:right w:val="single" w:sz="4" w:space="0" w:color="auto"/>
            </w:tcBorders>
            <w:noWrap/>
            <w:vAlign w:val="bottom"/>
            <w:hideMark/>
          </w:tcPr>
          <w:p w14:paraId="117B415C"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433" w:type="pct"/>
            <w:tcBorders>
              <w:top w:val="nil"/>
              <w:left w:val="nil"/>
              <w:bottom w:val="single" w:sz="4" w:space="0" w:color="auto"/>
              <w:right w:val="single" w:sz="4" w:space="0" w:color="auto"/>
            </w:tcBorders>
            <w:noWrap/>
            <w:vAlign w:val="bottom"/>
            <w:hideMark/>
          </w:tcPr>
          <w:p w14:paraId="40872A15"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478" w:type="pct"/>
            <w:tcBorders>
              <w:top w:val="nil"/>
              <w:left w:val="nil"/>
              <w:bottom w:val="single" w:sz="4" w:space="0" w:color="auto"/>
              <w:right w:val="single" w:sz="4" w:space="0" w:color="auto"/>
            </w:tcBorders>
            <w:noWrap/>
            <w:vAlign w:val="bottom"/>
            <w:hideMark/>
          </w:tcPr>
          <w:p w14:paraId="1C66424B"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478" w:type="pct"/>
            <w:tcBorders>
              <w:top w:val="nil"/>
              <w:left w:val="nil"/>
              <w:bottom w:val="single" w:sz="4" w:space="0" w:color="auto"/>
              <w:right w:val="single" w:sz="4" w:space="0" w:color="auto"/>
            </w:tcBorders>
            <w:noWrap/>
            <w:vAlign w:val="bottom"/>
            <w:hideMark/>
          </w:tcPr>
          <w:p w14:paraId="1A0A08D8"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518" w:type="pct"/>
            <w:tcBorders>
              <w:top w:val="nil"/>
              <w:left w:val="nil"/>
              <w:bottom w:val="single" w:sz="4" w:space="0" w:color="auto"/>
              <w:right w:val="single" w:sz="4" w:space="0" w:color="auto"/>
            </w:tcBorders>
            <w:noWrap/>
            <w:vAlign w:val="bottom"/>
            <w:hideMark/>
          </w:tcPr>
          <w:p w14:paraId="0E0218E5"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517" w:type="pct"/>
            <w:tcBorders>
              <w:top w:val="nil"/>
              <w:left w:val="nil"/>
              <w:bottom w:val="single" w:sz="4" w:space="0" w:color="auto"/>
              <w:right w:val="single" w:sz="4" w:space="0" w:color="auto"/>
            </w:tcBorders>
            <w:noWrap/>
            <w:vAlign w:val="bottom"/>
            <w:hideMark/>
          </w:tcPr>
          <w:p w14:paraId="0181B52E"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r>
      <w:tr w:rsidR="003E126A" w:rsidRPr="003E126A" w14:paraId="1EB5EF51" w14:textId="77777777" w:rsidTr="00E71FA0">
        <w:trPr>
          <w:trHeight w:val="292"/>
        </w:trPr>
        <w:tc>
          <w:tcPr>
            <w:tcW w:w="845" w:type="pct"/>
            <w:tcBorders>
              <w:top w:val="nil"/>
              <w:left w:val="single" w:sz="4" w:space="0" w:color="auto"/>
              <w:bottom w:val="single" w:sz="4" w:space="0" w:color="auto"/>
              <w:right w:val="single" w:sz="4" w:space="0" w:color="auto"/>
            </w:tcBorders>
            <w:vAlign w:val="bottom"/>
          </w:tcPr>
          <w:p w14:paraId="540F9112"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Black or African American</w:t>
            </w:r>
          </w:p>
        </w:tc>
        <w:tc>
          <w:tcPr>
            <w:tcW w:w="591" w:type="pct"/>
            <w:tcBorders>
              <w:top w:val="nil"/>
              <w:left w:val="nil"/>
              <w:bottom w:val="single" w:sz="4" w:space="0" w:color="auto"/>
              <w:right w:val="single" w:sz="4" w:space="0" w:color="auto"/>
            </w:tcBorders>
            <w:vAlign w:val="bottom"/>
            <w:hideMark/>
          </w:tcPr>
          <w:p w14:paraId="743D3A20"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2,238</w:t>
            </w:r>
          </w:p>
        </w:tc>
        <w:tc>
          <w:tcPr>
            <w:tcW w:w="577" w:type="pct"/>
            <w:tcBorders>
              <w:top w:val="nil"/>
              <w:left w:val="nil"/>
              <w:bottom w:val="single" w:sz="4" w:space="0" w:color="auto"/>
              <w:right w:val="single" w:sz="4" w:space="0" w:color="auto"/>
            </w:tcBorders>
            <w:noWrap/>
            <w:vAlign w:val="bottom"/>
            <w:hideMark/>
          </w:tcPr>
          <w:p w14:paraId="6BEBCE9D"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117 (5.23%)</w:t>
            </w:r>
          </w:p>
        </w:tc>
        <w:tc>
          <w:tcPr>
            <w:tcW w:w="563" w:type="pct"/>
            <w:tcBorders>
              <w:top w:val="nil"/>
              <w:left w:val="nil"/>
              <w:bottom w:val="single" w:sz="4" w:space="0" w:color="auto"/>
              <w:right w:val="single" w:sz="4" w:space="0" w:color="auto"/>
            </w:tcBorders>
            <w:noWrap/>
            <w:vAlign w:val="bottom"/>
            <w:hideMark/>
          </w:tcPr>
          <w:p w14:paraId="506259F1"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9 (7.69%)</w:t>
            </w:r>
          </w:p>
        </w:tc>
        <w:tc>
          <w:tcPr>
            <w:tcW w:w="433" w:type="pct"/>
            <w:tcBorders>
              <w:top w:val="nil"/>
              <w:left w:val="nil"/>
              <w:bottom w:val="single" w:sz="4" w:space="0" w:color="auto"/>
              <w:right w:val="single" w:sz="4" w:space="0" w:color="auto"/>
            </w:tcBorders>
            <w:noWrap/>
            <w:vAlign w:val="bottom"/>
            <w:hideMark/>
          </w:tcPr>
          <w:p w14:paraId="68214498"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7 (77.78%)</w:t>
            </w:r>
          </w:p>
        </w:tc>
        <w:tc>
          <w:tcPr>
            <w:tcW w:w="478" w:type="pct"/>
            <w:tcBorders>
              <w:top w:val="nil"/>
              <w:left w:val="nil"/>
              <w:bottom w:val="single" w:sz="4" w:space="0" w:color="auto"/>
              <w:right w:val="single" w:sz="4" w:space="0" w:color="auto"/>
            </w:tcBorders>
            <w:noWrap/>
            <w:vAlign w:val="bottom"/>
            <w:hideMark/>
          </w:tcPr>
          <w:p w14:paraId="5F517773"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2 (28.57%)</w:t>
            </w:r>
          </w:p>
        </w:tc>
        <w:tc>
          <w:tcPr>
            <w:tcW w:w="478" w:type="pct"/>
            <w:tcBorders>
              <w:top w:val="nil"/>
              <w:left w:val="nil"/>
              <w:bottom w:val="single" w:sz="4" w:space="0" w:color="auto"/>
              <w:right w:val="single" w:sz="4" w:space="0" w:color="auto"/>
            </w:tcBorders>
            <w:noWrap/>
            <w:vAlign w:val="bottom"/>
            <w:hideMark/>
          </w:tcPr>
          <w:p w14:paraId="536056C2"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 (50.00%)</w:t>
            </w:r>
          </w:p>
        </w:tc>
        <w:tc>
          <w:tcPr>
            <w:tcW w:w="518" w:type="pct"/>
            <w:tcBorders>
              <w:top w:val="nil"/>
              <w:left w:val="nil"/>
              <w:bottom w:val="single" w:sz="4" w:space="0" w:color="auto"/>
              <w:right w:val="single" w:sz="4" w:space="0" w:color="auto"/>
            </w:tcBorders>
            <w:noWrap/>
            <w:vAlign w:val="bottom"/>
            <w:hideMark/>
          </w:tcPr>
          <w:p w14:paraId="31ED4477"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 (100.00%)</w:t>
            </w:r>
          </w:p>
        </w:tc>
        <w:tc>
          <w:tcPr>
            <w:tcW w:w="517" w:type="pct"/>
            <w:tcBorders>
              <w:top w:val="nil"/>
              <w:left w:val="nil"/>
              <w:bottom w:val="single" w:sz="4" w:space="0" w:color="auto"/>
              <w:right w:val="single" w:sz="4" w:space="0" w:color="auto"/>
            </w:tcBorders>
            <w:noWrap/>
            <w:vAlign w:val="bottom"/>
            <w:hideMark/>
          </w:tcPr>
          <w:p w14:paraId="766869F6"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 (100.00%)</w:t>
            </w:r>
          </w:p>
        </w:tc>
      </w:tr>
      <w:tr w:rsidR="003E126A" w:rsidRPr="003E126A" w14:paraId="43DE9437" w14:textId="77777777" w:rsidTr="00E71FA0">
        <w:trPr>
          <w:trHeight w:val="305"/>
        </w:trPr>
        <w:tc>
          <w:tcPr>
            <w:tcW w:w="845" w:type="pct"/>
            <w:tcBorders>
              <w:top w:val="nil"/>
              <w:left w:val="single" w:sz="4" w:space="0" w:color="auto"/>
              <w:bottom w:val="single" w:sz="4" w:space="0" w:color="auto"/>
              <w:right w:val="single" w:sz="4" w:space="0" w:color="auto"/>
            </w:tcBorders>
            <w:vAlign w:val="bottom"/>
          </w:tcPr>
          <w:p w14:paraId="44AAADF3"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Other</w:t>
            </w:r>
          </w:p>
        </w:tc>
        <w:tc>
          <w:tcPr>
            <w:tcW w:w="591" w:type="pct"/>
            <w:tcBorders>
              <w:top w:val="nil"/>
              <w:left w:val="nil"/>
              <w:bottom w:val="single" w:sz="4" w:space="0" w:color="auto"/>
              <w:right w:val="single" w:sz="4" w:space="0" w:color="auto"/>
            </w:tcBorders>
            <w:vAlign w:val="bottom"/>
            <w:hideMark/>
          </w:tcPr>
          <w:p w14:paraId="62E00D9B"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2,037</w:t>
            </w:r>
          </w:p>
        </w:tc>
        <w:tc>
          <w:tcPr>
            <w:tcW w:w="577" w:type="pct"/>
            <w:tcBorders>
              <w:top w:val="nil"/>
              <w:left w:val="nil"/>
              <w:bottom w:val="single" w:sz="4" w:space="0" w:color="auto"/>
              <w:right w:val="single" w:sz="4" w:space="0" w:color="auto"/>
            </w:tcBorders>
            <w:noWrap/>
            <w:vAlign w:val="bottom"/>
            <w:hideMark/>
          </w:tcPr>
          <w:p w14:paraId="4876D457"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131 (6.43%)</w:t>
            </w:r>
          </w:p>
        </w:tc>
        <w:tc>
          <w:tcPr>
            <w:tcW w:w="563" w:type="pct"/>
            <w:tcBorders>
              <w:top w:val="nil"/>
              <w:left w:val="nil"/>
              <w:bottom w:val="single" w:sz="4" w:space="0" w:color="auto"/>
              <w:right w:val="single" w:sz="4" w:space="0" w:color="auto"/>
            </w:tcBorders>
            <w:noWrap/>
            <w:vAlign w:val="bottom"/>
            <w:hideMark/>
          </w:tcPr>
          <w:p w14:paraId="11BCF010"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3 (2.29%)</w:t>
            </w:r>
          </w:p>
        </w:tc>
        <w:tc>
          <w:tcPr>
            <w:tcW w:w="433" w:type="pct"/>
            <w:tcBorders>
              <w:top w:val="nil"/>
              <w:left w:val="nil"/>
              <w:bottom w:val="single" w:sz="4" w:space="0" w:color="auto"/>
              <w:right w:val="single" w:sz="4" w:space="0" w:color="auto"/>
            </w:tcBorders>
            <w:noWrap/>
            <w:vAlign w:val="bottom"/>
            <w:hideMark/>
          </w:tcPr>
          <w:p w14:paraId="18526337"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3 (100.00%)</w:t>
            </w:r>
          </w:p>
        </w:tc>
        <w:tc>
          <w:tcPr>
            <w:tcW w:w="478" w:type="pct"/>
            <w:tcBorders>
              <w:top w:val="nil"/>
              <w:left w:val="nil"/>
              <w:bottom w:val="single" w:sz="4" w:space="0" w:color="auto"/>
              <w:right w:val="single" w:sz="4" w:space="0" w:color="auto"/>
            </w:tcBorders>
            <w:noWrap/>
            <w:vAlign w:val="bottom"/>
            <w:hideMark/>
          </w:tcPr>
          <w:p w14:paraId="2BB500CF"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3 (100.00%)</w:t>
            </w:r>
          </w:p>
        </w:tc>
        <w:tc>
          <w:tcPr>
            <w:tcW w:w="478" w:type="pct"/>
            <w:tcBorders>
              <w:top w:val="nil"/>
              <w:left w:val="nil"/>
              <w:bottom w:val="single" w:sz="4" w:space="0" w:color="auto"/>
              <w:right w:val="single" w:sz="4" w:space="0" w:color="auto"/>
            </w:tcBorders>
            <w:noWrap/>
            <w:vAlign w:val="bottom"/>
            <w:hideMark/>
          </w:tcPr>
          <w:p w14:paraId="59ECD825"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3 (100.00%)</w:t>
            </w:r>
          </w:p>
        </w:tc>
        <w:tc>
          <w:tcPr>
            <w:tcW w:w="518" w:type="pct"/>
            <w:tcBorders>
              <w:top w:val="nil"/>
              <w:left w:val="nil"/>
              <w:bottom w:val="single" w:sz="4" w:space="0" w:color="auto"/>
              <w:right w:val="single" w:sz="4" w:space="0" w:color="auto"/>
            </w:tcBorders>
            <w:noWrap/>
            <w:vAlign w:val="bottom"/>
            <w:hideMark/>
          </w:tcPr>
          <w:p w14:paraId="6E2CE033"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3 (100.00%)</w:t>
            </w:r>
          </w:p>
        </w:tc>
        <w:tc>
          <w:tcPr>
            <w:tcW w:w="517" w:type="pct"/>
            <w:tcBorders>
              <w:top w:val="nil"/>
              <w:left w:val="nil"/>
              <w:bottom w:val="single" w:sz="4" w:space="0" w:color="auto"/>
              <w:right w:val="single" w:sz="4" w:space="0" w:color="auto"/>
            </w:tcBorders>
            <w:noWrap/>
            <w:vAlign w:val="bottom"/>
            <w:hideMark/>
          </w:tcPr>
          <w:p w14:paraId="4AA1FFC9"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2 (66.67%)</w:t>
            </w:r>
          </w:p>
        </w:tc>
      </w:tr>
      <w:tr w:rsidR="003E126A" w:rsidRPr="003E126A" w14:paraId="310D9572" w14:textId="77777777" w:rsidTr="00E71FA0">
        <w:trPr>
          <w:trHeight w:val="305"/>
        </w:trPr>
        <w:tc>
          <w:tcPr>
            <w:tcW w:w="845" w:type="pct"/>
            <w:tcBorders>
              <w:top w:val="nil"/>
              <w:left w:val="single" w:sz="4" w:space="0" w:color="auto"/>
              <w:bottom w:val="single" w:sz="4" w:space="0" w:color="auto"/>
              <w:right w:val="single" w:sz="4" w:space="0" w:color="auto"/>
            </w:tcBorders>
            <w:vAlign w:val="bottom"/>
          </w:tcPr>
          <w:p w14:paraId="4CE8E5C9"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Unknown race</w:t>
            </w:r>
          </w:p>
        </w:tc>
        <w:tc>
          <w:tcPr>
            <w:tcW w:w="591" w:type="pct"/>
            <w:tcBorders>
              <w:top w:val="nil"/>
              <w:left w:val="nil"/>
              <w:bottom w:val="single" w:sz="4" w:space="0" w:color="auto"/>
              <w:right w:val="single" w:sz="4" w:space="0" w:color="auto"/>
            </w:tcBorders>
            <w:vAlign w:val="bottom"/>
            <w:hideMark/>
          </w:tcPr>
          <w:p w14:paraId="1DC427C3"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3,950</w:t>
            </w:r>
          </w:p>
        </w:tc>
        <w:tc>
          <w:tcPr>
            <w:tcW w:w="577" w:type="pct"/>
            <w:tcBorders>
              <w:top w:val="nil"/>
              <w:left w:val="nil"/>
              <w:bottom w:val="single" w:sz="4" w:space="0" w:color="auto"/>
              <w:right w:val="single" w:sz="4" w:space="0" w:color="auto"/>
            </w:tcBorders>
            <w:noWrap/>
            <w:vAlign w:val="bottom"/>
            <w:hideMark/>
          </w:tcPr>
          <w:p w14:paraId="09363238"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193 (4.89%)</w:t>
            </w:r>
          </w:p>
        </w:tc>
        <w:tc>
          <w:tcPr>
            <w:tcW w:w="563" w:type="pct"/>
            <w:tcBorders>
              <w:top w:val="nil"/>
              <w:left w:val="nil"/>
              <w:bottom w:val="single" w:sz="4" w:space="0" w:color="auto"/>
              <w:right w:val="single" w:sz="4" w:space="0" w:color="auto"/>
            </w:tcBorders>
            <w:noWrap/>
            <w:vAlign w:val="bottom"/>
            <w:hideMark/>
          </w:tcPr>
          <w:p w14:paraId="7F3141AB"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5 (2.59%)</w:t>
            </w:r>
          </w:p>
        </w:tc>
        <w:tc>
          <w:tcPr>
            <w:tcW w:w="433" w:type="pct"/>
            <w:tcBorders>
              <w:top w:val="nil"/>
              <w:left w:val="nil"/>
              <w:bottom w:val="single" w:sz="4" w:space="0" w:color="auto"/>
              <w:right w:val="single" w:sz="4" w:space="0" w:color="auto"/>
            </w:tcBorders>
            <w:noWrap/>
            <w:vAlign w:val="bottom"/>
            <w:hideMark/>
          </w:tcPr>
          <w:p w14:paraId="1FB12739"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5 (100.00%)</w:t>
            </w:r>
          </w:p>
        </w:tc>
        <w:tc>
          <w:tcPr>
            <w:tcW w:w="478" w:type="pct"/>
            <w:tcBorders>
              <w:top w:val="nil"/>
              <w:left w:val="nil"/>
              <w:bottom w:val="single" w:sz="4" w:space="0" w:color="auto"/>
              <w:right w:val="single" w:sz="4" w:space="0" w:color="auto"/>
            </w:tcBorders>
            <w:noWrap/>
            <w:vAlign w:val="bottom"/>
            <w:hideMark/>
          </w:tcPr>
          <w:p w14:paraId="6A3A70F9"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 (20.00%)</w:t>
            </w:r>
          </w:p>
        </w:tc>
        <w:tc>
          <w:tcPr>
            <w:tcW w:w="478" w:type="pct"/>
            <w:tcBorders>
              <w:top w:val="nil"/>
              <w:left w:val="nil"/>
              <w:bottom w:val="single" w:sz="4" w:space="0" w:color="auto"/>
              <w:right w:val="single" w:sz="4" w:space="0" w:color="auto"/>
            </w:tcBorders>
            <w:noWrap/>
            <w:vAlign w:val="bottom"/>
            <w:hideMark/>
          </w:tcPr>
          <w:p w14:paraId="5F0CF44B"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 (100.00%)</w:t>
            </w:r>
          </w:p>
        </w:tc>
        <w:tc>
          <w:tcPr>
            <w:tcW w:w="518" w:type="pct"/>
            <w:tcBorders>
              <w:top w:val="nil"/>
              <w:left w:val="nil"/>
              <w:bottom w:val="single" w:sz="4" w:space="0" w:color="auto"/>
              <w:right w:val="single" w:sz="4" w:space="0" w:color="auto"/>
            </w:tcBorders>
            <w:noWrap/>
            <w:vAlign w:val="bottom"/>
            <w:hideMark/>
          </w:tcPr>
          <w:p w14:paraId="0F04DA69"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NA</w:t>
            </w:r>
          </w:p>
        </w:tc>
        <w:tc>
          <w:tcPr>
            <w:tcW w:w="517" w:type="pct"/>
            <w:tcBorders>
              <w:top w:val="nil"/>
              <w:left w:val="nil"/>
              <w:bottom w:val="single" w:sz="4" w:space="0" w:color="auto"/>
              <w:right w:val="single" w:sz="4" w:space="0" w:color="auto"/>
            </w:tcBorders>
            <w:noWrap/>
            <w:vAlign w:val="bottom"/>
            <w:hideMark/>
          </w:tcPr>
          <w:p w14:paraId="483B969B"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NA</w:t>
            </w:r>
          </w:p>
        </w:tc>
      </w:tr>
      <w:tr w:rsidR="003E126A" w:rsidRPr="003E126A" w14:paraId="5561479D" w14:textId="77777777" w:rsidTr="00E71FA0">
        <w:trPr>
          <w:trHeight w:val="305"/>
        </w:trPr>
        <w:tc>
          <w:tcPr>
            <w:tcW w:w="845" w:type="pct"/>
            <w:tcBorders>
              <w:top w:val="nil"/>
              <w:left w:val="single" w:sz="4" w:space="0" w:color="auto"/>
              <w:bottom w:val="single" w:sz="4" w:space="0" w:color="auto"/>
              <w:right w:val="single" w:sz="4" w:space="0" w:color="auto"/>
            </w:tcBorders>
            <w:vAlign w:val="bottom"/>
          </w:tcPr>
          <w:p w14:paraId="712B07C9"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White or Caucasian</w:t>
            </w:r>
          </w:p>
        </w:tc>
        <w:tc>
          <w:tcPr>
            <w:tcW w:w="591" w:type="pct"/>
            <w:tcBorders>
              <w:top w:val="nil"/>
              <w:left w:val="nil"/>
              <w:bottom w:val="single" w:sz="4" w:space="0" w:color="auto"/>
              <w:right w:val="single" w:sz="4" w:space="0" w:color="auto"/>
            </w:tcBorders>
            <w:vAlign w:val="bottom"/>
            <w:hideMark/>
          </w:tcPr>
          <w:p w14:paraId="1AD68DE7"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153,791</w:t>
            </w:r>
          </w:p>
        </w:tc>
        <w:tc>
          <w:tcPr>
            <w:tcW w:w="577" w:type="pct"/>
            <w:tcBorders>
              <w:top w:val="nil"/>
              <w:left w:val="nil"/>
              <w:bottom w:val="single" w:sz="4" w:space="0" w:color="auto"/>
              <w:right w:val="single" w:sz="4" w:space="0" w:color="auto"/>
            </w:tcBorders>
            <w:noWrap/>
            <w:vAlign w:val="bottom"/>
            <w:hideMark/>
          </w:tcPr>
          <w:p w14:paraId="340E8F57"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6,556 (4.26%)</w:t>
            </w:r>
          </w:p>
        </w:tc>
        <w:tc>
          <w:tcPr>
            <w:tcW w:w="563" w:type="pct"/>
            <w:tcBorders>
              <w:top w:val="nil"/>
              <w:left w:val="nil"/>
              <w:bottom w:val="single" w:sz="4" w:space="0" w:color="auto"/>
              <w:right w:val="single" w:sz="4" w:space="0" w:color="auto"/>
            </w:tcBorders>
            <w:noWrap/>
            <w:vAlign w:val="bottom"/>
            <w:hideMark/>
          </w:tcPr>
          <w:p w14:paraId="2D9DCDD4"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178 (2.72%)</w:t>
            </w:r>
          </w:p>
        </w:tc>
        <w:tc>
          <w:tcPr>
            <w:tcW w:w="433" w:type="pct"/>
            <w:tcBorders>
              <w:top w:val="nil"/>
              <w:left w:val="nil"/>
              <w:bottom w:val="single" w:sz="4" w:space="0" w:color="auto"/>
              <w:right w:val="single" w:sz="4" w:space="0" w:color="auto"/>
            </w:tcBorders>
            <w:noWrap/>
            <w:vAlign w:val="bottom"/>
            <w:hideMark/>
          </w:tcPr>
          <w:p w14:paraId="19EE13F6"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161 (90.45%)</w:t>
            </w:r>
          </w:p>
        </w:tc>
        <w:tc>
          <w:tcPr>
            <w:tcW w:w="478" w:type="pct"/>
            <w:tcBorders>
              <w:top w:val="nil"/>
              <w:left w:val="nil"/>
              <w:bottom w:val="single" w:sz="4" w:space="0" w:color="auto"/>
              <w:right w:val="single" w:sz="4" w:space="0" w:color="auto"/>
            </w:tcBorders>
            <w:noWrap/>
            <w:vAlign w:val="bottom"/>
            <w:hideMark/>
          </w:tcPr>
          <w:p w14:paraId="5D8084F4"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73 (45.34%)</w:t>
            </w:r>
          </w:p>
        </w:tc>
        <w:tc>
          <w:tcPr>
            <w:tcW w:w="478" w:type="pct"/>
            <w:tcBorders>
              <w:top w:val="nil"/>
              <w:left w:val="nil"/>
              <w:bottom w:val="single" w:sz="4" w:space="0" w:color="auto"/>
              <w:right w:val="single" w:sz="4" w:space="0" w:color="auto"/>
            </w:tcBorders>
            <w:noWrap/>
            <w:vAlign w:val="bottom"/>
            <w:hideMark/>
          </w:tcPr>
          <w:p w14:paraId="26797483"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21 (30.00%)</w:t>
            </w:r>
          </w:p>
        </w:tc>
        <w:tc>
          <w:tcPr>
            <w:tcW w:w="518" w:type="pct"/>
            <w:tcBorders>
              <w:top w:val="nil"/>
              <w:left w:val="nil"/>
              <w:bottom w:val="single" w:sz="4" w:space="0" w:color="auto"/>
              <w:right w:val="single" w:sz="4" w:space="0" w:color="auto"/>
            </w:tcBorders>
            <w:noWrap/>
            <w:vAlign w:val="bottom"/>
            <w:hideMark/>
          </w:tcPr>
          <w:p w14:paraId="1C778056"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21 (100.00%)</w:t>
            </w:r>
          </w:p>
        </w:tc>
        <w:tc>
          <w:tcPr>
            <w:tcW w:w="517" w:type="pct"/>
            <w:tcBorders>
              <w:top w:val="nil"/>
              <w:left w:val="nil"/>
              <w:bottom w:val="single" w:sz="4" w:space="0" w:color="auto"/>
              <w:right w:val="single" w:sz="4" w:space="0" w:color="auto"/>
            </w:tcBorders>
            <w:noWrap/>
            <w:vAlign w:val="bottom"/>
            <w:hideMark/>
          </w:tcPr>
          <w:p w14:paraId="2F83264E"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18 (85.71%)</w:t>
            </w:r>
          </w:p>
        </w:tc>
      </w:tr>
      <w:tr w:rsidR="003E126A" w:rsidRPr="003E126A" w14:paraId="76A755EF" w14:textId="77777777" w:rsidTr="00E71FA0">
        <w:trPr>
          <w:trHeight w:val="305"/>
        </w:trPr>
        <w:tc>
          <w:tcPr>
            <w:tcW w:w="845" w:type="pct"/>
            <w:tcBorders>
              <w:top w:val="nil"/>
              <w:left w:val="single" w:sz="4" w:space="0" w:color="auto"/>
              <w:bottom w:val="single" w:sz="4" w:space="0" w:color="auto"/>
              <w:right w:val="single" w:sz="4" w:space="0" w:color="auto"/>
            </w:tcBorders>
            <w:hideMark/>
          </w:tcPr>
          <w:p w14:paraId="1005449B"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591" w:type="pct"/>
            <w:tcBorders>
              <w:top w:val="nil"/>
              <w:left w:val="nil"/>
              <w:bottom w:val="single" w:sz="4" w:space="0" w:color="auto"/>
              <w:right w:val="single" w:sz="4" w:space="0" w:color="auto"/>
            </w:tcBorders>
            <w:vAlign w:val="bottom"/>
            <w:hideMark/>
          </w:tcPr>
          <w:p w14:paraId="3525975F"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577" w:type="pct"/>
            <w:tcBorders>
              <w:top w:val="nil"/>
              <w:left w:val="nil"/>
              <w:bottom w:val="single" w:sz="4" w:space="0" w:color="auto"/>
              <w:right w:val="single" w:sz="4" w:space="0" w:color="auto"/>
            </w:tcBorders>
            <w:noWrap/>
            <w:vAlign w:val="bottom"/>
            <w:hideMark/>
          </w:tcPr>
          <w:p w14:paraId="7E2CDFAA"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563" w:type="pct"/>
            <w:tcBorders>
              <w:top w:val="nil"/>
              <w:left w:val="nil"/>
              <w:bottom w:val="single" w:sz="4" w:space="0" w:color="auto"/>
              <w:right w:val="single" w:sz="4" w:space="0" w:color="auto"/>
            </w:tcBorders>
            <w:noWrap/>
            <w:vAlign w:val="bottom"/>
            <w:hideMark/>
          </w:tcPr>
          <w:p w14:paraId="1A8D79E4"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433" w:type="pct"/>
            <w:tcBorders>
              <w:top w:val="nil"/>
              <w:left w:val="nil"/>
              <w:bottom w:val="single" w:sz="4" w:space="0" w:color="auto"/>
              <w:right w:val="single" w:sz="4" w:space="0" w:color="auto"/>
            </w:tcBorders>
            <w:noWrap/>
            <w:vAlign w:val="bottom"/>
            <w:hideMark/>
          </w:tcPr>
          <w:p w14:paraId="4089E057"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478" w:type="pct"/>
            <w:tcBorders>
              <w:top w:val="nil"/>
              <w:left w:val="nil"/>
              <w:bottom w:val="single" w:sz="4" w:space="0" w:color="auto"/>
              <w:right w:val="single" w:sz="4" w:space="0" w:color="auto"/>
            </w:tcBorders>
            <w:noWrap/>
            <w:vAlign w:val="bottom"/>
            <w:hideMark/>
          </w:tcPr>
          <w:p w14:paraId="04705282"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478" w:type="pct"/>
            <w:tcBorders>
              <w:top w:val="nil"/>
              <w:left w:val="nil"/>
              <w:bottom w:val="single" w:sz="4" w:space="0" w:color="auto"/>
              <w:right w:val="single" w:sz="4" w:space="0" w:color="auto"/>
            </w:tcBorders>
            <w:noWrap/>
            <w:vAlign w:val="bottom"/>
            <w:hideMark/>
          </w:tcPr>
          <w:p w14:paraId="641A0417"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518" w:type="pct"/>
            <w:tcBorders>
              <w:top w:val="nil"/>
              <w:left w:val="nil"/>
              <w:bottom w:val="single" w:sz="4" w:space="0" w:color="auto"/>
              <w:right w:val="single" w:sz="4" w:space="0" w:color="auto"/>
            </w:tcBorders>
            <w:noWrap/>
            <w:vAlign w:val="bottom"/>
            <w:hideMark/>
          </w:tcPr>
          <w:p w14:paraId="551BCF67"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c>
          <w:tcPr>
            <w:tcW w:w="517" w:type="pct"/>
            <w:tcBorders>
              <w:top w:val="nil"/>
              <w:left w:val="nil"/>
              <w:bottom w:val="single" w:sz="4" w:space="0" w:color="auto"/>
              <w:right w:val="single" w:sz="4" w:space="0" w:color="auto"/>
            </w:tcBorders>
            <w:noWrap/>
            <w:vAlign w:val="bottom"/>
            <w:hideMark/>
          </w:tcPr>
          <w:p w14:paraId="26F09596"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 </w:t>
            </w:r>
          </w:p>
        </w:tc>
      </w:tr>
      <w:tr w:rsidR="003E126A" w:rsidRPr="003E126A" w14:paraId="587F31CB" w14:textId="77777777" w:rsidTr="00E71FA0">
        <w:trPr>
          <w:trHeight w:val="305"/>
        </w:trPr>
        <w:tc>
          <w:tcPr>
            <w:tcW w:w="845" w:type="pct"/>
            <w:tcBorders>
              <w:top w:val="nil"/>
              <w:left w:val="single" w:sz="4" w:space="0" w:color="auto"/>
              <w:bottom w:val="single" w:sz="4" w:space="0" w:color="auto"/>
              <w:right w:val="single" w:sz="4" w:space="0" w:color="auto"/>
            </w:tcBorders>
            <w:hideMark/>
          </w:tcPr>
          <w:p w14:paraId="0C98A5BE"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Hispanic</w:t>
            </w:r>
          </w:p>
        </w:tc>
        <w:tc>
          <w:tcPr>
            <w:tcW w:w="591" w:type="pct"/>
            <w:tcBorders>
              <w:top w:val="nil"/>
              <w:left w:val="nil"/>
              <w:bottom w:val="single" w:sz="4" w:space="0" w:color="auto"/>
              <w:right w:val="single" w:sz="4" w:space="0" w:color="auto"/>
            </w:tcBorders>
            <w:vAlign w:val="bottom"/>
            <w:hideMark/>
          </w:tcPr>
          <w:p w14:paraId="571B1D80"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1,881</w:t>
            </w:r>
          </w:p>
        </w:tc>
        <w:tc>
          <w:tcPr>
            <w:tcW w:w="577" w:type="pct"/>
            <w:tcBorders>
              <w:top w:val="nil"/>
              <w:left w:val="nil"/>
              <w:bottom w:val="single" w:sz="4" w:space="0" w:color="auto"/>
              <w:right w:val="single" w:sz="4" w:space="0" w:color="auto"/>
            </w:tcBorders>
            <w:noWrap/>
            <w:vAlign w:val="bottom"/>
            <w:hideMark/>
          </w:tcPr>
          <w:p w14:paraId="4647892C"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98 (5.21%)</w:t>
            </w:r>
          </w:p>
        </w:tc>
        <w:tc>
          <w:tcPr>
            <w:tcW w:w="563" w:type="pct"/>
            <w:tcBorders>
              <w:top w:val="nil"/>
              <w:left w:val="nil"/>
              <w:bottom w:val="single" w:sz="4" w:space="0" w:color="auto"/>
              <w:right w:val="single" w:sz="4" w:space="0" w:color="auto"/>
            </w:tcBorders>
            <w:noWrap/>
            <w:vAlign w:val="bottom"/>
            <w:hideMark/>
          </w:tcPr>
          <w:p w14:paraId="41663660"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4 (4.08%)</w:t>
            </w:r>
          </w:p>
        </w:tc>
        <w:tc>
          <w:tcPr>
            <w:tcW w:w="433" w:type="pct"/>
            <w:tcBorders>
              <w:top w:val="nil"/>
              <w:left w:val="nil"/>
              <w:bottom w:val="single" w:sz="4" w:space="0" w:color="auto"/>
              <w:right w:val="single" w:sz="4" w:space="0" w:color="auto"/>
            </w:tcBorders>
            <w:noWrap/>
            <w:vAlign w:val="bottom"/>
            <w:hideMark/>
          </w:tcPr>
          <w:p w14:paraId="0940CF1B"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4 (100.00%)</w:t>
            </w:r>
          </w:p>
        </w:tc>
        <w:tc>
          <w:tcPr>
            <w:tcW w:w="478" w:type="pct"/>
            <w:tcBorders>
              <w:top w:val="nil"/>
              <w:left w:val="nil"/>
              <w:bottom w:val="single" w:sz="4" w:space="0" w:color="auto"/>
              <w:right w:val="single" w:sz="4" w:space="0" w:color="auto"/>
            </w:tcBorders>
            <w:noWrap/>
            <w:vAlign w:val="bottom"/>
            <w:hideMark/>
          </w:tcPr>
          <w:p w14:paraId="1655E433"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3 (75.00%)</w:t>
            </w:r>
          </w:p>
        </w:tc>
        <w:tc>
          <w:tcPr>
            <w:tcW w:w="478" w:type="pct"/>
            <w:tcBorders>
              <w:top w:val="nil"/>
              <w:left w:val="nil"/>
              <w:bottom w:val="single" w:sz="4" w:space="0" w:color="auto"/>
              <w:right w:val="single" w:sz="4" w:space="0" w:color="auto"/>
            </w:tcBorders>
            <w:noWrap/>
            <w:vAlign w:val="bottom"/>
            <w:hideMark/>
          </w:tcPr>
          <w:p w14:paraId="78204480"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 (33.33%)</w:t>
            </w:r>
          </w:p>
        </w:tc>
        <w:tc>
          <w:tcPr>
            <w:tcW w:w="518" w:type="pct"/>
            <w:tcBorders>
              <w:top w:val="nil"/>
              <w:left w:val="nil"/>
              <w:bottom w:val="single" w:sz="4" w:space="0" w:color="auto"/>
              <w:right w:val="single" w:sz="4" w:space="0" w:color="auto"/>
            </w:tcBorders>
            <w:noWrap/>
            <w:vAlign w:val="bottom"/>
            <w:hideMark/>
          </w:tcPr>
          <w:p w14:paraId="08F0E9C0"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 (100.00%)</w:t>
            </w:r>
          </w:p>
        </w:tc>
        <w:tc>
          <w:tcPr>
            <w:tcW w:w="517" w:type="pct"/>
            <w:tcBorders>
              <w:top w:val="nil"/>
              <w:left w:val="nil"/>
              <w:bottom w:val="single" w:sz="4" w:space="0" w:color="auto"/>
              <w:right w:val="single" w:sz="4" w:space="0" w:color="auto"/>
            </w:tcBorders>
            <w:noWrap/>
            <w:vAlign w:val="bottom"/>
            <w:hideMark/>
          </w:tcPr>
          <w:p w14:paraId="1D4418FC"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 (100.00%)</w:t>
            </w:r>
          </w:p>
        </w:tc>
      </w:tr>
      <w:tr w:rsidR="003E126A" w:rsidRPr="003E126A" w14:paraId="490CFAE5" w14:textId="77777777" w:rsidTr="00E71FA0">
        <w:trPr>
          <w:trHeight w:val="305"/>
        </w:trPr>
        <w:tc>
          <w:tcPr>
            <w:tcW w:w="845" w:type="pct"/>
            <w:tcBorders>
              <w:top w:val="nil"/>
              <w:left w:val="single" w:sz="4" w:space="0" w:color="auto"/>
              <w:bottom w:val="single" w:sz="4" w:space="0" w:color="auto"/>
              <w:right w:val="single" w:sz="4" w:space="0" w:color="auto"/>
            </w:tcBorders>
            <w:hideMark/>
          </w:tcPr>
          <w:p w14:paraId="22A62612"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Non-Hispanic</w:t>
            </w:r>
          </w:p>
        </w:tc>
        <w:tc>
          <w:tcPr>
            <w:tcW w:w="591" w:type="pct"/>
            <w:tcBorders>
              <w:top w:val="nil"/>
              <w:left w:val="nil"/>
              <w:bottom w:val="single" w:sz="4" w:space="0" w:color="auto"/>
              <w:right w:val="single" w:sz="4" w:space="0" w:color="auto"/>
            </w:tcBorders>
            <w:vAlign w:val="bottom"/>
            <w:hideMark/>
          </w:tcPr>
          <w:p w14:paraId="5B0F348A"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127,199</w:t>
            </w:r>
          </w:p>
        </w:tc>
        <w:tc>
          <w:tcPr>
            <w:tcW w:w="577" w:type="pct"/>
            <w:tcBorders>
              <w:top w:val="nil"/>
              <w:left w:val="nil"/>
              <w:bottom w:val="single" w:sz="4" w:space="0" w:color="auto"/>
              <w:right w:val="single" w:sz="4" w:space="0" w:color="auto"/>
            </w:tcBorders>
            <w:noWrap/>
            <w:vAlign w:val="bottom"/>
            <w:hideMark/>
          </w:tcPr>
          <w:p w14:paraId="715F6E38"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5,280 (4.15%)</w:t>
            </w:r>
          </w:p>
        </w:tc>
        <w:tc>
          <w:tcPr>
            <w:tcW w:w="563" w:type="pct"/>
            <w:tcBorders>
              <w:top w:val="nil"/>
              <w:left w:val="nil"/>
              <w:bottom w:val="single" w:sz="4" w:space="0" w:color="auto"/>
              <w:right w:val="single" w:sz="4" w:space="0" w:color="auto"/>
            </w:tcBorders>
            <w:noWrap/>
            <w:vAlign w:val="bottom"/>
            <w:hideMark/>
          </w:tcPr>
          <w:p w14:paraId="75143D3F"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150 (2.84%)</w:t>
            </w:r>
          </w:p>
        </w:tc>
        <w:tc>
          <w:tcPr>
            <w:tcW w:w="433" w:type="pct"/>
            <w:tcBorders>
              <w:top w:val="nil"/>
              <w:left w:val="nil"/>
              <w:bottom w:val="single" w:sz="4" w:space="0" w:color="auto"/>
              <w:right w:val="single" w:sz="4" w:space="0" w:color="auto"/>
            </w:tcBorders>
            <w:noWrap/>
            <w:vAlign w:val="bottom"/>
            <w:hideMark/>
          </w:tcPr>
          <w:p w14:paraId="247E911A"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134 (89.33%)</w:t>
            </w:r>
          </w:p>
        </w:tc>
        <w:tc>
          <w:tcPr>
            <w:tcW w:w="478" w:type="pct"/>
            <w:tcBorders>
              <w:top w:val="nil"/>
              <w:left w:val="nil"/>
              <w:bottom w:val="single" w:sz="4" w:space="0" w:color="auto"/>
              <w:right w:val="single" w:sz="4" w:space="0" w:color="auto"/>
            </w:tcBorders>
            <w:noWrap/>
            <w:vAlign w:val="bottom"/>
            <w:hideMark/>
          </w:tcPr>
          <w:p w14:paraId="269145A0"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60 (44.78%)</w:t>
            </w:r>
          </w:p>
        </w:tc>
        <w:tc>
          <w:tcPr>
            <w:tcW w:w="478" w:type="pct"/>
            <w:tcBorders>
              <w:top w:val="nil"/>
              <w:left w:val="nil"/>
              <w:bottom w:val="single" w:sz="4" w:space="0" w:color="auto"/>
              <w:right w:val="single" w:sz="4" w:space="0" w:color="auto"/>
            </w:tcBorders>
            <w:noWrap/>
            <w:vAlign w:val="bottom"/>
            <w:hideMark/>
          </w:tcPr>
          <w:p w14:paraId="2E28C0ED"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17 (29.82%)</w:t>
            </w:r>
          </w:p>
        </w:tc>
        <w:tc>
          <w:tcPr>
            <w:tcW w:w="518" w:type="pct"/>
            <w:tcBorders>
              <w:top w:val="nil"/>
              <w:left w:val="nil"/>
              <w:bottom w:val="single" w:sz="4" w:space="0" w:color="auto"/>
              <w:right w:val="single" w:sz="4" w:space="0" w:color="auto"/>
            </w:tcBorders>
            <w:noWrap/>
            <w:vAlign w:val="bottom"/>
            <w:hideMark/>
          </w:tcPr>
          <w:p w14:paraId="6C7E079B"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17 (100.00%)</w:t>
            </w:r>
          </w:p>
        </w:tc>
        <w:tc>
          <w:tcPr>
            <w:tcW w:w="517" w:type="pct"/>
            <w:tcBorders>
              <w:top w:val="nil"/>
              <w:left w:val="nil"/>
              <w:bottom w:val="single" w:sz="4" w:space="0" w:color="auto"/>
              <w:right w:val="single" w:sz="4" w:space="0" w:color="auto"/>
            </w:tcBorders>
            <w:noWrap/>
            <w:vAlign w:val="bottom"/>
            <w:hideMark/>
          </w:tcPr>
          <w:p w14:paraId="39F6B866"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15 (88.24%)</w:t>
            </w:r>
          </w:p>
        </w:tc>
      </w:tr>
      <w:tr w:rsidR="003E126A" w:rsidRPr="003E126A" w14:paraId="187BD4AC" w14:textId="77777777" w:rsidTr="00E71FA0">
        <w:trPr>
          <w:trHeight w:val="305"/>
        </w:trPr>
        <w:tc>
          <w:tcPr>
            <w:tcW w:w="845" w:type="pct"/>
            <w:tcBorders>
              <w:top w:val="nil"/>
              <w:left w:val="single" w:sz="4" w:space="0" w:color="auto"/>
              <w:bottom w:val="single" w:sz="4" w:space="0" w:color="auto"/>
              <w:right w:val="single" w:sz="4" w:space="0" w:color="auto"/>
            </w:tcBorders>
            <w:hideMark/>
          </w:tcPr>
          <w:p w14:paraId="1201F4DE" w14:textId="77777777" w:rsidR="00722AF5" w:rsidRPr="003E126A" w:rsidRDefault="00722AF5" w:rsidP="00C2055E">
            <w:pPr>
              <w:spacing w:line="240" w:lineRule="auto"/>
              <w:rPr>
                <w:rFonts w:ascii="Calibri" w:eastAsia="Times New Roman" w:hAnsi="Calibri" w:cs="Calibri"/>
                <w:color w:val="000000"/>
                <w:sz w:val="18"/>
                <w:szCs w:val="18"/>
              </w:rPr>
            </w:pPr>
            <w:r w:rsidRPr="003E126A">
              <w:rPr>
                <w:rFonts w:ascii="Calibri" w:eastAsia="Times New Roman" w:hAnsi="Calibri" w:cs="Calibri"/>
                <w:color w:val="000000"/>
                <w:sz w:val="18"/>
                <w:szCs w:val="18"/>
              </w:rPr>
              <w:t>Unknown</w:t>
            </w:r>
          </w:p>
        </w:tc>
        <w:tc>
          <w:tcPr>
            <w:tcW w:w="591" w:type="pct"/>
            <w:tcBorders>
              <w:top w:val="nil"/>
              <w:left w:val="nil"/>
              <w:bottom w:val="single" w:sz="4" w:space="0" w:color="auto"/>
              <w:right w:val="single" w:sz="4" w:space="0" w:color="auto"/>
            </w:tcBorders>
            <w:vAlign w:val="bottom"/>
            <w:hideMark/>
          </w:tcPr>
          <w:p w14:paraId="701B9BAC"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32,936</w:t>
            </w:r>
          </w:p>
        </w:tc>
        <w:tc>
          <w:tcPr>
            <w:tcW w:w="577" w:type="pct"/>
            <w:tcBorders>
              <w:top w:val="nil"/>
              <w:left w:val="nil"/>
              <w:bottom w:val="single" w:sz="4" w:space="0" w:color="auto"/>
              <w:right w:val="single" w:sz="4" w:space="0" w:color="auto"/>
            </w:tcBorders>
            <w:noWrap/>
            <w:vAlign w:val="bottom"/>
            <w:hideMark/>
          </w:tcPr>
          <w:p w14:paraId="6E300A12"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1,619 (4.92%)</w:t>
            </w:r>
          </w:p>
        </w:tc>
        <w:tc>
          <w:tcPr>
            <w:tcW w:w="563" w:type="pct"/>
            <w:tcBorders>
              <w:top w:val="nil"/>
              <w:left w:val="nil"/>
              <w:bottom w:val="single" w:sz="4" w:space="0" w:color="auto"/>
              <w:right w:val="single" w:sz="4" w:space="0" w:color="auto"/>
            </w:tcBorders>
            <w:noWrap/>
            <w:vAlign w:val="bottom"/>
            <w:hideMark/>
          </w:tcPr>
          <w:p w14:paraId="43FF46A8"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41 (2.53%)</w:t>
            </w:r>
          </w:p>
        </w:tc>
        <w:tc>
          <w:tcPr>
            <w:tcW w:w="433" w:type="pct"/>
            <w:tcBorders>
              <w:top w:val="nil"/>
              <w:left w:val="nil"/>
              <w:bottom w:val="single" w:sz="4" w:space="0" w:color="auto"/>
              <w:right w:val="single" w:sz="4" w:space="0" w:color="auto"/>
            </w:tcBorders>
            <w:noWrap/>
            <w:vAlign w:val="bottom"/>
            <w:hideMark/>
          </w:tcPr>
          <w:p w14:paraId="33466716"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38 (92.68%)</w:t>
            </w:r>
          </w:p>
        </w:tc>
        <w:tc>
          <w:tcPr>
            <w:tcW w:w="478" w:type="pct"/>
            <w:tcBorders>
              <w:top w:val="nil"/>
              <w:left w:val="nil"/>
              <w:bottom w:val="single" w:sz="4" w:space="0" w:color="auto"/>
              <w:right w:val="single" w:sz="4" w:space="0" w:color="auto"/>
            </w:tcBorders>
            <w:noWrap/>
            <w:vAlign w:val="bottom"/>
            <w:hideMark/>
          </w:tcPr>
          <w:p w14:paraId="2EED787B"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16 (42.11%)</w:t>
            </w:r>
          </w:p>
        </w:tc>
        <w:tc>
          <w:tcPr>
            <w:tcW w:w="478" w:type="pct"/>
            <w:tcBorders>
              <w:top w:val="nil"/>
              <w:left w:val="nil"/>
              <w:bottom w:val="single" w:sz="4" w:space="0" w:color="auto"/>
              <w:right w:val="single" w:sz="4" w:space="0" w:color="auto"/>
            </w:tcBorders>
            <w:noWrap/>
            <w:vAlign w:val="bottom"/>
            <w:hideMark/>
          </w:tcPr>
          <w:p w14:paraId="6733D714"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8 (50.00%)</w:t>
            </w:r>
          </w:p>
        </w:tc>
        <w:tc>
          <w:tcPr>
            <w:tcW w:w="518" w:type="pct"/>
            <w:tcBorders>
              <w:top w:val="nil"/>
              <w:left w:val="nil"/>
              <w:bottom w:val="single" w:sz="4" w:space="0" w:color="auto"/>
              <w:right w:val="single" w:sz="4" w:space="0" w:color="auto"/>
            </w:tcBorders>
            <w:noWrap/>
            <w:vAlign w:val="bottom"/>
            <w:hideMark/>
          </w:tcPr>
          <w:p w14:paraId="4ACF16A5"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7 (100.00%)</w:t>
            </w:r>
          </w:p>
        </w:tc>
        <w:tc>
          <w:tcPr>
            <w:tcW w:w="517" w:type="pct"/>
            <w:tcBorders>
              <w:top w:val="nil"/>
              <w:left w:val="nil"/>
              <w:bottom w:val="single" w:sz="4" w:space="0" w:color="auto"/>
              <w:right w:val="single" w:sz="4" w:space="0" w:color="auto"/>
            </w:tcBorders>
            <w:noWrap/>
            <w:vAlign w:val="bottom"/>
            <w:hideMark/>
          </w:tcPr>
          <w:p w14:paraId="05A4A5DD" w14:textId="77777777" w:rsidR="00722AF5" w:rsidRPr="003E126A" w:rsidRDefault="00722AF5" w:rsidP="00C2055E">
            <w:pPr>
              <w:spacing w:line="240" w:lineRule="auto"/>
              <w:jc w:val="right"/>
              <w:rPr>
                <w:rFonts w:ascii="Calibri" w:eastAsia="Times New Roman" w:hAnsi="Calibri" w:cs="Calibri"/>
                <w:color w:val="000000"/>
                <w:sz w:val="18"/>
                <w:szCs w:val="18"/>
              </w:rPr>
            </w:pPr>
            <w:r w:rsidRPr="003E126A">
              <w:rPr>
                <w:rFonts w:ascii="Calibri" w:eastAsia="Times New Roman" w:hAnsi="Calibri" w:cs="Calibri"/>
                <w:color w:val="000000"/>
                <w:sz w:val="18"/>
                <w:szCs w:val="18"/>
              </w:rPr>
              <w:t>5 (71.43%)</w:t>
            </w:r>
          </w:p>
        </w:tc>
      </w:tr>
    </w:tbl>
    <w:p w14:paraId="619A859A" w14:textId="0C28E7E8" w:rsidR="00722AF5" w:rsidRPr="00DB3CB7" w:rsidRDefault="00722AF5" w:rsidP="00722AF5">
      <w:pPr>
        <w:rPr>
          <w:rFonts w:ascii="Calibri" w:hAnsi="Calibri" w:cs="Calibri"/>
        </w:rPr>
      </w:pPr>
      <w:r w:rsidRPr="00DB3CB7">
        <w:rPr>
          <w:rFonts w:ascii="Calibri" w:hAnsi="Calibri" w:cs="Calibri"/>
        </w:rPr>
        <w:t>HCV, Hepatitis C virus; DAA, direct-acting antivirals; NA,</w:t>
      </w:r>
      <w:r w:rsidR="003E126A">
        <w:rPr>
          <w:rFonts w:ascii="Calibri" w:hAnsi="Calibri" w:cs="Calibri"/>
        </w:rPr>
        <w:t xml:space="preserve"> </w:t>
      </w:r>
      <w:r w:rsidRPr="00DB3CB7">
        <w:rPr>
          <w:rFonts w:ascii="Calibri" w:hAnsi="Calibri" w:cs="Calibri"/>
        </w:rPr>
        <w:t>not available.</w:t>
      </w:r>
    </w:p>
    <w:p w14:paraId="00044ADA" w14:textId="36E8040D" w:rsidR="00722AF5" w:rsidRPr="00DB3CB7" w:rsidRDefault="00135E12" w:rsidP="00722AF5">
      <w:pPr>
        <w:rPr>
          <w:rFonts w:ascii="Calibri" w:hAnsi="Calibri" w:cs="Calibri"/>
        </w:rPr>
      </w:pPr>
      <w:proofErr w:type="spellStart"/>
      <w:r w:rsidRPr="00135E12">
        <w:rPr>
          <w:rFonts w:ascii="Calibri" w:hAnsi="Calibri" w:cs="Calibri"/>
          <w:vertAlign w:val="superscript"/>
        </w:rPr>
        <w:t>a</w:t>
      </w:r>
      <w:r w:rsidR="00722AF5" w:rsidRPr="00DB3CB7">
        <w:rPr>
          <w:rFonts w:ascii="Calibri" w:hAnsi="Calibri" w:cs="Calibri"/>
        </w:rPr>
        <w:t>N’s</w:t>
      </w:r>
      <w:proofErr w:type="spellEnd"/>
      <w:r w:rsidR="00722AF5" w:rsidRPr="00DB3CB7">
        <w:rPr>
          <w:rFonts w:ascii="Calibri" w:hAnsi="Calibri" w:cs="Calibri"/>
        </w:rPr>
        <w:t xml:space="preserve"> represent the number of individual patients; a single record was selected at random for each individual. </w:t>
      </w:r>
    </w:p>
    <w:p w14:paraId="56BA282F" w14:textId="77777777" w:rsidR="00722AF5" w:rsidRPr="00DB3CB7" w:rsidRDefault="00722AF5">
      <w:pPr>
        <w:rPr>
          <w:rFonts w:ascii="Calibri" w:hAnsi="Calibri" w:cs="Calibri"/>
        </w:rPr>
      </w:pPr>
    </w:p>
    <w:p w14:paraId="6E364ACB" w14:textId="77777777" w:rsidR="00722AF5" w:rsidRPr="00DB3CB7" w:rsidRDefault="00722AF5">
      <w:pPr>
        <w:rPr>
          <w:rFonts w:ascii="Calibri" w:hAnsi="Calibri" w:cs="Calibri"/>
        </w:rPr>
      </w:pPr>
    </w:p>
    <w:p w14:paraId="2C976494" w14:textId="77777777" w:rsidR="00E71FA0" w:rsidRDefault="00E71FA0" w:rsidP="00722AF5">
      <w:pPr>
        <w:pStyle w:val="NoSpacing"/>
        <w:rPr>
          <w:rFonts w:ascii="Calibri" w:hAnsi="Calibri" w:cs="Calibri"/>
          <w:b/>
          <w:bCs/>
          <w:color w:val="000000" w:themeColor="text1"/>
          <w:sz w:val="24"/>
          <w:szCs w:val="24"/>
          <w:lang w:val="en-US"/>
        </w:rPr>
        <w:sectPr w:rsidR="00E71FA0" w:rsidSect="0035545A">
          <w:pgSz w:w="16838" w:h="11906" w:orient="landscape"/>
          <w:pgMar w:top="1440" w:right="1440" w:bottom="1440" w:left="1440" w:header="708" w:footer="708" w:gutter="0"/>
          <w:cols w:space="708"/>
          <w:docGrid w:linePitch="360"/>
        </w:sectPr>
      </w:pPr>
    </w:p>
    <w:p w14:paraId="72C693FF" w14:textId="5ECCACEF" w:rsidR="00722AF5" w:rsidRPr="00DB3CB7" w:rsidRDefault="00722AF5" w:rsidP="00722AF5">
      <w:pPr>
        <w:rPr>
          <w:rFonts w:ascii="Calibri" w:eastAsia="Times New Roman" w:hAnsi="Calibri" w:cs="Calibri"/>
          <w:color w:val="000000" w:themeColor="text1"/>
          <w:sz w:val="24"/>
          <w:szCs w:val="24"/>
          <w:lang w:val="en-US" w:eastAsia="el-GR"/>
        </w:rPr>
      </w:pPr>
      <w:r w:rsidRPr="00DB3CB7">
        <w:rPr>
          <w:rFonts w:ascii="Calibri" w:eastAsia="Times New Roman" w:hAnsi="Calibri" w:cs="Calibri"/>
          <w:b/>
          <w:bCs/>
          <w:color w:val="000000" w:themeColor="text1"/>
          <w:sz w:val="24"/>
          <w:szCs w:val="24"/>
          <w:lang w:val="en-US" w:eastAsia="el-GR"/>
        </w:rPr>
        <w:lastRenderedPageBreak/>
        <w:t xml:space="preserve">Supplementary Table </w:t>
      </w:r>
      <w:r w:rsidR="00AC2A07">
        <w:rPr>
          <w:rFonts w:ascii="Calibri" w:eastAsia="Times New Roman" w:hAnsi="Calibri" w:cs="Calibri"/>
          <w:b/>
          <w:bCs/>
          <w:color w:val="000000" w:themeColor="text1"/>
          <w:sz w:val="24"/>
          <w:szCs w:val="24"/>
          <w:lang w:val="en-US" w:eastAsia="el-GR"/>
        </w:rPr>
        <w:t>2</w:t>
      </w:r>
      <w:r w:rsidRPr="00DB3CB7">
        <w:rPr>
          <w:rFonts w:ascii="Calibri" w:eastAsia="Times New Roman" w:hAnsi="Calibri" w:cs="Calibri"/>
          <w:b/>
          <w:bCs/>
          <w:color w:val="000000" w:themeColor="text1"/>
          <w:sz w:val="24"/>
          <w:szCs w:val="24"/>
          <w:lang w:val="en-US" w:eastAsia="el-GR"/>
        </w:rPr>
        <w:t xml:space="preserve">. </w:t>
      </w:r>
      <w:r w:rsidRPr="00DB3CB7">
        <w:rPr>
          <w:rFonts w:ascii="Calibri" w:hAnsi="Calibri" w:cs="Calibri"/>
          <w:color w:val="000000" w:themeColor="text1"/>
          <w:sz w:val="24"/>
          <w:szCs w:val="24"/>
          <w:lang w:val="en-US"/>
        </w:rPr>
        <w:t>Comparison of the hepatitis C virus care cascade between people with and without opioid use disorder, pooled 2013-2023.</w:t>
      </w:r>
    </w:p>
    <w:p w14:paraId="03360C83" w14:textId="77777777" w:rsidR="00D44F2F" w:rsidRPr="00D44F2F" w:rsidRDefault="00D44F2F">
      <w:pPr>
        <w:spacing w:line="240" w:lineRule="auto"/>
        <w:rPr>
          <w:rFonts w:ascii="Calibri" w:hAnsi="Calibri" w:cs="Calibri"/>
          <w:color w:val="FF0000"/>
          <w:lang w:val="en-US"/>
        </w:rPr>
      </w:pPr>
    </w:p>
    <w:tbl>
      <w:tblPr>
        <w:tblW w:w="8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425"/>
        <w:gridCol w:w="1260"/>
        <w:gridCol w:w="1260"/>
        <w:gridCol w:w="1260"/>
        <w:gridCol w:w="1260"/>
        <w:gridCol w:w="1149"/>
      </w:tblGrid>
      <w:tr w:rsidR="00E71FA0" w:rsidRPr="00DB3CB7" w14:paraId="5EB311CD" w14:textId="77777777" w:rsidTr="00D44F2F">
        <w:trPr>
          <w:trHeight w:val="677"/>
        </w:trPr>
        <w:tc>
          <w:tcPr>
            <w:tcW w:w="2425" w:type="dxa"/>
            <w:noWrap/>
            <w:tcMar>
              <w:top w:w="15" w:type="dxa"/>
              <w:left w:w="15" w:type="dxa"/>
              <w:bottom w:w="0" w:type="dxa"/>
              <w:right w:w="15" w:type="dxa"/>
            </w:tcMar>
            <w:vAlign w:val="bottom"/>
          </w:tcPr>
          <w:p w14:paraId="1ADF1666" w14:textId="77777777" w:rsidR="00E71FA0" w:rsidRPr="00DB3CB7" w:rsidRDefault="00E71FA0" w:rsidP="00374B18">
            <w:pPr>
              <w:spacing w:line="240" w:lineRule="auto"/>
              <w:rPr>
                <w:rFonts w:ascii="Calibri" w:eastAsia="Times New Roman" w:hAnsi="Calibri" w:cs="Calibri"/>
                <w:color w:val="000000" w:themeColor="text1"/>
                <w:lang w:val="en-US" w:eastAsia="el-GR"/>
              </w:rPr>
            </w:pPr>
          </w:p>
        </w:tc>
        <w:tc>
          <w:tcPr>
            <w:tcW w:w="2520" w:type="dxa"/>
            <w:gridSpan w:val="2"/>
          </w:tcPr>
          <w:p w14:paraId="7B6AF6B5" w14:textId="792C7BC4" w:rsidR="00E71FA0" w:rsidRPr="00DB3CB7" w:rsidRDefault="00E71FA0" w:rsidP="00374B18">
            <w:pPr>
              <w:spacing w:line="240" w:lineRule="auto"/>
              <w:jc w:val="center"/>
              <w:rPr>
                <w:rFonts w:ascii="Calibri" w:eastAsia="Times New Roman" w:hAnsi="Calibri" w:cs="Calibri"/>
                <w:b/>
                <w:bCs/>
                <w:color w:val="000000" w:themeColor="text1"/>
                <w:lang w:eastAsia="el-GR"/>
              </w:rPr>
            </w:pPr>
            <w:r w:rsidRPr="00DB3CB7">
              <w:rPr>
                <w:rFonts w:ascii="Calibri" w:eastAsia="Times New Roman" w:hAnsi="Calibri" w:cs="Calibri"/>
                <w:b/>
                <w:bCs/>
                <w:color w:val="000000" w:themeColor="text1"/>
                <w:lang w:eastAsia="el-GR"/>
              </w:rPr>
              <w:t>P</w:t>
            </w:r>
            <w:proofErr w:type="spellStart"/>
            <w:r w:rsidRPr="00DB3CB7">
              <w:rPr>
                <w:rFonts w:ascii="Calibri" w:eastAsia="Times New Roman" w:hAnsi="Calibri" w:cs="Calibri"/>
                <w:b/>
                <w:bCs/>
                <w:color w:val="000000" w:themeColor="text1"/>
                <w:lang w:val="en-US" w:eastAsia="el-GR"/>
              </w:rPr>
              <w:t>eople</w:t>
            </w:r>
            <w:proofErr w:type="spellEnd"/>
            <w:r w:rsidRPr="00DB3CB7">
              <w:rPr>
                <w:rFonts w:ascii="Calibri" w:eastAsia="Times New Roman" w:hAnsi="Calibri" w:cs="Calibri"/>
                <w:b/>
                <w:bCs/>
                <w:color w:val="000000" w:themeColor="text1"/>
                <w:lang w:val="en-US" w:eastAsia="el-GR"/>
              </w:rPr>
              <w:t xml:space="preserve"> with </w:t>
            </w:r>
            <w:r w:rsidRPr="00DB3CB7">
              <w:rPr>
                <w:rFonts w:ascii="Calibri" w:eastAsia="Times New Roman" w:hAnsi="Calibri" w:cs="Calibri"/>
                <w:b/>
                <w:bCs/>
                <w:color w:val="000000" w:themeColor="text1"/>
                <w:lang w:eastAsia="el-GR"/>
              </w:rPr>
              <w:t>OUD (N</w:t>
            </w:r>
            <w:r w:rsidRPr="00E71FA0">
              <w:rPr>
                <w:rFonts w:ascii="Calibri" w:eastAsia="Times New Roman" w:hAnsi="Calibri" w:cs="Calibri"/>
                <w:b/>
                <w:bCs/>
                <w:color w:val="000000" w:themeColor="text1"/>
                <w:vertAlign w:val="superscript"/>
                <w:lang w:eastAsia="el-GR"/>
              </w:rPr>
              <w:t>a</w:t>
            </w:r>
            <w:r w:rsidRPr="00DB3CB7">
              <w:rPr>
                <w:rFonts w:ascii="Calibri" w:eastAsia="Times New Roman" w:hAnsi="Calibri" w:cs="Calibri"/>
                <w:b/>
                <w:bCs/>
                <w:color w:val="000000" w:themeColor="text1"/>
                <w:lang w:eastAsia="el-GR"/>
              </w:rPr>
              <w:t>=</w:t>
            </w:r>
            <w:r>
              <w:rPr>
                <w:rFonts w:ascii="Calibri" w:eastAsia="Times New Roman" w:hAnsi="Calibri" w:cs="Calibri"/>
                <w:b/>
                <w:bCs/>
                <w:color w:val="000000" w:themeColor="text1"/>
                <w:lang w:eastAsia="el-GR"/>
              </w:rPr>
              <w:t>33,583</w:t>
            </w:r>
            <w:r w:rsidRPr="00DB3CB7">
              <w:rPr>
                <w:rFonts w:ascii="Calibri" w:eastAsia="Times New Roman" w:hAnsi="Calibri" w:cs="Calibri"/>
                <w:b/>
                <w:bCs/>
                <w:color w:val="000000" w:themeColor="text1"/>
                <w:lang w:eastAsia="el-GR"/>
              </w:rPr>
              <w:t>)</w:t>
            </w:r>
          </w:p>
        </w:tc>
        <w:tc>
          <w:tcPr>
            <w:tcW w:w="2520" w:type="dxa"/>
            <w:gridSpan w:val="2"/>
          </w:tcPr>
          <w:p w14:paraId="51876BAC" w14:textId="5E20567D" w:rsidR="00E71FA0" w:rsidRPr="00DB3CB7" w:rsidRDefault="00E71FA0" w:rsidP="00374B18">
            <w:pPr>
              <w:spacing w:line="240" w:lineRule="auto"/>
              <w:jc w:val="center"/>
              <w:rPr>
                <w:rFonts w:ascii="Calibri" w:eastAsia="Times New Roman" w:hAnsi="Calibri" w:cs="Calibri"/>
                <w:b/>
                <w:bCs/>
                <w:color w:val="000000" w:themeColor="text1"/>
                <w:lang w:eastAsia="el-GR"/>
              </w:rPr>
            </w:pPr>
            <w:r w:rsidRPr="00DB3CB7">
              <w:rPr>
                <w:rFonts w:ascii="Calibri" w:eastAsia="Times New Roman" w:hAnsi="Calibri" w:cs="Calibri"/>
                <w:b/>
                <w:bCs/>
                <w:color w:val="000000" w:themeColor="text1"/>
                <w:lang w:eastAsia="el-GR"/>
              </w:rPr>
              <w:t>P</w:t>
            </w:r>
            <w:proofErr w:type="spellStart"/>
            <w:r w:rsidRPr="00DB3CB7">
              <w:rPr>
                <w:rFonts w:ascii="Calibri" w:eastAsia="Times New Roman" w:hAnsi="Calibri" w:cs="Calibri"/>
                <w:b/>
                <w:bCs/>
                <w:color w:val="000000" w:themeColor="text1"/>
                <w:lang w:val="en-US" w:eastAsia="el-GR"/>
              </w:rPr>
              <w:t>eople</w:t>
            </w:r>
            <w:proofErr w:type="spellEnd"/>
            <w:r w:rsidRPr="00DB3CB7">
              <w:rPr>
                <w:rFonts w:ascii="Calibri" w:eastAsia="Times New Roman" w:hAnsi="Calibri" w:cs="Calibri"/>
                <w:b/>
                <w:bCs/>
                <w:color w:val="000000" w:themeColor="text1"/>
                <w:lang w:val="en-US" w:eastAsia="el-GR"/>
              </w:rPr>
              <w:t xml:space="preserve"> without </w:t>
            </w:r>
            <w:r w:rsidRPr="00DB3CB7">
              <w:rPr>
                <w:rFonts w:ascii="Calibri" w:eastAsia="Times New Roman" w:hAnsi="Calibri" w:cs="Calibri"/>
                <w:b/>
                <w:bCs/>
                <w:color w:val="000000" w:themeColor="text1"/>
                <w:lang w:eastAsia="el-GR"/>
              </w:rPr>
              <w:t>OUD (N</w:t>
            </w:r>
            <w:r>
              <w:rPr>
                <w:rFonts w:ascii="Calibri" w:eastAsia="Times New Roman" w:hAnsi="Calibri" w:cs="Calibri"/>
                <w:b/>
                <w:bCs/>
                <w:color w:val="000000" w:themeColor="text1"/>
                <w:vertAlign w:val="superscript"/>
                <w:lang w:eastAsia="el-GR"/>
              </w:rPr>
              <w:t>a</w:t>
            </w:r>
            <w:r w:rsidRPr="00DB3CB7">
              <w:rPr>
                <w:rFonts w:ascii="Calibri" w:eastAsia="Times New Roman" w:hAnsi="Calibri" w:cs="Calibri"/>
                <w:b/>
                <w:bCs/>
                <w:color w:val="000000" w:themeColor="text1"/>
                <w:lang w:eastAsia="el-GR"/>
              </w:rPr>
              <w:t>=</w:t>
            </w:r>
            <w:r>
              <w:rPr>
                <w:rFonts w:ascii="Calibri" w:eastAsia="Times New Roman" w:hAnsi="Calibri" w:cs="Calibri"/>
                <w:b/>
                <w:bCs/>
                <w:color w:val="000000" w:themeColor="text1"/>
                <w:lang w:eastAsia="el-GR"/>
              </w:rPr>
              <w:t>765,177</w:t>
            </w:r>
            <w:r w:rsidRPr="00DB3CB7">
              <w:rPr>
                <w:rFonts w:ascii="Calibri" w:eastAsia="Times New Roman" w:hAnsi="Calibri" w:cs="Calibri"/>
                <w:b/>
                <w:bCs/>
                <w:color w:val="000000" w:themeColor="text1"/>
                <w:lang w:eastAsia="el-GR"/>
              </w:rPr>
              <w:t>)</w:t>
            </w:r>
          </w:p>
        </w:tc>
        <w:tc>
          <w:tcPr>
            <w:tcW w:w="1149" w:type="dxa"/>
            <w:noWrap/>
            <w:tcMar>
              <w:top w:w="15" w:type="dxa"/>
              <w:left w:w="15" w:type="dxa"/>
              <w:bottom w:w="0" w:type="dxa"/>
              <w:right w:w="15" w:type="dxa"/>
            </w:tcMar>
            <w:vAlign w:val="bottom"/>
          </w:tcPr>
          <w:p w14:paraId="533A914E" w14:textId="77777777" w:rsidR="00E71FA0" w:rsidRPr="00DB3CB7" w:rsidRDefault="00E71FA0" w:rsidP="00374B18">
            <w:pPr>
              <w:spacing w:line="240" w:lineRule="auto"/>
              <w:jc w:val="center"/>
              <w:rPr>
                <w:rFonts w:ascii="Calibri" w:eastAsia="Times New Roman" w:hAnsi="Calibri" w:cs="Calibri"/>
                <w:b/>
                <w:bCs/>
                <w:color w:val="000000" w:themeColor="text1"/>
                <w:lang w:eastAsia="el-GR"/>
              </w:rPr>
            </w:pPr>
            <w:r w:rsidRPr="00DB3CB7">
              <w:rPr>
                <w:rFonts w:ascii="Calibri" w:eastAsia="Times New Roman" w:hAnsi="Calibri" w:cs="Calibri"/>
                <w:b/>
                <w:bCs/>
                <w:color w:val="000000" w:themeColor="text1"/>
                <w:lang w:eastAsia="el-GR"/>
              </w:rPr>
              <w:t>p-value</w:t>
            </w:r>
          </w:p>
          <w:p w14:paraId="08E545CA" w14:textId="77777777" w:rsidR="00E71FA0" w:rsidRPr="00DB3CB7" w:rsidRDefault="00E71FA0" w:rsidP="00374B18">
            <w:pPr>
              <w:spacing w:line="240" w:lineRule="auto"/>
              <w:rPr>
                <w:rFonts w:ascii="Calibri" w:eastAsia="Times New Roman" w:hAnsi="Calibri" w:cs="Calibri"/>
                <w:b/>
                <w:bCs/>
                <w:color w:val="000000" w:themeColor="text1"/>
                <w:lang w:eastAsia="el-GR"/>
              </w:rPr>
            </w:pPr>
          </w:p>
        </w:tc>
      </w:tr>
      <w:tr w:rsidR="00E71FA0" w:rsidRPr="00DB3CB7" w14:paraId="1D2885CE" w14:textId="77777777" w:rsidTr="00D44F2F">
        <w:trPr>
          <w:trHeight w:val="263"/>
        </w:trPr>
        <w:tc>
          <w:tcPr>
            <w:tcW w:w="2425" w:type="dxa"/>
            <w:noWrap/>
            <w:tcMar>
              <w:top w:w="15" w:type="dxa"/>
              <w:left w:w="15" w:type="dxa"/>
              <w:bottom w:w="0" w:type="dxa"/>
              <w:right w:w="15" w:type="dxa"/>
            </w:tcMar>
            <w:vAlign w:val="center"/>
          </w:tcPr>
          <w:p w14:paraId="16BEC0E3" w14:textId="77777777" w:rsidR="00E71FA0" w:rsidRPr="00DB3CB7" w:rsidRDefault="00E71FA0" w:rsidP="00D44F2F">
            <w:pPr>
              <w:spacing w:line="240" w:lineRule="auto"/>
              <w:jc w:val="center"/>
              <w:rPr>
                <w:rFonts w:ascii="Calibri" w:eastAsia="Times New Roman" w:hAnsi="Calibri" w:cs="Calibri"/>
                <w:color w:val="000000" w:themeColor="text1"/>
                <w:lang w:eastAsia="el-GR"/>
              </w:rPr>
            </w:pPr>
          </w:p>
        </w:tc>
        <w:tc>
          <w:tcPr>
            <w:tcW w:w="1260" w:type="dxa"/>
            <w:vAlign w:val="center"/>
          </w:tcPr>
          <w:p w14:paraId="2EFA8F05" w14:textId="1072D541" w:rsidR="00E71FA0" w:rsidRPr="00555730" w:rsidRDefault="00E71FA0" w:rsidP="00D44F2F">
            <w:pPr>
              <w:spacing w:line="240" w:lineRule="auto"/>
              <w:jc w:val="center"/>
              <w:rPr>
                <w:rFonts w:ascii="Calibri" w:eastAsia="Times New Roman" w:hAnsi="Calibri" w:cs="Calibri"/>
                <w:b/>
                <w:bCs/>
                <w:color w:val="000000" w:themeColor="text1"/>
                <w:vertAlign w:val="superscript"/>
                <w:lang w:eastAsia="el-GR"/>
              </w:rPr>
            </w:pPr>
            <w:r w:rsidRPr="00DB3CB7">
              <w:rPr>
                <w:rFonts w:ascii="Calibri" w:eastAsia="Times New Roman" w:hAnsi="Calibri" w:cs="Calibri"/>
                <w:b/>
                <w:bCs/>
                <w:color w:val="000000" w:themeColor="text1"/>
                <w:lang w:eastAsia="el-GR"/>
              </w:rPr>
              <w:t>N</w:t>
            </w:r>
            <w:r w:rsidR="00555730">
              <w:rPr>
                <w:rFonts w:ascii="Calibri" w:eastAsia="Times New Roman" w:hAnsi="Calibri" w:cs="Calibri"/>
                <w:b/>
                <w:bCs/>
                <w:color w:val="000000" w:themeColor="text1"/>
                <w:vertAlign w:val="superscript"/>
                <w:lang w:eastAsia="el-GR"/>
              </w:rPr>
              <w:t>a</w:t>
            </w:r>
          </w:p>
        </w:tc>
        <w:tc>
          <w:tcPr>
            <w:tcW w:w="1260" w:type="dxa"/>
            <w:vAlign w:val="center"/>
          </w:tcPr>
          <w:p w14:paraId="5D4D8264" w14:textId="28389CFB" w:rsidR="00E71FA0" w:rsidRPr="00DB3CB7" w:rsidRDefault="00D44F2F" w:rsidP="00D44F2F">
            <w:pPr>
              <w:spacing w:line="360" w:lineRule="auto"/>
              <w:jc w:val="center"/>
              <w:rPr>
                <w:rFonts w:ascii="Calibri" w:eastAsia="Times New Roman" w:hAnsi="Calibri" w:cs="Calibri"/>
                <w:b/>
                <w:bCs/>
                <w:color w:val="000000" w:themeColor="text1"/>
                <w:lang w:eastAsia="el-GR"/>
              </w:rPr>
            </w:pPr>
            <w:r>
              <w:rPr>
                <w:rFonts w:ascii="Calibri" w:eastAsia="Times New Roman" w:hAnsi="Calibri" w:cs="Calibri"/>
                <w:b/>
                <w:bCs/>
                <w:color w:val="000000" w:themeColor="text1"/>
                <w:lang w:eastAsia="el-GR"/>
              </w:rPr>
              <w:t>%</w:t>
            </w:r>
          </w:p>
        </w:tc>
        <w:tc>
          <w:tcPr>
            <w:tcW w:w="1260" w:type="dxa"/>
            <w:vAlign w:val="center"/>
          </w:tcPr>
          <w:p w14:paraId="01900C6D" w14:textId="206BDD41" w:rsidR="00E71FA0" w:rsidRPr="00555730" w:rsidRDefault="00E71FA0" w:rsidP="00D44F2F">
            <w:pPr>
              <w:spacing w:line="240" w:lineRule="auto"/>
              <w:jc w:val="center"/>
              <w:rPr>
                <w:rFonts w:ascii="Calibri" w:eastAsia="Times New Roman" w:hAnsi="Calibri" w:cs="Calibri"/>
                <w:b/>
                <w:bCs/>
                <w:color w:val="000000" w:themeColor="text1"/>
                <w:vertAlign w:val="superscript"/>
                <w:lang w:eastAsia="el-GR"/>
              </w:rPr>
            </w:pPr>
            <w:r w:rsidRPr="00DB3CB7">
              <w:rPr>
                <w:rFonts w:ascii="Calibri" w:eastAsia="Times New Roman" w:hAnsi="Calibri" w:cs="Calibri"/>
                <w:b/>
                <w:bCs/>
                <w:color w:val="000000" w:themeColor="text1"/>
                <w:lang w:eastAsia="el-GR"/>
              </w:rPr>
              <w:t>N</w:t>
            </w:r>
            <w:r w:rsidR="00555730">
              <w:rPr>
                <w:rFonts w:ascii="Calibri" w:eastAsia="Times New Roman" w:hAnsi="Calibri" w:cs="Calibri"/>
                <w:b/>
                <w:bCs/>
                <w:color w:val="000000" w:themeColor="text1"/>
                <w:vertAlign w:val="superscript"/>
                <w:lang w:eastAsia="el-GR"/>
              </w:rPr>
              <w:t>a</w:t>
            </w:r>
          </w:p>
        </w:tc>
        <w:tc>
          <w:tcPr>
            <w:tcW w:w="1260" w:type="dxa"/>
            <w:noWrap/>
            <w:tcMar>
              <w:top w:w="15" w:type="dxa"/>
              <w:left w:w="15" w:type="dxa"/>
              <w:bottom w:w="0" w:type="dxa"/>
              <w:right w:w="15" w:type="dxa"/>
            </w:tcMar>
            <w:vAlign w:val="center"/>
          </w:tcPr>
          <w:p w14:paraId="0E3959C3" w14:textId="3FB9E957" w:rsidR="00E71FA0" w:rsidRPr="00DB3CB7" w:rsidRDefault="00E71FA0" w:rsidP="00D44F2F">
            <w:pPr>
              <w:spacing w:line="240" w:lineRule="auto"/>
              <w:jc w:val="center"/>
              <w:rPr>
                <w:rFonts w:ascii="Calibri" w:eastAsia="Times New Roman" w:hAnsi="Calibri" w:cs="Calibri"/>
                <w:b/>
                <w:bCs/>
                <w:color w:val="000000" w:themeColor="text1"/>
                <w:lang w:eastAsia="el-GR"/>
              </w:rPr>
            </w:pPr>
            <w:r w:rsidRPr="00DB3CB7">
              <w:rPr>
                <w:rFonts w:ascii="Calibri" w:eastAsia="Times New Roman" w:hAnsi="Calibri" w:cs="Calibri"/>
                <w:b/>
                <w:bCs/>
                <w:color w:val="000000" w:themeColor="text1"/>
                <w:lang w:eastAsia="el-GR"/>
              </w:rPr>
              <w:t>%</w:t>
            </w:r>
          </w:p>
        </w:tc>
        <w:tc>
          <w:tcPr>
            <w:tcW w:w="1149" w:type="dxa"/>
            <w:noWrap/>
            <w:tcMar>
              <w:top w:w="15" w:type="dxa"/>
              <w:left w:w="15" w:type="dxa"/>
              <w:bottom w:w="0" w:type="dxa"/>
              <w:right w:w="15" w:type="dxa"/>
            </w:tcMar>
            <w:vAlign w:val="center"/>
          </w:tcPr>
          <w:p w14:paraId="49354F1A" w14:textId="77777777" w:rsidR="00E71FA0" w:rsidRPr="00DB3CB7" w:rsidRDefault="00E71FA0" w:rsidP="00D44F2F">
            <w:pPr>
              <w:spacing w:line="240" w:lineRule="auto"/>
              <w:jc w:val="center"/>
              <w:rPr>
                <w:rFonts w:ascii="Calibri" w:eastAsia="Times New Roman" w:hAnsi="Calibri" w:cs="Calibri"/>
                <w:b/>
                <w:bCs/>
                <w:color w:val="000000" w:themeColor="text1"/>
                <w:lang w:eastAsia="el-GR"/>
              </w:rPr>
            </w:pPr>
          </w:p>
        </w:tc>
      </w:tr>
      <w:tr w:rsidR="00E71FA0" w:rsidRPr="00DB3CB7" w14:paraId="798D8B01" w14:textId="77777777" w:rsidTr="00374B18">
        <w:trPr>
          <w:trHeight w:val="231"/>
        </w:trPr>
        <w:tc>
          <w:tcPr>
            <w:tcW w:w="2425" w:type="dxa"/>
            <w:noWrap/>
            <w:tcMar>
              <w:top w:w="15" w:type="dxa"/>
              <w:left w:w="15" w:type="dxa"/>
              <w:bottom w:w="0" w:type="dxa"/>
              <w:right w:w="15" w:type="dxa"/>
            </w:tcMar>
            <w:vAlign w:val="bottom"/>
            <w:hideMark/>
          </w:tcPr>
          <w:p w14:paraId="36A1FA77" w14:textId="77777777" w:rsidR="00E71FA0" w:rsidRPr="00DB3CB7" w:rsidRDefault="00E71FA0" w:rsidP="00374B18">
            <w:pPr>
              <w:spacing w:line="240" w:lineRule="auto"/>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HCV</w:t>
            </w:r>
            <w:r w:rsidRPr="00DB3CB7">
              <w:rPr>
                <w:rFonts w:ascii="Calibri" w:eastAsia="Times New Roman" w:hAnsi="Calibri" w:cs="Calibri"/>
                <w:color w:val="000000" w:themeColor="text1"/>
                <w:lang w:val="en-US" w:eastAsia="el-GR"/>
              </w:rPr>
              <w:t xml:space="preserve"> serologic testing</w:t>
            </w:r>
          </w:p>
        </w:tc>
        <w:tc>
          <w:tcPr>
            <w:tcW w:w="1260" w:type="dxa"/>
          </w:tcPr>
          <w:p w14:paraId="7F127DC5" w14:textId="27CF0858" w:rsidR="00E71FA0" w:rsidRPr="00DB3CB7" w:rsidRDefault="00E71FA0" w:rsidP="00374B18">
            <w:pPr>
              <w:spacing w:line="240" w:lineRule="auto"/>
              <w:jc w:val="center"/>
              <w:rPr>
                <w:rFonts w:ascii="Calibri" w:eastAsia="Times New Roman" w:hAnsi="Calibri" w:cs="Calibri"/>
                <w:color w:val="000000" w:themeColor="text1"/>
                <w:lang w:eastAsia="el-GR"/>
              </w:rPr>
            </w:pPr>
            <w:r>
              <w:rPr>
                <w:rFonts w:ascii="Calibri" w:eastAsia="Times New Roman" w:hAnsi="Calibri" w:cs="Calibri"/>
                <w:color w:val="000000" w:themeColor="text1"/>
                <w:lang w:eastAsia="el-GR"/>
              </w:rPr>
              <w:t>2,796</w:t>
            </w:r>
          </w:p>
        </w:tc>
        <w:tc>
          <w:tcPr>
            <w:tcW w:w="1260" w:type="dxa"/>
          </w:tcPr>
          <w:p w14:paraId="036FE6E8" w14:textId="77777777" w:rsidR="00E71FA0" w:rsidRPr="00DB3CB7" w:rsidRDefault="00E71FA0" w:rsidP="00374B18">
            <w:pPr>
              <w:spacing w:line="240" w:lineRule="auto"/>
              <w:jc w:val="center"/>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8.3</w:t>
            </w:r>
            <w:r>
              <w:rPr>
                <w:rFonts w:ascii="Calibri" w:eastAsia="Times New Roman" w:hAnsi="Calibri" w:cs="Calibri"/>
                <w:color w:val="000000" w:themeColor="text1"/>
                <w:lang w:eastAsia="el-GR"/>
              </w:rPr>
              <w:t>3</w:t>
            </w:r>
          </w:p>
        </w:tc>
        <w:tc>
          <w:tcPr>
            <w:tcW w:w="1260" w:type="dxa"/>
            <w:vAlign w:val="bottom"/>
          </w:tcPr>
          <w:p w14:paraId="76F9FAF7" w14:textId="16AFE99D" w:rsidR="00E71FA0" w:rsidRPr="00DB3CB7" w:rsidRDefault="00E71FA0" w:rsidP="00374B18">
            <w:pPr>
              <w:spacing w:line="240" w:lineRule="auto"/>
              <w:jc w:val="center"/>
              <w:rPr>
                <w:rFonts w:ascii="Calibri" w:eastAsia="Times New Roman" w:hAnsi="Calibri" w:cs="Calibri"/>
                <w:color w:val="000000" w:themeColor="text1"/>
                <w:lang w:eastAsia="el-GR"/>
              </w:rPr>
            </w:pPr>
            <w:r>
              <w:rPr>
                <w:rFonts w:ascii="Calibri" w:eastAsia="Times New Roman" w:hAnsi="Calibri" w:cs="Calibri"/>
                <w:color w:val="000000" w:themeColor="text1"/>
                <w:lang w:eastAsia="el-GR"/>
              </w:rPr>
              <w:t>37,724</w:t>
            </w:r>
          </w:p>
        </w:tc>
        <w:tc>
          <w:tcPr>
            <w:tcW w:w="1260" w:type="dxa"/>
            <w:noWrap/>
            <w:tcMar>
              <w:top w:w="15" w:type="dxa"/>
              <w:left w:w="15" w:type="dxa"/>
              <w:bottom w:w="0" w:type="dxa"/>
              <w:right w:w="15" w:type="dxa"/>
            </w:tcMar>
            <w:vAlign w:val="bottom"/>
          </w:tcPr>
          <w:p w14:paraId="6F1DC7C5" w14:textId="77777777" w:rsidR="00E71FA0" w:rsidRPr="00DB3CB7" w:rsidRDefault="00E71FA0" w:rsidP="00374B18">
            <w:pPr>
              <w:spacing w:line="240" w:lineRule="auto"/>
              <w:jc w:val="center"/>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4.9</w:t>
            </w:r>
            <w:r>
              <w:rPr>
                <w:rFonts w:ascii="Calibri" w:eastAsia="Times New Roman" w:hAnsi="Calibri" w:cs="Calibri"/>
                <w:color w:val="000000" w:themeColor="text1"/>
                <w:lang w:eastAsia="el-GR"/>
              </w:rPr>
              <w:t>3</w:t>
            </w:r>
          </w:p>
        </w:tc>
        <w:tc>
          <w:tcPr>
            <w:tcW w:w="1149" w:type="dxa"/>
            <w:noWrap/>
            <w:tcMar>
              <w:top w:w="15" w:type="dxa"/>
              <w:left w:w="15" w:type="dxa"/>
              <w:bottom w:w="0" w:type="dxa"/>
              <w:right w:w="15" w:type="dxa"/>
            </w:tcMar>
            <w:vAlign w:val="bottom"/>
          </w:tcPr>
          <w:p w14:paraId="6485BC16" w14:textId="77777777" w:rsidR="00E71FA0" w:rsidRPr="00DB3CB7" w:rsidRDefault="00E71FA0" w:rsidP="00374B18">
            <w:pPr>
              <w:spacing w:line="240" w:lineRule="auto"/>
              <w:jc w:val="center"/>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&lt;0.0001</w:t>
            </w:r>
          </w:p>
        </w:tc>
      </w:tr>
      <w:tr w:rsidR="00E71FA0" w:rsidRPr="00DB3CB7" w14:paraId="158ABADB" w14:textId="77777777" w:rsidTr="00374B18">
        <w:trPr>
          <w:trHeight w:val="231"/>
        </w:trPr>
        <w:tc>
          <w:tcPr>
            <w:tcW w:w="2425" w:type="dxa"/>
            <w:noWrap/>
            <w:tcMar>
              <w:top w:w="15" w:type="dxa"/>
              <w:left w:w="15" w:type="dxa"/>
              <w:bottom w:w="0" w:type="dxa"/>
              <w:right w:w="15" w:type="dxa"/>
            </w:tcMar>
            <w:vAlign w:val="bottom"/>
            <w:hideMark/>
          </w:tcPr>
          <w:p w14:paraId="461A9E99" w14:textId="77777777" w:rsidR="00E71FA0" w:rsidRPr="00DB3CB7" w:rsidRDefault="00E71FA0" w:rsidP="00374B18">
            <w:pPr>
              <w:spacing w:line="240" w:lineRule="auto"/>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HCV</w:t>
            </w:r>
            <w:r w:rsidRPr="00DB3CB7">
              <w:rPr>
                <w:rFonts w:ascii="Calibri" w:eastAsia="Times New Roman" w:hAnsi="Calibri" w:cs="Calibri"/>
                <w:color w:val="000000" w:themeColor="text1"/>
                <w:lang w:val="en-US" w:eastAsia="el-GR"/>
              </w:rPr>
              <w:t xml:space="preserve"> seropositive</w:t>
            </w:r>
          </w:p>
        </w:tc>
        <w:tc>
          <w:tcPr>
            <w:tcW w:w="1260" w:type="dxa"/>
          </w:tcPr>
          <w:p w14:paraId="06432987" w14:textId="2009D36E" w:rsidR="00E71FA0" w:rsidRPr="00DB3CB7" w:rsidRDefault="00E71FA0" w:rsidP="00374B18">
            <w:pPr>
              <w:spacing w:line="240" w:lineRule="auto"/>
              <w:jc w:val="center"/>
              <w:rPr>
                <w:rFonts w:ascii="Calibri" w:eastAsia="Times New Roman" w:hAnsi="Calibri" w:cs="Calibri"/>
                <w:color w:val="000000" w:themeColor="text1"/>
                <w:lang w:eastAsia="el-GR"/>
              </w:rPr>
            </w:pPr>
            <w:r>
              <w:rPr>
                <w:rFonts w:ascii="Calibri" w:eastAsia="Times New Roman" w:hAnsi="Calibri" w:cs="Calibri"/>
                <w:color w:val="000000" w:themeColor="text1"/>
                <w:lang w:eastAsia="el-GR"/>
              </w:rPr>
              <w:t>485</w:t>
            </w:r>
          </w:p>
        </w:tc>
        <w:tc>
          <w:tcPr>
            <w:tcW w:w="1260" w:type="dxa"/>
          </w:tcPr>
          <w:p w14:paraId="599CE0A1" w14:textId="3487DD92" w:rsidR="00E71FA0" w:rsidRPr="00DB3CB7" w:rsidRDefault="00E71FA0" w:rsidP="00374B18">
            <w:pPr>
              <w:spacing w:line="240" w:lineRule="auto"/>
              <w:jc w:val="center"/>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17.</w:t>
            </w:r>
            <w:r>
              <w:rPr>
                <w:rFonts w:ascii="Calibri" w:eastAsia="Times New Roman" w:hAnsi="Calibri" w:cs="Calibri"/>
                <w:color w:val="000000" w:themeColor="text1"/>
                <w:lang w:eastAsia="el-GR"/>
              </w:rPr>
              <w:t>35</w:t>
            </w:r>
          </w:p>
        </w:tc>
        <w:tc>
          <w:tcPr>
            <w:tcW w:w="1260" w:type="dxa"/>
            <w:vAlign w:val="bottom"/>
          </w:tcPr>
          <w:p w14:paraId="7262705A" w14:textId="279CAE39" w:rsidR="00E71FA0" w:rsidRPr="00DB3CB7" w:rsidRDefault="00E71FA0" w:rsidP="00374B18">
            <w:pPr>
              <w:spacing w:line="240" w:lineRule="auto"/>
              <w:jc w:val="center"/>
              <w:rPr>
                <w:rFonts w:ascii="Calibri" w:eastAsia="Times New Roman" w:hAnsi="Calibri" w:cs="Calibri"/>
                <w:color w:val="000000" w:themeColor="text1"/>
                <w:lang w:eastAsia="el-GR"/>
              </w:rPr>
            </w:pPr>
            <w:r>
              <w:rPr>
                <w:rFonts w:ascii="Calibri" w:eastAsia="Times New Roman" w:hAnsi="Calibri" w:cs="Calibri"/>
                <w:color w:val="000000" w:themeColor="text1"/>
                <w:lang w:eastAsia="el-GR"/>
              </w:rPr>
              <w:t>575</w:t>
            </w:r>
          </w:p>
        </w:tc>
        <w:tc>
          <w:tcPr>
            <w:tcW w:w="1260" w:type="dxa"/>
            <w:noWrap/>
            <w:tcMar>
              <w:top w:w="15" w:type="dxa"/>
              <w:left w:w="15" w:type="dxa"/>
              <w:bottom w:w="0" w:type="dxa"/>
              <w:right w:w="15" w:type="dxa"/>
            </w:tcMar>
            <w:vAlign w:val="bottom"/>
          </w:tcPr>
          <w:p w14:paraId="457D342A" w14:textId="77777777" w:rsidR="00E71FA0" w:rsidRPr="00DB3CB7" w:rsidRDefault="00E71FA0" w:rsidP="00374B18">
            <w:pPr>
              <w:spacing w:line="240" w:lineRule="auto"/>
              <w:jc w:val="center"/>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1.5</w:t>
            </w:r>
            <w:r>
              <w:rPr>
                <w:rFonts w:ascii="Calibri" w:eastAsia="Times New Roman" w:hAnsi="Calibri" w:cs="Calibri"/>
                <w:color w:val="000000" w:themeColor="text1"/>
                <w:lang w:eastAsia="el-GR"/>
              </w:rPr>
              <w:t>2</w:t>
            </w:r>
          </w:p>
        </w:tc>
        <w:tc>
          <w:tcPr>
            <w:tcW w:w="1149" w:type="dxa"/>
            <w:noWrap/>
            <w:tcMar>
              <w:top w:w="15" w:type="dxa"/>
              <w:left w:w="15" w:type="dxa"/>
              <w:bottom w:w="0" w:type="dxa"/>
              <w:right w:w="15" w:type="dxa"/>
            </w:tcMar>
            <w:vAlign w:val="bottom"/>
          </w:tcPr>
          <w:p w14:paraId="6F4718AE" w14:textId="77777777" w:rsidR="00E71FA0" w:rsidRPr="00DB3CB7" w:rsidRDefault="00E71FA0" w:rsidP="00374B18">
            <w:pPr>
              <w:spacing w:line="240" w:lineRule="auto"/>
              <w:jc w:val="center"/>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&lt;0.0001</w:t>
            </w:r>
          </w:p>
        </w:tc>
      </w:tr>
      <w:tr w:rsidR="00E71FA0" w:rsidRPr="00DB3CB7" w14:paraId="4BBCAB59" w14:textId="77777777" w:rsidTr="00374B18">
        <w:trPr>
          <w:trHeight w:val="231"/>
        </w:trPr>
        <w:tc>
          <w:tcPr>
            <w:tcW w:w="2425" w:type="dxa"/>
            <w:noWrap/>
            <w:tcMar>
              <w:top w:w="15" w:type="dxa"/>
              <w:left w:w="15" w:type="dxa"/>
              <w:bottom w:w="0" w:type="dxa"/>
              <w:right w:w="15" w:type="dxa"/>
            </w:tcMar>
            <w:vAlign w:val="bottom"/>
            <w:hideMark/>
          </w:tcPr>
          <w:p w14:paraId="062F2FEA" w14:textId="77777777" w:rsidR="00E71FA0" w:rsidRPr="00DB3CB7" w:rsidRDefault="00E71FA0" w:rsidP="00374B18">
            <w:pPr>
              <w:spacing w:line="240" w:lineRule="auto"/>
              <w:rPr>
                <w:rFonts w:ascii="Calibri" w:hAnsi="Calibri" w:cs="Calibri"/>
                <w:color w:val="000000" w:themeColor="text1"/>
              </w:rPr>
            </w:pPr>
            <w:r w:rsidRPr="00DB3CB7">
              <w:rPr>
                <w:rFonts w:ascii="Calibri" w:eastAsia="Times New Roman" w:hAnsi="Calibri" w:cs="Calibri"/>
                <w:color w:val="000000" w:themeColor="text1"/>
                <w:lang w:eastAsia="el-GR"/>
              </w:rPr>
              <w:t>HCV</w:t>
            </w:r>
            <w:r w:rsidRPr="00DB3CB7">
              <w:rPr>
                <w:rFonts w:ascii="Calibri" w:eastAsia="Times New Roman" w:hAnsi="Calibri" w:cs="Calibri"/>
                <w:color w:val="000000" w:themeColor="text1"/>
                <w:lang w:val="en-US" w:eastAsia="el-GR"/>
              </w:rPr>
              <w:t xml:space="preserve"> </w:t>
            </w:r>
            <w:r w:rsidRPr="00DB3CB7">
              <w:rPr>
                <w:rFonts w:ascii="Calibri" w:eastAsia="Times New Roman" w:hAnsi="Calibri" w:cs="Calibri"/>
                <w:color w:val="000000" w:themeColor="text1"/>
                <w:lang w:eastAsia="el-GR"/>
              </w:rPr>
              <w:t>RNA test</w:t>
            </w:r>
            <w:r w:rsidRPr="00DB3CB7">
              <w:rPr>
                <w:rFonts w:ascii="Calibri" w:eastAsia="Times New Roman" w:hAnsi="Calibri" w:cs="Calibri"/>
                <w:color w:val="000000" w:themeColor="text1"/>
                <w:lang w:val="en-US" w:eastAsia="el-GR"/>
              </w:rPr>
              <w:t xml:space="preserve"> obtained</w:t>
            </w:r>
            <w:r w:rsidRPr="00DB3CB7">
              <w:rPr>
                <w:rFonts w:ascii="Calibri" w:eastAsia="Times New Roman" w:hAnsi="Calibri" w:cs="Calibri"/>
                <w:color w:val="000000" w:themeColor="text1"/>
                <w:lang w:eastAsia="el-GR"/>
              </w:rPr>
              <w:t xml:space="preserve"> </w:t>
            </w:r>
          </w:p>
        </w:tc>
        <w:tc>
          <w:tcPr>
            <w:tcW w:w="1260" w:type="dxa"/>
          </w:tcPr>
          <w:p w14:paraId="5B4DDB01" w14:textId="09AA5130" w:rsidR="00E71FA0" w:rsidRPr="00DB3CB7" w:rsidRDefault="00E71FA0" w:rsidP="00374B18">
            <w:pPr>
              <w:spacing w:line="240" w:lineRule="auto"/>
              <w:jc w:val="center"/>
              <w:rPr>
                <w:rFonts w:ascii="Calibri" w:eastAsia="Times New Roman" w:hAnsi="Calibri" w:cs="Calibri"/>
                <w:color w:val="000000" w:themeColor="text1"/>
                <w:lang w:eastAsia="el-GR"/>
              </w:rPr>
            </w:pPr>
            <w:r>
              <w:rPr>
                <w:rFonts w:ascii="Calibri" w:eastAsia="Times New Roman" w:hAnsi="Calibri" w:cs="Calibri"/>
                <w:color w:val="000000" w:themeColor="text1"/>
                <w:lang w:eastAsia="el-GR"/>
              </w:rPr>
              <w:t>456</w:t>
            </w:r>
          </w:p>
        </w:tc>
        <w:tc>
          <w:tcPr>
            <w:tcW w:w="1260" w:type="dxa"/>
          </w:tcPr>
          <w:p w14:paraId="54D79BA4" w14:textId="77777777" w:rsidR="00E71FA0" w:rsidRPr="00DB3CB7" w:rsidRDefault="00E71FA0" w:rsidP="00374B18">
            <w:pPr>
              <w:spacing w:line="240" w:lineRule="auto"/>
              <w:jc w:val="center"/>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94.0</w:t>
            </w:r>
            <w:r>
              <w:rPr>
                <w:rFonts w:ascii="Calibri" w:eastAsia="Times New Roman" w:hAnsi="Calibri" w:cs="Calibri"/>
                <w:color w:val="000000" w:themeColor="text1"/>
                <w:lang w:eastAsia="el-GR"/>
              </w:rPr>
              <w:t>2</w:t>
            </w:r>
          </w:p>
        </w:tc>
        <w:tc>
          <w:tcPr>
            <w:tcW w:w="1260" w:type="dxa"/>
            <w:vAlign w:val="bottom"/>
          </w:tcPr>
          <w:p w14:paraId="6E7ABA18" w14:textId="3AF71F12" w:rsidR="00E71FA0" w:rsidRPr="00DB3CB7" w:rsidRDefault="00E71FA0" w:rsidP="00374B18">
            <w:pPr>
              <w:spacing w:line="240" w:lineRule="auto"/>
              <w:jc w:val="center"/>
              <w:rPr>
                <w:rFonts w:ascii="Calibri" w:eastAsia="Times New Roman" w:hAnsi="Calibri" w:cs="Calibri"/>
                <w:color w:val="000000" w:themeColor="text1"/>
                <w:lang w:eastAsia="el-GR"/>
              </w:rPr>
            </w:pPr>
            <w:r>
              <w:rPr>
                <w:rFonts w:ascii="Calibri" w:eastAsia="Times New Roman" w:hAnsi="Calibri" w:cs="Calibri"/>
                <w:color w:val="000000" w:themeColor="text1"/>
                <w:lang w:eastAsia="el-GR"/>
              </w:rPr>
              <w:t>552</w:t>
            </w:r>
          </w:p>
        </w:tc>
        <w:tc>
          <w:tcPr>
            <w:tcW w:w="1260" w:type="dxa"/>
            <w:noWrap/>
            <w:tcMar>
              <w:top w:w="15" w:type="dxa"/>
              <w:left w:w="15" w:type="dxa"/>
              <w:bottom w:w="0" w:type="dxa"/>
              <w:right w:w="15" w:type="dxa"/>
            </w:tcMar>
            <w:vAlign w:val="bottom"/>
          </w:tcPr>
          <w:p w14:paraId="75420A8D" w14:textId="77777777" w:rsidR="00E71FA0" w:rsidRPr="00DB3CB7" w:rsidRDefault="00E71FA0" w:rsidP="00374B18">
            <w:pPr>
              <w:spacing w:line="240" w:lineRule="auto"/>
              <w:jc w:val="center"/>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96.0</w:t>
            </w:r>
            <w:r>
              <w:rPr>
                <w:rFonts w:ascii="Calibri" w:eastAsia="Times New Roman" w:hAnsi="Calibri" w:cs="Calibri"/>
                <w:color w:val="000000" w:themeColor="text1"/>
                <w:lang w:eastAsia="el-GR"/>
              </w:rPr>
              <w:t>0</w:t>
            </w:r>
          </w:p>
        </w:tc>
        <w:tc>
          <w:tcPr>
            <w:tcW w:w="1149" w:type="dxa"/>
            <w:noWrap/>
            <w:tcMar>
              <w:top w:w="15" w:type="dxa"/>
              <w:left w:w="15" w:type="dxa"/>
              <w:bottom w:w="0" w:type="dxa"/>
              <w:right w:w="15" w:type="dxa"/>
            </w:tcMar>
            <w:vAlign w:val="bottom"/>
          </w:tcPr>
          <w:p w14:paraId="019BA95B" w14:textId="77777777" w:rsidR="00E71FA0" w:rsidRPr="00DB3CB7" w:rsidRDefault="00E71FA0" w:rsidP="00374B18">
            <w:pPr>
              <w:spacing w:line="240" w:lineRule="auto"/>
              <w:jc w:val="center"/>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0.1432</w:t>
            </w:r>
          </w:p>
        </w:tc>
      </w:tr>
      <w:tr w:rsidR="00E71FA0" w:rsidRPr="00DB3CB7" w14:paraId="73AEEBF0" w14:textId="77777777" w:rsidTr="00374B18">
        <w:trPr>
          <w:trHeight w:val="231"/>
        </w:trPr>
        <w:tc>
          <w:tcPr>
            <w:tcW w:w="2425" w:type="dxa"/>
            <w:noWrap/>
            <w:tcMar>
              <w:top w:w="15" w:type="dxa"/>
              <w:left w:w="15" w:type="dxa"/>
              <w:bottom w:w="0" w:type="dxa"/>
              <w:right w:w="15" w:type="dxa"/>
            </w:tcMar>
            <w:vAlign w:val="bottom"/>
            <w:hideMark/>
          </w:tcPr>
          <w:p w14:paraId="20066461" w14:textId="77777777" w:rsidR="00E71FA0" w:rsidRPr="00DB3CB7" w:rsidRDefault="00E71FA0" w:rsidP="00374B18">
            <w:pPr>
              <w:spacing w:line="240" w:lineRule="auto"/>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HCV</w:t>
            </w:r>
            <w:r w:rsidRPr="00DB3CB7">
              <w:rPr>
                <w:rFonts w:ascii="Calibri" w:eastAsia="Times New Roman" w:hAnsi="Calibri" w:cs="Calibri"/>
                <w:color w:val="000000" w:themeColor="text1"/>
                <w:lang w:val="en-US" w:eastAsia="el-GR"/>
              </w:rPr>
              <w:t xml:space="preserve"> </w:t>
            </w:r>
            <w:r w:rsidRPr="00DB3CB7">
              <w:rPr>
                <w:rFonts w:ascii="Calibri" w:eastAsia="Times New Roman" w:hAnsi="Calibri" w:cs="Calibri"/>
                <w:color w:val="000000" w:themeColor="text1"/>
                <w:lang w:eastAsia="el-GR"/>
              </w:rPr>
              <w:t>RNA positive</w:t>
            </w:r>
          </w:p>
        </w:tc>
        <w:tc>
          <w:tcPr>
            <w:tcW w:w="1260" w:type="dxa"/>
          </w:tcPr>
          <w:p w14:paraId="3045A386" w14:textId="634EDA96" w:rsidR="00E71FA0" w:rsidRPr="00DB3CB7" w:rsidRDefault="00E71FA0" w:rsidP="00374B18">
            <w:pPr>
              <w:spacing w:line="240" w:lineRule="auto"/>
              <w:jc w:val="center"/>
              <w:rPr>
                <w:rFonts w:ascii="Calibri" w:eastAsia="Times New Roman" w:hAnsi="Calibri" w:cs="Calibri"/>
                <w:color w:val="000000" w:themeColor="text1"/>
                <w:lang w:eastAsia="el-GR"/>
              </w:rPr>
            </w:pPr>
            <w:r>
              <w:rPr>
                <w:rFonts w:ascii="Calibri" w:eastAsia="Times New Roman" w:hAnsi="Calibri" w:cs="Calibri"/>
                <w:color w:val="000000" w:themeColor="text1"/>
                <w:lang w:eastAsia="el-GR"/>
              </w:rPr>
              <w:t>234</w:t>
            </w:r>
          </w:p>
        </w:tc>
        <w:tc>
          <w:tcPr>
            <w:tcW w:w="1260" w:type="dxa"/>
          </w:tcPr>
          <w:p w14:paraId="7A9F0DB0" w14:textId="77777777" w:rsidR="00E71FA0" w:rsidRPr="00DB3CB7" w:rsidRDefault="00E71FA0" w:rsidP="00374B18">
            <w:pPr>
              <w:spacing w:line="240" w:lineRule="auto"/>
              <w:jc w:val="center"/>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51.3</w:t>
            </w:r>
            <w:r>
              <w:rPr>
                <w:rFonts w:ascii="Calibri" w:eastAsia="Times New Roman" w:hAnsi="Calibri" w:cs="Calibri"/>
                <w:color w:val="000000" w:themeColor="text1"/>
                <w:lang w:eastAsia="el-GR"/>
              </w:rPr>
              <w:t>2</w:t>
            </w:r>
          </w:p>
        </w:tc>
        <w:tc>
          <w:tcPr>
            <w:tcW w:w="1260" w:type="dxa"/>
            <w:vAlign w:val="bottom"/>
          </w:tcPr>
          <w:p w14:paraId="42DD1A1D" w14:textId="03CF41C1" w:rsidR="00E71FA0" w:rsidRPr="00DB3CB7" w:rsidRDefault="00E71FA0" w:rsidP="00374B18">
            <w:pPr>
              <w:spacing w:line="240" w:lineRule="auto"/>
              <w:jc w:val="center"/>
              <w:rPr>
                <w:rFonts w:ascii="Calibri" w:eastAsia="Times New Roman" w:hAnsi="Calibri" w:cs="Calibri"/>
                <w:color w:val="000000" w:themeColor="text1"/>
                <w:lang w:eastAsia="el-GR"/>
              </w:rPr>
            </w:pPr>
            <w:r>
              <w:rPr>
                <w:rFonts w:ascii="Calibri" w:eastAsia="Times New Roman" w:hAnsi="Calibri" w:cs="Calibri"/>
                <w:color w:val="000000" w:themeColor="text1"/>
                <w:lang w:eastAsia="el-GR"/>
              </w:rPr>
              <w:t>177</w:t>
            </w:r>
          </w:p>
        </w:tc>
        <w:tc>
          <w:tcPr>
            <w:tcW w:w="1260" w:type="dxa"/>
            <w:noWrap/>
            <w:tcMar>
              <w:top w:w="15" w:type="dxa"/>
              <w:left w:w="15" w:type="dxa"/>
              <w:bottom w:w="0" w:type="dxa"/>
              <w:right w:w="15" w:type="dxa"/>
            </w:tcMar>
            <w:vAlign w:val="bottom"/>
          </w:tcPr>
          <w:p w14:paraId="373FAA12" w14:textId="77777777" w:rsidR="00E71FA0" w:rsidRPr="00DB3CB7" w:rsidRDefault="00E71FA0" w:rsidP="00374B18">
            <w:pPr>
              <w:spacing w:line="240" w:lineRule="auto"/>
              <w:jc w:val="center"/>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32.</w:t>
            </w:r>
            <w:r>
              <w:rPr>
                <w:rFonts w:ascii="Calibri" w:eastAsia="Times New Roman" w:hAnsi="Calibri" w:cs="Calibri"/>
                <w:color w:val="000000" w:themeColor="text1"/>
                <w:lang w:eastAsia="el-GR"/>
              </w:rPr>
              <w:t>07</w:t>
            </w:r>
          </w:p>
        </w:tc>
        <w:tc>
          <w:tcPr>
            <w:tcW w:w="1149" w:type="dxa"/>
            <w:noWrap/>
            <w:tcMar>
              <w:top w:w="15" w:type="dxa"/>
              <w:left w:w="15" w:type="dxa"/>
              <w:bottom w:w="0" w:type="dxa"/>
              <w:right w:w="15" w:type="dxa"/>
            </w:tcMar>
            <w:vAlign w:val="bottom"/>
          </w:tcPr>
          <w:p w14:paraId="206C3EB8" w14:textId="77777777" w:rsidR="00E71FA0" w:rsidRPr="00DB3CB7" w:rsidRDefault="00E71FA0" w:rsidP="00374B18">
            <w:pPr>
              <w:spacing w:line="240" w:lineRule="auto"/>
              <w:jc w:val="center"/>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&lt;0.0001</w:t>
            </w:r>
          </w:p>
        </w:tc>
      </w:tr>
      <w:tr w:rsidR="00E71FA0" w:rsidRPr="00DB3CB7" w14:paraId="4F2B4BAE" w14:textId="77777777" w:rsidTr="00374B18">
        <w:trPr>
          <w:trHeight w:val="231"/>
        </w:trPr>
        <w:tc>
          <w:tcPr>
            <w:tcW w:w="2425" w:type="dxa"/>
            <w:noWrap/>
            <w:tcMar>
              <w:top w:w="15" w:type="dxa"/>
              <w:left w:w="15" w:type="dxa"/>
              <w:bottom w:w="0" w:type="dxa"/>
              <w:right w:w="15" w:type="dxa"/>
            </w:tcMar>
            <w:vAlign w:val="bottom"/>
          </w:tcPr>
          <w:p w14:paraId="189E40E3" w14:textId="77777777" w:rsidR="00E71FA0" w:rsidRPr="00DB3CB7" w:rsidRDefault="00E71FA0" w:rsidP="00374B18">
            <w:pPr>
              <w:spacing w:line="240" w:lineRule="auto"/>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DAA initiation</w:t>
            </w:r>
          </w:p>
        </w:tc>
        <w:tc>
          <w:tcPr>
            <w:tcW w:w="1260" w:type="dxa"/>
          </w:tcPr>
          <w:p w14:paraId="0A2C111F" w14:textId="21504F77" w:rsidR="00E71FA0" w:rsidRPr="00DB3CB7" w:rsidRDefault="00E71FA0" w:rsidP="00374B18">
            <w:pPr>
              <w:spacing w:line="240" w:lineRule="auto"/>
              <w:jc w:val="center"/>
              <w:rPr>
                <w:rFonts w:ascii="Calibri" w:eastAsia="Times New Roman" w:hAnsi="Calibri" w:cs="Calibri"/>
                <w:color w:val="000000" w:themeColor="text1"/>
                <w:lang w:eastAsia="el-GR"/>
              </w:rPr>
            </w:pPr>
            <w:r>
              <w:rPr>
                <w:rFonts w:ascii="Calibri" w:eastAsia="Times New Roman" w:hAnsi="Calibri" w:cs="Calibri"/>
                <w:color w:val="000000" w:themeColor="text1"/>
                <w:lang w:eastAsia="el-GR"/>
              </w:rPr>
              <w:t>82</w:t>
            </w:r>
          </w:p>
        </w:tc>
        <w:tc>
          <w:tcPr>
            <w:tcW w:w="1260" w:type="dxa"/>
          </w:tcPr>
          <w:p w14:paraId="57997EC5" w14:textId="77777777" w:rsidR="00E71FA0" w:rsidRPr="00DB3CB7" w:rsidRDefault="00E71FA0" w:rsidP="00374B18">
            <w:pPr>
              <w:spacing w:line="240" w:lineRule="auto"/>
              <w:jc w:val="center"/>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35.65</w:t>
            </w:r>
          </w:p>
        </w:tc>
        <w:tc>
          <w:tcPr>
            <w:tcW w:w="1260" w:type="dxa"/>
            <w:vAlign w:val="bottom"/>
          </w:tcPr>
          <w:p w14:paraId="36A1215C" w14:textId="6D90384A" w:rsidR="00E71FA0" w:rsidRPr="00DB3CB7" w:rsidRDefault="00E71FA0" w:rsidP="00374B18">
            <w:pPr>
              <w:spacing w:line="240" w:lineRule="auto"/>
              <w:jc w:val="center"/>
              <w:rPr>
                <w:rFonts w:ascii="Calibri" w:eastAsia="Times New Roman" w:hAnsi="Calibri" w:cs="Calibri"/>
                <w:color w:val="000000" w:themeColor="text1"/>
                <w:lang w:eastAsia="el-GR"/>
              </w:rPr>
            </w:pPr>
            <w:r>
              <w:rPr>
                <w:rFonts w:ascii="Calibri" w:eastAsia="Times New Roman" w:hAnsi="Calibri" w:cs="Calibri"/>
                <w:color w:val="000000" w:themeColor="text1"/>
                <w:lang w:eastAsia="el-GR"/>
              </w:rPr>
              <w:t>101</w:t>
            </w:r>
          </w:p>
        </w:tc>
        <w:tc>
          <w:tcPr>
            <w:tcW w:w="1260" w:type="dxa"/>
            <w:noWrap/>
            <w:tcMar>
              <w:top w:w="15" w:type="dxa"/>
              <w:left w:w="15" w:type="dxa"/>
              <w:bottom w:w="0" w:type="dxa"/>
              <w:right w:w="15" w:type="dxa"/>
            </w:tcMar>
            <w:vAlign w:val="bottom"/>
          </w:tcPr>
          <w:p w14:paraId="5E899F6F" w14:textId="77777777" w:rsidR="00E71FA0" w:rsidRPr="00DB3CB7" w:rsidRDefault="00E71FA0" w:rsidP="00374B18">
            <w:pPr>
              <w:spacing w:line="240" w:lineRule="auto"/>
              <w:jc w:val="center"/>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57.71</w:t>
            </w:r>
          </w:p>
        </w:tc>
        <w:tc>
          <w:tcPr>
            <w:tcW w:w="1149" w:type="dxa"/>
            <w:noWrap/>
            <w:tcMar>
              <w:top w:w="15" w:type="dxa"/>
              <w:left w:w="15" w:type="dxa"/>
              <w:bottom w:w="0" w:type="dxa"/>
              <w:right w:w="15" w:type="dxa"/>
            </w:tcMar>
            <w:vAlign w:val="bottom"/>
          </w:tcPr>
          <w:p w14:paraId="60B65D6F" w14:textId="77777777" w:rsidR="00E71FA0" w:rsidRPr="00DB3CB7" w:rsidRDefault="00E71FA0" w:rsidP="00374B18">
            <w:pPr>
              <w:spacing w:line="240" w:lineRule="auto"/>
              <w:jc w:val="center"/>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&lt;0.0001</w:t>
            </w:r>
          </w:p>
        </w:tc>
      </w:tr>
      <w:tr w:rsidR="00E71FA0" w:rsidRPr="00DB3CB7" w14:paraId="0428942A" w14:textId="77777777" w:rsidTr="00374B18">
        <w:trPr>
          <w:trHeight w:val="231"/>
        </w:trPr>
        <w:tc>
          <w:tcPr>
            <w:tcW w:w="2425" w:type="dxa"/>
            <w:noWrap/>
            <w:tcMar>
              <w:top w:w="15" w:type="dxa"/>
              <w:left w:w="15" w:type="dxa"/>
              <w:bottom w:w="0" w:type="dxa"/>
              <w:right w:w="15" w:type="dxa"/>
            </w:tcMar>
            <w:vAlign w:val="bottom"/>
            <w:hideMark/>
          </w:tcPr>
          <w:p w14:paraId="4B0342AE" w14:textId="77777777" w:rsidR="00E71FA0" w:rsidRPr="00DB3CB7" w:rsidRDefault="00E71FA0" w:rsidP="00374B18">
            <w:pPr>
              <w:spacing w:line="240" w:lineRule="auto"/>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DAA completion</w:t>
            </w:r>
          </w:p>
        </w:tc>
        <w:tc>
          <w:tcPr>
            <w:tcW w:w="1260" w:type="dxa"/>
          </w:tcPr>
          <w:p w14:paraId="5721D956" w14:textId="1977FE87" w:rsidR="00E71FA0" w:rsidRPr="00DB3CB7" w:rsidRDefault="00E71FA0" w:rsidP="00374B18">
            <w:pPr>
              <w:spacing w:line="240" w:lineRule="auto"/>
              <w:jc w:val="center"/>
              <w:rPr>
                <w:rFonts w:ascii="Calibri" w:eastAsia="Times New Roman" w:hAnsi="Calibri" w:cs="Calibri"/>
                <w:color w:val="000000" w:themeColor="text1"/>
                <w:lang w:eastAsia="el-GR"/>
              </w:rPr>
            </w:pPr>
            <w:r>
              <w:rPr>
                <w:rFonts w:ascii="Calibri" w:eastAsia="Times New Roman" w:hAnsi="Calibri" w:cs="Calibri"/>
                <w:color w:val="000000" w:themeColor="text1"/>
                <w:lang w:eastAsia="el-GR"/>
              </w:rPr>
              <w:t>80</w:t>
            </w:r>
          </w:p>
        </w:tc>
        <w:tc>
          <w:tcPr>
            <w:tcW w:w="1260" w:type="dxa"/>
          </w:tcPr>
          <w:p w14:paraId="489BA710" w14:textId="77777777" w:rsidR="00E71FA0" w:rsidRPr="00DB3CB7" w:rsidRDefault="00E71FA0" w:rsidP="00374B18">
            <w:pPr>
              <w:spacing w:line="240" w:lineRule="auto"/>
              <w:jc w:val="center"/>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98.77</w:t>
            </w:r>
          </w:p>
        </w:tc>
        <w:tc>
          <w:tcPr>
            <w:tcW w:w="1260" w:type="dxa"/>
            <w:vAlign w:val="bottom"/>
          </w:tcPr>
          <w:p w14:paraId="1664DD18" w14:textId="13111791" w:rsidR="00E71FA0" w:rsidRPr="00DB3CB7" w:rsidRDefault="00E71FA0" w:rsidP="00374B18">
            <w:pPr>
              <w:spacing w:line="240" w:lineRule="auto"/>
              <w:jc w:val="center"/>
              <w:rPr>
                <w:rFonts w:ascii="Calibri" w:eastAsia="Times New Roman" w:hAnsi="Calibri" w:cs="Calibri"/>
                <w:color w:val="000000" w:themeColor="text1"/>
                <w:lang w:eastAsia="el-GR"/>
              </w:rPr>
            </w:pPr>
            <w:r>
              <w:rPr>
                <w:rFonts w:ascii="Calibri" w:eastAsia="Times New Roman" w:hAnsi="Calibri" w:cs="Calibri"/>
                <w:color w:val="000000" w:themeColor="text1"/>
                <w:lang w:eastAsia="el-GR"/>
              </w:rPr>
              <w:t>100</w:t>
            </w:r>
          </w:p>
        </w:tc>
        <w:tc>
          <w:tcPr>
            <w:tcW w:w="1260" w:type="dxa"/>
            <w:noWrap/>
            <w:tcMar>
              <w:top w:w="15" w:type="dxa"/>
              <w:left w:w="15" w:type="dxa"/>
              <w:bottom w:w="0" w:type="dxa"/>
              <w:right w:w="15" w:type="dxa"/>
            </w:tcMar>
            <w:vAlign w:val="bottom"/>
          </w:tcPr>
          <w:p w14:paraId="368291C0" w14:textId="77777777" w:rsidR="00E71FA0" w:rsidRPr="00DB3CB7" w:rsidRDefault="00E71FA0" w:rsidP="00374B18">
            <w:pPr>
              <w:spacing w:line="240" w:lineRule="auto"/>
              <w:jc w:val="center"/>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99.0</w:t>
            </w:r>
            <w:r>
              <w:rPr>
                <w:rFonts w:ascii="Calibri" w:eastAsia="Times New Roman" w:hAnsi="Calibri" w:cs="Calibri"/>
                <w:color w:val="000000" w:themeColor="text1"/>
                <w:lang w:eastAsia="el-GR"/>
              </w:rPr>
              <w:t>1</w:t>
            </w:r>
          </w:p>
        </w:tc>
        <w:tc>
          <w:tcPr>
            <w:tcW w:w="1149" w:type="dxa"/>
            <w:noWrap/>
            <w:tcMar>
              <w:top w:w="15" w:type="dxa"/>
              <w:left w:w="15" w:type="dxa"/>
              <w:bottom w:w="0" w:type="dxa"/>
              <w:right w:w="15" w:type="dxa"/>
            </w:tcMar>
            <w:vAlign w:val="bottom"/>
          </w:tcPr>
          <w:p w14:paraId="4A1E36C9" w14:textId="77777777" w:rsidR="00E71FA0" w:rsidRPr="00DB3CB7" w:rsidRDefault="00E71FA0" w:rsidP="00374B18">
            <w:pPr>
              <w:spacing w:line="240" w:lineRule="auto"/>
              <w:jc w:val="center"/>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0.8751</w:t>
            </w:r>
          </w:p>
        </w:tc>
      </w:tr>
      <w:tr w:rsidR="00E71FA0" w:rsidRPr="00DB3CB7" w14:paraId="539E2038" w14:textId="77777777" w:rsidTr="00374B18">
        <w:trPr>
          <w:trHeight w:val="231"/>
        </w:trPr>
        <w:tc>
          <w:tcPr>
            <w:tcW w:w="2425" w:type="dxa"/>
            <w:noWrap/>
            <w:tcMar>
              <w:top w:w="15" w:type="dxa"/>
              <w:left w:w="15" w:type="dxa"/>
              <w:bottom w:w="0" w:type="dxa"/>
              <w:right w:w="15" w:type="dxa"/>
            </w:tcMar>
            <w:vAlign w:val="bottom"/>
            <w:hideMark/>
          </w:tcPr>
          <w:p w14:paraId="23C8CC40" w14:textId="0CA1D125" w:rsidR="00E71FA0" w:rsidRPr="00DB3CB7" w:rsidRDefault="00E71FA0" w:rsidP="00374B18">
            <w:pPr>
              <w:spacing w:line="240" w:lineRule="auto"/>
              <w:rPr>
                <w:rFonts w:ascii="Calibri" w:eastAsia="Times New Roman" w:hAnsi="Calibri" w:cs="Calibri"/>
                <w:color w:val="000000" w:themeColor="text1"/>
                <w:lang w:eastAsia="el-GR"/>
              </w:rPr>
            </w:pPr>
            <w:r>
              <w:rPr>
                <w:rFonts w:ascii="Calibri" w:eastAsia="Times New Roman" w:hAnsi="Calibri" w:cs="Calibri"/>
                <w:color w:val="000000" w:themeColor="text1"/>
                <w:lang w:eastAsia="el-GR"/>
              </w:rPr>
              <w:t>Viral Clearance</w:t>
            </w:r>
          </w:p>
        </w:tc>
        <w:tc>
          <w:tcPr>
            <w:tcW w:w="1260" w:type="dxa"/>
          </w:tcPr>
          <w:p w14:paraId="6950878B" w14:textId="11060F86" w:rsidR="00E71FA0" w:rsidRPr="00DB3CB7" w:rsidRDefault="00E71FA0" w:rsidP="00374B18">
            <w:pPr>
              <w:spacing w:line="240" w:lineRule="auto"/>
              <w:jc w:val="center"/>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6</w:t>
            </w:r>
            <w:r>
              <w:rPr>
                <w:rFonts w:ascii="Calibri" w:eastAsia="Times New Roman" w:hAnsi="Calibri" w:cs="Calibri"/>
                <w:color w:val="000000" w:themeColor="text1"/>
                <w:lang w:eastAsia="el-GR"/>
              </w:rPr>
              <w:t>2</w:t>
            </w:r>
          </w:p>
        </w:tc>
        <w:tc>
          <w:tcPr>
            <w:tcW w:w="1260" w:type="dxa"/>
          </w:tcPr>
          <w:p w14:paraId="516CC699" w14:textId="77777777" w:rsidR="00E71FA0" w:rsidRPr="00DB3CB7" w:rsidRDefault="00E71FA0" w:rsidP="00374B18">
            <w:pPr>
              <w:spacing w:line="240" w:lineRule="auto"/>
              <w:jc w:val="center"/>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78.</w:t>
            </w:r>
            <w:r>
              <w:rPr>
                <w:rFonts w:ascii="Calibri" w:eastAsia="Times New Roman" w:hAnsi="Calibri" w:cs="Calibri"/>
                <w:color w:val="000000" w:themeColor="text1"/>
                <w:lang w:eastAsia="el-GR"/>
              </w:rPr>
              <w:t>48</w:t>
            </w:r>
          </w:p>
        </w:tc>
        <w:tc>
          <w:tcPr>
            <w:tcW w:w="1260" w:type="dxa"/>
            <w:vAlign w:val="bottom"/>
          </w:tcPr>
          <w:p w14:paraId="550BB306" w14:textId="4761E11E" w:rsidR="00E71FA0" w:rsidRPr="00DB3CB7" w:rsidRDefault="00E71FA0" w:rsidP="00374B18">
            <w:pPr>
              <w:spacing w:line="240" w:lineRule="auto"/>
              <w:jc w:val="center"/>
              <w:rPr>
                <w:rFonts w:ascii="Calibri" w:eastAsia="Times New Roman" w:hAnsi="Calibri" w:cs="Calibri"/>
                <w:color w:val="000000" w:themeColor="text1"/>
                <w:lang w:eastAsia="el-GR"/>
              </w:rPr>
            </w:pPr>
            <w:r>
              <w:rPr>
                <w:rFonts w:ascii="Calibri" w:eastAsia="Times New Roman" w:hAnsi="Calibri" w:cs="Calibri"/>
                <w:color w:val="000000" w:themeColor="text1"/>
                <w:lang w:eastAsia="el-GR"/>
              </w:rPr>
              <w:t>82</w:t>
            </w:r>
          </w:p>
        </w:tc>
        <w:tc>
          <w:tcPr>
            <w:tcW w:w="1260" w:type="dxa"/>
            <w:noWrap/>
            <w:tcMar>
              <w:top w:w="15" w:type="dxa"/>
              <w:left w:w="15" w:type="dxa"/>
              <w:bottom w:w="0" w:type="dxa"/>
              <w:right w:w="15" w:type="dxa"/>
            </w:tcMar>
            <w:vAlign w:val="bottom"/>
          </w:tcPr>
          <w:p w14:paraId="3CDFC60C" w14:textId="77777777" w:rsidR="00E71FA0" w:rsidRPr="00DB3CB7" w:rsidRDefault="00E71FA0" w:rsidP="00374B18">
            <w:pPr>
              <w:spacing w:line="240" w:lineRule="auto"/>
              <w:jc w:val="center"/>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84.</w:t>
            </w:r>
            <w:r>
              <w:rPr>
                <w:rFonts w:ascii="Calibri" w:eastAsia="Times New Roman" w:hAnsi="Calibri" w:cs="Calibri"/>
                <w:color w:val="000000" w:themeColor="text1"/>
                <w:lang w:eastAsia="el-GR"/>
              </w:rPr>
              <w:t>54</w:t>
            </w:r>
          </w:p>
        </w:tc>
        <w:tc>
          <w:tcPr>
            <w:tcW w:w="1149" w:type="dxa"/>
            <w:noWrap/>
            <w:tcMar>
              <w:top w:w="15" w:type="dxa"/>
              <w:left w:w="15" w:type="dxa"/>
              <w:bottom w:w="0" w:type="dxa"/>
              <w:right w:w="15" w:type="dxa"/>
            </w:tcMar>
            <w:vAlign w:val="bottom"/>
          </w:tcPr>
          <w:p w14:paraId="6FBD7E2B" w14:textId="77777777" w:rsidR="00E71FA0" w:rsidRPr="00DB3CB7" w:rsidRDefault="00E71FA0" w:rsidP="00374B18">
            <w:pPr>
              <w:spacing w:line="240" w:lineRule="auto"/>
              <w:jc w:val="center"/>
              <w:rPr>
                <w:rFonts w:ascii="Calibri" w:eastAsia="Times New Roman" w:hAnsi="Calibri" w:cs="Calibri"/>
                <w:color w:val="000000" w:themeColor="text1"/>
                <w:lang w:eastAsia="el-GR"/>
              </w:rPr>
            </w:pPr>
            <w:r w:rsidRPr="00DB3CB7">
              <w:rPr>
                <w:rFonts w:ascii="Calibri" w:eastAsia="Times New Roman" w:hAnsi="Calibri" w:cs="Calibri"/>
                <w:color w:val="000000" w:themeColor="text1"/>
                <w:lang w:eastAsia="el-GR"/>
              </w:rPr>
              <w:t>0.3002</w:t>
            </w:r>
          </w:p>
        </w:tc>
      </w:tr>
    </w:tbl>
    <w:p w14:paraId="711BAB65" w14:textId="518B4973" w:rsidR="00E71FA0" w:rsidRPr="00E71FA0" w:rsidRDefault="00E71FA0">
      <w:pPr>
        <w:spacing w:line="240" w:lineRule="auto"/>
        <w:rPr>
          <w:rFonts w:ascii="Calibri" w:hAnsi="Calibri" w:cs="Calibri"/>
          <w:lang w:val="en-US"/>
        </w:rPr>
      </w:pPr>
      <w:r>
        <w:rPr>
          <w:rFonts w:ascii="Calibri" w:hAnsi="Calibri" w:cs="Calibri"/>
          <w:vertAlign w:val="superscript"/>
          <w:lang w:val="en-US"/>
        </w:rPr>
        <w:t>a</w:t>
      </w:r>
      <w:r w:rsidR="00A31BD4">
        <w:rPr>
          <w:rFonts w:ascii="Calibri" w:hAnsi="Calibri" w:cs="Calibri"/>
          <w:vertAlign w:val="superscript"/>
          <w:lang w:val="en-US"/>
        </w:rPr>
        <w:t xml:space="preserve"> </w:t>
      </w:r>
      <w:r w:rsidR="00A31BD4">
        <w:rPr>
          <w:rFonts w:ascii="Calibri" w:hAnsi="Calibri" w:cs="Calibri"/>
          <w:lang w:val="en-US"/>
        </w:rPr>
        <w:t>N</w:t>
      </w:r>
      <w:r>
        <w:rPr>
          <w:rFonts w:ascii="Calibri" w:hAnsi="Calibri" w:cs="Calibri"/>
          <w:lang w:val="en-US"/>
        </w:rPr>
        <w:t>umber of records, not individuals</w:t>
      </w:r>
    </w:p>
    <w:p w14:paraId="5CC9FC43" w14:textId="49809EFC" w:rsidR="00555730" w:rsidRPr="00DB3CB7" w:rsidRDefault="00D57C4B" w:rsidP="00555730">
      <w:pPr>
        <w:rPr>
          <w:rFonts w:ascii="Calibri" w:hAnsi="Calibri" w:cs="Calibri"/>
          <w:lang w:val="en-US"/>
        </w:rPr>
      </w:pPr>
      <w:r>
        <w:rPr>
          <w:rFonts w:ascii="Calibri" w:hAnsi="Calibri" w:cs="Calibri"/>
          <w:lang w:val="en-US"/>
        </w:rPr>
        <w:t xml:space="preserve">Abbreviations: </w:t>
      </w:r>
      <w:r w:rsidR="00555730" w:rsidRPr="00DB3CB7">
        <w:rPr>
          <w:rFonts w:ascii="Calibri" w:hAnsi="Calibri" w:cs="Calibri"/>
          <w:lang w:val="en-US"/>
        </w:rPr>
        <w:t>HCV, Hepatitis C virus; DAA, direct-acting antiviral; OUD, Opioid use disorder</w:t>
      </w:r>
    </w:p>
    <w:p w14:paraId="610DDCFB" w14:textId="6BE37AFF" w:rsidR="00E71FA0" w:rsidRDefault="00E71FA0">
      <w:pPr>
        <w:spacing w:line="240" w:lineRule="auto"/>
        <w:rPr>
          <w:rFonts w:ascii="Calibri" w:hAnsi="Calibri" w:cs="Calibri"/>
          <w:lang w:val="en-US"/>
        </w:rPr>
      </w:pPr>
    </w:p>
    <w:p w14:paraId="10F28578" w14:textId="42F717BF" w:rsidR="00E71FA0" w:rsidRDefault="00E71FA0">
      <w:pPr>
        <w:spacing w:line="240" w:lineRule="auto"/>
        <w:rPr>
          <w:rFonts w:ascii="Calibri" w:hAnsi="Calibri" w:cs="Calibri"/>
          <w:lang w:val="en-US"/>
        </w:rPr>
      </w:pPr>
    </w:p>
    <w:p w14:paraId="1C56DB59" w14:textId="77777777" w:rsidR="00E71FA0" w:rsidRDefault="00E71FA0">
      <w:pPr>
        <w:spacing w:line="240" w:lineRule="auto"/>
        <w:rPr>
          <w:rFonts w:ascii="Calibri" w:hAnsi="Calibri" w:cs="Calibri"/>
          <w:lang w:val="en-US"/>
        </w:rPr>
      </w:pPr>
    </w:p>
    <w:p w14:paraId="705DB787" w14:textId="5656A8AF" w:rsidR="00E71FA0" w:rsidRDefault="00E71FA0">
      <w:pPr>
        <w:spacing w:line="240" w:lineRule="auto"/>
        <w:rPr>
          <w:rFonts w:ascii="Calibri" w:hAnsi="Calibri" w:cs="Calibri"/>
          <w:lang w:val="en-US"/>
        </w:rPr>
      </w:pPr>
    </w:p>
    <w:p w14:paraId="5592181E" w14:textId="60B408DE" w:rsidR="00E71FA0" w:rsidRDefault="00E71FA0">
      <w:pPr>
        <w:spacing w:line="240" w:lineRule="auto"/>
        <w:rPr>
          <w:rFonts w:ascii="Calibri" w:hAnsi="Calibri" w:cs="Calibri"/>
          <w:lang w:val="en-US"/>
        </w:rPr>
      </w:pPr>
    </w:p>
    <w:p w14:paraId="75C521E9" w14:textId="77777777" w:rsidR="00E71FA0" w:rsidRDefault="00E71FA0">
      <w:pPr>
        <w:spacing w:line="240" w:lineRule="auto"/>
        <w:rPr>
          <w:rFonts w:ascii="Calibri" w:hAnsi="Calibri" w:cs="Calibri"/>
          <w:lang w:val="en-US"/>
        </w:rPr>
      </w:pPr>
    </w:p>
    <w:p w14:paraId="0C1E1A0A" w14:textId="77777777" w:rsidR="00E71FA0" w:rsidRDefault="00E71FA0">
      <w:pPr>
        <w:spacing w:line="240" w:lineRule="auto"/>
        <w:rPr>
          <w:rFonts w:ascii="Calibri" w:hAnsi="Calibri" w:cs="Calibri"/>
          <w:lang w:val="en-US"/>
        </w:rPr>
      </w:pPr>
    </w:p>
    <w:p w14:paraId="680DAE55" w14:textId="0E7DD341" w:rsidR="00E71FA0" w:rsidRDefault="00E71FA0">
      <w:pPr>
        <w:spacing w:line="240" w:lineRule="auto"/>
        <w:rPr>
          <w:rFonts w:ascii="Calibri" w:hAnsi="Calibri" w:cs="Calibri"/>
          <w:lang w:val="en-US"/>
        </w:rPr>
        <w:sectPr w:rsidR="00E71FA0" w:rsidSect="00E71FA0">
          <w:pgSz w:w="11906" w:h="16838"/>
          <w:pgMar w:top="1440" w:right="1440" w:bottom="1440" w:left="1440" w:header="708" w:footer="708" w:gutter="0"/>
          <w:cols w:space="708"/>
          <w:docGrid w:linePitch="360"/>
        </w:sectPr>
      </w:pPr>
    </w:p>
    <w:p w14:paraId="49632C8F" w14:textId="77777777" w:rsidR="0005174A" w:rsidRPr="00DB3CB7" w:rsidRDefault="0005174A" w:rsidP="0005174A">
      <w:pPr>
        <w:pStyle w:val="NoSpacing"/>
        <w:rPr>
          <w:rFonts w:ascii="Calibri" w:hAnsi="Calibri" w:cs="Calibri"/>
          <w:color w:val="000000" w:themeColor="text1"/>
          <w:sz w:val="24"/>
          <w:szCs w:val="24"/>
          <w:lang w:val="en-US"/>
        </w:rPr>
      </w:pPr>
      <w:r w:rsidRPr="00DB3CB7">
        <w:rPr>
          <w:rFonts w:ascii="Calibri" w:hAnsi="Calibri" w:cs="Calibri"/>
          <w:b/>
          <w:bCs/>
          <w:color w:val="000000" w:themeColor="text1"/>
          <w:sz w:val="24"/>
          <w:szCs w:val="24"/>
          <w:lang w:val="en-US"/>
        </w:rPr>
        <w:lastRenderedPageBreak/>
        <w:t xml:space="preserve">Supplementary </w:t>
      </w:r>
      <w:r>
        <w:rPr>
          <w:rFonts w:ascii="Calibri" w:hAnsi="Calibri" w:cs="Calibri"/>
          <w:b/>
          <w:bCs/>
          <w:color w:val="000000" w:themeColor="text1"/>
          <w:sz w:val="24"/>
          <w:szCs w:val="24"/>
          <w:lang w:val="en-US"/>
        </w:rPr>
        <w:t>Figure 1 Legend</w:t>
      </w:r>
      <w:r w:rsidRPr="00DB3CB7">
        <w:rPr>
          <w:rFonts w:ascii="Calibri" w:hAnsi="Calibri" w:cs="Calibri"/>
          <w:b/>
          <w:bCs/>
          <w:color w:val="000000" w:themeColor="text1"/>
          <w:sz w:val="24"/>
          <w:szCs w:val="24"/>
          <w:lang w:val="en-US"/>
        </w:rPr>
        <w:t>.</w:t>
      </w:r>
      <w:r w:rsidRPr="00DB3CB7">
        <w:rPr>
          <w:rFonts w:ascii="Calibri" w:hAnsi="Calibri" w:cs="Calibri"/>
          <w:color w:val="000000" w:themeColor="text1"/>
          <w:sz w:val="24"/>
          <w:szCs w:val="24"/>
          <w:lang w:val="en-US"/>
        </w:rPr>
        <w:t xml:space="preserve"> Elapsed time between hepatitis C virus RNA positivity and initiation of direct acting antivirals, by year (2013-2023).</w:t>
      </w:r>
      <w:r>
        <w:rPr>
          <w:rFonts w:ascii="Calibri" w:hAnsi="Calibri" w:cs="Calibri"/>
          <w:color w:val="000000" w:themeColor="text1"/>
          <w:sz w:val="24"/>
          <w:szCs w:val="24"/>
          <w:lang w:val="en-US"/>
        </w:rPr>
        <w:t xml:space="preserve"> </w:t>
      </w:r>
      <w:r w:rsidRPr="00A31BD4">
        <w:rPr>
          <w:rFonts w:ascii="Calibri" w:hAnsi="Calibri" w:cs="Calibri"/>
          <w:color w:val="000000" w:themeColor="text1"/>
          <w:sz w:val="24"/>
          <w:szCs w:val="24"/>
          <w:lang w:val="en-US"/>
        </w:rPr>
        <w:t xml:space="preserve">Because of investigations of insurance companies in New York State by the </w:t>
      </w:r>
      <w:r>
        <w:rPr>
          <w:rFonts w:ascii="Calibri" w:hAnsi="Calibri" w:cs="Calibri"/>
          <w:color w:val="000000" w:themeColor="text1"/>
          <w:sz w:val="24"/>
          <w:szCs w:val="24"/>
          <w:lang w:val="en-US"/>
        </w:rPr>
        <w:t xml:space="preserve">state’s </w:t>
      </w:r>
      <w:r w:rsidRPr="00A31BD4">
        <w:rPr>
          <w:rFonts w:ascii="Calibri" w:hAnsi="Calibri" w:cs="Calibri"/>
          <w:color w:val="000000" w:themeColor="text1"/>
          <w:sz w:val="24"/>
          <w:szCs w:val="24"/>
          <w:lang w:val="en-US"/>
        </w:rPr>
        <w:t>attorney general in 2016, they agreed to cover the cost of DAA</w:t>
      </w:r>
      <w:r>
        <w:rPr>
          <w:rFonts w:ascii="Calibri" w:hAnsi="Calibri" w:cs="Calibri"/>
          <w:color w:val="000000" w:themeColor="text1"/>
          <w:sz w:val="24"/>
          <w:szCs w:val="24"/>
          <w:lang w:val="en-US"/>
        </w:rPr>
        <w:t xml:space="preserve"> </w:t>
      </w:r>
      <w:r>
        <w:rPr>
          <w:rFonts w:ascii="Calibri" w:hAnsi="Calibri" w:cs="Calibri"/>
          <w:color w:val="000000" w:themeColor="text1"/>
          <w:sz w:val="24"/>
          <w:szCs w:val="24"/>
          <w:lang w:val="en-US"/>
        </w:rPr>
        <w:fldChar w:fldCharType="begin"/>
      </w:r>
      <w:r>
        <w:rPr>
          <w:rFonts w:ascii="Calibri" w:hAnsi="Calibri" w:cs="Calibri"/>
          <w:color w:val="000000" w:themeColor="text1"/>
          <w:sz w:val="24"/>
          <w:szCs w:val="24"/>
          <w:lang w:val="en-US"/>
        </w:rPr>
        <w:instrText xml:space="preserve"> ADDIN EN.CITE &lt;EndNote&gt;&lt;Cite&gt;&lt;Author&gt;Scott&lt;/Author&gt;&lt;Year&gt;2016&lt;/Year&gt;&lt;RecNum&gt;5&lt;/RecNum&gt;&lt;DisplayText&gt;[3]&lt;/DisplayText&gt;&lt;record&gt;&lt;rec-number&gt;5&lt;/rec-number&gt;&lt;foreign-keys&gt;&lt;key app="EN" db-id="taa9ttwdl5rtaue05ahxdea8adxpftv5awwp" timestamp="1756300611"&gt;5&lt;/key&gt;&lt;/foreign-keys&gt;&lt;ref-type name="Report"&gt;27&lt;/ref-type&gt;&lt;contributors&gt;&lt;authors&gt;&lt;author&gt;Scott, Gale&lt;/author&gt;&lt;/authors&gt;&lt;/contributors&gt;&lt;titles&gt;&lt;title&gt;Major Insurers to Cover Early Hepatitis C Treatment in New York&lt;/title&gt;&lt;/titles&gt;&lt;dates&gt;&lt;year&gt;2016&lt;/year&gt;&lt;pub-dates&gt;&lt;date&gt;April 29, 2016&lt;/date&gt;&lt;/pub-dates&gt;&lt;/dates&gt;&lt;pub-location&gt;Pharmacy Times&lt;/pub-location&gt;&lt;urls&gt;&lt;related-urls&gt;&lt;url&gt;https://www.pharmacytimes.com/view/major-insurers-to-cover-early-hepatitis-c-treatment-in-new-york&lt;/url&gt;&lt;/related-urls&gt;&lt;/urls&gt;&lt;/record&gt;&lt;/Cite&gt;&lt;/EndNote&gt;</w:instrText>
      </w:r>
      <w:r>
        <w:rPr>
          <w:rFonts w:ascii="Calibri" w:hAnsi="Calibri" w:cs="Calibri"/>
          <w:color w:val="000000" w:themeColor="text1"/>
          <w:sz w:val="24"/>
          <w:szCs w:val="24"/>
          <w:lang w:val="en-US"/>
        </w:rPr>
        <w:fldChar w:fldCharType="separate"/>
      </w:r>
      <w:r>
        <w:rPr>
          <w:rFonts w:ascii="Calibri" w:hAnsi="Calibri" w:cs="Calibri"/>
          <w:noProof/>
          <w:color w:val="000000" w:themeColor="text1"/>
          <w:sz w:val="24"/>
          <w:szCs w:val="24"/>
          <w:lang w:val="en-US"/>
        </w:rPr>
        <w:t>[3]</w:t>
      </w:r>
      <w:r>
        <w:rPr>
          <w:rFonts w:ascii="Calibri" w:hAnsi="Calibri" w:cs="Calibri"/>
          <w:color w:val="000000" w:themeColor="text1"/>
          <w:sz w:val="24"/>
          <w:szCs w:val="24"/>
          <w:lang w:val="en-US"/>
        </w:rPr>
        <w:fldChar w:fldCharType="end"/>
      </w:r>
      <w:r w:rsidRPr="00A31BD4">
        <w:rPr>
          <w:rFonts w:ascii="Calibri" w:hAnsi="Calibri" w:cs="Calibri"/>
          <w:color w:val="000000" w:themeColor="text1"/>
          <w:sz w:val="24"/>
          <w:szCs w:val="24"/>
          <w:lang w:val="en-US"/>
        </w:rPr>
        <w:t>. This move facilitated procurement of DAAs. When we compared time from HCV RNA positivity to DAA initiation before (2013-2016) and after (2017-2023) this change, we did not observe any significant differences (p=0.9066).</w:t>
      </w:r>
    </w:p>
    <w:p w14:paraId="4B64D6D9" w14:textId="77777777" w:rsidR="0005174A" w:rsidRDefault="0005174A" w:rsidP="0005174A">
      <w:pPr>
        <w:rPr>
          <w:rFonts w:ascii="Calibri" w:hAnsi="Calibri" w:cs="Calibri"/>
          <w:lang w:val="en-US"/>
        </w:rPr>
        <w:sectPr w:rsidR="0005174A" w:rsidSect="00E80913">
          <w:pgSz w:w="11906" w:h="16838"/>
          <w:pgMar w:top="1440" w:right="1440" w:bottom="1440" w:left="1440" w:header="708" w:footer="708" w:gutter="0"/>
          <w:cols w:space="708"/>
          <w:docGrid w:linePitch="360"/>
        </w:sectPr>
      </w:pPr>
    </w:p>
    <w:p w14:paraId="5237825D" w14:textId="0754E66A" w:rsidR="00722AF5" w:rsidRPr="00DB3CB7" w:rsidRDefault="0005174A" w:rsidP="0005174A">
      <w:pPr>
        <w:rPr>
          <w:rFonts w:ascii="Calibri" w:hAnsi="Calibri" w:cs="Calibri"/>
          <w:lang w:val="en-US"/>
        </w:rPr>
      </w:pPr>
      <w:r>
        <w:rPr>
          <w:rFonts w:ascii="Calibri" w:hAnsi="Calibri" w:cs="Calibri"/>
          <w:noProof/>
          <w:lang w:val="en-US"/>
          <w14:ligatures w14:val="standardContextual"/>
        </w:rPr>
        <w:lastRenderedPageBreak/>
        <w:drawing>
          <wp:inline distT="0" distB="0" distL="0" distR="0" wp14:anchorId="5F182EC6" wp14:editId="6DD297AD">
            <wp:extent cx="8679600" cy="5311140"/>
            <wp:effectExtent l="0" t="0" r="7620" b="3810"/>
            <wp:docPr id="1636773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773928" name="Picture 1636773928"/>
                    <pic:cNvPicPr/>
                  </pic:nvPicPr>
                  <pic:blipFill>
                    <a:blip r:embed="rId9">
                      <a:extLst>
                        <a:ext uri="{28A0092B-C50C-407E-A947-70E740481C1C}">
                          <a14:useLocalDpi xmlns:a14="http://schemas.microsoft.com/office/drawing/2010/main" val="0"/>
                        </a:ext>
                      </a:extLst>
                    </a:blip>
                    <a:stretch>
                      <a:fillRect/>
                    </a:stretch>
                  </pic:blipFill>
                  <pic:spPr>
                    <a:xfrm>
                      <a:off x="0" y="0"/>
                      <a:ext cx="8686114" cy="5315126"/>
                    </a:xfrm>
                    <a:prstGeom prst="rect">
                      <a:avLst/>
                    </a:prstGeom>
                  </pic:spPr>
                </pic:pic>
              </a:graphicData>
            </a:graphic>
          </wp:inline>
        </w:drawing>
      </w:r>
      <w:r w:rsidR="001C7CA9">
        <w:rPr>
          <w:rFonts w:ascii="Calibri" w:hAnsi="Calibri" w:cs="Calibri"/>
          <w:lang w:val="en-US"/>
        </w:rPr>
        <w:fldChar w:fldCharType="begin"/>
      </w:r>
      <w:r w:rsidR="001C7CA9">
        <w:rPr>
          <w:rFonts w:ascii="Calibri" w:hAnsi="Calibri" w:cs="Calibri"/>
          <w:lang w:val="en-US"/>
        </w:rPr>
        <w:instrText xml:space="preserve"> ADDIN </w:instrText>
      </w:r>
      <w:r w:rsidR="001C7CA9">
        <w:rPr>
          <w:rFonts w:ascii="Calibri" w:hAnsi="Calibri" w:cs="Calibri"/>
          <w:lang w:val="en-US"/>
        </w:rPr>
        <w:fldChar w:fldCharType="end"/>
      </w:r>
    </w:p>
    <w:sectPr w:rsidR="00722AF5" w:rsidRPr="00DB3CB7" w:rsidSect="0005174A">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309A5" w14:textId="77777777" w:rsidR="00A45B35" w:rsidRDefault="00A45B35" w:rsidP="003E126A">
      <w:pPr>
        <w:spacing w:line="240" w:lineRule="auto"/>
      </w:pPr>
      <w:r>
        <w:separator/>
      </w:r>
    </w:p>
  </w:endnote>
  <w:endnote w:type="continuationSeparator" w:id="0">
    <w:p w14:paraId="7B016CCD" w14:textId="77777777" w:rsidR="00A45B35" w:rsidRDefault="00A45B35" w:rsidP="003E12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75401605"/>
      <w:docPartObj>
        <w:docPartGallery w:val="Page Numbers (Bottom of Page)"/>
        <w:docPartUnique/>
      </w:docPartObj>
    </w:sdtPr>
    <w:sdtContent>
      <w:p w14:paraId="05E695B1" w14:textId="53BB782A" w:rsidR="00C2055E" w:rsidRDefault="00C2055E" w:rsidP="00C2055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56B18F" w14:textId="77777777" w:rsidR="00C2055E" w:rsidRDefault="00C2055E" w:rsidP="003E126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52293196"/>
      <w:docPartObj>
        <w:docPartGallery w:val="Page Numbers (Bottom of Page)"/>
        <w:docPartUnique/>
      </w:docPartObj>
    </w:sdtPr>
    <w:sdtContent>
      <w:p w14:paraId="48248A4B" w14:textId="035E6A5D" w:rsidR="00C2055E" w:rsidRDefault="00C2055E" w:rsidP="00C2055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B41CD">
          <w:rPr>
            <w:rStyle w:val="PageNumber"/>
            <w:noProof/>
          </w:rPr>
          <w:t>6</w:t>
        </w:r>
        <w:r>
          <w:rPr>
            <w:rStyle w:val="PageNumber"/>
          </w:rPr>
          <w:fldChar w:fldCharType="end"/>
        </w:r>
      </w:p>
    </w:sdtContent>
  </w:sdt>
  <w:p w14:paraId="2573021B" w14:textId="77777777" w:rsidR="00C2055E" w:rsidRDefault="00C2055E" w:rsidP="003E126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4E5ED" w14:textId="77777777" w:rsidR="00A45B35" w:rsidRDefault="00A45B35" w:rsidP="003E126A">
      <w:pPr>
        <w:spacing w:line="240" w:lineRule="auto"/>
      </w:pPr>
      <w:r>
        <w:separator/>
      </w:r>
    </w:p>
  </w:footnote>
  <w:footnote w:type="continuationSeparator" w:id="0">
    <w:p w14:paraId="78DD885A" w14:textId="77777777" w:rsidR="00A45B35" w:rsidRDefault="00A45B35" w:rsidP="003E126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Infectious Diseases&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pp5zfds4ss5fwe959xp0x08pzd9xrevpexv&quot;&gt;My EndNote Library&lt;record-ids&gt;&lt;item&gt;2672&lt;/item&gt;&lt;item&gt;8327&lt;/item&gt;&lt;/record-ids&gt;&lt;/item&gt;&lt;/Libraries&gt;"/>
  </w:docVars>
  <w:rsids>
    <w:rsidRoot w:val="00722AF5"/>
    <w:rsid w:val="000107DF"/>
    <w:rsid w:val="0001245C"/>
    <w:rsid w:val="000506E7"/>
    <w:rsid w:val="0005174A"/>
    <w:rsid w:val="00051CC7"/>
    <w:rsid w:val="000B46ED"/>
    <w:rsid w:val="00132323"/>
    <w:rsid w:val="00135E12"/>
    <w:rsid w:val="0014508F"/>
    <w:rsid w:val="001931D8"/>
    <w:rsid w:val="00193AB2"/>
    <w:rsid w:val="001B41CD"/>
    <w:rsid w:val="001B5AB7"/>
    <w:rsid w:val="001C7CA9"/>
    <w:rsid w:val="00233028"/>
    <w:rsid w:val="002847B3"/>
    <w:rsid w:val="00297B88"/>
    <w:rsid w:val="002C5ACD"/>
    <w:rsid w:val="003012AB"/>
    <w:rsid w:val="0030527F"/>
    <w:rsid w:val="00332F9C"/>
    <w:rsid w:val="0035545A"/>
    <w:rsid w:val="00360251"/>
    <w:rsid w:val="003D7022"/>
    <w:rsid w:val="003E126A"/>
    <w:rsid w:val="00405F05"/>
    <w:rsid w:val="004155F0"/>
    <w:rsid w:val="00442D71"/>
    <w:rsid w:val="00462B7B"/>
    <w:rsid w:val="004A346C"/>
    <w:rsid w:val="004D153A"/>
    <w:rsid w:val="004D271B"/>
    <w:rsid w:val="00503FFB"/>
    <w:rsid w:val="00531F52"/>
    <w:rsid w:val="00555730"/>
    <w:rsid w:val="00574A8B"/>
    <w:rsid w:val="00582797"/>
    <w:rsid w:val="005913C9"/>
    <w:rsid w:val="005B17F4"/>
    <w:rsid w:val="005F73A6"/>
    <w:rsid w:val="00722AF5"/>
    <w:rsid w:val="00781BD6"/>
    <w:rsid w:val="00791823"/>
    <w:rsid w:val="007C0359"/>
    <w:rsid w:val="007C704F"/>
    <w:rsid w:val="007C760B"/>
    <w:rsid w:val="008354A5"/>
    <w:rsid w:val="00841D43"/>
    <w:rsid w:val="00847BFA"/>
    <w:rsid w:val="00855F4E"/>
    <w:rsid w:val="00896720"/>
    <w:rsid w:val="008A30AB"/>
    <w:rsid w:val="008C7A8E"/>
    <w:rsid w:val="00903944"/>
    <w:rsid w:val="00974D01"/>
    <w:rsid w:val="009A241B"/>
    <w:rsid w:val="00A30C2B"/>
    <w:rsid w:val="00A31BD4"/>
    <w:rsid w:val="00A45B35"/>
    <w:rsid w:val="00AB1982"/>
    <w:rsid w:val="00AB48ED"/>
    <w:rsid w:val="00AC2A07"/>
    <w:rsid w:val="00BA096B"/>
    <w:rsid w:val="00C120A9"/>
    <w:rsid w:val="00C2055E"/>
    <w:rsid w:val="00C317A1"/>
    <w:rsid w:val="00CA4F52"/>
    <w:rsid w:val="00CB14F2"/>
    <w:rsid w:val="00CC325D"/>
    <w:rsid w:val="00CF6CDE"/>
    <w:rsid w:val="00D44F2F"/>
    <w:rsid w:val="00D57C4B"/>
    <w:rsid w:val="00DB3CB7"/>
    <w:rsid w:val="00DC6A2A"/>
    <w:rsid w:val="00DE6946"/>
    <w:rsid w:val="00E71FA0"/>
    <w:rsid w:val="00E80913"/>
    <w:rsid w:val="00E85721"/>
    <w:rsid w:val="00EB0AFE"/>
    <w:rsid w:val="00F31A2F"/>
    <w:rsid w:val="00F5230A"/>
    <w:rsid w:val="00F52808"/>
    <w:rsid w:val="00FA4FAD"/>
    <w:rsid w:val="00FC0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C080FA"/>
  <w15:chartTrackingRefBased/>
  <w15:docId w15:val="{8CE74AC7-13A4-481F-BF64-1753B91F1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AF5"/>
    <w:pPr>
      <w:spacing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722AF5"/>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22AF5"/>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22AF5"/>
    <w:pPr>
      <w:keepNext/>
      <w:keepLines/>
      <w:spacing w:before="160" w:after="80" w:line="240"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22AF5"/>
    <w:pPr>
      <w:keepNext/>
      <w:keepLines/>
      <w:spacing w:before="80" w:after="40" w:line="240"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22AF5"/>
    <w:pPr>
      <w:keepNext/>
      <w:keepLines/>
      <w:spacing w:before="80" w:after="40" w:line="240"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22AF5"/>
    <w:pPr>
      <w:keepNext/>
      <w:keepLines/>
      <w:spacing w:before="40" w:line="240"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22AF5"/>
    <w:pPr>
      <w:keepNext/>
      <w:keepLines/>
      <w:spacing w:before="40" w:line="240"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22AF5"/>
    <w:pPr>
      <w:keepNext/>
      <w:keepLines/>
      <w:spacing w:line="240"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22AF5"/>
    <w:pPr>
      <w:keepNext/>
      <w:keepLines/>
      <w:spacing w:line="240"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A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22A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2A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2A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22A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22A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A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A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AF5"/>
    <w:rPr>
      <w:rFonts w:eastAsiaTheme="majorEastAsia" w:cstheme="majorBidi"/>
      <w:color w:val="272727" w:themeColor="text1" w:themeTint="D8"/>
    </w:rPr>
  </w:style>
  <w:style w:type="paragraph" w:styleId="Title">
    <w:name w:val="Title"/>
    <w:basedOn w:val="Normal"/>
    <w:next w:val="Normal"/>
    <w:link w:val="TitleChar"/>
    <w:uiPriority w:val="10"/>
    <w:qFormat/>
    <w:rsid w:val="00722AF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22A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2AF5"/>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22A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2AF5"/>
    <w:pPr>
      <w:spacing w:before="160" w:after="160" w:line="240"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22AF5"/>
    <w:rPr>
      <w:i/>
      <w:iCs/>
      <w:color w:val="404040" w:themeColor="text1" w:themeTint="BF"/>
    </w:rPr>
  </w:style>
  <w:style w:type="paragraph" w:styleId="ListParagraph">
    <w:name w:val="List Paragraph"/>
    <w:basedOn w:val="Normal"/>
    <w:uiPriority w:val="34"/>
    <w:qFormat/>
    <w:rsid w:val="00722AF5"/>
    <w:pPr>
      <w:spacing w:line="240"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722AF5"/>
    <w:rPr>
      <w:i/>
      <w:iCs/>
      <w:color w:val="2F5496" w:themeColor="accent1" w:themeShade="BF"/>
    </w:rPr>
  </w:style>
  <w:style w:type="paragraph" w:styleId="IntenseQuote">
    <w:name w:val="Intense Quote"/>
    <w:basedOn w:val="Normal"/>
    <w:next w:val="Normal"/>
    <w:link w:val="IntenseQuoteChar"/>
    <w:uiPriority w:val="30"/>
    <w:qFormat/>
    <w:rsid w:val="00722AF5"/>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22AF5"/>
    <w:rPr>
      <w:i/>
      <w:iCs/>
      <w:color w:val="2F5496" w:themeColor="accent1" w:themeShade="BF"/>
    </w:rPr>
  </w:style>
  <w:style w:type="character" w:styleId="IntenseReference">
    <w:name w:val="Intense Reference"/>
    <w:basedOn w:val="DefaultParagraphFont"/>
    <w:uiPriority w:val="32"/>
    <w:qFormat/>
    <w:rsid w:val="00722AF5"/>
    <w:rPr>
      <w:b/>
      <w:bCs/>
      <w:smallCaps/>
      <w:color w:val="2F5496" w:themeColor="accent1" w:themeShade="BF"/>
      <w:spacing w:val="5"/>
    </w:rPr>
  </w:style>
  <w:style w:type="table" w:styleId="TableGrid">
    <w:name w:val="Table Grid"/>
    <w:basedOn w:val="TableNormal"/>
    <w:uiPriority w:val="39"/>
    <w:rsid w:val="00722AF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22AF5"/>
    <w:rPr>
      <w:kern w:val="0"/>
      <w:sz w:val="22"/>
      <w:szCs w:val="22"/>
      <w:lang w:val="el-GR"/>
      <w14:ligatures w14:val="none"/>
    </w:rPr>
  </w:style>
  <w:style w:type="paragraph" w:styleId="Footer">
    <w:name w:val="footer"/>
    <w:basedOn w:val="Normal"/>
    <w:link w:val="FooterChar"/>
    <w:uiPriority w:val="99"/>
    <w:unhideWhenUsed/>
    <w:rsid w:val="003E126A"/>
    <w:pPr>
      <w:tabs>
        <w:tab w:val="center" w:pos="4513"/>
        <w:tab w:val="right" w:pos="9026"/>
      </w:tabs>
      <w:spacing w:line="240" w:lineRule="auto"/>
    </w:pPr>
  </w:style>
  <w:style w:type="character" w:customStyle="1" w:styleId="FooterChar">
    <w:name w:val="Footer Char"/>
    <w:basedOn w:val="DefaultParagraphFont"/>
    <w:link w:val="Footer"/>
    <w:uiPriority w:val="99"/>
    <w:rsid w:val="003E126A"/>
    <w:rPr>
      <w:rFonts w:ascii="Arial" w:eastAsia="Arial" w:hAnsi="Arial" w:cs="Arial"/>
      <w:kern w:val="0"/>
      <w:sz w:val="22"/>
      <w:szCs w:val="22"/>
      <w:lang w:val="en"/>
      <w14:ligatures w14:val="none"/>
    </w:rPr>
  </w:style>
  <w:style w:type="character" w:styleId="PageNumber">
    <w:name w:val="page number"/>
    <w:basedOn w:val="DefaultParagraphFont"/>
    <w:uiPriority w:val="99"/>
    <w:semiHidden/>
    <w:unhideWhenUsed/>
    <w:rsid w:val="003E126A"/>
  </w:style>
  <w:style w:type="character" w:styleId="CommentReference">
    <w:name w:val="annotation reference"/>
    <w:basedOn w:val="DefaultParagraphFont"/>
    <w:uiPriority w:val="99"/>
    <w:semiHidden/>
    <w:unhideWhenUsed/>
    <w:rsid w:val="00A30C2B"/>
    <w:rPr>
      <w:sz w:val="16"/>
      <w:szCs w:val="16"/>
    </w:rPr>
  </w:style>
  <w:style w:type="paragraph" w:styleId="CommentText">
    <w:name w:val="annotation text"/>
    <w:basedOn w:val="Normal"/>
    <w:link w:val="CommentTextChar"/>
    <w:uiPriority w:val="99"/>
    <w:semiHidden/>
    <w:unhideWhenUsed/>
    <w:rsid w:val="00A30C2B"/>
    <w:pPr>
      <w:spacing w:line="240" w:lineRule="auto"/>
    </w:pPr>
    <w:rPr>
      <w:sz w:val="20"/>
      <w:szCs w:val="20"/>
    </w:rPr>
  </w:style>
  <w:style w:type="character" w:customStyle="1" w:styleId="CommentTextChar">
    <w:name w:val="Comment Text Char"/>
    <w:basedOn w:val="DefaultParagraphFont"/>
    <w:link w:val="CommentText"/>
    <w:uiPriority w:val="99"/>
    <w:semiHidden/>
    <w:rsid w:val="00A30C2B"/>
    <w:rPr>
      <w:rFonts w:ascii="Arial" w:eastAsia="Arial" w:hAnsi="Arial" w:cs="Arial"/>
      <w:kern w:val="0"/>
      <w:sz w:val="20"/>
      <w:szCs w:val="20"/>
      <w:lang w:val="en"/>
      <w14:ligatures w14:val="none"/>
    </w:rPr>
  </w:style>
  <w:style w:type="paragraph" w:styleId="CommentSubject">
    <w:name w:val="annotation subject"/>
    <w:basedOn w:val="CommentText"/>
    <w:next w:val="CommentText"/>
    <w:link w:val="CommentSubjectChar"/>
    <w:uiPriority w:val="99"/>
    <w:semiHidden/>
    <w:unhideWhenUsed/>
    <w:rsid w:val="00A30C2B"/>
    <w:rPr>
      <w:b/>
      <w:bCs/>
    </w:rPr>
  </w:style>
  <w:style w:type="character" w:customStyle="1" w:styleId="CommentSubjectChar">
    <w:name w:val="Comment Subject Char"/>
    <w:basedOn w:val="CommentTextChar"/>
    <w:link w:val="CommentSubject"/>
    <w:uiPriority w:val="99"/>
    <w:semiHidden/>
    <w:rsid w:val="00A30C2B"/>
    <w:rPr>
      <w:rFonts w:ascii="Arial" w:eastAsia="Arial" w:hAnsi="Arial" w:cs="Arial"/>
      <w:b/>
      <w:bCs/>
      <w:kern w:val="0"/>
      <w:sz w:val="20"/>
      <w:szCs w:val="20"/>
      <w:lang w:val="en"/>
      <w14:ligatures w14:val="none"/>
    </w:rPr>
  </w:style>
  <w:style w:type="paragraph" w:styleId="BalloonText">
    <w:name w:val="Balloon Text"/>
    <w:basedOn w:val="Normal"/>
    <w:link w:val="BalloonTextChar"/>
    <w:uiPriority w:val="99"/>
    <w:semiHidden/>
    <w:unhideWhenUsed/>
    <w:rsid w:val="00A30C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0C2B"/>
    <w:rPr>
      <w:rFonts w:ascii="Segoe UI" w:eastAsia="Arial" w:hAnsi="Segoe UI" w:cs="Segoe UI"/>
      <w:kern w:val="0"/>
      <w:sz w:val="18"/>
      <w:szCs w:val="18"/>
      <w:lang w:val="en"/>
      <w14:ligatures w14:val="none"/>
    </w:rPr>
  </w:style>
  <w:style w:type="paragraph" w:styleId="Revision">
    <w:name w:val="Revision"/>
    <w:hidden/>
    <w:uiPriority w:val="99"/>
    <w:semiHidden/>
    <w:rsid w:val="005F73A6"/>
    <w:rPr>
      <w:rFonts w:ascii="Arial" w:eastAsia="Arial" w:hAnsi="Arial" w:cs="Arial"/>
      <w:kern w:val="0"/>
      <w:sz w:val="22"/>
      <w:szCs w:val="22"/>
      <w:lang w:val="en"/>
      <w14:ligatures w14:val="none"/>
    </w:rPr>
  </w:style>
  <w:style w:type="paragraph" w:customStyle="1" w:styleId="EndNoteBibliographyTitle">
    <w:name w:val="EndNote Bibliography Title"/>
    <w:basedOn w:val="Normal"/>
    <w:link w:val="EndNoteBibliographyTitleChar"/>
    <w:rsid w:val="0035545A"/>
    <w:pPr>
      <w:jc w:val="center"/>
    </w:pPr>
    <w:rPr>
      <w:noProof/>
      <w:lang w:val="en-US"/>
    </w:rPr>
  </w:style>
  <w:style w:type="character" w:customStyle="1" w:styleId="EndNoteBibliographyTitleChar">
    <w:name w:val="EndNote Bibliography Title Char"/>
    <w:basedOn w:val="DefaultParagraphFont"/>
    <w:link w:val="EndNoteBibliographyTitle"/>
    <w:rsid w:val="0035545A"/>
    <w:rPr>
      <w:rFonts w:ascii="Arial" w:eastAsia="Arial" w:hAnsi="Arial" w:cs="Arial"/>
      <w:noProof/>
      <w:kern w:val="0"/>
      <w:sz w:val="22"/>
      <w:szCs w:val="22"/>
      <w14:ligatures w14:val="none"/>
    </w:rPr>
  </w:style>
  <w:style w:type="paragraph" w:customStyle="1" w:styleId="EndNoteBibliography">
    <w:name w:val="EndNote Bibliography"/>
    <w:basedOn w:val="Normal"/>
    <w:link w:val="EndNoteBibliographyChar"/>
    <w:rsid w:val="0035545A"/>
    <w:pPr>
      <w:spacing w:line="240" w:lineRule="auto"/>
    </w:pPr>
    <w:rPr>
      <w:noProof/>
      <w:lang w:val="en-US"/>
    </w:rPr>
  </w:style>
  <w:style w:type="character" w:customStyle="1" w:styleId="EndNoteBibliographyChar">
    <w:name w:val="EndNote Bibliography Char"/>
    <w:basedOn w:val="DefaultParagraphFont"/>
    <w:link w:val="EndNoteBibliography"/>
    <w:rsid w:val="0035545A"/>
    <w:rPr>
      <w:rFonts w:ascii="Arial" w:eastAsia="Arial" w:hAnsi="Arial" w:cs="Arial"/>
      <w:noProof/>
      <w:kern w:val="0"/>
      <w:sz w:val="22"/>
      <w:szCs w:val="22"/>
      <w14:ligatures w14:val="none"/>
    </w:rPr>
  </w:style>
  <w:style w:type="character" w:styleId="Hyperlink">
    <w:name w:val="Hyperlink"/>
    <w:basedOn w:val="DefaultParagraphFont"/>
    <w:uiPriority w:val="99"/>
    <w:unhideWhenUsed/>
    <w:rsid w:val="00F31A2F"/>
    <w:rPr>
      <w:color w:val="0563C1" w:themeColor="hyperlink"/>
      <w:u w:val="single"/>
    </w:rPr>
  </w:style>
  <w:style w:type="character" w:styleId="UnresolvedMention">
    <w:name w:val="Unresolved Mention"/>
    <w:basedOn w:val="DefaultParagraphFont"/>
    <w:uiPriority w:val="99"/>
    <w:semiHidden/>
    <w:unhideWhenUsed/>
    <w:rsid w:val="00F31A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8855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F4B8A-05B4-4B14-9E82-056F6118E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1840</Words>
  <Characters>10492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Zoi Papalamprakopoulou (Student)</dc:creator>
  <cp:keywords/>
  <dc:description/>
  <cp:lastModifiedBy>Andy Talal</cp:lastModifiedBy>
  <cp:revision>3</cp:revision>
  <dcterms:created xsi:type="dcterms:W3CDTF">2026-02-22T21:39:00Z</dcterms:created>
  <dcterms:modified xsi:type="dcterms:W3CDTF">2026-02-23T00:22:00Z</dcterms:modified>
</cp:coreProperties>
</file>