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6A519" w14:textId="0AB2E497" w:rsidR="006E7743" w:rsidRPr="00F01F3A" w:rsidRDefault="006E7743" w:rsidP="00F35ACD">
      <w:pPr>
        <w:jc w:val="both"/>
        <w:rPr>
          <w:rFonts w:ascii="Calibri" w:hAnsi="Calibri"/>
          <w:b/>
          <w:bCs/>
          <w:sz w:val="22"/>
          <w:szCs w:val="22"/>
        </w:rPr>
      </w:pPr>
      <w:r w:rsidRPr="00F01F3A">
        <w:rPr>
          <w:rFonts w:ascii="Calibri" w:hAnsi="Calibri"/>
          <w:b/>
          <w:bCs/>
          <w:sz w:val="22"/>
          <w:szCs w:val="22"/>
        </w:rPr>
        <w:t>Supplementary Material</w:t>
      </w:r>
    </w:p>
    <w:p w14:paraId="0BF81BBF" w14:textId="77777777" w:rsidR="006E7743" w:rsidRPr="00F01F3A" w:rsidRDefault="006E7743" w:rsidP="00F35ACD">
      <w:pPr>
        <w:jc w:val="both"/>
        <w:rPr>
          <w:rFonts w:ascii="Calibri" w:hAnsi="Calibri"/>
          <w:b/>
          <w:bCs/>
          <w:sz w:val="22"/>
          <w:szCs w:val="22"/>
        </w:rPr>
      </w:pPr>
    </w:p>
    <w:p w14:paraId="67FFF9FD" w14:textId="27BFDE2C" w:rsidR="001A7BA6" w:rsidRPr="00F01F3A" w:rsidRDefault="00276CD8" w:rsidP="00F35ACD">
      <w:pPr>
        <w:jc w:val="both"/>
        <w:rPr>
          <w:rFonts w:ascii="Calibri" w:hAnsi="Calibri"/>
          <w:b/>
          <w:sz w:val="22"/>
          <w:szCs w:val="22"/>
        </w:rPr>
      </w:pPr>
      <w:r w:rsidRPr="00F01F3A">
        <w:rPr>
          <w:rFonts w:ascii="Calibri" w:hAnsi="Calibri"/>
          <w:b/>
          <w:sz w:val="22"/>
          <w:szCs w:val="22"/>
        </w:rPr>
        <w:t>Title</w:t>
      </w:r>
      <w:r w:rsidR="001A7BA6" w:rsidRPr="00F01F3A">
        <w:rPr>
          <w:rFonts w:ascii="Calibri" w:hAnsi="Calibri"/>
          <w:b/>
          <w:sz w:val="22"/>
          <w:szCs w:val="22"/>
        </w:rPr>
        <w:t xml:space="preserve">: </w:t>
      </w:r>
      <w:r w:rsidR="004F273F" w:rsidRPr="00F01F3A">
        <w:rPr>
          <w:rFonts w:ascii="Calibri" w:hAnsi="Calibri"/>
          <w:sz w:val="22"/>
          <w:szCs w:val="22"/>
        </w:rPr>
        <w:t>Advancing diagnostics for Chagas disease:</w:t>
      </w:r>
      <w:r w:rsidR="004F273F" w:rsidRPr="00F01F3A" w:rsidDel="007B2323">
        <w:rPr>
          <w:rFonts w:ascii="Calibri" w:hAnsi="Calibri"/>
          <w:sz w:val="22"/>
          <w:szCs w:val="22"/>
        </w:rPr>
        <w:t xml:space="preserve"> </w:t>
      </w:r>
      <w:r w:rsidR="004F273F" w:rsidRPr="00F01F3A">
        <w:rPr>
          <w:rFonts w:ascii="Calibri" w:hAnsi="Calibri"/>
          <w:sz w:val="22"/>
          <w:szCs w:val="22"/>
        </w:rPr>
        <w:t>key product characteristics and harmonized evaluation strategies - An expert meeting report</w:t>
      </w:r>
    </w:p>
    <w:p w14:paraId="0404B58A" w14:textId="4833A059" w:rsidR="006E7743" w:rsidRPr="00F01F3A" w:rsidRDefault="00276CD8" w:rsidP="00F35ACD">
      <w:pPr>
        <w:jc w:val="both"/>
        <w:rPr>
          <w:rFonts w:ascii="Calibri" w:hAnsi="Calibri"/>
          <w:sz w:val="22"/>
          <w:szCs w:val="22"/>
          <w:lang w:val="es-AR"/>
        </w:rPr>
      </w:pPr>
      <w:r w:rsidRPr="00F01F3A">
        <w:rPr>
          <w:rFonts w:ascii="Calibri" w:hAnsi="Calibri"/>
          <w:b/>
          <w:sz w:val="22"/>
          <w:szCs w:val="22"/>
          <w:lang w:val="es-AR"/>
        </w:rPr>
        <w:t>Authors</w:t>
      </w:r>
      <w:r w:rsidRPr="00F01F3A">
        <w:rPr>
          <w:rFonts w:ascii="Calibri" w:hAnsi="Calibri"/>
          <w:sz w:val="22"/>
          <w:szCs w:val="22"/>
          <w:lang w:val="es-AR"/>
        </w:rPr>
        <w:t>:</w:t>
      </w:r>
      <w:r w:rsidR="005A322F" w:rsidRPr="00F01F3A">
        <w:rPr>
          <w:rFonts w:ascii="Calibri" w:hAnsi="Calibri"/>
          <w:sz w:val="22"/>
          <w:szCs w:val="22"/>
          <w:lang w:val="es-AR"/>
        </w:rPr>
        <w:t xml:space="preserve"> </w:t>
      </w:r>
      <w:r w:rsidR="004F273F" w:rsidRPr="00F01F3A">
        <w:rPr>
          <w:rFonts w:ascii="Calibri" w:hAnsi="Calibri"/>
          <w:sz w:val="22"/>
          <w:szCs w:val="22"/>
          <w:lang w:val="es-AR"/>
        </w:rPr>
        <w:t xml:space="preserve">Laura </w:t>
      </w:r>
      <w:r w:rsidR="004F273F" w:rsidRPr="00F01F3A">
        <w:rPr>
          <w:rFonts w:ascii="Calibri" w:eastAsia="Times New Roman" w:hAnsi="Calibri" w:cstheme="minorHAnsi"/>
          <w:sz w:val="22"/>
          <w:szCs w:val="22"/>
          <w:lang w:val="es-AR" w:eastAsia="pt-BR"/>
        </w:rPr>
        <w:t>C.</w:t>
      </w:r>
      <w:r w:rsidR="004F273F" w:rsidRPr="00F01F3A">
        <w:rPr>
          <w:rFonts w:ascii="Calibri" w:hAnsi="Calibri"/>
          <w:sz w:val="22"/>
          <w:szCs w:val="22"/>
          <w:lang w:val="es-AR"/>
        </w:rPr>
        <w:t xml:space="preserve"> Bohorquez, Alejandro G. Schijman, Freddy Perez, Hector Coto, Andrea Marchiol, Maria-Jesus Pinazo</w:t>
      </w:r>
    </w:p>
    <w:p w14:paraId="3FF9CC3B" w14:textId="77777777" w:rsidR="004F273F" w:rsidRPr="00F01F3A" w:rsidRDefault="004F273F" w:rsidP="00F35ACD">
      <w:pPr>
        <w:jc w:val="both"/>
        <w:rPr>
          <w:rFonts w:ascii="Calibri" w:hAnsi="Calibri"/>
          <w:sz w:val="22"/>
          <w:szCs w:val="22"/>
          <w:vertAlign w:val="superscript"/>
          <w:lang w:val="es-AR"/>
        </w:rPr>
      </w:pPr>
    </w:p>
    <w:p w14:paraId="73CE7D0F" w14:textId="77777777" w:rsidR="00AE2AD5" w:rsidRPr="00F01F3A" w:rsidRDefault="00AE2AD5" w:rsidP="00435EEB">
      <w:pPr>
        <w:jc w:val="both"/>
        <w:rPr>
          <w:rFonts w:ascii="Calibri" w:hAnsi="Calibri"/>
          <w:b/>
          <w:bCs/>
          <w:sz w:val="22"/>
          <w:szCs w:val="22"/>
        </w:rPr>
      </w:pPr>
      <w:r w:rsidRPr="00F01F3A">
        <w:rPr>
          <w:rFonts w:ascii="Calibri" w:hAnsi="Calibri"/>
          <w:b/>
          <w:bCs/>
          <w:sz w:val="22"/>
          <w:szCs w:val="22"/>
        </w:rPr>
        <w:t>Supplementary appendix</w:t>
      </w:r>
    </w:p>
    <w:p w14:paraId="36A2E811" w14:textId="77777777" w:rsidR="006B1B31" w:rsidRPr="00F01F3A" w:rsidRDefault="006B1B31" w:rsidP="00F35ACD">
      <w:pPr>
        <w:jc w:val="both"/>
        <w:rPr>
          <w:rFonts w:ascii="Calibri" w:hAnsi="Calibri"/>
          <w:bCs/>
          <w:sz w:val="22"/>
          <w:szCs w:val="22"/>
        </w:rPr>
      </w:pPr>
    </w:p>
    <w:p w14:paraId="48EDF624" w14:textId="66AA9839" w:rsidR="00E56888" w:rsidRPr="00F01F3A" w:rsidRDefault="00E56888" w:rsidP="00F35ACD">
      <w:pPr>
        <w:jc w:val="both"/>
        <w:rPr>
          <w:rFonts w:ascii="Calibri" w:hAnsi="Calibri"/>
          <w:b/>
          <w:bCs/>
          <w:sz w:val="22"/>
          <w:szCs w:val="22"/>
        </w:rPr>
      </w:pPr>
      <w:r w:rsidRPr="00F01F3A">
        <w:rPr>
          <w:rFonts w:ascii="Calibri" w:hAnsi="Calibri"/>
          <w:b/>
          <w:bCs/>
          <w:sz w:val="22"/>
          <w:szCs w:val="22"/>
        </w:rPr>
        <w:t>Table of Contents</w:t>
      </w:r>
    </w:p>
    <w:p w14:paraId="399EB8DF" w14:textId="77777777" w:rsidR="0062178E" w:rsidRPr="00F01F3A" w:rsidRDefault="0062178E" w:rsidP="00F35ACD">
      <w:pPr>
        <w:jc w:val="both"/>
        <w:rPr>
          <w:rFonts w:ascii="Calibri" w:hAnsi="Calibri"/>
          <w:b/>
          <w:bCs/>
          <w:sz w:val="22"/>
          <w:szCs w:val="22"/>
        </w:rPr>
      </w:pPr>
    </w:p>
    <w:p w14:paraId="409AC1D5" w14:textId="49B2C32C" w:rsidR="00AF0C4B" w:rsidRPr="00F01F3A" w:rsidRDefault="00E56888" w:rsidP="00F35ACD">
      <w:pPr>
        <w:jc w:val="both"/>
        <w:rPr>
          <w:rFonts w:ascii="Calibri" w:hAnsi="Calibri"/>
          <w:bCs/>
          <w:sz w:val="22"/>
          <w:szCs w:val="22"/>
        </w:rPr>
      </w:pPr>
      <w:r w:rsidRPr="00F01F3A">
        <w:rPr>
          <w:rFonts w:ascii="Calibri" w:hAnsi="Calibri"/>
          <w:bCs/>
          <w:sz w:val="22"/>
          <w:szCs w:val="22"/>
        </w:rPr>
        <w:t>Appendix</w:t>
      </w:r>
      <w:r w:rsidR="00AE2AD5" w:rsidRPr="00F01F3A">
        <w:rPr>
          <w:rFonts w:ascii="Calibri" w:hAnsi="Calibri"/>
          <w:bCs/>
          <w:sz w:val="22"/>
          <w:szCs w:val="22"/>
        </w:rPr>
        <w:t xml:space="preserve"> 1. </w:t>
      </w:r>
      <w:r w:rsidR="00AF0C4B" w:rsidRPr="00F01F3A">
        <w:rPr>
          <w:rFonts w:ascii="Calibri" w:hAnsi="Calibri"/>
          <w:bCs/>
          <w:sz w:val="22"/>
          <w:szCs w:val="22"/>
        </w:rPr>
        <w:t>List of attendees</w:t>
      </w:r>
      <w:r w:rsidR="00674EFE" w:rsidRPr="00F01F3A">
        <w:rPr>
          <w:rFonts w:ascii="Calibri" w:hAnsi="Calibri"/>
          <w:bCs/>
          <w:sz w:val="22"/>
          <w:szCs w:val="22"/>
        </w:rPr>
        <w:t>.</w:t>
      </w:r>
      <w:r w:rsidR="00AF0C4B" w:rsidRPr="00F01F3A">
        <w:rPr>
          <w:rFonts w:ascii="Calibri" w:hAnsi="Calibri"/>
          <w:bCs/>
          <w:sz w:val="22"/>
          <w:szCs w:val="22"/>
        </w:rPr>
        <w:t xml:space="preserve"> Page 2</w:t>
      </w:r>
    </w:p>
    <w:p w14:paraId="030F6087" w14:textId="21665CA9" w:rsidR="009C12D9" w:rsidRPr="00F01F3A" w:rsidRDefault="009C12D9" w:rsidP="00F35ACD">
      <w:pPr>
        <w:jc w:val="both"/>
        <w:rPr>
          <w:rFonts w:ascii="Calibri" w:hAnsi="Calibri"/>
          <w:bCs/>
          <w:sz w:val="22"/>
          <w:szCs w:val="22"/>
        </w:rPr>
      </w:pPr>
      <w:r w:rsidRPr="00F01F3A">
        <w:rPr>
          <w:rFonts w:ascii="Calibri" w:hAnsi="Calibri"/>
          <w:bCs/>
          <w:sz w:val="22"/>
          <w:szCs w:val="22"/>
        </w:rPr>
        <w:t>Appendix 2. Additional</w:t>
      </w:r>
      <w:r w:rsidRPr="00F01F3A">
        <w:rPr>
          <w:rFonts w:ascii="Calibri" w:hAnsi="Calibri"/>
          <w:b/>
          <w:sz w:val="22"/>
          <w:szCs w:val="22"/>
        </w:rPr>
        <w:t xml:space="preserve"> </w:t>
      </w:r>
      <w:r w:rsidRPr="00F01F3A">
        <w:rPr>
          <w:rFonts w:ascii="Calibri" w:hAnsi="Calibri"/>
          <w:sz w:val="22"/>
          <w:szCs w:val="22"/>
        </w:rPr>
        <w:t xml:space="preserve">results </w:t>
      </w:r>
      <w:r w:rsidR="00ED29DB" w:rsidRPr="00F01F3A">
        <w:rPr>
          <w:rFonts w:ascii="Calibri" w:hAnsi="Calibri"/>
          <w:sz w:val="22"/>
          <w:szCs w:val="22"/>
        </w:rPr>
        <w:t>related to</w:t>
      </w:r>
      <w:r w:rsidRPr="00F01F3A">
        <w:rPr>
          <w:rFonts w:ascii="Calibri" w:hAnsi="Calibri"/>
          <w:sz w:val="22"/>
          <w:szCs w:val="22"/>
        </w:rPr>
        <w:t xml:space="preserve"> the </w:t>
      </w:r>
      <w:r w:rsidRPr="00F01F3A">
        <w:rPr>
          <w:rFonts w:ascii="Calibri" w:hAnsi="Calibri"/>
          <w:bCs/>
          <w:sz w:val="22"/>
          <w:szCs w:val="22"/>
          <w:lang w:val="en-GB"/>
        </w:rPr>
        <w:t xml:space="preserve">harmonized protocol to evaluate RDTs. </w:t>
      </w:r>
      <w:r w:rsidRPr="00F01F3A">
        <w:rPr>
          <w:rFonts w:ascii="Calibri" w:hAnsi="Calibri"/>
          <w:bCs/>
          <w:sz w:val="22"/>
          <w:szCs w:val="22"/>
        </w:rPr>
        <w:t>Page 6</w:t>
      </w:r>
    </w:p>
    <w:p w14:paraId="53A0AB6C" w14:textId="2C688B24" w:rsidR="00AE2AD5" w:rsidRPr="00F01F3A" w:rsidRDefault="00AF0C4B" w:rsidP="00F35ACD">
      <w:pPr>
        <w:jc w:val="both"/>
        <w:rPr>
          <w:rFonts w:ascii="Calibri" w:hAnsi="Calibri"/>
          <w:bCs/>
          <w:sz w:val="22"/>
          <w:szCs w:val="22"/>
        </w:rPr>
      </w:pPr>
      <w:r w:rsidRPr="00F01F3A">
        <w:rPr>
          <w:rFonts w:ascii="Calibri" w:hAnsi="Calibri"/>
          <w:bCs/>
          <w:sz w:val="22"/>
          <w:szCs w:val="22"/>
        </w:rPr>
        <w:t xml:space="preserve">Appendix </w:t>
      </w:r>
      <w:r w:rsidR="009C12D9" w:rsidRPr="00F01F3A">
        <w:rPr>
          <w:rFonts w:ascii="Calibri" w:hAnsi="Calibri"/>
          <w:bCs/>
          <w:sz w:val="22"/>
          <w:szCs w:val="22"/>
        </w:rPr>
        <w:t>3</w:t>
      </w:r>
      <w:r w:rsidRPr="00F01F3A">
        <w:rPr>
          <w:rFonts w:ascii="Calibri" w:hAnsi="Calibri"/>
          <w:bCs/>
          <w:sz w:val="22"/>
          <w:szCs w:val="22"/>
        </w:rPr>
        <w:t xml:space="preserve">. </w:t>
      </w:r>
      <w:r w:rsidR="001A5E31" w:rsidRPr="00F01F3A">
        <w:rPr>
          <w:rFonts w:ascii="Calibri" w:hAnsi="Calibri"/>
          <w:bCs/>
          <w:sz w:val="22"/>
          <w:szCs w:val="22"/>
        </w:rPr>
        <w:t>Guidance on s</w:t>
      </w:r>
      <w:r w:rsidR="009E3084" w:rsidRPr="00F01F3A">
        <w:rPr>
          <w:rFonts w:ascii="Calibri" w:hAnsi="Calibri"/>
          <w:bCs/>
          <w:sz w:val="22"/>
          <w:szCs w:val="22"/>
        </w:rPr>
        <w:t>ample siz</w:t>
      </w:r>
      <w:r w:rsidR="001A5E31" w:rsidRPr="00F01F3A">
        <w:rPr>
          <w:rFonts w:ascii="Calibri" w:hAnsi="Calibri"/>
          <w:bCs/>
          <w:sz w:val="22"/>
          <w:szCs w:val="22"/>
        </w:rPr>
        <w:t>e estimations</w:t>
      </w:r>
      <w:r w:rsidR="00A96360" w:rsidRPr="00F01F3A">
        <w:rPr>
          <w:rFonts w:ascii="Calibri" w:hAnsi="Calibri"/>
          <w:bCs/>
          <w:sz w:val="22"/>
          <w:szCs w:val="22"/>
        </w:rPr>
        <w:t xml:space="preserve"> in the harmonized protocol to evaluate RDTs</w:t>
      </w:r>
      <w:r w:rsidR="00E56888" w:rsidRPr="00F01F3A">
        <w:rPr>
          <w:rFonts w:ascii="Calibri" w:hAnsi="Calibri"/>
          <w:bCs/>
          <w:sz w:val="22"/>
          <w:szCs w:val="22"/>
        </w:rPr>
        <w:t>. Page</w:t>
      </w:r>
      <w:r w:rsidR="001A5E31" w:rsidRPr="00F01F3A">
        <w:rPr>
          <w:rFonts w:ascii="Calibri" w:hAnsi="Calibri"/>
          <w:bCs/>
          <w:sz w:val="22"/>
          <w:szCs w:val="22"/>
        </w:rPr>
        <w:t xml:space="preserve"> </w:t>
      </w:r>
      <w:r w:rsidR="009C12D9" w:rsidRPr="00F01F3A">
        <w:rPr>
          <w:rFonts w:ascii="Calibri" w:hAnsi="Calibri"/>
          <w:bCs/>
          <w:sz w:val="22"/>
          <w:szCs w:val="22"/>
        </w:rPr>
        <w:t>7</w:t>
      </w:r>
    </w:p>
    <w:p w14:paraId="7BACF65D" w14:textId="735C1573" w:rsidR="00472EE1" w:rsidRPr="00F01F3A" w:rsidRDefault="00E56888" w:rsidP="00472EE1">
      <w:pPr>
        <w:jc w:val="both"/>
        <w:rPr>
          <w:rFonts w:ascii="Calibri" w:hAnsi="Calibri"/>
          <w:bCs/>
          <w:sz w:val="22"/>
          <w:szCs w:val="22"/>
        </w:rPr>
      </w:pPr>
      <w:r w:rsidRPr="00F01F3A">
        <w:rPr>
          <w:rFonts w:ascii="Calibri" w:hAnsi="Calibri"/>
          <w:bCs/>
          <w:sz w:val="22"/>
          <w:szCs w:val="22"/>
        </w:rPr>
        <w:t xml:space="preserve">Appendix </w:t>
      </w:r>
      <w:r w:rsidR="009C12D9" w:rsidRPr="00F01F3A">
        <w:rPr>
          <w:rFonts w:ascii="Calibri" w:hAnsi="Calibri"/>
          <w:bCs/>
          <w:sz w:val="22"/>
          <w:szCs w:val="22"/>
        </w:rPr>
        <w:t>4</w:t>
      </w:r>
      <w:r w:rsidR="00AE2AD5" w:rsidRPr="00F01F3A">
        <w:rPr>
          <w:rFonts w:ascii="Calibri" w:hAnsi="Calibri"/>
          <w:bCs/>
          <w:sz w:val="22"/>
          <w:szCs w:val="22"/>
        </w:rPr>
        <w:t xml:space="preserve">. </w:t>
      </w:r>
      <w:r w:rsidR="00472EE1" w:rsidRPr="00F01F3A">
        <w:rPr>
          <w:rFonts w:ascii="Calibri" w:hAnsi="Calibri"/>
          <w:sz w:val="22"/>
          <w:szCs w:val="22"/>
        </w:rPr>
        <w:t xml:space="preserve">Molecular testing </w:t>
      </w:r>
      <w:r w:rsidR="00472EE1" w:rsidRPr="00F01F3A">
        <w:rPr>
          <w:rFonts w:ascii="Calibri" w:hAnsi="Calibri"/>
          <w:bCs/>
          <w:sz w:val="22"/>
          <w:szCs w:val="22"/>
        </w:rPr>
        <w:t xml:space="preserve">of </w:t>
      </w:r>
      <w:r w:rsidR="00472EE1" w:rsidRPr="00F01F3A">
        <w:rPr>
          <w:rFonts w:ascii="Calibri" w:hAnsi="Calibri"/>
          <w:i/>
          <w:sz w:val="22"/>
          <w:szCs w:val="22"/>
        </w:rPr>
        <w:t>T. cruzi</w:t>
      </w:r>
      <w:r w:rsidR="00472EE1" w:rsidRPr="00F01F3A">
        <w:rPr>
          <w:rFonts w:ascii="Calibri" w:hAnsi="Calibri"/>
          <w:sz w:val="22"/>
          <w:szCs w:val="22"/>
        </w:rPr>
        <w:t xml:space="preserve"> and challenges in development and evaluation.</w:t>
      </w:r>
      <w:r w:rsidR="00472EE1" w:rsidRPr="00F01F3A">
        <w:rPr>
          <w:rFonts w:ascii="Calibri" w:hAnsi="Calibri"/>
          <w:bCs/>
          <w:sz w:val="22"/>
          <w:szCs w:val="22"/>
        </w:rPr>
        <w:t xml:space="preserve"> Page </w:t>
      </w:r>
      <w:r w:rsidR="009C12D9" w:rsidRPr="00F01F3A">
        <w:rPr>
          <w:rFonts w:ascii="Calibri" w:hAnsi="Calibri"/>
          <w:bCs/>
          <w:sz w:val="22"/>
          <w:szCs w:val="22"/>
        </w:rPr>
        <w:t>8</w:t>
      </w:r>
    </w:p>
    <w:p w14:paraId="55DD3B8E" w14:textId="185C4BF7" w:rsidR="00AE2AD5" w:rsidRPr="00F01F3A" w:rsidRDefault="00472EE1" w:rsidP="00F35ACD">
      <w:pPr>
        <w:jc w:val="both"/>
        <w:rPr>
          <w:rFonts w:ascii="Calibri" w:hAnsi="Calibri"/>
          <w:bCs/>
          <w:sz w:val="22"/>
          <w:szCs w:val="22"/>
        </w:rPr>
      </w:pPr>
      <w:r w:rsidRPr="00F01F3A">
        <w:rPr>
          <w:rFonts w:ascii="Calibri" w:hAnsi="Calibri"/>
          <w:bCs/>
          <w:sz w:val="22"/>
          <w:szCs w:val="22"/>
        </w:rPr>
        <w:t xml:space="preserve">Appendix </w:t>
      </w:r>
      <w:r w:rsidR="009C12D9" w:rsidRPr="00F01F3A">
        <w:rPr>
          <w:rFonts w:ascii="Calibri" w:hAnsi="Calibri"/>
          <w:bCs/>
          <w:sz w:val="22"/>
          <w:szCs w:val="22"/>
        </w:rPr>
        <w:t>5</w:t>
      </w:r>
      <w:r w:rsidRPr="00F01F3A">
        <w:rPr>
          <w:rFonts w:ascii="Calibri" w:hAnsi="Calibri"/>
          <w:bCs/>
          <w:sz w:val="22"/>
          <w:szCs w:val="22"/>
        </w:rPr>
        <w:t xml:space="preserve">. </w:t>
      </w:r>
      <w:r w:rsidR="00F35ACD" w:rsidRPr="00F01F3A">
        <w:rPr>
          <w:rFonts w:ascii="Calibri" w:hAnsi="Calibri"/>
          <w:bCs/>
          <w:sz w:val="22"/>
          <w:szCs w:val="22"/>
        </w:rPr>
        <w:t>Summary of pre-meeting survey results about the key product characteristics of R</w:t>
      </w:r>
      <w:r w:rsidR="00ED29DB" w:rsidRPr="00F01F3A">
        <w:rPr>
          <w:rFonts w:ascii="Calibri" w:hAnsi="Calibri"/>
          <w:bCs/>
          <w:sz w:val="22"/>
          <w:szCs w:val="22"/>
        </w:rPr>
        <w:t xml:space="preserve">eal </w:t>
      </w:r>
      <w:r w:rsidR="00F35ACD" w:rsidRPr="00F01F3A">
        <w:rPr>
          <w:rFonts w:ascii="Calibri" w:hAnsi="Calibri"/>
          <w:bCs/>
          <w:sz w:val="22"/>
          <w:szCs w:val="22"/>
        </w:rPr>
        <w:t>T</w:t>
      </w:r>
      <w:r w:rsidR="00ED29DB" w:rsidRPr="00F01F3A">
        <w:rPr>
          <w:rFonts w:ascii="Calibri" w:hAnsi="Calibri"/>
          <w:bCs/>
          <w:sz w:val="22"/>
          <w:szCs w:val="22"/>
        </w:rPr>
        <w:t xml:space="preserve">ime </w:t>
      </w:r>
      <w:r w:rsidR="00F35ACD" w:rsidRPr="00F01F3A">
        <w:rPr>
          <w:rFonts w:ascii="Calibri" w:hAnsi="Calibri"/>
          <w:bCs/>
          <w:sz w:val="22"/>
          <w:szCs w:val="22"/>
        </w:rPr>
        <w:t xml:space="preserve">PCR tests. </w:t>
      </w:r>
      <w:r w:rsidRPr="00F01F3A">
        <w:rPr>
          <w:rFonts w:ascii="Calibri" w:hAnsi="Calibri"/>
          <w:bCs/>
          <w:sz w:val="22"/>
          <w:szCs w:val="22"/>
        </w:rPr>
        <w:t xml:space="preserve">Page </w:t>
      </w:r>
      <w:r w:rsidR="009C12D9" w:rsidRPr="00F01F3A">
        <w:rPr>
          <w:rFonts w:ascii="Calibri" w:hAnsi="Calibri"/>
          <w:bCs/>
          <w:sz w:val="22"/>
          <w:szCs w:val="22"/>
        </w:rPr>
        <w:t>9</w:t>
      </w:r>
    </w:p>
    <w:p w14:paraId="6255ED48" w14:textId="1EE3A926" w:rsidR="001B31C6" w:rsidRPr="00F01F3A" w:rsidRDefault="001B31C6" w:rsidP="00F35ACD">
      <w:pPr>
        <w:jc w:val="both"/>
        <w:rPr>
          <w:rFonts w:ascii="Calibri" w:hAnsi="Calibri"/>
          <w:bCs/>
          <w:sz w:val="22"/>
          <w:szCs w:val="22"/>
        </w:rPr>
      </w:pPr>
      <w:r w:rsidRPr="00F01F3A">
        <w:rPr>
          <w:rFonts w:ascii="Calibri" w:hAnsi="Calibri"/>
          <w:bCs/>
          <w:sz w:val="22"/>
          <w:szCs w:val="22"/>
        </w:rPr>
        <w:t xml:space="preserve">Appendix </w:t>
      </w:r>
      <w:r w:rsidR="009C12D9" w:rsidRPr="00F01F3A">
        <w:rPr>
          <w:rFonts w:ascii="Calibri" w:hAnsi="Calibri"/>
          <w:bCs/>
          <w:sz w:val="22"/>
          <w:szCs w:val="22"/>
        </w:rPr>
        <w:t>6</w:t>
      </w:r>
      <w:r w:rsidRPr="00F01F3A">
        <w:rPr>
          <w:rFonts w:ascii="Calibri" w:hAnsi="Calibri"/>
          <w:bCs/>
          <w:sz w:val="22"/>
          <w:szCs w:val="22"/>
        </w:rPr>
        <w:t xml:space="preserve">. </w:t>
      </w:r>
      <w:r w:rsidRPr="00F01F3A">
        <w:rPr>
          <w:rFonts w:ascii="Calibri" w:hAnsi="Calibri"/>
          <w:sz w:val="22"/>
          <w:szCs w:val="22"/>
        </w:rPr>
        <w:t xml:space="preserve">Evidence on cost-effectiveness and economic impact of new testing methods. Page </w:t>
      </w:r>
      <w:r w:rsidR="009C12D9" w:rsidRPr="00F01F3A">
        <w:rPr>
          <w:rFonts w:ascii="Calibri" w:hAnsi="Calibri"/>
          <w:sz w:val="22"/>
          <w:szCs w:val="22"/>
        </w:rPr>
        <w:t>10</w:t>
      </w:r>
    </w:p>
    <w:p w14:paraId="7BABB502" w14:textId="684D674E" w:rsidR="00274743" w:rsidRPr="00F01F3A" w:rsidRDefault="00E56888" w:rsidP="00F35ACD">
      <w:pPr>
        <w:jc w:val="both"/>
        <w:rPr>
          <w:rFonts w:ascii="Calibri" w:hAnsi="Calibri"/>
          <w:bCs/>
          <w:sz w:val="22"/>
          <w:szCs w:val="22"/>
        </w:rPr>
      </w:pPr>
      <w:r w:rsidRPr="00F01F3A">
        <w:rPr>
          <w:rFonts w:ascii="Calibri" w:hAnsi="Calibri"/>
          <w:bCs/>
          <w:sz w:val="22"/>
          <w:szCs w:val="22"/>
        </w:rPr>
        <w:t xml:space="preserve">Appendix </w:t>
      </w:r>
      <w:r w:rsidR="009C12D9" w:rsidRPr="00F01F3A">
        <w:rPr>
          <w:rFonts w:ascii="Calibri" w:hAnsi="Calibri"/>
          <w:bCs/>
          <w:sz w:val="22"/>
          <w:szCs w:val="22"/>
        </w:rPr>
        <w:t>7</w:t>
      </w:r>
      <w:r w:rsidR="00AE2AD5" w:rsidRPr="00F01F3A">
        <w:rPr>
          <w:rFonts w:ascii="Calibri" w:hAnsi="Calibri"/>
          <w:bCs/>
          <w:sz w:val="22"/>
          <w:szCs w:val="22"/>
        </w:rPr>
        <w:t>. Annex to Generic Protocol: Cost-effectiveness sub-study (version 06 June 2024)</w:t>
      </w:r>
      <w:r w:rsidRPr="00F01F3A">
        <w:rPr>
          <w:rFonts w:ascii="Calibri" w:hAnsi="Calibri"/>
          <w:bCs/>
          <w:sz w:val="22"/>
          <w:szCs w:val="22"/>
        </w:rPr>
        <w:t>. Page</w:t>
      </w:r>
      <w:r w:rsidR="001B31C6" w:rsidRPr="00F01F3A">
        <w:rPr>
          <w:rFonts w:ascii="Calibri" w:hAnsi="Calibri"/>
          <w:bCs/>
          <w:sz w:val="22"/>
          <w:szCs w:val="22"/>
        </w:rPr>
        <w:t xml:space="preserve"> 1</w:t>
      </w:r>
      <w:r w:rsidR="009C12D9" w:rsidRPr="00F01F3A">
        <w:rPr>
          <w:rFonts w:ascii="Calibri" w:hAnsi="Calibri"/>
          <w:bCs/>
          <w:sz w:val="22"/>
          <w:szCs w:val="22"/>
        </w:rPr>
        <w:t>1</w:t>
      </w:r>
    </w:p>
    <w:p w14:paraId="57BE1F09" w14:textId="7C6CCC39" w:rsidR="00274743" w:rsidRPr="00F01F3A" w:rsidRDefault="00274743" w:rsidP="00F35ACD">
      <w:pPr>
        <w:jc w:val="both"/>
        <w:rPr>
          <w:rFonts w:ascii="Calibri" w:hAnsi="Calibri"/>
          <w:sz w:val="22"/>
          <w:szCs w:val="22"/>
        </w:rPr>
      </w:pPr>
      <w:r w:rsidRPr="00F01F3A">
        <w:rPr>
          <w:rFonts w:ascii="Calibri" w:hAnsi="Calibri"/>
          <w:sz w:val="22"/>
          <w:szCs w:val="22"/>
        </w:rPr>
        <w:t>References. Page</w:t>
      </w:r>
      <w:r w:rsidR="00F35ACD" w:rsidRPr="00F01F3A">
        <w:rPr>
          <w:rFonts w:ascii="Calibri" w:hAnsi="Calibri"/>
          <w:sz w:val="22"/>
          <w:szCs w:val="22"/>
        </w:rPr>
        <w:t xml:space="preserve"> </w:t>
      </w:r>
      <w:r w:rsidR="00C5444A" w:rsidRPr="00F01F3A">
        <w:rPr>
          <w:rFonts w:ascii="Calibri" w:hAnsi="Calibri"/>
          <w:sz w:val="22"/>
          <w:szCs w:val="22"/>
        </w:rPr>
        <w:t>1</w:t>
      </w:r>
      <w:r w:rsidR="00453C18" w:rsidRPr="00F01F3A">
        <w:rPr>
          <w:rFonts w:ascii="Calibri" w:hAnsi="Calibri"/>
          <w:sz w:val="22"/>
          <w:szCs w:val="22"/>
        </w:rPr>
        <w:t>7</w:t>
      </w:r>
    </w:p>
    <w:p w14:paraId="1BF92667" w14:textId="77777777" w:rsidR="00274743" w:rsidRPr="00F01F3A" w:rsidRDefault="00274743" w:rsidP="00F35ACD">
      <w:pPr>
        <w:jc w:val="both"/>
        <w:rPr>
          <w:rFonts w:ascii="Calibri" w:hAnsi="Calibri"/>
          <w:sz w:val="22"/>
          <w:szCs w:val="22"/>
        </w:rPr>
      </w:pPr>
    </w:p>
    <w:p w14:paraId="4886262D" w14:textId="34C4F6D4" w:rsidR="001A5E31" w:rsidRPr="00F01F3A" w:rsidRDefault="009A4F2B" w:rsidP="00435EEB">
      <w:pPr>
        <w:jc w:val="both"/>
        <w:rPr>
          <w:rFonts w:ascii="Calibri" w:hAnsi="Calibri"/>
          <w:sz w:val="22"/>
          <w:szCs w:val="22"/>
        </w:rPr>
      </w:pPr>
      <w:r w:rsidRPr="00F01F3A">
        <w:rPr>
          <w:rFonts w:ascii="Calibri" w:hAnsi="Calibri"/>
          <w:sz w:val="22"/>
          <w:szCs w:val="22"/>
        </w:rPr>
        <w:t>Chagas</w:t>
      </w:r>
      <w:r w:rsidR="00274743" w:rsidRPr="00F01F3A">
        <w:rPr>
          <w:rFonts w:ascii="Calibri" w:hAnsi="Calibri"/>
          <w:sz w:val="22"/>
          <w:szCs w:val="22"/>
        </w:rPr>
        <w:t xml:space="preserve"> cost data collection workbook (excel). </w:t>
      </w:r>
      <w:r w:rsidR="00274743" w:rsidRPr="00F01F3A">
        <w:rPr>
          <w:rFonts w:ascii="Calibri" w:hAnsi="Calibri"/>
          <w:bCs/>
          <w:sz w:val="22"/>
          <w:szCs w:val="22"/>
        </w:rPr>
        <w:t>Annex to Generic Protocol: Cost-effectiveness sub-study (version 06 June 2024)</w:t>
      </w:r>
      <w:r w:rsidR="001A5E31" w:rsidRPr="00F01F3A">
        <w:rPr>
          <w:rFonts w:ascii="Calibri" w:hAnsi="Calibri"/>
          <w:b/>
          <w:bCs/>
          <w:sz w:val="22"/>
          <w:szCs w:val="22"/>
        </w:rPr>
        <w:br w:type="page"/>
      </w:r>
    </w:p>
    <w:p w14:paraId="6AFACFD6" w14:textId="287BEA19" w:rsidR="00AF0C4B" w:rsidRPr="00F01F3A" w:rsidRDefault="00AF0C4B" w:rsidP="00AF0C4B">
      <w:pPr>
        <w:jc w:val="both"/>
        <w:rPr>
          <w:rFonts w:ascii="Calibri" w:hAnsi="Calibri"/>
          <w:b/>
          <w:bCs/>
          <w:sz w:val="22"/>
          <w:szCs w:val="22"/>
        </w:rPr>
      </w:pPr>
      <w:r w:rsidRPr="00F01F3A">
        <w:rPr>
          <w:rFonts w:ascii="Calibri" w:hAnsi="Calibri"/>
          <w:b/>
          <w:bCs/>
          <w:sz w:val="22"/>
          <w:szCs w:val="22"/>
        </w:rPr>
        <w:lastRenderedPageBreak/>
        <w:t>Appendix 1. List of attendees</w:t>
      </w:r>
    </w:p>
    <w:p w14:paraId="3304282C" w14:textId="6FE9351D" w:rsidR="00AF0C4B" w:rsidRPr="00F01F3A" w:rsidRDefault="00AF0C4B" w:rsidP="00AF0C4B">
      <w:pPr>
        <w:spacing w:after="160"/>
        <w:rPr>
          <w:rFonts w:ascii="Calibri" w:eastAsia="Calibri" w:hAnsi="Calibri" w:cs="Arial"/>
          <w:b/>
          <w:bCs/>
          <w:sz w:val="20"/>
          <w:szCs w:val="22"/>
        </w:rPr>
      </w:pPr>
      <w:r w:rsidRPr="00F01F3A">
        <w:rPr>
          <w:rFonts w:ascii="Calibri" w:eastAsia="Calibri" w:hAnsi="Calibri" w:cs="Arial"/>
          <w:b/>
          <w:bCs/>
          <w:sz w:val="20"/>
          <w:szCs w:val="22"/>
        </w:rPr>
        <w:t xml:space="preserve">Day 1 </w:t>
      </w:r>
    </w:p>
    <w:tbl>
      <w:tblPr>
        <w:tblStyle w:val="Tablanormal11"/>
        <w:tblW w:w="8494" w:type="dxa"/>
        <w:tblLook w:val="04A0" w:firstRow="1" w:lastRow="0" w:firstColumn="1" w:lastColumn="0" w:noHBand="0" w:noVBand="1"/>
      </w:tblPr>
      <w:tblGrid>
        <w:gridCol w:w="3150"/>
        <w:gridCol w:w="5344"/>
      </w:tblGrid>
      <w:tr w:rsidR="00AF0C4B" w:rsidRPr="00F01F3A" w14:paraId="5263C05B" w14:textId="77777777" w:rsidTr="00AF0C4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4185FB52" w14:textId="77777777" w:rsidR="00AF0C4B" w:rsidRPr="00F01F3A" w:rsidRDefault="00AF0C4B" w:rsidP="00AF0C4B">
            <w:pPr>
              <w:jc w:val="center"/>
              <w:rPr>
                <w:rFonts w:ascii="Calibri" w:eastAsia="Calibri" w:hAnsi="Calibri" w:cs="Arial"/>
                <w:sz w:val="16"/>
                <w:szCs w:val="16"/>
                <w:lang w:val="en-US"/>
              </w:rPr>
            </w:pPr>
            <w:r w:rsidRPr="00F01F3A">
              <w:rPr>
                <w:rFonts w:ascii="Calibri" w:eastAsia="Calibri" w:hAnsi="Calibri" w:cs="Arial"/>
                <w:sz w:val="16"/>
                <w:szCs w:val="16"/>
                <w:lang w:val="en-US"/>
              </w:rPr>
              <w:t>Name</w:t>
            </w:r>
          </w:p>
        </w:tc>
        <w:tc>
          <w:tcPr>
            <w:tcW w:w="5344" w:type="dxa"/>
            <w:noWrap/>
            <w:hideMark/>
          </w:tcPr>
          <w:p w14:paraId="4C0762BD" w14:textId="77777777" w:rsidR="00AF0C4B" w:rsidRPr="00F01F3A" w:rsidRDefault="00AF0C4B" w:rsidP="00AF0C4B">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Affiliation (country)</w:t>
            </w:r>
          </w:p>
        </w:tc>
      </w:tr>
      <w:tr w:rsidR="00AF0C4B" w:rsidRPr="00F01F3A" w14:paraId="72426B78"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57D738C7"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Laura Bohorquez # *</w:t>
            </w:r>
          </w:p>
        </w:tc>
        <w:tc>
          <w:tcPr>
            <w:tcW w:w="5344" w:type="dxa"/>
            <w:noWrap/>
          </w:tcPr>
          <w:p w14:paraId="76A9FC56"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proofErr w:type="gramStart"/>
            <w:r w:rsidRPr="00F01F3A">
              <w:rPr>
                <w:rFonts w:ascii="Calibri" w:eastAsia="Calibri" w:hAnsi="Calibri" w:cs="Arial"/>
                <w:sz w:val="16"/>
                <w:szCs w:val="16"/>
                <w:lang w:val="en-US"/>
              </w:rPr>
              <w:t>FIND  (</w:t>
            </w:r>
            <w:proofErr w:type="gramEnd"/>
            <w:r w:rsidRPr="00F01F3A">
              <w:rPr>
                <w:rFonts w:ascii="Calibri" w:eastAsia="Calibri" w:hAnsi="Calibri" w:cs="Arial"/>
                <w:sz w:val="16"/>
                <w:szCs w:val="16"/>
                <w:lang w:val="en-US"/>
              </w:rPr>
              <w:t>Colombia)</w:t>
            </w:r>
          </w:p>
        </w:tc>
      </w:tr>
      <w:tr w:rsidR="00AF0C4B" w:rsidRPr="00F01F3A" w14:paraId="594391CE"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7921E116"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Shaukat </w:t>
            </w:r>
            <w:proofErr w:type="gramStart"/>
            <w:r w:rsidRPr="00F01F3A">
              <w:rPr>
                <w:rFonts w:ascii="Calibri" w:eastAsia="Calibri" w:hAnsi="Calibri" w:cs="Arial"/>
                <w:sz w:val="16"/>
                <w:szCs w:val="16"/>
                <w:lang w:val="en-US"/>
              </w:rPr>
              <w:t>Khan  #</w:t>
            </w:r>
            <w:proofErr w:type="gramEnd"/>
          </w:p>
        </w:tc>
        <w:tc>
          <w:tcPr>
            <w:tcW w:w="5344" w:type="dxa"/>
            <w:noWrap/>
          </w:tcPr>
          <w:p w14:paraId="23C50AFF"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FIND (Switzerland)</w:t>
            </w:r>
          </w:p>
        </w:tc>
      </w:tr>
      <w:tr w:rsidR="00AF0C4B" w:rsidRPr="00F01F3A" w14:paraId="2C846F94"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103D7C62"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Kyra Grantz #</w:t>
            </w:r>
          </w:p>
        </w:tc>
        <w:tc>
          <w:tcPr>
            <w:tcW w:w="5344" w:type="dxa"/>
            <w:noWrap/>
          </w:tcPr>
          <w:p w14:paraId="21D96856"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FIND (Switzerland)</w:t>
            </w:r>
          </w:p>
        </w:tc>
      </w:tr>
      <w:tr w:rsidR="00AF0C4B" w:rsidRPr="00F01F3A" w14:paraId="367D52F8"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6FB94D6A"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Sarah </w:t>
            </w:r>
            <w:proofErr w:type="gramStart"/>
            <w:r w:rsidRPr="00F01F3A">
              <w:rPr>
                <w:rFonts w:ascii="Calibri" w:eastAsia="Calibri" w:hAnsi="Calibri" w:cs="Arial"/>
                <w:sz w:val="16"/>
                <w:szCs w:val="16"/>
                <w:lang w:val="en-US"/>
              </w:rPr>
              <w:t>Girdwood  #</w:t>
            </w:r>
            <w:proofErr w:type="gramEnd"/>
          </w:p>
        </w:tc>
        <w:tc>
          <w:tcPr>
            <w:tcW w:w="5344" w:type="dxa"/>
            <w:noWrap/>
          </w:tcPr>
          <w:p w14:paraId="32DBD4BE"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FIND (Switzerland)</w:t>
            </w:r>
          </w:p>
        </w:tc>
      </w:tr>
      <w:tr w:rsidR="00AF0C4B" w:rsidRPr="00F01F3A" w14:paraId="1B234B60"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00E4B4B0"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Marcelo Rodriguez</w:t>
            </w:r>
          </w:p>
        </w:tc>
        <w:tc>
          <w:tcPr>
            <w:tcW w:w="5344" w:type="dxa"/>
            <w:noWrap/>
          </w:tcPr>
          <w:p w14:paraId="60F46714"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FIND (Argentina)</w:t>
            </w:r>
          </w:p>
        </w:tc>
      </w:tr>
      <w:tr w:rsidR="00AF0C4B" w:rsidRPr="00F01F3A" w14:paraId="79535510"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340F7067"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Alejandro </w:t>
            </w:r>
            <w:proofErr w:type="gramStart"/>
            <w:r w:rsidRPr="00F01F3A">
              <w:rPr>
                <w:rFonts w:ascii="Calibri" w:eastAsia="Calibri" w:hAnsi="Calibri" w:cs="Arial"/>
                <w:sz w:val="16"/>
                <w:szCs w:val="16"/>
                <w:lang w:val="en-US"/>
              </w:rPr>
              <w:t>Schijman  #</w:t>
            </w:r>
            <w:proofErr w:type="gramEnd"/>
            <w:r w:rsidRPr="00F01F3A">
              <w:rPr>
                <w:rFonts w:ascii="Calibri" w:eastAsia="Calibri" w:hAnsi="Calibri" w:cs="Arial"/>
                <w:sz w:val="16"/>
                <w:szCs w:val="16"/>
                <w:lang w:val="en-US"/>
              </w:rPr>
              <w:t xml:space="preserve"> *</w:t>
            </w:r>
          </w:p>
        </w:tc>
        <w:tc>
          <w:tcPr>
            <w:tcW w:w="5344" w:type="dxa"/>
            <w:noWrap/>
          </w:tcPr>
          <w:p w14:paraId="4F57E0AE"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 xml:space="preserve">INGEBI-CONICET (Argentina) </w:t>
            </w:r>
          </w:p>
        </w:tc>
      </w:tr>
      <w:tr w:rsidR="00AF0C4B" w:rsidRPr="00F01F3A" w14:paraId="479F4A6C"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0CF34F8F"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Arturo Muñoz</w:t>
            </w:r>
          </w:p>
        </w:tc>
        <w:tc>
          <w:tcPr>
            <w:tcW w:w="5344" w:type="dxa"/>
            <w:noWrap/>
          </w:tcPr>
          <w:p w14:paraId="6D3FE774"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INGEBI-</w:t>
            </w:r>
            <w:proofErr w:type="gramStart"/>
            <w:r w:rsidRPr="00F01F3A">
              <w:rPr>
                <w:rFonts w:ascii="Calibri" w:eastAsia="Calibri" w:hAnsi="Calibri" w:cs="Arial"/>
                <w:sz w:val="16"/>
                <w:szCs w:val="16"/>
                <w:lang w:val="en-US"/>
              </w:rPr>
              <w:t>CONICET  (</w:t>
            </w:r>
            <w:proofErr w:type="gramEnd"/>
            <w:r w:rsidRPr="00F01F3A">
              <w:rPr>
                <w:rFonts w:ascii="Calibri" w:eastAsia="Calibri" w:hAnsi="Calibri" w:cs="Arial"/>
                <w:sz w:val="16"/>
                <w:szCs w:val="16"/>
                <w:lang w:val="en-US"/>
              </w:rPr>
              <w:t>Argentina)</w:t>
            </w:r>
          </w:p>
        </w:tc>
      </w:tr>
      <w:tr w:rsidR="00AF0C4B" w:rsidRPr="00F01F3A" w14:paraId="0F9E466A"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44F6DFAF"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Maria Jesus Pinazo *</w:t>
            </w:r>
          </w:p>
        </w:tc>
        <w:tc>
          <w:tcPr>
            <w:tcW w:w="5344" w:type="dxa"/>
            <w:noWrap/>
          </w:tcPr>
          <w:p w14:paraId="4DF01D3B"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DNDi (Brazil)</w:t>
            </w:r>
          </w:p>
        </w:tc>
      </w:tr>
      <w:tr w:rsidR="00AF0C4B" w:rsidRPr="00F01F3A" w14:paraId="27C7CFD1"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46000C27"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Natalie El Kheir</w:t>
            </w:r>
          </w:p>
        </w:tc>
        <w:tc>
          <w:tcPr>
            <w:tcW w:w="5344" w:type="dxa"/>
            <w:noWrap/>
          </w:tcPr>
          <w:p w14:paraId="0ADEFE20"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DNDi (Brazil)</w:t>
            </w:r>
          </w:p>
        </w:tc>
      </w:tr>
      <w:tr w:rsidR="00AF0C4B" w:rsidRPr="00F01F3A" w14:paraId="331F321B"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377C55A0"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Andres </w:t>
            </w:r>
            <w:proofErr w:type="gramStart"/>
            <w:r w:rsidRPr="00F01F3A">
              <w:rPr>
                <w:rFonts w:ascii="Calibri" w:eastAsia="Calibri" w:hAnsi="Calibri" w:cs="Arial"/>
                <w:sz w:val="16"/>
                <w:szCs w:val="16"/>
                <w:lang w:val="en-US"/>
              </w:rPr>
              <w:t>Caicedo  #</w:t>
            </w:r>
            <w:proofErr w:type="gramEnd"/>
          </w:p>
        </w:tc>
        <w:tc>
          <w:tcPr>
            <w:tcW w:w="5344" w:type="dxa"/>
            <w:noWrap/>
          </w:tcPr>
          <w:p w14:paraId="37EDA6A7"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DNDi (Brazil)</w:t>
            </w:r>
          </w:p>
        </w:tc>
      </w:tr>
      <w:tr w:rsidR="00AF0C4B" w:rsidRPr="00F01F3A" w14:paraId="3D93BDDF"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4ED1FCB1"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Rafael </w:t>
            </w:r>
            <w:proofErr w:type="gramStart"/>
            <w:r w:rsidRPr="00F01F3A">
              <w:rPr>
                <w:rFonts w:ascii="Calibri" w:eastAsia="Calibri" w:hAnsi="Calibri" w:cs="Arial"/>
                <w:sz w:val="16"/>
                <w:szCs w:val="16"/>
                <w:lang w:val="en-US"/>
              </w:rPr>
              <w:t>Herazo  #</w:t>
            </w:r>
            <w:proofErr w:type="gramEnd"/>
          </w:p>
        </w:tc>
        <w:tc>
          <w:tcPr>
            <w:tcW w:w="5344" w:type="dxa"/>
            <w:noWrap/>
          </w:tcPr>
          <w:p w14:paraId="68D7E5B2"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DNDi (Brazil)</w:t>
            </w:r>
          </w:p>
        </w:tc>
      </w:tr>
      <w:tr w:rsidR="00AF0C4B" w:rsidRPr="00F01F3A" w14:paraId="55163A5B"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67E7F68A"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Colin Forsyth *</w:t>
            </w:r>
          </w:p>
        </w:tc>
        <w:tc>
          <w:tcPr>
            <w:tcW w:w="5344" w:type="dxa"/>
            <w:noWrap/>
          </w:tcPr>
          <w:p w14:paraId="48EA06DD"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DNDi (USA)</w:t>
            </w:r>
          </w:p>
        </w:tc>
      </w:tr>
      <w:tr w:rsidR="00AF0C4B" w:rsidRPr="00F01F3A" w14:paraId="344190F9"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50C98861"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Freddy Pérez *</w:t>
            </w:r>
          </w:p>
        </w:tc>
        <w:tc>
          <w:tcPr>
            <w:tcW w:w="5344" w:type="dxa"/>
            <w:noWrap/>
          </w:tcPr>
          <w:p w14:paraId="5E81CA7A"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PAHO (USA)</w:t>
            </w:r>
          </w:p>
        </w:tc>
      </w:tr>
      <w:tr w:rsidR="00AF0C4B" w:rsidRPr="00F01F3A" w14:paraId="18796B14"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52637473"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Hector Coto </w:t>
            </w:r>
          </w:p>
        </w:tc>
        <w:tc>
          <w:tcPr>
            <w:tcW w:w="5344" w:type="dxa"/>
            <w:noWrap/>
          </w:tcPr>
          <w:p w14:paraId="4C77515E"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PAHO (USA)</w:t>
            </w:r>
          </w:p>
        </w:tc>
      </w:tr>
      <w:tr w:rsidR="00AF0C4B" w:rsidRPr="00F01F3A" w14:paraId="0DC39AAA"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050D8F46"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María Isabel </w:t>
            </w:r>
            <w:proofErr w:type="gramStart"/>
            <w:r w:rsidRPr="00F01F3A">
              <w:rPr>
                <w:rFonts w:ascii="Calibri" w:eastAsia="Calibri" w:hAnsi="Calibri" w:cs="Arial"/>
                <w:sz w:val="16"/>
                <w:szCs w:val="16"/>
                <w:lang w:val="en-US"/>
              </w:rPr>
              <w:t>Jercic  #</w:t>
            </w:r>
            <w:proofErr w:type="gramEnd"/>
          </w:p>
        </w:tc>
        <w:tc>
          <w:tcPr>
            <w:tcW w:w="5344" w:type="dxa"/>
            <w:noWrap/>
          </w:tcPr>
          <w:p w14:paraId="743E1BF6"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INS (Chile)</w:t>
            </w:r>
          </w:p>
        </w:tc>
      </w:tr>
      <w:tr w:rsidR="00AF0C4B" w:rsidRPr="00F01F3A" w14:paraId="79E8C9FD"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hideMark/>
          </w:tcPr>
          <w:p w14:paraId="24112D9F" w14:textId="77777777" w:rsidR="00AF0C4B" w:rsidRPr="00F01F3A" w:rsidRDefault="00AF0C4B" w:rsidP="00AF0C4B">
            <w:pPr>
              <w:rPr>
                <w:rFonts w:ascii="Calibri" w:eastAsia="Calibri" w:hAnsi="Calibri" w:cs="Arial"/>
                <w:sz w:val="16"/>
                <w:szCs w:val="16"/>
                <w:lang w:val="en-US"/>
              </w:rPr>
            </w:pPr>
            <w:proofErr w:type="spellStart"/>
            <w:r w:rsidRPr="00F01F3A">
              <w:rPr>
                <w:rFonts w:ascii="Calibri" w:eastAsia="Calibri" w:hAnsi="Calibri" w:cs="Arial"/>
                <w:sz w:val="16"/>
                <w:szCs w:val="16"/>
                <w:lang w:val="en-US"/>
              </w:rPr>
              <w:t>Belkisyolé</w:t>
            </w:r>
            <w:proofErr w:type="spellEnd"/>
            <w:r w:rsidRPr="00F01F3A">
              <w:rPr>
                <w:rFonts w:ascii="Calibri" w:eastAsia="Calibri" w:hAnsi="Calibri" w:cs="Arial"/>
                <w:sz w:val="16"/>
                <w:szCs w:val="16"/>
                <w:lang w:val="en-US"/>
              </w:rPr>
              <w:t xml:space="preserve"> Alarcón de Noya</w:t>
            </w:r>
          </w:p>
        </w:tc>
        <w:tc>
          <w:tcPr>
            <w:tcW w:w="5344" w:type="dxa"/>
            <w:noWrap/>
            <w:hideMark/>
          </w:tcPr>
          <w:p w14:paraId="420FF9A3"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rPr>
            </w:pPr>
            <w:r w:rsidRPr="00F01F3A">
              <w:rPr>
                <w:rFonts w:ascii="Calibri" w:eastAsia="Calibri" w:hAnsi="Calibri" w:cs="Arial"/>
                <w:sz w:val="16"/>
                <w:szCs w:val="16"/>
              </w:rPr>
              <w:t>Intituto de Medicina Tropical-UCV (Venezuela)</w:t>
            </w:r>
          </w:p>
        </w:tc>
      </w:tr>
      <w:tr w:rsidR="00AF0C4B" w:rsidRPr="00F01F3A" w14:paraId="17A01DAA" w14:textId="77777777" w:rsidTr="00AF0C4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150" w:type="dxa"/>
            <w:hideMark/>
          </w:tcPr>
          <w:p w14:paraId="7299DEB3"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Alejandro Hasslocher</w:t>
            </w:r>
          </w:p>
        </w:tc>
        <w:tc>
          <w:tcPr>
            <w:tcW w:w="5344" w:type="dxa"/>
            <w:hideMark/>
          </w:tcPr>
          <w:p w14:paraId="14017988"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Fiocruz (Brazil)</w:t>
            </w:r>
          </w:p>
        </w:tc>
      </w:tr>
      <w:tr w:rsidR="00AF0C4B" w:rsidRPr="00F01F3A" w14:paraId="77FEB29E"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749ED2A1"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Andrea García Balderrama</w:t>
            </w:r>
          </w:p>
        </w:tc>
        <w:tc>
          <w:tcPr>
            <w:tcW w:w="5344" w:type="dxa"/>
            <w:noWrap/>
            <w:hideMark/>
          </w:tcPr>
          <w:p w14:paraId="0C035C75"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INLASA (Bolivia)</w:t>
            </w:r>
          </w:p>
        </w:tc>
      </w:tr>
      <w:tr w:rsidR="00AF0C4B" w:rsidRPr="00F01F3A" w14:paraId="2D98184C"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0117477F"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Antonieta Rojas de Arias</w:t>
            </w:r>
          </w:p>
        </w:tc>
        <w:tc>
          <w:tcPr>
            <w:tcW w:w="5344" w:type="dxa"/>
            <w:noWrap/>
            <w:hideMark/>
          </w:tcPr>
          <w:p w14:paraId="751E7C6B"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CEDIC (Paraguay)</w:t>
            </w:r>
          </w:p>
        </w:tc>
      </w:tr>
      <w:tr w:rsidR="00AF0C4B" w:rsidRPr="00F01F3A" w14:paraId="3172A8DB"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3EE8F18D"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Constança Britto *</w:t>
            </w:r>
          </w:p>
        </w:tc>
        <w:tc>
          <w:tcPr>
            <w:tcW w:w="5344" w:type="dxa"/>
            <w:noWrap/>
            <w:hideMark/>
          </w:tcPr>
          <w:p w14:paraId="0987952E"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Fiocruz (Brazil)</w:t>
            </w:r>
          </w:p>
        </w:tc>
      </w:tr>
      <w:tr w:rsidR="00AF0C4B" w:rsidRPr="00F01F3A" w14:paraId="01AC0D57"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hideMark/>
          </w:tcPr>
          <w:p w14:paraId="16C4944E"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Franciana Rosa Da Silva</w:t>
            </w:r>
          </w:p>
        </w:tc>
        <w:tc>
          <w:tcPr>
            <w:tcW w:w="5344" w:type="dxa"/>
            <w:noWrap/>
            <w:hideMark/>
          </w:tcPr>
          <w:p w14:paraId="0E7A3766"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CUIDA Chagas (Brazil)</w:t>
            </w:r>
          </w:p>
        </w:tc>
      </w:tr>
      <w:tr w:rsidR="00AF0C4B" w:rsidRPr="00F01F3A" w14:paraId="5CC29343"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hideMark/>
          </w:tcPr>
          <w:p w14:paraId="40886872"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Fred Luciano Neves Santos</w:t>
            </w:r>
          </w:p>
        </w:tc>
        <w:tc>
          <w:tcPr>
            <w:tcW w:w="5344" w:type="dxa"/>
            <w:hideMark/>
          </w:tcPr>
          <w:p w14:paraId="4C1BACD7"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Fiocruz (Brazil)</w:t>
            </w:r>
          </w:p>
        </w:tc>
      </w:tr>
      <w:tr w:rsidR="00AF0C4B" w:rsidRPr="00F01F3A" w14:paraId="657F4FB9"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2F986568"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Igor Almeida</w:t>
            </w:r>
          </w:p>
        </w:tc>
        <w:tc>
          <w:tcPr>
            <w:tcW w:w="5344" w:type="dxa"/>
            <w:noWrap/>
            <w:hideMark/>
          </w:tcPr>
          <w:p w14:paraId="0477081F"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UTEP (USA)</w:t>
            </w:r>
          </w:p>
        </w:tc>
      </w:tr>
      <w:tr w:rsidR="00AF0C4B" w:rsidRPr="00F01F3A" w14:paraId="07A2CFD9"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60224A77"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Julio Alonso Padilla *</w:t>
            </w:r>
          </w:p>
        </w:tc>
        <w:tc>
          <w:tcPr>
            <w:tcW w:w="5344" w:type="dxa"/>
            <w:noWrap/>
            <w:hideMark/>
          </w:tcPr>
          <w:p w14:paraId="1E8FA467"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proofErr w:type="spellStart"/>
            <w:r w:rsidRPr="00F01F3A">
              <w:rPr>
                <w:rFonts w:ascii="Calibri" w:eastAsia="Calibri" w:hAnsi="Calibri" w:cs="Arial"/>
                <w:sz w:val="16"/>
                <w:szCs w:val="16"/>
                <w:lang w:val="en-US"/>
              </w:rPr>
              <w:t>ISGlobal</w:t>
            </w:r>
            <w:proofErr w:type="spellEnd"/>
            <w:r w:rsidRPr="00F01F3A">
              <w:rPr>
                <w:rFonts w:ascii="Calibri" w:eastAsia="Calibri" w:hAnsi="Calibri" w:cs="Arial"/>
                <w:sz w:val="16"/>
                <w:szCs w:val="16"/>
                <w:lang w:val="en-US"/>
              </w:rPr>
              <w:t xml:space="preserve"> (Spain)</w:t>
            </w:r>
          </w:p>
        </w:tc>
      </w:tr>
      <w:tr w:rsidR="00AF0C4B" w:rsidRPr="00F01F3A" w14:paraId="60410998"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0C0C75CD"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Karina </w:t>
            </w:r>
            <w:proofErr w:type="spellStart"/>
            <w:r w:rsidRPr="00F01F3A">
              <w:rPr>
                <w:rFonts w:ascii="Calibri" w:eastAsia="Calibri" w:hAnsi="Calibri" w:cs="Arial"/>
                <w:sz w:val="16"/>
                <w:szCs w:val="16"/>
                <w:lang w:val="en-US"/>
              </w:rPr>
              <w:t>Egüez</w:t>
            </w:r>
            <w:proofErr w:type="spellEnd"/>
            <w:r w:rsidRPr="00F01F3A">
              <w:rPr>
                <w:rFonts w:ascii="Calibri" w:eastAsia="Calibri" w:hAnsi="Calibri" w:cs="Arial"/>
                <w:sz w:val="16"/>
                <w:szCs w:val="16"/>
                <w:lang w:val="en-US"/>
              </w:rPr>
              <w:t xml:space="preserve"> Soliz</w:t>
            </w:r>
          </w:p>
        </w:tc>
        <w:tc>
          <w:tcPr>
            <w:tcW w:w="5344" w:type="dxa"/>
            <w:noWrap/>
            <w:hideMark/>
          </w:tcPr>
          <w:p w14:paraId="550FF544"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 xml:space="preserve">Servicio </w:t>
            </w:r>
            <w:proofErr w:type="spellStart"/>
            <w:r w:rsidRPr="00F01F3A">
              <w:rPr>
                <w:rFonts w:ascii="Calibri" w:eastAsia="Calibri" w:hAnsi="Calibri" w:cs="Arial"/>
                <w:sz w:val="16"/>
                <w:szCs w:val="16"/>
                <w:lang w:val="en-US"/>
              </w:rPr>
              <w:t>Departamental</w:t>
            </w:r>
            <w:proofErr w:type="spellEnd"/>
            <w:r w:rsidRPr="00F01F3A">
              <w:rPr>
                <w:rFonts w:ascii="Calibri" w:eastAsia="Calibri" w:hAnsi="Calibri" w:cs="Arial"/>
                <w:sz w:val="16"/>
                <w:szCs w:val="16"/>
                <w:lang w:val="en-US"/>
              </w:rPr>
              <w:t xml:space="preserve"> de Salud - Ministry of Health (Bolivia)</w:t>
            </w:r>
          </w:p>
        </w:tc>
      </w:tr>
      <w:tr w:rsidR="00AF0C4B" w:rsidRPr="00F01F3A" w14:paraId="3A47E80B"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3A19E888"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Karla Lange</w:t>
            </w:r>
          </w:p>
        </w:tc>
        <w:tc>
          <w:tcPr>
            <w:tcW w:w="5344" w:type="dxa"/>
            <w:noWrap/>
            <w:hideMark/>
          </w:tcPr>
          <w:p w14:paraId="0EFA7ADB"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rPr>
            </w:pPr>
            <w:r w:rsidRPr="00F01F3A">
              <w:rPr>
                <w:rFonts w:ascii="Calibri" w:eastAsia="Calibri" w:hAnsi="Calibri" w:cs="Arial"/>
                <w:sz w:val="16"/>
                <w:szCs w:val="16"/>
              </w:rPr>
              <w:t xml:space="preserve">Universidad de San Carlos de Guatemala (Guatemala) </w:t>
            </w:r>
          </w:p>
        </w:tc>
      </w:tr>
      <w:tr w:rsidR="00AF0C4B" w:rsidRPr="00F01F3A" w14:paraId="2EA994CE"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739DC895"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Laura </w:t>
            </w:r>
            <w:proofErr w:type="spellStart"/>
            <w:r w:rsidRPr="00F01F3A">
              <w:rPr>
                <w:rFonts w:ascii="Calibri" w:eastAsia="Calibri" w:hAnsi="Calibri" w:cs="Arial"/>
                <w:sz w:val="16"/>
                <w:szCs w:val="16"/>
                <w:lang w:val="en-US"/>
              </w:rPr>
              <w:t>Lamfre</w:t>
            </w:r>
            <w:proofErr w:type="spellEnd"/>
          </w:p>
        </w:tc>
        <w:tc>
          <w:tcPr>
            <w:tcW w:w="5344" w:type="dxa"/>
            <w:noWrap/>
            <w:hideMark/>
          </w:tcPr>
          <w:p w14:paraId="0724ED20"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proofErr w:type="spellStart"/>
            <w:r w:rsidRPr="00F01F3A">
              <w:rPr>
                <w:rFonts w:ascii="Calibri" w:eastAsia="Calibri" w:hAnsi="Calibri" w:cs="Arial"/>
                <w:sz w:val="16"/>
                <w:szCs w:val="16"/>
                <w:lang w:val="en-US"/>
              </w:rPr>
              <w:t>redArets</w:t>
            </w:r>
            <w:proofErr w:type="spellEnd"/>
            <w:r w:rsidRPr="00F01F3A">
              <w:rPr>
                <w:rFonts w:ascii="Calibri" w:eastAsia="Calibri" w:hAnsi="Calibri" w:cs="Arial"/>
                <w:sz w:val="16"/>
                <w:szCs w:val="16"/>
                <w:lang w:val="en-US"/>
              </w:rPr>
              <w:t xml:space="preserve"> (Argentina)</w:t>
            </w:r>
          </w:p>
        </w:tc>
      </w:tr>
      <w:tr w:rsidR="00AF0C4B" w:rsidRPr="00F01F3A" w14:paraId="42A1BB30"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3ABE74CF"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Lizeth Rojas Panozo</w:t>
            </w:r>
          </w:p>
        </w:tc>
        <w:tc>
          <w:tcPr>
            <w:tcW w:w="5344" w:type="dxa"/>
            <w:noWrap/>
            <w:hideMark/>
          </w:tcPr>
          <w:p w14:paraId="3793F819"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CEADES (Bolivia)</w:t>
            </w:r>
          </w:p>
        </w:tc>
      </w:tr>
      <w:tr w:rsidR="00AF0C4B" w:rsidRPr="00F01F3A" w14:paraId="1BE8FBFE"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hideMark/>
          </w:tcPr>
          <w:p w14:paraId="5196EDB0"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Oscar Noya</w:t>
            </w:r>
          </w:p>
        </w:tc>
        <w:tc>
          <w:tcPr>
            <w:tcW w:w="5344" w:type="dxa"/>
            <w:noWrap/>
            <w:hideMark/>
          </w:tcPr>
          <w:p w14:paraId="26295D32"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rPr>
            </w:pPr>
            <w:r w:rsidRPr="00F01F3A">
              <w:rPr>
                <w:rFonts w:ascii="Calibri" w:eastAsia="Calibri" w:hAnsi="Calibri" w:cs="Arial"/>
                <w:sz w:val="16"/>
                <w:szCs w:val="16"/>
              </w:rPr>
              <w:t>Intituto de Medicina Tropical-UCV (Venezuela)</w:t>
            </w:r>
          </w:p>
        </w:tc>
      </w:tr>
      <w:tr w:rsidR="00AF0C4B" w:rsidRPr="00F01F3A" w14:paraId="6613E473"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hideMark/>
          </w:tcPr>
          <w:p w14:paraId="5417F4EC" w14:textId="77777777" w:rsidR="00AF0C4B" w:rsidRPr="00F01F3A" w:rsidRDefault="00AF0C4B" w:rsidP="00AF0C4B">
            <w:pPr>
              <w:rPr>
                <w:rFonts w:ascii="Calibri" w:eastAsia="Calibri" w:hAnsi="Calibri" w:cs="Arial"/>
                <w:sz w:val="16"/>
                <w:szCs w:val="16"/>
                <w:lang w:val="en-US"/>
              </w:rPr>
            </w:pPr>
            <w:proofErr w:type="spellStart"/>
            <w:r w:rsidRPr="00F01F3A">
              <w:rPr>
                <w:rFonts w:ascii="Calibri" w:eastAsia="Calibri" w:hAnsi="Calibri" w:cs="Arial"/>
                <w:sz w:val="16"/>
                <w:szCs w:val="16"/>
                <w:lang w:val="en-US"/>
              </w:rPr>
              <w:t>Otacilio</w:t>
            </w:r>
            <w:proofErr w:type="spellEnd"/>
            <w:r w:rsidRPr="00F01F3A">
              <w:rPr>
                <w:rFonts w:ascii="Calibri" w:eastAsia="Calibri" w:hAnsi="Calibri" w:cs="Arial"/>
                <w:sz w:val="16"/>
                <w:szCs w:val="16"/>
                <w:lang w:val="en-US"/>
              </w:rPr>
              <w:t xml:space="preserve"> Moreira #</w:t>
            </w:r>
          </w:p>
        </w:tc>
        <w:tc>
          <w:tcPr>
            <w:tcW w:w="5344" w:type="dxa"/>
            <w:hideMark/>
          </w:tcPr>
          <w:p w14:paraId="361BDDAC"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Fiocruz (Brazil)</w:t>
            </w:r>
          </w:p>
        </w:tc>
      </w:tr>
      <w:tr w:rsidR="00AF0C4B" w:rsidRPr="00F01F3A" w14:paraId="3FE2450B"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24300F3B"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Santiago </w:t>
            </w:r>
            <w:proofErr w:type="spellStart"/>
            <w:proofErr w:type="gramStart"/>
            <w:r w:rsidRPr="00F01F3A">
              <w:rPr>
                <w:rFonts w:ascii="Calibri" w:eastAsia="Calibri" w:hAnsi="Calibri" w:cs="Arial"/>
                <w:sz w:val="16"/>
                <w:szCs w:val="16"/>
                <w:lang w:val="en-US"/>
              </w:rPr>
              <w:t>Hasdeu</w:t>
            </w:r>
            <w:proofErr w:type="spellEnd"/>
            <w:r w:rsidRPr="00F01F3A">
              <w:rPr>
                <w:rFonts w:ascii="Calibri" w:eastAsia="Calibri" w:hAnsi="Calibri" w:cs="Arial"/>
                <w:sz w:val="16"/>
                <w:szCs w:val="16"/>
                <w:lang w:val="en-US"/>
              </w:rPr>
              <w:t xml:space="preserve">  #</w:t>
            </w:r>
            <w:proofErr w:type="gramEnd"/>
          </w:p>
        </w:tc>
        <w:tc>
          <w:tcPr>
            <w:tcW w:w="5344" w:type="dxa"/>
            <w:noWrap/>
            <w:hideMark/>
          </w:tcPr>
          <w:p w14:paraId="62C52326"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proofErr w:type="spellStart"/>
            <w:r w:rsidRPr="00F01F3A">
              <w:rPr>
                <w:rFonts w:ascii="Calibri" w:eastAsia="Calibri" w:hAnsi="Calibri" w:cs="Arial"/>
                <w:sz w:val="16"/>
                <w:szCs w:val="16"/>
                <w:lang w:val="en-US"/>
              </w:rPr>
              <w:t>redArets</w:t>
            </w:r>
            <w:proofErr w:type="spellEnd"/>
            <w:r w:rsidRPr="00F01F3A">
              <w:rPr>
                <w:rFonts w:ascii="Calibri" w:eastAsia="Calibri" w:hAnsi="Calibri" w:cs="Arial"/>
                <w:sz w:val="16"/>
                <w:szCs w:val="16"/>
                <w:lang w:val="en-US"/>
              </w:rPr>
              <w:t xml:space="preserve"> (Argentina)</w:t>
            </w:r>
          </w:p>
        </w:tc>
      </w:tr>
      <w:tr w:rsidR="00AF0C4B" w:rsidRPr="00F01F3A" w14:paraId="6D32774F"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hideMark/>
          </w:tcPr>
          <w:p w14:paraId="667F8179"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Vidalia </w:t>
            </w:r>
            <w:proofErr w:type="spellStart"/>
            <w:r w:rsidRPr="00F01F3A">
              <w:rPr>
                <w:rFonts w:ascii="Calibri" w:eastAsia="Calibri" w:hAnsi="Calibri" w:cs="Arial"/>
                <w:sz w:val="16"/>
                <w:szCs w:val="16"/>
                <w:lang w:val="en-US"/>
              </w:rPr>
              <w:t>Lesmo</w:t>
            </w:r>
            <w:proofErr w:type="spellEnd"/>
          </w:p>
        </w:tc>
        <w:tc>
          <w:tcPr>
            <w:tcW w:w="5344" w:type="dxa"/>
            <w:noWrap/>
            <w:hideMark/>
          </w:tcPr>
          <w:p w14:paraId="4496EDED"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SENEPA (Paraguay)</w:t>
            </w:r>
          </w:p>
        </w:tc>
      </w:tr>
      <w:tr w:rsidR="00AF0C4B" w:rsidRPr="00F01F3A" w14:paraId="3D657F2C"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hideMark/>
          </w:tcPr>
          <w:p w14:paraId="44180636"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Yerly Magnolia Useche #</w:t>
            </w:r>
          </w:p>
        </w:tc>
        <w:tc>
          <w:tcPr>
            <w:tcW w:w="5344" w:type="dxa"/>
            <w:hideMark/>
          </w:tcPr>
          <w:p w14:paraId="68B330D6"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CUIDA Chagas (Brazil)</w:t>
            </w:r>
          </w:p>
        </w:tc>
      </w:tr>
      <w:tr w:rsidR="00AF0C4B" w:rsidRPr="00F01F3A" w14:paraId="4F1C3DD3"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hideMark/>
          </w:tcPr>
          <w:p w14:paraId="79CC975E"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Zulma </w:t>
            </w:r>
            <w:proofErr w:type="spellStart"/>
            <w:r w:rsidRPr="00F01F3A">
              <w:rPr>
                <w:rFonts w:ascii="Calibri" w:eastAsia="Calibri" w:hAnsi="Calibri" w:cs="Arial"/>
                <w:sz w:val="16"/>
                <w:szCs w:val="16"/>
                <w:lang w:val="en-US"/>
              </w:rPr>
              <w:t>Cucunuba</w:t>
            </w:r>
            <w:proofErr w:type="spellEnd"/>
          </w:p>
        </w:tc>
        <w:tc>
          <w:tcPr>
            <w:tcW w:w="5344" w:type="dxa"/>
            <w:noWrap/>
            <w:hideMark/>
          </w:tcPr>
          <w:p w14:paraId="38D7EFEE"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Universidad Javeriana (Colombia)</w:t>
            </w:r>
          </w:p>
        </w:tc>
      </w:tr>
      <w:tr w:rsidR="00AF0C4B" w:rsidRPr="00F01F3A" w14:paraId="350B932A"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097CA29E"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lastRenderedPageBreak/>
              <w:t>Bertha Espinoza</w:t>
            </w:r>
          </w:p>
        </w:tc>
        <w:tc>
          <w:tcPr>
            <w:tcW w:w="5344" w:type="dxa"/>
            <w:noWrap/>
            <w:hideMark/>
          </w:tcPr>
          <w:p w14:paraId="0D774E82"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IIBO-UNAM (Mexico)</w:t>
            </w:r>
          </w:p>
        </w:tc>
      </w:tr>
      <w:tr w:rsidR="00AF0C4B" w:rsidRPr="00F01F3A" w14:paraId="2BF7EA40"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1819861B"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Montserrat López Serafín  </w:t>
            </w:r>
          </w:p>
        </w:tc>
        <w:tc>
          <w:tcPr>
            <w:tcW w:w="5344" w:type="dxa"/>
            <w:noWrap/>
            <w:hideMark/>
          </w:tcPr>
          <w:p w14:paraId="263A771A"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INDRE (Mexico)</w:t>
            </w:r>
          </w:p>
        </w:tc>
      </w:tr>
      <w:tr w:rsidR="00AF0C4B" w:rsidRPr="00F01F3A" w14:paraId="61EE1BA2"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hideMark/>
          </w:tcPr>
          <w:p w14:paraId="60E26FDE"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Fernan Aguero</w:t>
            </w:r>
          </w:p>
        </w:tc>
        <w:tc>
          <w:tcPr>
            <w:tcW w:w="5344" w:type="dxa"/>
            <w:noWrap/>
            <w:hideMark/>
          </w:tcPr>
          <w:p w14:paraId="69EA7096"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proofErr w:type="spellStart"/>
            <w:r w:rsidRPr="00F01F3A">
              <w:rPr>
                <w:rFonts w:ascii="Calibri" w:eastAsia="Calibri" w:hAnsi="Calibri" w:cs="Arial"/>
                <w:sz w:val="16"/>
                <w:szCs w:val="16"/>
                <w:lang w:val="en-US"/>
              </w:rPr>
              <w:t>IIBio</w:t>
            </w:r>
            <w:proofErr w:type="spellEnd"/>
            <w:r w:rsidRPr="00F01F3A">
              <w:rPr>
                <w:rFonts w:ascii="Calibri" w:eastAsia="Calibri" w:hAnsi="Calibri" w:cs="Arial"/>
                <w:sz w:val="16"/>
                <w:szCs w:val="16"/>
                <w:lang w:val="en-US"/>
              </w:rPr>
              <w:t>-UNSAM-CONICET (Argentina)</w:t>
            </w:r>
          </w:p>
        </w:tc>
      </w:tr>
      <w:tr w:rsidR="00AF0C4B" w:rsidRPr="00F01F3A" w14:paraId="42FA2852"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hideMark/>
          </w:tcPr>
          <w:p w14:paraId="06A6FA56"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Jaime Altcheh</w:t>
            </w:r>
          </w:p>
        </w:tc>
        <w:tc>
          <w:tcPr>
            <w:tcW w:w="5344" w:type="dxa"/>
            <w:noWrap/>
            <w:hideMark/>
          </w:tcPr>
          <w:p w14:paraId="4EDE589C"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rPr>
            </w:pPr>
            <w:r w:rsidRPr="00F01F3A">
              <w:rPr>
                <w:rFonts w:ascii="Calibri" w:eastAsia="Calibri" w:hAnsi="Calibri" w:cs="Arial"/>
                <w:sz w:val="16"/>
                <w:szCs w:val="16"/>
              </w:rPr>
              <w:t>Hospital De Niños Ricardo Gutierrez (Argentina)</w:t>
            </w:r>
          </w:p>
        </w:tc>
      </w:tr>
      <w:tr w:rsidR="00AF0C4B" w:rsidRPr="00F01F3A" w14:paraId="21F4F496"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hideMark/>
          </w:tcPr>
          <w:p w14:paraId="11E9AEDA"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Marcelo Abril</w:t>
            </w:r>
          </w:p>
        </w:tc>
        <w:tc>
          <w:tcPr>
            <w:tcW w:w="5344" w:type="dxa"/>
            <w:noWrap/>
            <w:hideMark/>
          </w:tcPr>
          <w:p w14:paraId="4CE5AB99"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Fundación Mundo Sano (Argentina)</w:t>
            </w:r>
          </w:p>
        </w:tc>
      </w:tr>
      <w:tr w:rsidR="00AF0C4B" w:rsidRPr="00F01F3A" w14:paraId="3E555208"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hideMark/>
          </w:tcPr>
          <w:p w14:paraId="4D57D677"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Margarita Bisio *</w:t>
            </w:r>
          </w:p>
        </w:tc>
        <w:tc>
          <w:tcPr>
            <w:tcW w:w="5344" w:type="dxa"/>
            <w:noWrap/>
            <w:hideMark/>
          </w:tcPr>
          <w:p w14:paraId="3DCB6102"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 xml:space="preserve">INP </w:t>
            </w:r>
            <w:proofErr w:type="spellStart"/>
            <w:r w:rsidRPr="00F01F3A">
              <w:rPr>
                <w:rFonts w:ascii="Calibri" w:eastAsia="Calibri" w:hAnsi="Calibri" w:cs="Arial"/>
                <w:sz w:val="16"/>
                <w:szCs w:val="16"/>
                <w:lang w:val="en-US"/>
              </w:rPr>
              <w:t>Fatala</w:t>
            </w:r>
            <w:proofErr w:type="spellEnd"/>
            <w:r w:rsidRPr="00F01F3A">
              <w:rPr>
                <w:rFonts w:ascii="Calibri" w:eastAsia="Calibri" w:hAnsi="Calibri" w:cs="Arial"/>
                <w:sz w:val="16"/>
                <w:szCs w:val="16"/>
                <w:lang w:val="en-US"/>
              </w:rPr>
              <w:t xml:space="preserve"> </w:t>
            </w:r>
            <w:proofErr w:type="spellStart"/>
            <w:r w:rsidRPr="00F01F3A">
              <w:rPr>
                <w:rFonts w:ascii="Calibri" w:eastAsia="Calibri" w:hAnsi="Calibri" w:cs="Arial"/>
                <w:sz w:val="16"/>
                <w:szCs w:val="16"/>
                <w:lang w:val="en-US"/>
              </w:rPr>
              <w:t>Chaben</w:t>
            </w:r>
            <w:proofErr w:type="spellEnd"/>
            <w:r w:rsidRPr="00F01F3A">
              <w:rPr>
                <w:rFonts w:ascii="Calibri" w:eastAsia="Calibri" w:hAnsi="Calibri" w:cs="Arial"/>
                <w:sz w:val="16"/>
                <w:szCs w:val="16"/>
                <w:lang w:val="en-US"/>
              </w:rPr>
              <w:t xml:space="preserve"> (Argentina)</w:t>
            </w:r>
          </w:p>
        </w:tc>
      </w:tr>
      <w:tr w:rsidR="00AF0C4B" w:rsidRPr="00F01F3A" w14:paraId="1C6325FD"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hideMark/>
          </w:tcPr>
          <w:p w14:paraId="6A38E19C"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Nasim Iusef</w:t>
            </w:r>
          </w:p>
        </w:tc>
        <w:tc>
          <w:tcPr>
            <w:tcW w:w="5344" w:type="dxa"/>
            <w:noWrap/>
            <w:hideMark/>
          </w:tcPr>
          <w:p w14:paraId="2333FC4F"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rPr>
            </w:pPr>
            <w:r w:rsidRPr="00F01F3A">
              <w:rPr>
                <w:rFonts w:ascii="Calibri" w:eastAsia="Calibri" w:hAnsi="Calibri" w:cs="Arial"/>
                <w:sz w:val="16"/>
                <w:szCs w:val="16"/>
              </w:rPr>
              <w:t>Ministerio De Salud Provincia De Buenos Aires (Argentina)</w:t>
            </w:r>
          </w:p>
        </w:tc>
      </w:tr>
      <w:tr w:rsidR="00AF0C4B" w:rsidRPr="00F01F3A" w14:paraId="686CED43"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hideMark/>
          </w:tcPr>
          <w:p w14:paraId="22B512BC"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Silvia Longhi</w:t>
            </w:r>
          </w:p>
        </w:tc>
        <w:tc>
          <w:tcPr>
            <w:tcW w:w="5344" w:type="dxa"/>
            <w:noWrap/>
            <w:hideMark/>
          </w:tcPr>
          <w:p w14:paraId="179C7623"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INGEBI-</w:t>
            </w:r>
            <w:proofErr w:type="gramStart"/>
            <w:r w:rsidRPr="00F01F3A">
              <w:rPr>
                <w:rFonts w:ascii="Calibri" w:eastAsia="Calibri" w:hAnsi="Calibri" w:cs="Arial"/>
                <w:sz w:val="16"/>
                <w:szCs w:val="16"/>
                <w:lang w:val="en-US"/>
              </w:rPr>
              <w:t>CONICET  (</w:t>
            </w:r>
            <w:proofErr w:type="gramEnd"/>
            <w:r w:rsidRPr="00F01F3A">
              <w:rPr>
                <w:rFonts w:ascii="Calibri" w:eastAsia="Calibri" w:hAnsi="Calibri" w:cs="Arial"/>
                <w:sz w:val="16"/>
                <w:szCs w:val="16"/>
                <w:lang w:val="en-US"/>
              </w:rPr>
              <w:t>Argentina)</w:t>
            </w:r>
          </w:p>
        </w:tc>
      </w:tr>
      <w:tr w:rsidR="00AF0C4B" w:rsidRPr="00F01F3A" w14:paraId="4700233B"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35D7074C"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Juan Carlos Ramirez</w:t>
            </w:r>
          </w:p>
        </w:tc>
        <w:tc>
          <w:tcPr>
            <w:tcW w:w="5344" w:type="dxa"/>
            <w:noWrap/>
            <w:hideMark/>
          </w:tcPr>
          <w:p w14:paraId="153FADED"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rPr>
            </w:pPr>
            <w:r w:rsidRPr="00F01F3A">
              <w:rPr>
                <w:rFonts w:ascii="Calibri" w:eastAsia="Calibri" w:hAnsi="Calibri" w:cs="Arial"/>
                <w:sz w:val="16"/>
                <w:szCs w:val="16"/>
              </w:rPr>
              <w:t>Hospital De Niños Ricardo Gutierrez (Argentina)</w:t>
            </w:r>
          </w:p>
        </w:tc>
      </w:tr>
      <w:tr w:rsidR="00AF0C4B" w:rsidRPr="00F01F3A" w14:paraId="0883691D"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6B5468DF"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Rocío Rivero </w:t>
            </w:r>
          </w:p>
        </w:tc>
        <w:tc>
          <w:tcPr>
            <w:tcW w:w="5344" w:type="dxa"/>
            <w:noWrap/>
            <w:hideMark/>
          </w:tcPr>
          <w:p w14:paraId="20481612"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 xml:space="preserve">INP </w:t>
            </w:r>
            <w:proofErr w:type="spellStart"/>
            <w:r w:rsidRPr="00F01F3A">
              <w:rPr>
                <w:rFonts w:ascii="Calibri" w:eastAsia="Calibri" w:hAnsi="Calibri" w:cs="Arial"/>
                <w:sz w:val="16"/>
                <w:szCs w:val="16"/>
                <w:lang w:val="en-US"/>
              </w:rPr>
              <w:t>Fatala</w:t>
            </w:r>
            <w:proofErr w:type="spellEnd"/>
            <w:r w:rsidRPr="00F01F3A">
              <w:rPr>
                <w:rFonts w:ascii="Calibri" w:eastAsia="Calibri" w:hAnsi="Calibri" w:cs="Arial"/>
                <w:sz w:val="16"/>
                <w:szCs w:val="16"/>
                <w:lang w:val="en-US"/>
              </w:rPr>
              <w:t xml:space="preserve"> </w:t>
            </w:r>
            <w:proofErr w:type="spellStart"/>
            <w:r w:rsidRPr="00F01F3A">
              <w:rPr>
                <w:rFonts w:ascii="Calibri" w:eastAsia="Calibri" w:hAnsi="Calibri" w:cs="Arial"/>
                <w:sz w:val="16"/>
                <w:szCs w:val="16"/>
                <w:lang w:val="en-US"/>
              </w:rPr>
              <w:t>Chaben</w:t>
            </w:r>
            <w:proofErr w:type="spellEnd"/>
            <w:r w:rsidRPr="00F01F3A">
              <w:rPr>
                <w:rFonts w:ascii="Calibri" w:eastAsia="Calibri" w:hAnsi="Calibri" w:cs="Arial"/>
                <w:sz w:val="16"/>
                <w:szCs w:val="16"/>
                <w:lang w:val="en-US"/>
              </w:rPr>
              <w:t xml:space="preserve"> (Argentina)</w:t>
            </w:r>
          </w:p>
        </w:tc>
      </w:tr>
      <w:tr w:rsidR="00AF0C4B" w:rsidRPr="00F01F3A" w14:paraId="26729D78"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34643655" w14:textId="16106418" w:rsidR="00AF0C4B" w:rsidRPr="00F01F3A" w:rsidRDefault="00CF6DAF" w:rsidP="00AF0C4B">
            <w:pPr>
              <w:jc w:val="right"/>
              <w:rPr>
                <w:rFonts w:ascii="Calibri" w:eastAsia="Calibri" w:hAnsi="Calibri" w:cs="Arial"/>
                <w:i/>
                <w:sz w:val="16"/>
                <w:szCs w:val="16"/>
                <w:lang w:val="en-US"/>
              </w:rPr>
            </w:pPr>
            <w:r w:rsidRPr="00F01F3A">
              <w:rPr>
                <w:rFonts w:ascii="Calibri" w:eastAsia="Calibri" w:hAnsi="Calibri" w:cs="Arial"/>
                <w:i/>
                <w:sz w:val="16"/>
                <w:szCs w:val="16"/>
                <w:lang w:val="en-US"/>
              </w:rPr>
              <w:t>Presentations (virtual)</w:t>
            </w:r>
            <w:r w:rsidR="00AF0C4B" w:rsidRPr="00F01F3A">
              <w:rPr>
                <w:rFonts w:ascii="Calibri" w:eastAsia="Calibri" w:hAnsi="Calibri" w:cs="Arial"/>
                <w:i/>
                <w:sz w:val="16"/>
                <w:szCs w:val="16"/>
                <w:lang w:val="en-US"/>
              </w:rPr>
              <w:t xml:space="preserve"> </w:t>
            </w:r>
          </w:p>
        </w:tc>
        <w:tc>
          <w:tcPr>
            <w:tcW w:w="5344" w:type="dxa"/>
            <w:noWrap/>
            <w:hideMark/>
          </w:tcPr>
          <w:p w14:paraId="03852895"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p>
        </w:tc>
      </w:tr>
      <w:tr w:rsidR="00AF0C4B" w:rsidRPr="00F01F3A" w14:paraId="017D44DA"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noWrap/>
          </w:tcPr>
          <w:p w14:paraId="2EBE8C95" w14:textId="77777777" w:rsidR="00AF0C4B" w:rsidRPr="00F01F3A" w:rsidRDefault="00AF0C4B" w:rsidP="00AF0C4B">
            <w:pPr>
              <w:jc w:val="right"/>
              <w:rPr>
                <w:rFonts w:ascii="Calibri" w:eastAsia="Calibri" w:hAnsi="Calibri" w:cs="Arial"/>
                <w:i/>
                <w:sz w:val="16"/>
                <w:szCs w:val="16"/>
                <w:lang w:val="en-US"/>
              </w:rPr>
            </w:pPr>
            <w:r w:rsidRPr="00F01F3A">
              <w:rPr>
                <w:rFonts w:ascii="Calibri" w:eastAsia="Calibri" w:hAnsi="Calibri" w:cs="Arial"/>
                <w:i/>
                <w:sz w:val="16"/>
                <w:szCs w:val="16"/>
                <w:lang w:val="en-US"/>
              </w:rPr>
              <w:t>Elena Ivanova #</w:t>
            </w:r>
          </w:p>
        </w:tc>
        <w:tc>
          <w:tcPr>
            <w:tcW w:w="5344" w:type="dxa"/>
            <w:noWrap/>
          </w:tcPr>
          <w:p w14:paraId="5F23F510"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i/>
                <w:sz w:val="16"/>
                <w:szCs w:val="16"/>
                <w:lang w:val="en-US"/>
              </w:rPr>
            </w:pPr>
            <w:r w:rsidRPr="00F01F3A">
              <w:rPr>
                <w:rFonts w:ascii="Calibri" w:eastAsia="Calibri" w:hAnsi="Calibri" w:cs="Arial"/>
                <w:i/>
                <w:sz w:val="16"/>
                <w:szCs w:val="16"/>
                <w:lang w:val="en-US"/>
              </w:rPr>
              <w:t>FIND (Switzerland - virtual)</w:t>
            </w:r>
          </w:p>
        </w:tc>
      </w:tr>
      <w:tr w:rsidR="00AF0C4B" w:rsidRPr="00F01F3A" w14:paraId="0E788DAF"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tcPr>
          <w:p w14:paraId="3DC71119" w14:textId="77777777" w:rsidR="00AF0C4B" w:rsidRPr="00F01F3A" w:rsidRDefault="00AF0C4B" w:rsidP="00AF0C4B">
            <w:pPr>
              <w:jc w:val="right"/>
              <w:rPr>
                <w:rFonts w:ascii="Calibri" w:eastAsia="Calibri" w:hAnsi="Calibri" w:cs="Arial"/>
                <w:i/>
                <w:sz w:val="16"/>
                <w:szCs w:val="16"/>
                <w:lang w:val="en-US"/>
              </w:rPr>
            </w:pPr>
            <w:r w:rsidRPr="00F01F3A">
              <w:rPr>
                <w:rFonts w:ascii="Calibri" w:eastAsia="Calibri" w:hAnsi="Calibri" w:cs="Arial"/>
                <w:i/>
                <w:sz w:val="16"/>
                <w:szCs w:val="16"/>
                <w:lang w:val="en-US"/>
              </w:rPr>
              <w:t xml:space="preserve">Elisa </w:t>
            </w:r>
            <w:proofErr w:type="spellStart"/>
            <w:proofErr w:type="gramStart"/>
            <w:r w:rsidRPr="00F01F3A">
              <w:rPr>
                <w:rFonts w:ascii="Calibri" w:eastAsia="Calibri" w:hAnsi="Calibri" w:cs="Arial"/>
                <w:i/>
                <w:sz w:val="16"/>
                <w:szCs w:val="16"/>
                <w:lang w:val="en-US"/>
              </w:rPr>
              <w:t>Sicuri</w:t>
            </w:r>
            <w:proofErr w:type="spellEnd"/>
            <w:r w:rsidRPr="00F01F3A">
              <w:rPr>
                <w:rFonts w:ascii="Calibri" w:eastAsia="Calibri" w:hAnsi="Calibri" w:cs="Arial"/>
                <w:i/>
                <w:sz w:val="16"/>
                <w:szCs w:val="16"/>
                <w:lang w:val="en-US"/>
              </w:rPr>
              <w:t xml:space="preserve">  #</w:t>
            </w:r>
            <w:proofErr w:type="gramEnd"/>
          </w:p>
        </w:tc>
        <w:tc>
          <w:tcPr>
            <w:tcW w:w="5344" w:type="dxa"/>
            <w:noWrap/>
          </w:tcPr>
          <w:p w14:paraId="18E7C4E0"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i/>
                <w:sz w:val="16"/>
                <w:szCs w:val="16"/>
                <w:lang w:val="en-US"/>
              </w:rPr>
            </w:pPr>
            <w:r w:rsidRPr="00F01F3A">
              <w:rPr>
                <w:rFonts w:ascii="Calibri" w:eastAsia="Calibri" w:hAnsi="Calibri" w:cs="Arial"/>
                <w:i/>
                <w:sz w:val="16"/>
                <w:szCs w:val="16"/>
                <w:lang w:val="en-US"/>
              </w:rPr>
              <w:t>ISGLOBAL (Spain - virtual)</w:t>
            </w:r>
          </w:p>
        </w:tc>
      </w:tr>
      <w:tr w:rsidR="00CF6DAF" w:rsidRPr="00F01F3A" w14:paraId="5C31C9F8"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noWrap/>
          </w:tcPr>
          <w:p w14:paraId="5FF019EB" w14:textId="384BFCB3" w:rsidR="00CF6DAF" w:rsidRPr="00F01F3A" w:rsidRDefault="00A243DA" w:rsidP="00AF0C4B">
            <w:pPr>
              <w:jc w:val="right"/>
              <w:rPr>
                <w:rFonts w:ascii="Calibri" w:eastAsia="Calibri" w:hAnsi="Calibri" w:cs="Arial"/>
                <w:i/>
                <w:sz w:val="16"/>
                <w:szCs w:val="16"/>
              </w:rPr>
            </w:pPr>
            <w:r w:rsidRPr="00F01F3A">
              <w:rPr>
                <w:rFonts w:ascii="Calibri" w:eastAsia="Calibri" w:hAnsi="Calibri" w:cs="Arial"/>
                <w:i/>
                <w:sz w:val="16"/>
                <w:szCs w:val="16"/>
              </w:rPr>
              <w:t xml:space="preserve">Andrea Marchiol </w:t>
            </w:r>
            <w:r w:rsidRPr="00F01F3A">
              <w:rPr>
                <w:rFonts w:ascii="Calibri" w:eastAsia="Calibri" w:hAnsi="Calibri" w:cs="Arial"/>
                <w:i/>
                <w:sz w:val="16"/>
                <w:szCs w:val="16"/>
                <w:lang w:val="en-US"/>
              </w:rPr>
              <w:t>#</w:t>
            </w:r>
          </w:p>
        </w:tc>
        <w:tc>
          <w:tcPr>
            <w:tcW w:w="5344" w:type="dxa"/>
            <w:noWrap/>
          </w:tcPr>
          <w:p w14:paraId="191F2DEE" w14:textId="2DCCA005" w:rsidR="00CF6DAF" w:rsidRPr="00F01F3A" w:rsidRDefault="00A243DA"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i/>
                <w:sz w:val="16"/>
                <w:szCs w:val="16"/>
              </w:rPr>
            </w:pPr>
            <w:r w:rsidRPr="00F01F3A">
              <w:rPr>
                <w:rFonts w:ascii="Calibri" w:eastAsia="Calibri" w:hAnsi="Calibri" w:cs="Arial"/>
                <w:sz w:val="16"/>
                <w:szCs w:val="16"/>
                <w:lang w:val="en-US"/>
              </w:rPr>
              <w:t>DNDi (Brazil)</w:t>
            </w:r>
          </w:p>
        </w:tc>
      </w:tr>
    </w:tbl>
    <w:p w14:paraId="52FC75FD" w14:textId="77777777" w:rsidR="00AF0C4B" w:rsidRPr="00F01F3A" w:rsidRDefault="00AF0C4B" w:rsidP="00AF0C4B">
      <w:pPr>
        <w:spacing w:after="160"/>
        <w:rPr>
          <w:rFonts w:ascii="Calibri" w:eastAsia="Calibri" w:hAnsi="Calibri" w:cs="Arial"/>
          <w:bCs/>
          <w:sz w:val="16"/>
          <w:szCs w:val="16"/>
        </w:rPr>
      </w:pPr>
      <w:r w:rsidRPr="00F01F3A">
        <w:rPr>
          <w:rFonts w:ascii="Calibri" w:eastAsia="Calibri" w:hAnsi="Calibri" w:cs="Arial"/>
          <w:sz w:val="16"/>
          <w:szCs w:val="16"/>
        </w:rPr>
        <w:t>#</w:t>
      </w:r>
      <w:r w:rsidRPr="00F01F3A">
        <w:rPr>
          <w:rFonts w:ascii="Calibri" w:eastAsia="Calibri" w:hAnsi="Calibri" w:cs="Arial"/>
          <w:bCs/>
          <w:sz w:val="16"/>
          <w:szCs w:val="16"/>
        </w:rPr>
        <w:t xml:space="preserve"> Speakers, * Moderators</w:t>
      </w:r>
    </w:p>
    <w:p w14:paraId="3A474CD8" w14:textId="6C6BF0D3" w:rsidR="00AF0C4B" w:rsidRPr="00F01F3A" w:rsidRDefault="00AF0C4B" w:rsidP="00AF0C4B">
      <w:pPr>
        <w:spacing w:after="160"/>
        <w:rPr>
          <w:rFonts w:ascii="Calibri" w:eastAsia="Calibri" w:hAnsi="Calibri" w:cs="Arial"/>
          <w:b/>
          <w:sz w:val="22"/>
          <w:szCs w:val="22"/>
        </w:rPr>
      </w:pPr>
      <w:r w:rsidRPr="00F01F3A">
        <w:rPr>
          <w:rFonts w:ascii="Calibri" w:eastAsia="Calibri" w:hAnsi="Calibri" w:cs="Arial"/>
          <w:b/>
          <w:bCs/>
          <w:sz w:val="20"/>
          <w:szCs w:val="22"/>
        </w:rPr>
        <w:t xml:space="preserve">Day 2 </w:t>
      </w:r>
    </w:p>
    <w:p w14:paraId="5C5BBD74" w14:textId="1B45E9C2" w:rsidR="00AF0C4B" w:rsidRPr="00F01F3A" w:rsidRDefault="00AF0C4B" w:rsidP="00AF0C4B">
      <w:pPr>
        <w:spacing w:after="160"/>
        <w:rPr>
          <w:rFonts w:ascii="Calibri" w:eastAsia="Calibri" w:hAnsi="Calibri" w:cs="Arial"/>
          <w:sz w:val="22"/>
          <w:szCs w:val="22"/>
        </w:rPr>
      </w:pPr>
      <w:r w:rsidRPr="00F01F3A">
        <w:rPr>
          <w:rFonts w:ascii="Calibri" w:eastAsia="Calibri" w:hAnsi="Calibri" w:cs="Arial"/>
          <w:sz w:val="20"/>
          <w:szCs w:val="22"/>
        </w:rPr>
        <w:t>GROUP 1. Harmonized protocol for the evaluation of RDTs</w:t>
      </w:r>
    </w:p>
    <w:tbl>
      <w:tblPr>
        <w:tblStyle w:val="Tablanormal11"/>
        <w:tblW w:w="8784" w:type="dxa"/>
        <w:tblLook w:val="04A0" w:firstRow="1" w:lastRow="0" w:firstColumn="1" w:lastColumn="0" w:noHBand="0" w:noVBand="1"/>
      </w:tblPr>
      <w:tblGrid>
        <w:gridCol w:w="3256"/>
        <w:gridCol w:w="5528"/>
      </w:tblGrid>
      <w:tr w:rsidR="00AF0C4B" w:rsidRPr="00F01F3A" w14:paraId="25078B4D" w14:textId="77777777" w:rsidTr="00A243D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467FF3D1" w14:textId="77777777" w:rsidR="00AF0C4B" w:rsidRPr="00F01F3A" w:rsidRDefault="00AF0C4B" w:rsidP="00AF0C4B">
            <w:pPr>
              <w:jc w:val="center"/>
              <w:rPr>
                <w:rFonts w:ascii="Calibri" w:eastAsia="Calibri" w:hAnsi="Calibri" w:cs="Arial"/>
                <w:sz w:val="16"/>
                <w:szCs w:val="16"/>
                <w:lang w:val="en-US"/>
              </w:rPr>
            </w:pPr>
            <w:r w:rsidRPr="00F01F3A">
              <w:rPr>
                <w:rFonts w:ascii="Calibri" w:eastAsia="Calibri" w:hAnsi="Calibri" w:cs="Arial"/>
                <w:sz w:val="16"/>
                <w:szCs w:val="16"/>
                <w:lang w:val="en-US"/>
              </w:rPr>
              <w:t>Name</w:t>
            </w:r>
          </w:p>
        </w:tc>
        <w:tc>
          <w:tcPr>
            <w:tcW w:w="5528" w:type="dxa"/>
            <w:noWrap/>
            <w:hideMark/>
          </w:tcPr>
          <w:p w14:paraId="35B96940" w14:textId="77777777" w:rsidR="00AF0C4B" w:rsidRPr="00F01F3A" w:rsidRDefault="00AF0C4B" w:rsidP="00AF0C4B">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Affiliation (country)</w:t>
            </w:r>
          </w:p>
        </w:tc>
      </w:tr>
      <w:tr w:rsidR="00AF0C4B" w:rsidRPr="00F01F3A" w14:paraId="6A9D04D9" w14:textId="77777777" w:rsidTr="00A243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6" w:type="dxa"/>
            <w:noWrap/>
          </w:tcPr>
          <w:p w14:paraId="2D77D4A7"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Laura Bohorquez *</w:t>
            </w:r>
          </w:p>
        </w:tc>
        <w:tc>
          <w:tcPr>
            <w:tcW w:w="5528" w:type="dxa"/>
            <w:noWrap/>
          </w:tcPr>
          <w:p w14:paraId="6925CFAD"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proofErr w:type="gramStart"/>
            <w:r w:rsidRPr="00F01F3A">
              <w:rPr>
                <w:rFonts w:ascii="Calibri" w:eastAsia="Calibri" w:hAnsi="Calibri" w:cs="Arial"/>
                <w:sz w:val="16"/>
                <w:szCs w:val="16"/>
                <w:lang w:val="en-US"/>
              </w:rPr>
              <w:t>FIND  (</w:t>
            </w:r>
            <w:proofErr w:type="gramEnd"/>
            <w:r w:rsidRPr="00F01F3A">
              <w:rPr>
                <w:rFonts w:ascii="Calibri" w:eastAsia="Calibri" w:hAnsi="Calibri" w:cs="Arial"/>
                <w:sz w:val="16"/>
                <w:szCs w:val="16"/>
                <w:lang w:val="en-US"/>
              </w:rPr>
              <w:t>Colombia)</w:t>
            </w:r>
          </w:p>
        </w:tc>
      </w:tr>
      <w:tr w:rsidR="00AF0C4B" w:rsidRPr="00F01F3A" w14:paraId="05CA4A41" w14:textId="77777777" w:rsidTr="00A243DA">
        <w:trPr>
          <w:trHeight w:val="315"/>
        </w:trPr>
        <w:tc>
          <w:tcPr>
            <w:cnfStyle w:val="001000000000" w:firstRow="0" w:lastRow="0" w:firstColumn="1" w:lastColumn="0" w:oddVBand="0" w:evenVBand="0" w:oddHBand="0" w:evenHBand="0" w:firstRowFirstColumn="0" w:firstRowLastColumn="0" w:lastRowFirstColumn="0" w:lastRowLastColumn="0"/>
            <w:tcW w:w="3256" w:type="dxa"/>
            <w:noWrap/>
          </w:tcPr>
          <w:p w14:paraId="24CFF357"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Andres Caicedo  </w:t>
            </w:r>
          </w:p>
        </w:tc>
        <w:tc>
          <w:tcPr>
            <w:tcW w:w="5528" w:type="dxa"/>
            <w:noWrap/>
          </w:tcPr>
          <w:p w14:paraId="58B729C5"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DNDi (Brazil)</w:t>
            </w:r>
          </w:p>
        </w:tc>
      </w:tr>
      <w:tr w:rsidR="00AF0C4B" w:rsidRPr="00F01F3A" w14:paraId="3B8A4173" w14:textId="77777777" w:rsidTr="00A243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6" w:type="dxa"/>
            <w:noWrap/>
          </w:tcPr>
          <w:p w14:paraId="3C8F515E"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Rafael Herazo  </w:t>
            </w:r>
          </w:p>
        </w:tc>
        <w:tc>
          <w:tcPr>
            <w:tcW w:w="5528" w:type="dxa"/>
            <w:noWrap/>
          </w:tcPr>
          <w:p w14:paraId="61314E00"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DNDi (Brazil)</w:t>
            </w:r>
          </w:p>
        </w:tc>
      </w:tr>
      <w:tr w:rsidR="00AF0C4B" w:rsidRPr="00F01F3A" w14:paraId="7E82C272" w14:textId="77777777" w:rsidTr="00A243DA">
        <w:trPr>
          <w:trHeight w:val="315"/>
        </w:trPr>
        <w:tc>
          <w:tcPr>
            <w:cnfStyle w:val="001000000000" w:firstRow="0" w:lastRow="0" w:firstColumn="1" w:lastColumn="0" w:oddVBand="0" w:evenVBand="0" w:oddHBand="0" w:evenHBand="0" w:firstRowFirstColumn="0" w:firstRowLastColumn="0" w:lastRowFirstColumn="0" w:lastRowLastColumn="0"/>
            <w:tcW w:w="3256" w:type="dxa"/>
            <w:noWrap/>
          </w:tcPr>
          <w:p w14:paraId="41FD9E63"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Freddy Pérez</w:t>
            </w:r>
          </w:p>
        </w:tc>
        <w:tc>
          <w:tcPr>
            <w:tcW w:w="5528" w:type="dxa"/>
            <w:noWrap/>
          </w:tcPr>
          <w:p w14:paraId="39B20BFD"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PAHO (USA)</w:t>
            </w:r>
          </w:p>
        </w:tc>
      </w:tr>
      <w:tr w:rsidR="00AF0C4B" w:rsidRPr="00F01F3A" w14:paraId="6DF5885A" w14:textId="77777777" w:rsidTr="00A243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6" w:type="dxa"/>
            <w:noWrap/>
          </w:tcPr>
          <w:p w14:paraId="796A91F0"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Hector Coto </w:t>
            </w:r>
          </w:p>
        </w:tc>
        <w:tc>
          <w:tcPr>
            <w:tcW w:w="5528" w:type="dxa"/>
            <w:noWrap/>
          </w:tcPr>
          <w:p w14:paraId="086D8E37"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PAHO (USA)</w:t>
            </w:r>
          </w:p>
        </w:tc>
      </w:tr>
      <w:tr w:rsidR="00AF0C4B" w:rsidRPr="00F01F3A" w14:paraId="16D4CB23" w14:textId="77777777" w:rsidTr="00A243DA">
        <w:trPr>
          <w:trHeight w:val="315"/>
        </w:trPr>
        <w:tc>
          <w:tcPr>
            <w:cnfStyle w:val="001000000000" w:firstRow="0" w:lastRow="0" w:firstColumn="1" w:lastColumn="0" w:oddVBand="0" w:evenVBand="0" w:oddHBand="0" w:evenHBand="0" w:firstRowFirstColumn="0" w:firstRowLastColumn="0" w:lastRowFirstColumn="0" w:lastRowLastColumn="0"/>
            <w:tcW w:w="3256" w:type="dxa"/>
            <w:noWrap/>
          </w:tcPr>
          <w:p w14:paraId="7F7CE39F"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María Isabel Jercic *</w:t>
            </w:r>
          </w:p>
        </w:tc>
        <w:tc>
          <w:tcPr>
            <w:tcW w:w="5528" w:type="dxa"/>
            <w:noWrap/>
          </w:tcPr>
          <w:p w14:paraId="75353F92"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INS (Chile)</w:t>
            </w:r>
          </w:p>
        </w:tc>
      </w:tr>
      <w:tr w:rsidR="00AF0C4B" w:rsidRPr="00F01F3A" w14:paraId="4672BD82" w14:textId="77777777" w:rsidTr="00A243D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256" w:type="dxa"/>
            <w:hideMark/>
          </w:tcPr>
          <w:p w14:paraId="7C81C45E"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Alejandro Hasslocher</w:t>
            </w:r>
          </w:p>
        </w:tc>
        <w:tc>
          <w:tcPr>
            <w:tcW w:w="5528" w:type="dxa"/>
            <w:hideMark/>
          </w:tcPr>
          <w:p w14:paraId="1957555E"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Fiocruz (Brazil)</w:t>
            </w:r>
          </w:p>
        </w:tc>
      </w:tr>
      <w:tr w:rsidR="00AF0C4B" w:rsidRPr="00F01F3A" w14:paraId="2CB683D3" w14:textId="77777777" w:rsidTr="00A243DA">
        <w:trPr>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ADCED35"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Andrea García Balderrama</w:t>
            </w:r>
          </w:p>
        </w:tc>
        <w:tc>
          <w:tcPr>
            <w:tcW w:w="5528" w:type="dxa"/>
            <w:noWrap/>
            <w:hideMark/>
          </w:tcPr>
          <w:p w14:paraId="4884E0F2"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INLASA (Bolivia)</w:t>
            </w:r>
          </w:p>
        </w:tc>
      </w:tr>
      <w:tr w:rsidR="00AF0C4B" w:rsidRPr="00F01F3A" w14:paraId="0534D8F3" w14:textId="77777777" w:rsidTr="00A243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6" w:type="dxa"/>
            <w:noWrap/>
            <w:hideMark/>
          </w:tcPr>
          <w:p w14:paraId="70EBFC4F"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Franciana Rosa Da Silva</w:t>
            </w:r>
          </w:p>
        </w:tc>
        <w:tc>
          <w:tcPr>
            <w:tcW w:w="5528" w:type="dxa"/>
            <w:noWrap/>
            <w:hideMark/>
          </w:tcPr>
          <w:p w14:paraId="283B478E"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CUIDA Chagas (Brazil)</w:t>
            </w:r>
          </w:p>
        </w:tc>
      </w:tr>
      <w:tr w:rsidR="00AF0C4B" w:rsidRPr="00F01F3A" w14:paraId="69408D02" w14:textId="77777777" w:rsidTr="00A243DA">
        <w:trPr>
          <w:trHeight w:val="315"/>
        </w:trPr>
        <w:tc>
          <w:tcPr>
            <w:cnfStyle w:val="001000000000" w:firstRow="0" w:lastRow="0" w:firstColumn="1" w:lastColumn="0" w:oddVBand="0" w:evenVBand="0" w:oddHBand="0" w:evenHBand="0" w:firstRowFirstColumn="0" w:firstRowLastColumn="0" w:lastRowFirstColumn="0" w:lastRowLastColumn="0"/>
            <w:tcW w:w="3256" w:type="dxa"/>
            <w:noWrap/>
            <w:hideMark/>
          </w:tcPr>
          <w:p w14:paraId="577384E5"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Fred Luciano Neves Santos</w:t>
            </w:r>
          </w:p>
        </w:tc>
        <w:tc>
          <w:tcPr>
            <w:tcW w:w="5528" w:type="dxa"/>
            <w:hideMark/>
          </w:tcPr>
          <w:p w14:paraId="05BE1BE3"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Fiocruz (Brazil)</w:t>
            </w:r>
          </w:p>
        </w:tc>
      </w:tr>
      <w:tr w:rsidR="00AF0C4B" w:rsidRPr="00F01F3A" w14:paraId="5DA486E1" w14:textId="77777777" w:rsidTr="00A243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6C6E72BF"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Karina </w:t>
            </w:r>
            <w:proofErr w:type="spellStart"/>
            <w:r w:rsidRPr="00F01F3A">
              <w:rPr>
                <w:rFonts w:ascii="Calibri" w:eastAsia="Calibri" w:hAnsi="Calibri" w:cs="Arial"/>
                <w:sz w:val="16"/>
                <w:szCs w:val="16"/>
                <w:lang w:val="en-US"/>
              </w:rPr>
              <w:t>Egüez</w:t>
            </w:r>
            <w:proofErr w:type="spellEnd"/>
            <w:r w:rsidRPr="00F01F3A">
              <w:rPr>
                <w:rFonts w:ascii="Calibri" w:eastAsia="Calibri" w:hAnsi="Calibri" w:cs="Arial"/>
                <w:sz w:val="16"/>
                <w:szCs w:val="16"/>
                <w:lang w:val="en-US"/>
              </w:rPr>
              <w:t xml:space="preserve"> Soliz</w:t>
            </w:r>
          </w:p>
        </w:tc>
        <w:tc>
          <w:tcPr>
            <w:tcW w:w="5528" w:type="dxa"/>
            <w:noWrap/>
            <w:hideMark/>
          </w:tcPr>
          <w:p w14:paraId="6434EE3D"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 xml:space="preserve">Servicio </w:t>
            </w:r>
            <w:proofErr w:type="spellStart"/>
            <w:r w:rsidRPr="00F01F3A">
              <w:rPr>
                <w:rFonts w:ascii="Calibri" w:eastAsia="Calibri" w:hAnsi="Calibri" w:cs="Arial"/>
                <w:sz w:val="16"/>
                <w:szCs w:val="16"/>
                <w:lang w:val="en-US"/>
              </w:rPr>
              <w:t>Departamental</w:t>
            </w:r>
            <w:proofErr w:type="spellEnd"/>
            <w:r w:rsidRPr="00F01F3A">
              <w:rPr>
                <w:rFonts w:ascii="Calibri" w:eastAsia="Calibri" w:hAnsi="Calibri" w:cs="Arial"/>
                <w:sz w:val="16"/>
                <w:szCs w:val="16"/>
                <w:lang w:val="en-US"/>
              </w:rPr>
              <w:t xml:space="preserve"> de Salud - Ministry of Health (Bolivia)</w:t>
            </w:r>
          </w:p>
        </w:tc>
      </w:tr>
      <w:tr w:rsidR="00AF0C4B" w:rsidRPr="00F01F3A" w14:paraId="002272B4" w14:textId="77777777" w:rsidTr="00A243DA">
        <w:trPr>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0BD75516"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Karla Lange</w:t>
            </w:r>
          </w:p>
        </w:tc>
        <w:tc>
          <w:tcPr>
            <w:tcW w:w="5528" w:type="dxa"/>
            <w:noWrap/>
            <w:hideMark/>
          </w:tcPr>
          <w:p w14:paraId="5EE7DD52"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rPr>
            </w:pPr>
            <w:r w:rsidRPr="00F01F3A">
              <w:rPr>
                <w:rFonts w:ascii="Calibri" w:eastAsia="Calibri" w:hAnsi="Calibri" w:cs="Arial"/>
                <w:sz w:val="16"/>
                <w:szCs w:val="16"/>
              </w:rPr>
              <w:t xml:space="preserve">Universidad de San Carlos de Guatemala (Guatemala) </w:t>
            </w:r>
          </w:p>
        </w:tc>
      </w:tr>
      <w:tr w:rsidR="00AF0C4B" w:rsidRPr="00F01F3A" w14:paraId="5B8F918E" w14:textId="77777777" w:rsidTr="00A243D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6" w:type="dxa"/>
            <w:noWrap/>
            <w:hideMark/>
          </w:tcPr>
          <w:p w14:paraId="449703AF"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Oscar Noya</w:t>
            </w:r>
          </w:p>
        </w:tc>
        <w:tc>
          <w:tcPr>
            <w:tcW w:w="5528" w:type="dxa"/>
            <w:noWrap/>
            <w:hideMark/>
          </w:tcPr>
          <w:p w14:paraId="7075356D"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rPr>
            </w:pPr>
            <w:r w:rsidRPr="00F01F3A">
              <w:rPr>
                <w:rFonts w:ascii="Calibri" w:eastAsia="Calibri" w:hAnsi="Calibri" w:cs="Arial"/>
                <w:sz w:val="16"/>
                <w:szCs w:val="16"/>
              </w:rPr>
              <w:t>Intituto de Medicina Tropical-UCV (Venezuela)</w:t>
            </w:r>
          </w:p>
        </w:tc>
      </w:tr>
      <w:tr w:rsidR="00AF0C4B" w:rsidRPr="00F01F3A" w14:paraId="3C2AD14D" w14:textId="77777777" w:rsidTr="00A243DA">
        <w:trPr>
          <w:trHeight w:val="315"/>
        </w:trPr>
        <w:tc>
          <w:tcPr>
            <w:cnfStyle w:val="001000000000" w:firstRow="0" w:lastRow="0" w:firstColumn="1" w:lastColumn="0" w:oddVBand="0" w:evenVBand="0" w:oddHBand="0" w:evenHBand="0" w:firstRowFirstColumn="0" w:firstRowLastColumn="0" w:lastRowFirstColumn="0" w:lastRowLastColumn="0"/>
            <w:tcW w:w="3256" w:type="dxa"/>
            <w:noWrap/>
            <w:hideMark/>
          </w:tcPr>
          <w:p w14:paraId="2DCFD146"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Vidalia </w:t>
            </w:r>
            <w:proofErr w:type="spellStart"/>
            <w:r w:rsidRPr="00F01F3A">
              <w:rPr>
                <w:rFonts w:ascii="Calibri" w:eastAsia="Calibri" w:hAnsi="Calibri" w:cs="Arial"/>
                <w:sz w:val="16"/>
                <w:szCs w:val="16"/>
                <w:lang w:val="en-US"/>
              </w:rPr>
              <w:t>Lesmo</w:t>
            </w:r>
            <w:proofErr w:type="spellEnd"/>
          </w:p>
        </w:tc>
        <w:tc>
          <w:tcPr>
            <w:tcW w:w="5528" w:type="dxa"/>
            <w:noWrap/>
            <w:hideMark/>
          </w:tcPr>
          <w:p w14:paraId="189C385C"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SENEPA (Paraguay)</w:t>
            </w:r>
          </w:p>
        </w:tc>
      </w:tr>
      <w:tr w:rsidR="00AF0C4B" w:rsidRPr="00F01F3A" w14:paraId="1C9A0A5D" w14:textId="77777777" w:rsidTr="00A243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51AC536F"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Bertha Espinoza</w:t>
            </w:r>
          </w:p>
        </w:tc>
        <w:tc>
          <w:tcPr>
            <w:tcW w:w="5528" w:type="dxa"/>
            <w:noWrap/>
            <w:hideMark/>
          </w:tcPr>
          <w:p w14:paraId="5B09A8B5"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IIBO-UNAM (Mexico)</w:t>
            </w:r>
          </w:p>
        </w:tc>
      </w:tr>
      <w:tr w:rsidR="00AF0C4B" w:rsidRPr="00F01F3A" w14:paraId="2896AB4B" w14:textId="77777777" w:rsidTr="00A243DA">
        <w:trPr>
          <w:trHeight w:val="300"/>
        </w:trPr>
        <w:tc>
          <w:tcPr>
            <w:cnfStyle w:val="001000000000" w:firstRow="0" w:lastRow="0" w:firstColumn="1" w:lastColumn="0" w:oddVBand="0" w:evenVBand="0" w:oddHBand="0" w:evenHBand="0" w:firstRowFirstColumn="0" w:firstRowLastColumn="0" w:lastRowFirstColumn="0" w:lastRowLastColumn="0"/>
            <w:tcW w:w="3256" w:type="dxa"/>
            <w:hideMark/>
          </w:tcPr>
          <w:p w14:paraId="5C8C46C2"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Fernan Aguero</w:t>
            </w:r>
          </w:p>
        </w:tc>
        <w:tc>
          <w:tcPr>
            <w:tcW w:w="5528" w:type="dxa"/>
            <w:noWrap/>
            <w:hideMark/>
          </w:tcPr>
          <w:p w14:paraId="0C836A6E"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proofErr w:type="spellStart"/>
            <w:r w:rsidRPr="00F01F3A">
              <w:rPr>
                <w:rFonts w:ascii="Calibri" w:eastAsia="Calibri" w:hAnsi="Calibri" w:cs="Arial"/>
                <w:sz w:val="16"/>
                <w:szCs w:val="16"/>
                <w:lang w:val="en-US"/>
              </w:rPr>
              <w:t>IIBio</w:t>
            </w:r>
            <w:proofErr w:type="spellEnd"/>
            <w:r w:rsidRPr="00F01F3A">
              <w:rPr>
                <w:rFonts w:ascii="Calibri" w:eastAsia="Calibri" w:hAnsi="Calibri" w:cs="Arial"/>
                <w:sz w:val="16"/>
                <w:szCs w:val="16"/>
                <w:lang w:val="en-US"/>
              </w:rPr>
              <w:t>-UNSAM-CONICET (Argentina)</w:t>
            </w:r>
          </w:p>
        </w:tc>
      </w:tr>
      <w:tr w:rsidR="00AF0C4B" w:rsidRPr="00F01F3A" w14:paraId="4C9C8229" w14:textId="77777777" w:rsidTr="00A243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hideMark/>
          </w:tcPr>
          <w:p w14:paraId="373631F7"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Jaime Altcheh</w:t>
            </w:r>
          </w:p>
        </w:tc>
        <w:tc>
          <w:tcPr>
            <w:tcW w:w="5528" w:type="dxa"/>
            <w:noWrap/>
            <w:hideMark/>
          </w:tcPr>
          <w:p w14:paraId="3527A2C7"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rPr>
            </w:pPr>
            <w:r w:rsidRPr="00F01F3A">
              <w:rPr>
                <w:rFonts w:ascii="Calibri" w:eastAsia="Calibri" w:hAnsi="Calibri" w:cs="Arial"/>
                <w:sz w:val="16"/>
                <w:szCs w:val="16"/>
              </w:rPr>
              <w:t>Hospital De Niños Ricardo Gutierrez (Argentina)</w:t>
            </w:r>
          </w:p>
        </w:tc>
      </w:tr>
      <w:tr w:rsidR="00AF0C4B" w:rsidRPr="00F01F3A" w14:paraId="153FCF85" w14:textId="77777777" w:rsidTr="00A243DA">
        <w:trPr>
          <w:trHeight w:val="300"/>
        </w:trPr>
        <w:tc>
          <w:tcPr>
            <w:cnfStyle w:val="001000000000" w:firstRow="0" w:lastRow="0" w:firstColumn="1" w:lastColumn="0" w:oddVBand="0" w:evenVBand="0" w:oddHBand="0" w:evenHBand="0" w:firstRowFirstColumn="0" w:firstRowLastColumn="0" w:lastRowFirstColumn="0" w:lastRowLastColumn="0"/>
            <w:tcW w:w="3256" w:type="dxa"/>
            <w:hideMark/>
          </w:tcPr>
          <w:p w14:paraId="2B3A3EE1"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Silvia Longhi #</w:t>
            </w:r>
          </w:p>
        </w:tc>
        <w:tc>
          <w:tcPr>
            <w:tcW w:w="5528" w:type="dxa"/>
            <w:noWrap/>
            <w:hideMark/>
          </w:tcPr>
          <w:p w14:paraId="748B0B5C"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INGEBI-</w:t>
            </w:r>
            <w:proofErr w:type="gramStart"/>
            <w:r w:rsidRPr="00F01F3A">
              <w:rPr>
                <w:rFonts w:ascii="Calibri" w:eastAsia="Calibri" w:hAnsi="Calibri" w:cs="Arial"/>
                <w:sz w:val="16"/>
                <w:szCs w:val="16"/>
                <w:lang w:val="en-US"/>
              </w:rPr>
              <w:t>CONICET  (</w:t>
            </w:r>
            <w:proofErr w:type="gramEnd"/>
            <w:r w:rsidRPr="00F01F3A">
              <w:rPr>
                <w:rFonts w:ascii="Calibri" w:eastAsia="Calibri" w:hAnsi="Calibri" w:cs="Arial"/>
                <w:sz w:val="16"/>
                <w:szCs w:val="16"/>
                <w:lang w:val="en-US"/>
              </w:rPr>
              <w:t>Argentina)</w:t>
            </w:r>
          </w:p>
        </w:tc>
      </w:tr>
      <w:tr w:rsidR="00AF0C4B" w:rsidRPr="00F01F3A" w14:paraId="0EBC6346" w14:textId="77777777" w:rsidTr="00A243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noWrap/>
            <w:hideMark/>
          </w:tcPr>
          <w:p w14:paraId="4C08E7F9"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Rocío Rivero </w:t>
            </w:r>
          </w:p>
        </w:tc>
        <w:tc>
          <w:tcPr>
            <w:tcW w:w="5528" w:type="dxa"/>
            <w:noWrap/>
            <w:hideMark/>
          </w:tcPr>
          <w:p w14:paraId="0CB82050"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 xml:space="preserve">INP </w:t>
            </w:r>
            <w:proofErr w:type="spellStart"/>
            <w:r w:rsidRPr="00F01F3A">
              <w:rPr>
                <w:rFonts w:ascii="Calibri" w:eastAsia="Calibri" w:hAnsi="Calibri" w:cs="Arial"/>
                <w:sz w:val="16"/>
                <w:szCs w:val="16"/>
                <w:lang w:val="en-US"/>
              </w:rPr>
              <w:t>Fatala</w:t>
            </w:r>
            <w:proofErr w:type="spellEnd"/>
            <w:r w:rsidRPr="00F01F3A">
              <w:rPr>
                <w:rFonts w:ascii="Calibri" w:eastAsia="Calibri" w:hAnsi="Calibri" w:cs="Arial"/>
                <w:sz w:val="16"/>
                <w:szCs w:val="16"/>
                <w:lang w:val="en-US"/>
              </w:rPr>
              <w:t xml:space="preserve"> </w:t>
            </w:r>
            <w:proofErr w:type="spellStart"/>
            <w:r w:rsidRPr="00F01F3A">
              <w:rPr>
                <w:rFonts w:ascii="Calibri" w:eastAsia="Calibri" w:hAnsi="Calibri" w:cs="Arial"/>
                <w:sz w:val="16"/>
                <w:szCs w:val="16"/>
                <w:lang w:val="en-US"/>
              </w:rPr>
              <w:t>Chaben</w:t>
            </w:r>
            <w:proofErr w:type="spellEnd"/>
            <w:r w:rsidRPr="00F01F3A">
              <w:rPr>
                <w:rFonts w:ascii="Calibri" w:eastAsia="Calibri" w:hAnsi="Calibri" w:cs="Arial"/>
                <w:sz w:val="16"/>
                <w:szCs w:val="16"/>
                <w:lang w:val="en-US"/>
              </w:rPr>
              <w:t xml:space="preserve"> (Argentina)</w:t>
            </w:r>
          </w:p>
        </w:tc>
      </w:tr>
    </w:tbl>
    <w:p w14:paraId="28CA4D6B" w14:textId="77777777" w:rsidR="00AF0C4B" w:rsidRPr="00F01F3A" w:rsidRDefault="00AF0C4B" w:rsidP="00AF0C4B">
      <w:pPr>
        <w:spacing w:after="160"/>
        <w:rPr>
          <w:rFonts w:ascii="Calibri" w:eastAsia="Calibri" w:hAnsi="Calibri" w:cs="Arial"/>
          <w:bCs/>
          <w:sz w:val="16"/>
          <w:szCs w:val="16"/>
        </w:rPr>
      </w:pPr>
      <w:r w:rsidRPr="00F01F3A">
        <w:rPr>
          <w:rFonts w:ascii="Calibri" w:eastAsia="Calibri" w:hAnsi="Calibri" w:cs="Arial"/>
          <w:bCs/>
          <w:sz w:val="16"/>
          <w:szCs w:val="16"/>
        </w:rPr>
        <w:t>* Moderators # Relator</w:t>
      </w:r>
    </w:p>
    <w:p w14:paraId="7408C2E8" w14:textId="02F105F5" w:rsidR="00AF0C4B" w:rsidRPr="00F01F3A" w:rsidRDefault="00AF0C4B" w:rsidP="00AF0C4B">
      <w:pPr>
        <w:spacing w:after="160"/>
        <w:rPr>
          <w:rFonts w:ascii="Calibri" w:eastAsia="Calibri" w:hAnsi="Calibri" w:cs="Arial"/>
          <w:bCs/>
          <w:sz w:val="20"/>
          <w:szCs w:val="22"/>
        </w:rPr>
      </w:pPr>
      <w:r w:rsidRPr="00F01F3A">
        <w:rPr>
          <w:rFonts w:ascii="Calibri" w:eastAsia="Calibri" w:hAnsi="Calibri" w:cs="Arial"/>
          <w:bCs/>
          <w:sz w:val="20"/>
          <w:szCs w:val="22"/>
        </w:rPr>
        <w:lastRenderedPageBreak/>
        <w:t>GROUP 2. Key product characteristics and quality standards of molecular tests</w:t>
      </w:r>
    </w:p>
    <w:tbl>
      <w:tblPr>
        <w:tblStyle w:val="Tablanormal11"/>
        <w:tblW w:w="8494" w:type="dxa"/>
        <w:tblLook w:val="04A0" w:firstRow="1" w:lastRow="0" w:firstColumn="1" w:lastColumn="0" w:noHBand="0" w:noVBand="1"/>
      </w:tblPr>
      <w:tblGrid>
        <w:gridCol w:w="3150"/>
        <w:gridCol w:w="5344"/>
      </w:tblGrid>
      <w:tr w:rsidR="00AF0C4B" w:rsidRPr="00F01F3A" w14:paraId="6158E2E8" w14:textId="77777777" w:rsidTr="00AF0C4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0F2A3199" w14:textId="77777777" w:rsidR="00AF0C4B" w:rsidRPr="00F01F3A" w:rsidRDefault="00AF0C4B" w:rsidP="00AF0C4B">
            <w:pPr>
              <w:jc w:val="center"/>
              <w:rPr>
                <w:rFonts w:ascii="Calibri" w:eastAsia="Calibri" w:hAnsi="Calibri" w:cs="Arial"/>
                <w:sz w:val="16"/>
                <w:szCs w:val="16"/>
                <w:lang w:val="en-US"/>
              </w:rPr>
            </w:pPr>
            <w:r w:rsidRPr="00F01F3A">
              <w:rPr>
                <w:rFonts w:ascii="Calibri" w:eastAsia="Calibri" w:hAnsi="Calibri" w:cs="Arial"/>
                <w:sz w:val="16"/>
                <w:szCs w:val="16"/>
                <w:lang w:val="en-US"/>
              </w:rPr>
              <w:t>Name</w:t>
            </w:r>
          </w:p>
        </w:tc>
        <w:tc>
          <w:tcPr>
            <w:tcW w:w="5344" w:type="dxa"/>
            <w:noWrap/>
            <w:hideMark/>
          </w:tcPr>
          <w:p w14:paraId="60BD8309" w14:textId="77777777" w:rsidR="00AF0C4B" w:rsidRPr="00F01F3A" w:rsidRDefault="00AF0C4B" w:rsidP="00AF0C4B">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Affiliation (country)</w:t>
            </w:r>
          </w:p>
        </w:tc>
      </w:tr>
      <w:tr w:rsidR="00AF0C4B" w:rsidRPr="00F01F3A" w14:paraId="438EC143"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2A05DB0A"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Marcelo Rodriguez</w:t>
            </w:r>
          </w:p>
        </w:tc>
        <w:tc>
          <w:tcPr>
            <w:tcW w:w="5344" w:type="dxa"/>
            <w:noWrap/>
          </w:tcPr>
          <w:p w14:paraId="3DB0D2AB"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FIND (Argentina)</w:t>
            </w:r>
          </w:p>
        </w:tc>
      </w:tr>
      <w:tr w:rsidR="00AF0C4B" w:rsidRPr="00F01F3A" w14:paraId="4615F81B"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56990AB2" w14:textId="75322F0E"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Alejandro </w:t>
            </w:r>
            <w:r w:rsidR="00CC5D55" w:rsidRPr="00F01F3A">
              <w:rPr>
                <w:rFonts w:ascii="Calibri" w:eastAsia="Calibri" w:hAnsi="Calibri" w:cs="Arial"/>
                <w:sz w:val="16"/>
                <w:szCs w:val="16"/>
                <w:lang w:val="en-US"/>
              </w:rPr>
              <w:t xml:space="preserve">G. </w:t>
            </w:r>
            <w:proofErr w:type="spellStart"/>
            <w:r w:rsidRPr="00F01F3A">
              <w:rPr>
                <w:rFonts w:ascii="Calibri" w:eastAsia="Calibri" w:hAnsi="Calibri" w:cs="Arial"/>
                <w:sz w:val="16"/>
                <w:szCs w:val="16"/>
                <w:lang w:val="en-US"/>
              </w:rPr>
              <w:t>Schijman</w:t>
            </w:r>
            <w:proofErr w:type="spellEnd"/>
            <w:r w:rsidRPr="00F01F3A">
              <w:rPr>
                <w:rFonts w:ascii="Calibri" w:eastAsia="Calibri" w:hAnsi="Calibri" w:cs="Arial"/>
                <w:sz w:val="16"/>
                <w:szCs w:val="16"/>
                <w:lang w:val="en-US"/>
              </w:rPr>
              <w:t xml:space="preserve"> *</w:t>
            </w:r>
          </w:p>
        </w:tc>
        <w:tc>
          <w:tcPr>
            <w:tcW w:w="5344" w:type="dxa"/>
            <w:noWrap/>
          </w:tcPr>
          <w:p w14:paraId="483C22F5"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 xml:space="preserve">INGEBI-CONICET (Argentina) </w:t>
            </w:r>
          </w:p>
        </w:tc>
      </w:tr>
      <w:tr w:rsidR="00AF0C4B" w:rsidRPr="00F01F3A" w14:paraId="4BDF05B5"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53DBFB40"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Arturo Muñoz #</w:t>
            </w:r>
          </w:p>
        </w:tc>
        <w:tc>
          <w:tcPr>
            <w:tcW w:w="5344" w:type="dxa"/>
            <w:noWrap/>
          </w:tcPr>
          <w:p w14:paraId="39429F1E"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INGEBI-</w:t>
            </w:r>
            <w:proofErr w:type="gramStart"/>
            <w:r w:rsidRPr="00F01F3A">
              <w:rPr>
                <w:rFonts w:ascii="Calibri" w:eastAsia="Calibri" w:hAnsi="Calibri" w:cs="Arial"/>
                <w:sz w:val="16"/>
                <w:szCs w:val="16"/>
                <w:lang w:val="en-US"/>
              </w:rPr>
              <w:t>CONICET  (</w:t>
            </w:r>
            <w:proofErr w:type="gramEnd"/>
            <w:r w:rsidRPr="00F01F3A">
              <w:rPr>
                <w:rFonts w:ascii="Calibri" w:eastAsia="Calibri" w:hAnsi="Calibri" w:cs="Arial"/>
                <w:sz w:val="16"/>
                <w:szCs w:val="16"/>
                <w:lang w:val="en-US"/>
              </w:rPr>
              <w:t>Argentina)</w:t>
            </w:r>
          </w:p>
        </w:tc>
      </w:tr>
      <w:tr w:rsidR="00AF0C4B" w:rsidRPr="00F01F3A" w14:paraId="0E5752AE"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45EAD95B"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Maria Jesus Pinazo </w:t>
            </w:r>
          </w:p>
        </w:tc>
        <w:tc>
          <w:tcPr>
            <w:tcW w:w="5344" w:type="dxa"/>
            <w:noWrap/>
          </w:tcPr>
          <w:p w14:paraId="5DA14169"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DNDi (Brazil)</w:t>
            </w:r>
          </w:p>
        </w:tc>
      </w:tr>
      <w:tr w:rsidR="00AF0C4B" w:rsidRPr="00F01F3A" w14:paraId="0682A04C"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470BA884"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Colin Forsyth </w:t>
            </w:r>
          </w:p>
        </w:tc>
        <w:tc>
          <w:tcPr>
            <w:tcW w:w="5344" w:type="dxa"/>
            <w:noWrap/>
          </w:tcPr>
          <w:p w14:paraId="254C987C"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DNDi (USA)</w:t>
            </w:r>
          </w:p>
        </w:tc>
      </w:tr>
      <w:tr w:rsidR="00AF0C4B" w:rsidRPr="00F01F3A" w14:paraId="17F94431"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hideMark/>
          </w:tcPr>
          <w:p w14:paraId="5C4C2F84" w14:textId="77777777" w:rsidR="00AF0C4B" w:rsidRPr="00F01F3A" w:rsidRDefault="00AF0C4B" w:rsidP="00AF0C4B">
            <w:pPr>
              <w:rPr>
                <w:rFonts w:ascii="Calibri" w:eastAsia="Calibri" w:hAnsi="Calibri" w:cs="Arial"/>
                <w:sz w:val="16"/>
                <w:szCs w:val="16"/>
                <w:lang w:val="en-US"/>
              </w:rPr>
            </w:pPr>
            <w:proofErr w:type="spellStart"/>
            <w:r w:rsidRPr="00F01F3A">
              <w:rPr>
                <w:rFonts w:ascii="Calibri" w:eastAsia="Calibri" w:hAnsi="Calibri" w:cs="Arial"/>
                <w:sz w:val="16"/>
                <w:szCs w:val="16"/>
                <w:lang w:val="en-US"/>
              </w:rPr>
              <w:t>Belkisyolé</w:t>
            </w:r>
            <w:proofErr w:type="spellEnd"/>
            <w:r w:rsidRPr="00F01F3A">
              <w:rPr>
                <w:rFonts w:ascii="Calibri" w:eastAsia="Calibri" w:hAnsi="Calibri" w:cs="Arial"/>
                <w:sz w:val="16"/>
                <w:szCs w:val="16"/>
                <w:lang w:val="en-US"/>
              </w:rPr>
              <w:t xml:space="preserve"> Alarcón de Noya</w:t>
            </w:r>
          </w:p>
        </w:tc>
        <w:tc>
          <w:tcPr>
            <w:tcW w:w="5344" w:type="dxa"/>
            <w:noWrap/>
            <w:hideMark/>
          </w:tcPr>
          <w:p w14:paraId="71C7C5B9"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rPr>
            </w:pPr>
            <w:r w:rsidRPr="00F01F3A">
              <w:rPr>
                <w:rFonts w:ascii="Calibri" w:eastAsia="Calibri" w:hAnsi="Calibri" w:cs="Arial"/>
                <w:sz w:val="16"/>
                <w:szCs w:val="16"/>
              </w:rPr>
              <w:t>Intituto de Medicina Tropical-UCV (Venezuela)</w:t>
            </w:r>
          </w:p>
        </w:tc>
      </w:tr>
      <w:tr w:rsidR="00AF0C4B" w:rsidRPr="00F01F3A" w14:paraId="3EFAB6D2"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50B9DA8D"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Antonieta Rojas de Arias</w:t>
            </w:r>
          </w:p>
        </w:tc>
        <w:tc>
          <w:tcPr>
            <w:tcW w:w="5344" w:type="dxa"/>
            <w:noWrap/>
            <w:hideMark/>
          </w:tcPr>
          <w:p w14:paraId="05022965"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CEDIC (Paraguay)</w:t>
            </w:r>
          </w:p>
        </w:tc>
      </w:tr>
      <w:tr w:rsidR="00AF0C4B" w:rsidRPr="00F01F3A" w14:paraId="7C734FAD"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334479CC"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Constança Britto </w:t>
            </w:r>
          </w:p>
        </w:tc>
        <w:tc>
          <w:tcPr>
            <w:tcW w:w="5344" w:type="dxa"/>
            <w:noWrap/>
            <w:hideMark/>
          </w:tcPr>
          <w:p w14:paraId="650142FA"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Fiocruz (Brazil)</w:t>
            </w:r>
          </w:p>
        </w:tc>
      </w:tr>
      <w:tr w:rsidR="00AF0C4B" w:rsidRPr="00F01F3A" w14:paraId="2908966F"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6EC49E66"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Igor Almeida</w:t>
            </w:r>
          </w:p>
        </w:tc>
        <w:tc>
          <w:tcPr>
            <w:tcW w:w="5344" w:type="dxa"/>
            <w:noWrap/>
            <w:hideMark/>
          </w:tcPr>
          <w:p w14:paraId="07FDA751"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UTEP (USA)</w:t>
            </w:r>
          </w:p>
        </w:tc>
      </w:tr>
      <w:tr w:rsidR="00AF0C4B" w:rsidRPr="00F01F3A" w14:paraId="35E714AC"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497FE927"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Julio Alonso Padilla </w:t>
            </w:r>
          </w:p>
        </w:tc>
        <w:tc>
          <w:tcPr>
            <w:tcW w:w="5344" w:type="dxa"/>
            <w:noWrap/>
            <w:hideMark/>
          </w:tcPr>
          <w:p w14:paraId="4B206C49"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proofErr w:type="spellStart"/>
            <w:r w:rsidRPr="00F01F3A">
              <w:rPr>
                <w:rFonts w:ascii="Calibri" w:eastAsia="Calibri" w:hAnsi="Calibri" w:cs="Arial"/>
                <w:sz w:val="16"/>
                <w:szCs w:val="16"/>
                <w:lang w:val="en-US"/>
              </w:rPr>
              <w:t>ISGlobal</w:t>
            </w:r>
            <w:proofErr w:type="spellEnd"/>
            <w:r w:rsidRPr="00F01F3A">
              <w:rPr>
                <w:rFonts w:ascii="Calibri" w:eastAsia="Calibri" w:hAnsi="Calibri" w:cs="Arial"/>
                <w:sz w:val="16"/>
                <w:szCs w:val="16"/>
                <w:lang w:val="en-US"/>
              </w:rPr>
              <w:t xml:space="preserve"> (Spain)</w:t>
            </w:r>
          </w:p>
        </w:tc>
      </w:tr>
      <w:tr w:rsidR="00AF0C4B" w:rsidRPr="00F01F3A" w14:paraId="646C1220"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7D10D064"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Lizeth Rojas Panozo</w:t>
            </w:r>
          </w:p>
        </w:tc>
        <w:tc>
          <w:tcPr>
            <w:tcW w:w="5344" w:type="dxa"/>
            <w:noWrap/>
            <w:hideMark/>
          </w:tcPr>
          <w:p w14:paraId="0917783B"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CEADES (Bolivia)</w:t>
            </w:r>
          </w:p>
        </w:tc>
      </w:tr>
      <w:tr w:rsidR="00AF0C4B" w:rsidRPr="00F01F3A" w14:paraId="16D4C4BC"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hideMark/>
          </w:tcPr>
          <w:p w14:paraId="2100334A" w14:textId="77777777" w:rsidR="00AF0C4B" w:rsidRPr="00F01F3A" w:rsidRDefault="00AF0C4B" w:rsidP="00AF0C4B">
            <w:pPr>
              <w:rPr>
                <w:rFonts w:ascii="Calibri" w:eastAsia="Calibri" w:hAnsi="Calibri" w:cs="Arial"/>
                <w:sz w:val="16"/>
                <w:szCs w:val="16"/>
                <w:lang w:val="en-US"/>
              </w:rPr>
            </w:pPr>
            <w:proofErr w:type="spellStart"/>
            <w:r w:rsidRPr="00F01F3A">
              <w:rPr>
                <w:rFonts w:ascii="Calibri" w:eastAsia="Calibri" w:hAnsi="Calibri" w:cs="Arial"/>
                <w:sz w:val="16"/>
                <w:szCs w:val="16"/>
                <w:lang w:val="en-US"/>
              </w:rPr>
              <w:t>Otacilio</w:t>
            </w:r>
            <w:proofErr w:type="spellEnd"/>
            <w:r w:rsidRPr="00F01F3A">
              <w:rPr>
                <w:rFonts w:ascii="Calibri" w:eastAsia="Calibri" w:hAnsi="Calibri" w:cs="Arial"/>
                <w:sz w:val="16"/>
                <w:szCs w:val="16"/>
                <w:lang w:val="en-US"/>
              </w:rPr>
              <w:t xml:space="preserve"> Moreira *</w:t>
            </w:r>
          </w:p>
        </w:tc>
        <w:tc>
          <w:tcPr>
            <w:tcW w:w="5344" w:type="dxa"/>
            <w:hideMark/>
          </w:tcPr>
          <w:p w14:paraId="1FBC534F"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Fiocruz (Brazil)</w:t>
            </w:r>
          </w:p>
        </w:tc>
      </w:tr>
      <w:tr w:rsidR="00AF0C4B" w:rsidRPr="00F01F3A" w14:paraId="73A49E8C"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7B8C1B43"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Montserrat López Serafín  </w:t>
            </w:r>
          </w:p>
        </w:tc>
        <w:tc>
          <w:tcPr>
            <w:tcW w:w="5344" w:type="dxa"/>
            <w:noWrap/>
            <w:hideMark/>
          </w:tcPr>
          <w:p w14:paraId="48FED7AB"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INDRE (Mexico)</w:t>
            </w:r>
          </w:p>
        </w:tc>
      </w:tr>
      <w:tr w:rsidR="00AF0C4B" w:rsidRPr="00F01F3A" w14:paraId="21B42E1A"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hideMark/>
          </w:tcPr>
          <w:p w14:paraId="0D63627D"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Margarita Bisio </w:t>
            </w:r>
          </w:p>
        </w:tc>
        <w:tc>
          <w:tcPr>
            <w:tcW w:w="5344" w:type="dxa"/>
            <w:noWrap/>
            <w:hideMark/>
          </w:tcPr>
          <w:p w14:paraId="38C6122E"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 xml:space="preserve">INP </w:t>
            </w:r>
            <w:proofErr w:type="spellStart"/>
            <w:r w:rsidRPr="00F01F3A">
              <w:rPr>
                <w:rFonts w:ascii="Calibri" w:eastAsia="Calibri" w:hAnsi="Calibri" w:cs="Arial"/>
                <w:sz w:val="16"/>
                <w:szCs w:val="16"/>
                <w:lang w:val="en-US"/>
              </w:rPr>
              <w:t>Fatala</w:t>
            </w:r>
            <w:proofErr w:type="spellEnd"/>
            <w:r w:rsidRPr="00F01F3A">
              <w:rPr>
                <w:rFonts w:ascii="Calibri" w:eastAsia="Calibri" w:hAnsi="Calibri" w:cs="Arial"/>
                <w:sz w:val="16"/>
                <w:szCs w:val="16"/>
                <w:lang w:val="en-US"/>
              </w:rPr>
              <w:t xml:space="preserve"> </w:t>
            </w:r>
            <w:proofErr w:type="spellStart"/>
            <w:r w:rsidRPr="00F01F3A">
              <w:rPr>
                <w:rFonts w:ascii="Calibri" w:eastAsia="Calibri" w:hAnsi="Calibri" w:cs="Arial"/>
                <w:sz w:val="16"/>
                <w:szCs w:val="16"/>
                <w:lang w:val="en-US"/>
              </w:rPr>
              <w:t>Chaben</w:t>
            </w:r>
            <w:proofErr w:type="spellEnd"/>
            <w:r w:rsidRPr="00F01F3A">
              <w:rPr>
                <w:rFonts w:ascii="Calibri" w:eastAsia="Calibri" w:hAnsi="Calibri" w:cs="Arial"/>
                <w:sz w:val="16"/>
                <w:szCs w:val="16"/>
                <w:lang w:val="en-US"/>
              </w:rPr>
              <w:t xml:space="preserve"> (Argentina)</w:t>
            </w:r>
          </w:p>
        </w:tc>
      </w:tr>
      <w:tr w:rsidR="00AF0C4B" w:rsidRPr="00F01F3A" w14:paraId="335D36C7"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1859688D"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Juan Carlos Ramirez</w:t>
            </w:r>
          </w:p>
        </w:tc>
        <w:tc>
          <w:tcPr>
            <w:tcW w:w="5344" w:type="dxa"/>
            <w:noWrap/>
            <w:hideMark/>
          </w:tcPr>
          <w:p w14:paraId="390C992D"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rPr>
            </w:pPr>
            <w:r w:rsidRPr="00F01F3A">
              <w:rPr>
                <w:rFonts w:ascii="Calibri" w:eastAsia="Calibri" w:hAnsi="Calibri" w:cs="Arial"/>
                <w:sz w:val="16"/>
                <w:szCs w:val="16"/>
              </w:rPr>
              <w:t>Hospital De Niños Ricardo Gutierrez (Argentina)</w:t>
            </w:r>
          </w:p>
        </w:tc>
      </w:tr>
    </w:tbl>
    <w:p w14:paraId="3142DEC0" w14:textId="77777777" w:rsidR="00AF0C4B" w:rsidRPr="00F01F3A" w:rsidRDefault="00AF0C4B" w:rsidP="00AF0C4B">
      <w:pPr>
        <w:spacing w:after="160"/>
        <w:rPr>
          <w:rFonts w:ascii="Calibri" w:eastAsia="Calibri" w:hAnsi="Calibri" w:cs="Arial"/>
          <w:bCs/>
          <w:sz w:val="16"/>
          <w:szCs w:val="16"/>
        </w:rPr>
      </w:pPr>
      <w:r w:rsidRPr="00F01F3A">
        <w:rPr>
          <w:rFonts w:ascii="Calibri" w:eastAsia="Calibri" w:hAnsi="Calibri" w:cs="Arial"/>
          <w:bCs/>
          <w:sz w:val="16"/>
          <w:szCs w:val="16"/>
        </w:rPr>
        <w:t>* Moderators # Relator</w:t>
      </w:r>
    </w:p>
    <w:p w14:paraId="6D682930" w14:textId="1BD22FDE" w:rsidR="00AF0C4B" w:rsidRPr="00F01F3A" w:rsidRDefault="00AF0C4B" w:rsidP="00AF0C4B">
      <w:pPr>
        <w:spacing w:after="160"/>
        <w:rPr>
          <w:rFonts w:ascii="Calibri" w:eastAsia="Calibri" w:hAnsi="Calibri" w:cs="Arial"/>
          <w:sz w:val="20"/>
          <w:szCs w:val="22"/>
        </w:rPr>
      </w:pPr>
      <w:r w:rsidRPr="00F01F3A">
        <w:rPr>
          <w:rFonts w:ascii="Calibri" w:eastAsia="Calibri" w:hAnsi="Calibri" w:cs="Arial"/>
          <w:sz w:val="20"/>
          <w:szCs w:val="22"/>
        </w:rPr>
        <w:t>GROUP 3. Cost-effectiveness and economic impact of new testing methods</w:t>
      </w:r>
    </w:p>
    <w:tbl>
      <w:tblPr>
        <w:tblStyle w:val="Tablanormal11"/>
        <w:tblW w:w="8494" w:type="dxa"/>
        <w:tblLook w:val="04A0" w:firstRow="1" w:lastRow="0" w:firstColumn="1" w:lastColumn="0" w:noHBand="0" w:noVBand="1"/>
      </w:tblPr>
      <w:tblGrid>
        <w:gridCol w:w="3150"/>
        <w:gridCol w:w="5344"/>
      </w:tblGrid>
      <w:tr w:rsidR="00AF0C4B" w:rsidRPr="00F01F3A" w14:paraId="7D11B291" w14:textId="77777777" w:rsidTr="00AF0C4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5001148B" w14:textId="77777777" w:rsidR="00AF0C4B" w:rsidRPr="00F01F3A" w:rsidRDefault="00AF0C4B" w:rsidP="00AF0C4B">
            <w:pPr>
              <w:jc w:val="center"/>
              <w:rPr>
                <w:rFonts w:ascii="Calibri" w:eastAsia="Calibri" w:hAnsi="Calibri" w:cs="Arial"/>
                <w:sz w:val="16"/>
                <w:szCs w:val="16"/>
                <w:lang w:val="en-US"/>
              </w:rPr>
            </w:pPr>
            <w:r w:rsidRPr="00F01F3A">
              <w:rPr>
                <w:rFonts w:ascii="Calibri" w:eastAsia="Calibri" w:hAnsi="Calibri" w:cs="Arial"/>
                <w:sz w:val="16"/>
                <w:szCs w:val="16"/>
                <w:lang w:val="en-US"/>
              </w:rPr>
              <w:t>Name</w:t>
            </w:r>
          </w:p>
        </w:tc>
        <w:tc>
          <w:tcPr>
            <w:tcW w:w="5344" w:type="dxa"/>
            <w:noWrap/>
            <w:hideMark/>
          </w:tcPr>
          <w:p w14:paraId="547DE6F2" w14:textId="77777777" w:rsidR="00AF0C4B" w:rsidRPr="00F01F3A" w:rsidRDefault="00AF0C4B" w:rsidP="00AF0C4B">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Affiliation (country)</w:t>
            </w:r>
          </w:p>
        </w:tc>
      </w:tr>
      <w:tr w:rsidR="00AF0C4B" w:rsidRPr="00F01F3A" w14:paraId="5DEAC0B1"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2AFC7105"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Shaukat </w:t>
            </w:r>
            <w:proofErr w:type="gramStart"/>
            <w:r w:rsidRPr="00F01F3A">
              <w:rPr>
                <w:rFonts w:ascii="Calibri" w:eastAsia="Calibri" w:hAnsi="Calibri" w:cs="Arial"/>
                <w:sz w:val="16"/>
                <w:szCs w:val="16"/>
                <w:lang w:val="en-US"/>
              </w:rPr>
              <w:t>Khan  *</w:t>
            </w:r>
            <w:proofErr w:type="gramEnd"/>
          </w:p>
        </w:tc>
        <w:tc>
          <w:tcPr>
            <w:tcW w:w="5344" w:type="dxa"/>
            <w:noWrap/>
          </w:tcPr>
          <w:p w14:paraId="31888889"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FIND (Switzerland)</w:t>
            </w:r>
          </w:p>
        </w:tc>
      </w:tr>
      <w:tr w:rsidR="00AF0C4B" w:rsidRPr="00F01F3A" w14:paraId="0C5FC385"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11EF26BD"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Kyra Grantz #</w:t>
            </w:r>
          </w:p>
        </w:tc>
        <w:tc>
          <w:tcPr>
            <w:tcW w:w="5344" w:type="dxa"/>
            <w:noWrap/>
          </w:tcPr>
          <w:p w14:paraId="1EADCB5F"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FIND (Switzerland)</w:t>
            </w:r>
          </w:p>
        </w:tc>
      </w:tr>
      <w:tr w:rsidR="00AF0C4B" w:rsidRPr="00F01F3A" w14:paraId="72F62619"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50DC8E25"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Sarah </w:t>
            </w:r>
            <w:proofErr w:type="gramStart"/>
            <w:r w:rsidRPr="00F01F3A">
              <w:rPr>
                <w:rFonts w:ascii="Calibri" w:eastAsia="Calibri" w:hAnsi="Calibri" w:cs="Arial"/>
                <w:sz w:val="16"/>
                <w:szCs w:val="16"/>
                <w:lang w:val="en-US"/>
              </w:rPr>
              <w:t>Girdwood  *</w:t>
            </w:r>
            <w:proofErr w:type="gramEnd"/>
          </w:p>
        </w:tc>
        <w:tc>
          <w:tcPr>
            <w:tcW w:w="5344" w:type="dxa"/>
            <w:noWrap/>
          </w:tcPr>
          <w:p w14:paraId="38461090"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FIND (Switzerland)</w:t>
            </w:r>
          </w:p>
        </w:tc>
      </w:tr>
      <w:tr w:rsidR="00AF0C4B" w:rsidRPr="00F01F3A" w14:paraId="61023925"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6820795A"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Natalie El Kheir #</w:t>
            </w:r>
          </w:p>
        </w:tc>
        <w:tc>
          <w:tcPr>
            <w:tcW w:w="5344" w:type="dxa"/>
            <w:noWrap/>
          </w:tcPr>
          <w:p w14:paraId="40DC5DAB"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DNDi (Brazil)</w:t>
            </w:r>
          </w:p>
        </w:tc>
      </w:tr>
      <w:tr w:rsidR="00AF0C4B" w:rsidRPr="00F01F3A" w14:paraId="083DAFD9"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tcPr>
          <w:p w14:paraId="2D5719FB"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Freddy Pérez </w:t>
            </w:r>
          </w:p>
        </w:tc>
        <w:tc>
          <w:tcPr>
            <w:tcW w:w="5344" w:type="dxa"/>
            <w:noWrap/>
          </w:tcPr>
          <w:p w14:paraId="018C8E59"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PAHO (USA)</w:t>
            </w:r>
          </w:p>
        </w:tc>
      </w:tr>
      <w:tr w:rsidR="00AF0C4B" w:rsidRPr="00F01F3A" w14:paraId="535C5A38"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418FBE32"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Laura </w:t>
            </w:r>
            <w:proofErr w:type="spellStart"/>
            <w:r w:rsidRPr="00F01F3A">
              <w:rPr>
                <w:rFonts w:ascii="Calibri" w:eastAsia="Calibri" w:hAnsi="Calibri" w:cs="Arial"/>
                <w:sz w:val="16"/>
                <w:szCs w:val="16"/>
                <w:lang w:val="en-US"/>
              </w:rPr>
              <w:t>Lamfre</w:t>
            </w:r>
            <w:proofErr w:type="spellEnd"/>
          </w:p>
        </w:tc>
        <w:tc>
          <w:tcPr>
            <w:tcW w:w="5344" w:type="dxa"/>
            <w:noWrap/>
            <w:hideMark/>
          </w:tcPr>
          <w:p w14:paraId="42806981"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proofErr w:type="spellStart"/>
            <w:r w:rsidRPr="00F01F3A">
              <w:rPr>
                <w:rFonts w:ascii="Calibri" w:eastAsia="Calibri" w:hAnsi="Calibri" w:cs="Arial"/>
                <w:sz w:val="16"/>
                <w:szCs w:val="16"/>
                <w:lang w:val="en-US"/>
              </w:rPr>
              <w:t>redArets</w:t>
            </w:r>
            <w:proofErr w:type="spellEnd"/>
            <w:r w:rsidRPr="00F01F3A">
              <w:rPr>
                <w:rFonts w:ascii="Calibri" w:eastAsia="Calibri" w:hAnsi="Calibri" w:cs="Arial"/>
                <w:sz w:val="16"/>
                <w:szCs w:val="16"/>
                <w:lang w:val="en-US"/>
              </w:rPr>
              <w:t xml:space="preserve"> (Argentina)</w:t>
            </w:r>
          </w:p>
        </w:tc>
      </w:tr>
      <w:tr w:rsidR="00AF0C4B" w:rsidRPr="00F01F3A" w14:paraId="24AABFC2" w14:textId="77777777" w:rsidTr="00AF0C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50" w:type="dxa"/>
            <w:noWrap/>
            <w:hideMark/>
          </w:tcPr>
          <w:p w14:paraId="18FE06D0"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Santiago </w:t>
            </w:r>
            <w:proofErr w:type="spellStart"/>
            <w:r w:rsidRPr="00F01F3A">
              <w:rPr>
                <w:rFonts w:ascii="Calibri" w:eastAsia="Calibri" w:hAnsi="Calibri" w:cs="Arial"/>
                <w:sz w:val="16"/>
                <w:szCs w:val="16"/>
                <w:lang w:val="en-US"/>
              </w:rPr>
              <w:t>Hasdeu</w:t>
            </w:r>
            <w:proofErr w:type="spellEnd"/>
            <w:r w:rsidRPr="00F01F3A">
              <w:rPr>
                <w:rFonts w:ascii="Calibri" w:eastAsia="Calibri" w:hAnsi="Calibri" w:cs="Arial"/>
                <w:sz w:val="16"/>
                <w:szCs w:val="16"/>
                <w:lang w:val="en-US"/>
              </w:rPr>
              <w:t xml:space="preserve">  </w:t>
            </w:r>
          </w:p>
        </w:tc>
        <w:tc>
          <w:tcPr>
            <w:tcW w:w="5344" w:type="dxa"/>
            <w:noWrap/>
            <w:hideMark/>
          </w:tcPr>
          <w:p w14:paraId="645825B0"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proofErr w:type="spellStart"/>
            <w:r w:rsidRPr="00F01F3A">
              <w:rPr>
                <w:rFonts w:ascii="Calibri" w:eastAsia="Calibri" w:hAnsi="Calibri" w:cs="Arial"/>
                <w:sz w:val="16"/>
                <w:szCs w:val="16"/>
                <w:lang w:val="en-US"/>
              </w:rPr>
              <w:t>redArets</w:t>
            </w:r>
            <w:proofErr w:type="spellEnd"/>
            <w:r w:rsidRPr="00F01F3A">
              <w:rPr>
                <w:rFonts w:ascii="Calibri" w:eastAsia="Calibri" w:hAnsi="Calibri" w:cs="Arial"/>
                <w:sz w:val="16"/>
                <w:szCs w:val="16"/>
                <w:lang w:val="en-US"/>
              </w:rPr>
              <w:t xml:space="preserve"> (Argentina)</w:t>
            </w:r>
          </w:p>
        </w:tc>
      </w:tr>
      <w:tr w:rsidR="00AF0C4B" w:rsidRPr="00F01F3A" w14:paraId="146AC244" w14:textId="77777777" w:rsidTr="00AF0C4B">
        <w:trPr>
          <w:trHeight w:val="315"/>
        </w:trPr>
        <w:tc>
          <w:tcPr>
            <w:cnfStyle w:val="001000000000" w:firstRow="0" w:lastRow="0" w:firstColumn="1" w:lastColumn="0" w:oddVBand="0" w:evenVBand="0" w:oddHBand="0" w:evenHBand="0" w:firstRowFirstColumn="0" w:firstRowLastColumn="0" w:lastRowFirstColumn="0" w:lastRowLastColumn="0"/>
            <w:tcW w:w="3150" w:type="dxa"/>
            <w:noWrap/>
            <w:hideMark/>
          </w:tcPr>
          <w:p w14:paraId="458B41C1"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Yerly Magnolia Useche </w:t>
            </w:r>
          </w:p>
        </w:tc>
        <w:tc>
          <w:tcPr>
            <w:tcW w:w="5344" w:type="dxa"/>
            <w:hideMark/>
          </w:tcPr>
          <w:p w14:paraId="0A665F82"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CUIDA Chagas (Brazil)</w:t>
            </w:r>
          </w:p>
        </w:tc>
      </w:tr>
      <w:tr w:rsidR="00AF0C4B" w:rsidRPr="00F01F3A" w14:paraId="575490ED" w14:textId="77777777" w:rsidTr="00AF0C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noWrap/>
            <w:hideMark/>
          </w:tcPr>
          <w:p w14:paraId="5EAB5B7B"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 xml:space="preserve">Zulma </w:t>
            </w:r>
            <w:proofErr w:type="spellStart"/>
            <w:r w:rsidRPr="00F01F3A">
              <w:rPr>
                <w:rFonts w:ascii="Calibri" w:eastAsia="Calibri" w:hAnsi="Calibri" w:cs="Arial"/>
                <w:sz w:val="16"/>
                <w:szCs w:val="16"/>
                <w:lang w:val="en-US"/>
              </w:rPr>
              <w:t>Cucunuba</w:t>
            </w:r>
            <w:proofErr w:type="spellEnd"/>
          </w:p>
        </w:tc>
        <w:tc>
          <w:tcPr>
            <w:tcW w:w="5344" w:type="dxa"/>
            <w:noWrap/>
            <w:hideMark/>
          </w:tcPr>
          <w:p w14:paraId="6EE16109" w14:textId="77777777" w:rsidR="00AF0C4B" w:rsidRPr="00F01F3A" w:rsidRDefault="00AF0C4B" w:rsidP="00AF0C4B">
            <w:pPr>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6"/>
                <w:szCs w:val="16"/>
                <w:lang w:val="en-US"/>
              </w:rPr>
            </w:pPr>
            <w:r w:rsidRPr="00F01F3A">
              <w:rPr>
                <w:rFonts w:ascii="Calibri" w:eastAsia="Calibri" w:hAnsi="Calibri" w:cs="Arial"/>
                <w:sz w:val="16"/>
                <w:szCs w:val="16"/>
                <w:lang w:val="en-US"/>
              </w:rPr>
              <w:t>Universidad Javeriana (Colombia)</w:t>
            </w:r>
          </w:p>
        </w:tc>
      </w:tr>
      <w:tr w:rsidR="00AF0C4B" w:rsidRPr="00F01F3A" w14:paraId="4C54EED9" w14:textId="77777777" w:rsidTr="00AF0C4B">
        <w:trPr>
          <w:trHeight w:val="300"/>
        </w:trPr>
        <w:tc>
          <w:tcPr>
            <w:cnfStyle w:val="001000000000" w:firstRow="0" w:lastRow="0" w:firstColumn="1" w:lastColumn="0" w:oddVBand="0" w:evenVBand="0" w:oddHBand="0" w:evenHBand="0" w:firstRowFirstColumn="0" w:firstRowLastColumn="0" w:lastRowFirstColumn="0" w:lastRowLastColumn="0"/>
            <w:tcW w:w="3150" w:type="dxa"/>
            <w:hideMark/>
          </w:tcPr>
          <w:p w14:paraId="6248BB46" w14:textId="77777777" w:rsidR="00AF0C4B" w:rsidRPr="00F01F3A" w:rsidRDefault="00AF0C4B" w:rsidP="00AF0C4B">
            <w:pPr>
              <w:rPr>
                <w:rFonts w:ascii="Calibri" w:eastAsia="Calibri" w:hAnsi="Calibri" w:cs="Arial"/>
                <w:sz w:val="16"/>
                <w:szCs w:val="16"/>
                <w:lang w:val="en-US"/>
              </w:rPr>
            </w:pPr>
            <w:r w:rsidRPr="00F01F3A">
              <w:rPr>
                <w:rFonts w:ascii="Calibri" w:eastAsia="Calibri" w:hAnsi="Calibri" w:cs="Arial"/>
                <w:sz w:val="16"/>
                <w:szCs w:val="16"/>
                <w:lang w:val="en-US"/>
              </w:rPr>
              <w:t>Nasim Iusef</w:t>
            </w:r>
          </w:p>
        </w:tc>
        <w:tc>
          <w:tcPr>
            <w:tcW w:w="5344" w:type="dxa"/>
            <w:noWrap/>
            <w:hideMark/>
          </w:tcPr>
          <w:p w14:paraId="1B454AD8" w14:textId="77777777" w:rsidR="00AF0C4B" w:rsidRPr="00F01F3A" w:rsidRDefault="00AF0C4B" w:rsidP="00AF0C4B">
            <w:pPr>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16"/>
                <w:szCs w:val="16"/>
              </w:rPr>
            </w:pPr>
            <w:r w:rsidRPr="00F01F3A">
              <w:rPr>
                <w:rFonts w:ascii="Calibri" w:eastAsia="Calibri" w:hAnsi="Calibri" w:cs="Arial"/>
                <w:sz w:val="16"/>
                <w:szCs w:val="16"/>
              </w:rPr>
              <w:t>Ministerio De Salud Provincia De Buenos Aires (Argentina)</w:t>
            </w:r>
          </w:p>
        </w:tc>
      </w:tr>
    </w:tbl>
    <w:p w14:paraId="5DC7AB89" w14:textId="77777777" w:rsidR="00AF0C4B" w:rsidRPr="00F01F3A" w:rsidRDefault="00AF0C4B" w:rsidP="00AF0C4B">
      <w:pPr>
        <w:spacing w:after="160"/>
        <w:rPr>
          <w:rFonts w:ascii="Calibri" w:eastAsia="Calibri" w:hAnsi="Calibri" w:cs="Arial"/>
          <w:bCs/>
          <w:sz w:val="16"/>
          <w:szCs w:val="16"/>
        </w:rPr>
      </w:pPr>
      <w:r w:rsidRPr="00F01F3A">
        <w:rPr>
          <w:rFonts w:ascii="Calibri" w:eastAsia="Calibri" w:hAnsi="Calibri" w:cs="Arial"/>
          <w:bCs/>
          <w:sz w:val="16"/>
          <w:szCs w:val="16"/>
        </w:rPr>
        <w:t>* Moderators # Relator</w:t>
      </w:r>
    </w:p>
    <w:p w14:paraId="4B81B3FE" w14:textId="77777777" w:rsidR="00AF0C4B" w:rsidRPr="00F01F3A" w:rsidRDefault="00AF0C4B">
      <w:pPr>
        <w:rPr>
          <w:rFonts w:ascii="Calibri" w:hAnsi="Calibri"/>
          <w:b/>
          <w:bCs/>
          <w:sz w:val="22"/>
          <w:szCs w:val="22"/>
        </w:rPr>
      </w:pPr>
      <w:r w:rsidRPr="00F01F3A">
        <w:rPr>
          <w:rFonts w:ascii="Calibri" w:hAnsi="Calibri"/>
          <w:b/>
          <w:bCs/>
          <w:sz w:val="22"/>
          <w:szCs w:val="22"/>
        </w:rPr>
        <w:br w:type="page"/>
      </w:r>
    </w:p>
    <w:p w14:paraId="5042F8E4" w14:textId="7BADC1EE" w:rsidR="009C12D9" w:rsidRPr="00F01F3A" w:rsidRDefault="009C12D9" w:rsidP="009C12D9">
      <w:pPr>
        <w:jc w:val="both"/>
        <w:rPr>
          <w:rFonts w:ascii="Calibri" w:hAnsi="Calibri"/>
          <w:bCs/>
          <w:sz w:val="22"/>
          <w:szCs w:val="22"/>
          <w:lang w:val="en-GB"/>
        </w:rPr>
      </w:pPr>
      <w:r w:rsidRPr="00F01F3A">
        <w:rPr>
          <w:rFonts w:ascii="Calibri" w:hAnsi="Calibri"/>
          <w:b/>
          <w:bCs/>
          <w:sz w:val="22"/>
          <w:szCs w:val="22"/>
        </w:rPr>
        <w:lastRenderedPageBreak/>
        <w:t>Appendix 2.</w:t>
      </w:r>
      <w:r w:rsidR="00CC5D55" w:rsidRPr="00F01F3A">
        <w:rPr>
          <w:rFonts w:ascii="Calibri" w:hAnsi="Calibri"/>
          <w:b/>
          <w:bCs/>
          <w:sz w:val="22"/>
          <w:szCs w:val="22"/>
        </w:rPr>
        <w:t xml:space="preserve"> </w:t>
      </w:r>
      <w:r w:rsidRPr="00F01F3A">
        <w:rPr>
          <w:rFonts w:ascii="Calibri" w:hAnsi="Calibri"/>
          <w:bCs/>
          <w:sz w:val="22"/>
          <w:szCs w:val="22"/>
        </w:rPr>
        <w:t>Additional</w:t>
      </w:r>
      <w:r w:rsidRPr="00F01F3A">
        <w:rPr>
          <w:rFonts w:ascii="Calibri" w:hAnsi="Calibri"/>
          <w:b/>
          <w:sz w:val="22"/>
          <w:szCs w:val="22"/>
        </w:rPr>
        <w:t xml:space="preserve"> </w:t>
      </w:r>
      <w:r w:rsidRPr="00F01F3A">
        <w:rPr>
          <w:rFonts w:ascii="Calibri" w:hAnsi="Calibri"/>
          <w:sz w:val="22"/>
          <w:szCs w:val="22"/>
        </w:rPr>
        <w:t xml:space="preserve">results </w:t>
      </w:r>
      <w:r w:rsidR="00CC5D55" w:rsidRPr="00F01F3A">
        <w:rPr>
          <w:rFonts w:ascii="Calibri" w:hAnsi="Calibri"/>
          <w:sz w:val="22"/>
          <w:szCs w:val="22"/>
        </w:rPr>
        <w:t xml:space="preserve">related to </w:t>
      </w:r>
      <w:r w:rsidRPr="00F01F3A">
        <w:rPr>
          <w:rFonts w:ascii="Calibri" w:hAnsi="Calibri"/>
          <w:sz w:val="22"/>
          <w:szCs w:val="22"/>
        </w:rPr>
        <w:t xml:space="preserve">the </w:t>
      </w:r>
      <w:r w:rsidRPr="00F01F3A">
        <w:rPr>
          <w:rFonts w:ascii="Calibri" w:hAnsi="Calibri"/>
          <w:bCs/>
          <w:sz w:val="22"/>
          <w:szCs w:val="22"/>
          <w:lang w:val="en-GB"/>
        </w:rPr>
        <w:t xml:space="preserve">harmonized protocol </w:t>
      </w:r>
      <w:r w:rsidR="008D3C07" w:rsidRPr="00F01F3A">
        <w:rPr>
          <w:rFonts w:ascii="Calibri" w:hAnsi="Calibri"/>
          <w:bCs/>
          <w:sz w:val="22"/>
          <w:szCs w:val="22"/>
          <w:lang w:val="en-GB"/>
        </w:rPr>
        <w:t>to</w:t>
      </w:r>
      <w:r w:rsidRPr="00F01F3A">
        <w:rPr>
          <w:rFonts w:ascii="Calibri" w:hAnsi="Calibri"/>
          <w:bCs/>
          <w:sz w:val="22"/>
          <w:szCs w:val="22"/>
          <w:lang w:val="en-GB"/>
        </w:rPr>
        <w:t xml:space="preserve"> evaluat</w:t>
      </w:r>
      <w:r w:rsidR="008D3C07" w:rsidRPr="00F01F3A">
        <w:rPr>
          <w:rFonts w:ascii="Calibri" w:hAnsi="Calibri"/>
          <w:bCs/>
          <w:sz w:val="22"/>
          <w:szCs w:val="22"/>
          <w:lang w:val="en-GB"/>
        </w:rPr>
        <w:t>e</w:t>
      </w:r>
      <w:r w:rsidRPr="00F01F3A">
        <w:rPr>
          <w:rFonts w:ascii="Calibri" w:hAnsi="Calibri"/>
          <w:bCs/>
          <w:sz w:val="22"/>
          <w:szCs w:val="22"/>
          <w:lang w:val="en-GB"/>
        </w:rPr>
        <w:t xml:space="preserve"> RDTs </w:t>
      </w:r>
      <w:r w:rsidR="00453C18" w:rsidRPr="00F01F3A">
        <w:rPr>
          <w:rFonts w:ascii="Calibri" w:hAnsi="Calibri"/>
          <w:bCs/>
          <w:sz w:val="22"/>
          <w:szCs w:val="22"/>
          <w:lang w:val="en-GB"/>
        </w:rPr>
        <w:t>(</w:t>
      </w:r>
      <w:r w:rsidR="00CC5D55" w:rsidRPr="00F01F3A">
        <w:rPr>
          <w:rFonts w:ascii="Calibri" w:hAnsi="Calibri"/>
          <w:bCs/>
          <w:sz w:val="22"/>
          <w:szCs w:val="22"/>
          <w:lang w:val="en-GB"/>
        </w:rPr>
        <w:t xml:space="preserve">refer to </w:t>
      </w:r>
      <w:r w:rsidR="00453C18" w:rsidRPr="00F01F3A">
        <w:rPr>
          <w:rFonts w:ascii="Calibri" w:hAnsi="Calibri"/>
          <w:b/>
          <w:sz w:val="22"/>
          <w:szCs w:val="22"/>
        </w:rPr>
        <w:t xml:space="preserve">Table 1 </w:t>
      </w:r>
      <w:r w:rsidR="00453C18" w:rsidRPr="00F01F3A">
        <w:rPr>
          <w:rFonts w:ascii="Calibri" w:hAnsi="Calibri"/>
          <w:sz w:val="22"/>
          <w:szCs w:val="22"/>
        </w:rPr>
        <w:t>in</w:t>
      </w:r>
      <w:r w:rsidR="00CC5D55" w:rsidRPr="00F01F3A">
        <w:rPr>
          <w:rFonts w:ascii="Calibri" w:hAnsi="Calibri"/>
          <w:sz w:val="22"/>
          <w:szCs w:val="22"/>
        </w:rPr>
        <w:t xml:space="preserve"> the</w:t>
      </w:r>
      <w:r w:rsidR="00453C18" w:rsidRPr="00F01F3A">
        <w:rPr>
          <w:rFonts w:ascii="Calibri" w:hAnsi="Calibri"/>
          <w:sz w:val="22"/>
          <w:szCs w:val="22"/>
        </w:rPr>
        <w:t xml:space="preserve"> main text)</w:t>
      </w:r>
    </w:p>
    <w:p w14:paraId="50D4BA14" w14:textId="77777777" w:rsidR="009C12D9" w:rsidRPr="00F01F3A" w:rsidRDefault="009C12D9" w:rsidP="009C12D9">
      <w:pPr>
        <w:jc w:val="both"/>
        <w:rPr>
          <w:rFonts w:ascii="Calibri" w:hAnsi="Calibri"/>
          <w:bCs/>
          <w:sz w:val="22"/>
          <w:szCs w:val="22"/>
          <w:lang w:val="en-GB"/>
        </w:rPr>
      </w:pPr>
    </w:p>
    <w:tbl>
      <w:tblPr>
        <w:tblStyle w:val="GridTable4-Accent3"/>
        <w:tblW w:w="9072" w:type="dxa"/>
        <w:jc w:val="center"/>
        <w:tblLook w:val="04A0" w:firstRow="1" w:lastRow="0" w:firstColumn="1" w:lastColumn="0" w:noHBand="0" w:noVBand="1"/>
      </w:tblPr>
      <w:tblGrid>
        <w:gridCol w:w="917"/>
        <w:gridCol w:w="2529"/>
        <w:gridCol w:w="5626"/>
      </w:tblGrid>
      <w:tr w:rsidR="009C12D9" w:rsidRPr="00F01F3A" w14:paraId="0B38A55A" w14:textId="77777777" w:rsidTr="009C12D9">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344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cBorders>
            <w:vAlign w:val="center"/>
          </w:tcPr>
          <w:p w14:paraId="34532F07" w14:textId="77777777" w:rsidR="009C12D9" w:rsidRPr="00F01F3A" w:rsidRDefault="009C12D9" w:rsidP="009C12D9">
            <w:pPr>
              <w:jc w:val="center"/>
              <w:rPr>
                <w:rFonts w:ascii="Calibri" w:hAnsi="Calibri"/>
                <w:sz w:val="16"/>
                <w:szCs w:val="16"/>
                <w:lang w:val="es-AR"/>
              </w:rPr>
            </w:pPr>
            <w:r w:rsidRPr="00F01F3A">
              <w:rPr>
                <w:rFonts w:ascii="Calibri" w:hAnsi="Calibri"/>
                <w:sz w:val="16"/>
                <w:szCs w:val="16"/>
                <w:lang w:val="es-AR"/>
              </w:rPr>
              <w:t>Pre-meeting Survey</w:t>
            </w:r>
          </w:p>
        </w:tc>
        <w:tc>
          <w:tcPr>
            <w:tcW w:w="5626" w:type="dxa"/>
            <w:tcBorders>
              <w:top w:val="single" w:sz="4" w:space="0" w:color="FFFFFF"/>
              <w:left w:val="single" w:sz="4" w:space="0" w:color="FFFFFF"/>
              <w:bottom w:val="single" w:sz="4" w:space="0" w:color="FFFFFF"/>
              <w:right w:val="single" w:sz="4" w:space="0" w:color="FFFFFF"/>
            </w:tcBorders>
            <w:vAlign w:val="center"/>
          </w:tcPr>
          <w:p w14:paraId="763FDE1B" w14:textId="77777777" w:rsidR="009C12D9" w:rsidRPr="00F01F3A" w:rsidRDefault="009C12D9" w:rsidP="009C12D9">
            <w:pPr>
              <w:jc w:val="center"/>
              <w:cnfStyle w:val="100000000000" w:firstRow="1" w:lastRow="0" w:firstColumn="0" w:lastColumn="0" w:oddVBand="0" w:evenVBand="0" w:oddHBand="0" w:evenHBand="0" w:firstRowFirstColumn="0" w:firstRowLastColumn="0" w:lastRowFirstColumn="0" w:lastRowLastColumn="0"/>
              <w:rPr>
                <w:rFonts w:ascii="Calibri" w:hAnsi="Calibri"/>
                <w:sz w:val="16"/>
                <w:szCs w:val="16"/>
                <w:lang w:val="es-AR"/>
              </w:rPr>
            </w:pPr>
            <w:r w:rsidRPr="00F01F3A">
              <w:rPr>
                <w:rFonts w:ascii="Calibri" w:hAnsi="Calibri"/>
                <w:sz w:val="16"/>
                <w:szCs w:val="16"/>
                <w:lang w:val="es-AR"/>
              </w:rPr>
              <w:t>During the meeting</w:t>
            </w:r>
          </w:p>
        </w:tc>
      </w:tr>
      <w:tr w:rsidR="009C12D9" w:rsidRPr="00F01F3A" w14:paraId="665C7954" w14:textId="77777777" w:rsidTr="009C12D9">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917" w:type="dxa"/>
            <w:tcBorders>
              <w:top w:val="single" w:sz="4" w:space="0" w:color="FFFFFF" w:themeColor="background1"/>
            </w:tcBorders>
            <w:shd w:val="clear" w:color="auto" w:fill="A5A5A5" w:themeFill="accent3"/>
            <w:vAlign w:val="center"/>
          </w:tcPr>
          <w:p w14:paraId="172C24C5" w14:textId="77777777" w:rsidR="009C12D9" w:rsidRPr="00F01F3A" w:rsidRDefault="009C12D9" w:rsidP="009C12D9">
            <w:pPr>
              <w:jc w:val="center"/>
              <w:rPr>
                <w:rFonts w:ascii="Calibri" w:hAnsi="Calibri"/>
                <w:bCs w:val="0"/>
                <w:color w:val="FFFFFF" w:themeColor="background1"/>
                <w:sz w:val="16"/>
                <w:szCs w:val="16"/>
                <w:lang w:val="es-AR"/>
              </w:rPr>
            </w:pPr>
            <w:r w:rsidRPr="00F01F3A">
              <w:rPr>
                <w:rFonts w:ascii="Calibri" w:hAnsi="Calibri"/>
                <w:color w:val="FFFFFF" w:themeColor="background1"/>
                <w:sz w:val="16"/>
                <w:szCs w:val="16"/>
                <w:lang w:val="es-AR"/>
              </w:rPr>
              <w:t>Consensus</w:t>
            </w:r>
          </w:p>
          <w:p w14:paraId="138B6074" w14:textId="77777777" w:rsidR="009C12D9" w:rsidRPr="00F01F3A" w:rsidRDefault="009C12D9" w:rsidP="009C12D9">
            <w:pPr>
              <w:jc w:val="center"/>
              <w:rPr>
                <w:rFonts w:ascii="Calibri" w:hAnsi="Calibri"/>
                <w:color w:val="FFFFFF" w:themeColor="background1"/>
                <w:sz w:val="16"/>
                <w:szCs w:val="16"/>
                <w:lang w:val="es-AR"/>
              </w:rPr>
            </w:pPr>
            <w:r w:rsidRPr="00F01F3A">
              <w:rPr>
                <w:rFonts w:ascii="Calibri" w:hAnsi="Calibri"/>
                <w:color w:val="FFFFFF" w:themeColor="background1"/>
                <w:sz w:val="16"/>
                <w:szCs w:val="16"/>
                <w:lang w:val="es-AR"/>
              </w:rPr>
              <w:t>(</w:t>
            </w:r>
            <w:r w:rsidRPr="00F01F3A">
              <w:rPr>
                <w:rFonts w:ascii="Calibri" w:hAnsi="Calibri"/>
                <w:bCs w:val="0"/>
                <w:color w:val="FFFFFF" w:themeColor="background1"/>
                <w:sz w:val="16"/>
                <w:szCs w:val="16"/>
              </w:rPr>
              <w:t>&gt;50% agree</w:t>
            </w:r>
            <w:r w:rsidRPr="00F01F3A">
              <w:rPr>
                <w:rFonts w:ascii="Calibri" w:hAnsi="Calibri"/>
                <w:color w:val="FFFFFF" w:themeColor="background1"/>
                <w:sz w:val="16"/>
                <w:szCs w:val="16"/>
                <w:lang w:val="es-AR"/>
              </w:rPr>
              <w:t>)</w:t>
            </w:r>
          </w:p>
        </w:tc>
        <w:tc>
          <w:tcPr>
            <w:tcW w:w="2529" w:type="dxa"/>
            <w:tcBorders>
              <w:top w:val="single" w:sz="4" w:space="0" w:color="FFFFFF" w:themeColor="background1"/>
            </w:tcBorders>
            <w:shd w:val="clear" w:color="auto" w:fill="A5A5A5" w:themeFill="accent3"/>
            <w:vAlign w:val="center"/>
          </w:tcPr>
          <w:p w14:paraId="64FFEF2C" w14:textId="77777777" w:rsidR="009C12D9" w:rsidRPr="00F01F3A" w:rsidRDefault="009C12D9" w:rsidP="009C12D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FFFFFF" w:themeColor="background1"/>
                <w:sz w:val="16"/>
                <w:szCs w:val="16"/>
              </w:rPr>
            </w:pPr>
            <w:r w:rsidRPr="00F01F3A">
              <w:rPr>
                <w:rFonts w:ascii="Calibri" w:hAnsi="Calibri"/>
                <w:b/>
                <w:color w:val="FFFFFF" w:themeColor="background1"/>
                <w:sz w:val="16"/>
                <w:szCs w:val="16"/>
              </w:rPr>
              <w:t xml:space="preserve">Statement </w:t>
            </w:r>
            <w:r w:rsidRPr="00F01F3A">
              <w:rPr>
                <w:rFonts w:ascii="Calibri" w:hAnsi="Calibri"/>
                <w:b/>
                <w:i/>
                <w:color w:val="FFFFFF" w:themeColor="background1"/>
                <w:sz w:val="16"/>
                <w:szCs w:val="16"/>
              </w:rPr>
              <w:t>(Do you agree on including / changing in the protocol the following?</w:t>
            </w:r>
            <w:r w:rsidRPr="00F01F3A">
              <w:rPr>
                <w:rFonts w:ascii="Calibri" w:hAnsi="Calibri"/>
                <w:b/>
                <w:color w:val="FFFFFF" w:themeColor="background1"/>
                <w:sz w:val="16"/>
                <w:szCs w:val="16"/>
              </w:rPr>
              <w:t xml:space="preserve">) </w:t>
            </w:r>
          </w:p>
        </w:tc>
        <w:tc>
          <w:tcPr>
            <w:tcW w:w="5626" w:type="dxa"/>
            <w:tcBorders>
              <w:top w:val="single" w:sz="4" w:space="0" w:color="FFFFFF"/>
            </w:tcBorders>
            <w:shd w:val="clear" w:color="auto" w:fill="A5A5A5" w:themeFill="accent3"/>
            <w:vAlign w:val="center"/>
          </w:tcPr>
          <w:p w14:paraId="49874B31" w14:textId="77777777" w:rsidR="009C12D9" w:rsidRPr="00F01F3A" w:rsidRDefault="009C12D9" w:rsidP="009C12D9">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FFFFFF" w:themeColor="background1"/>
                <w:sz w:val="16"/>
                <w:szCs w:val="16"/>
              </w:rPr>
            </w:pPr>
            <w:r w:rsidRPr="00F01F3A">
              <w:rPr>
                <w:rFonts w:ascii="Calibri" w:hAnsi="Calibri"/>
                <w:b/>
                <w:color w:val="FFFFFF" w:themeColor="background1"/>
                <w:sz w:val="16"/>
                <w:szCs w:val="16"/>
              </w:rPr>
              <w:t>Conclusions of Plenary Discussions and Consensus Reached by Group 1</w:t>
            </w:r>
          </w:p>
        </w:tc>
      </w:tr>
      <w:tr w:rsidR="009C12D9" w:rsidRPr="00F01F3A" w14:paraId="5C541C1D" w14:textId="77777777" w:rsidTr="009C12D9">
        <w:trPr>
          <w:jc w:val="center"/>
        </w:trPr>
        <w:tc>
          <w:tcPr>
            <w:cnfStyle w:val="001000000000" w:firstRow="0" w:lastRow="0" w:firstColumn="1" w:lastColumn="0" w:oddVBand="0" w:evenVBand="0" w:oddHBand="0" w:evenHBand="0" w:firstRowFirstColumn="0" w:firstRowLastColumn="0" w:lastRowFirstColumn="0" w:lastRowLastColumn="0"/>
            <w:tcW w:w="917" w:type="dxa"/>
            <w:vMerge w:val="restart"/>
            <w:vAlign w:val="center"/>
          </w:tcPr>
          <w:p w14:paraId="04A78641" w14:textId="77777777" w:rsidR="009C12D9" w:rsidRPr="00F01F3A" w:rsidRDefault="009C12D9" w:rsidP="009C12D9">
            <w:pPr>
              <w:jc w:val="center"/>
              <w:rPr>
                <w:rFonts w:ascii="Calibri" w:hAnsi="Calibri"/>
                <w:b w:val="0"/>
                <w:sz w:val="16"/>
                <w:szCs w:val="16"/>
                <w:lang w:val="es-AR"/>
              </w:rPr>
            </w:pPr>
            <w:r w:rsidRPr="00F01F3A">
              <w:rPr>
                <w:rFonts w:ascii="Calibri" w:hAnsi="Calibri"/>
                <w:bCs w:val="0"/>
                <w:sz w:val="16"/>
                <w:szCs w:val="16"/>
                <w:lang w:val="es-AR"/>
              </w:rPr>
              <w:t>And &lt;15% neutral or disagree</w:t>
            </w:r>
          </w:p>
        </w:tc>
        <w:tc>
          <w:tcPr>
            <w:tcW w:w="2529" w:type="dxa"/>
            <w:vAlign w:val="center"/>
          </w:tcPr>
          <w:p w14:paraId="29D60CF5" w14:textId="77777777" w:rsidR="009C12D9" w:rsidRPr="00F01F3A" w:rsidRDefault="009C12D9" w:rsidP="009C12D9">
            <w:pPr>
              <w:cnfStyle w:val="000000000000" w:firstRow="0" w:lastRow="0" w:firstColumn="0" w:lastColumn="0" w:oddVBand="0" w:evenVBand="0" w:oddHBand="0" w:evenHBand="0" w:firstRowFirstColumn="0" w:firstRowLastColumn="0" w:lastRowFirstColumn="0" w:lastRowLastColumn="0"/>
              <w:rPr>
                <w:rFonts w:ascii="Calibri" w:hAnsi="Calibri"/>
                <w:bCs/>
                <w:sz w:val="16"/>
                <w:szCs w:val="16"/>
                <w:lang w:val="es-AR"/>
              </w:rPr>
            </w:pPr>
            <w:r w:rsidRPr="00F01F3A">
              <w:rPr>
                <w:rFonts w:ascii="Calibri" w:hAnsi="Calibri"/>
                <w:b/>
                <w:bCs/>
                <w:sz w:val="16"/>
                <w:szCs w:val="16"/>
              </w:rPr>
              <w:t>Structure</w:t>
            </w:r>
          </w:p>
        </w:tc>
        <w:tc>
          <w:tcPr>
            <w:tcW w:w="5626" w:type="dxa"/>
            <w:vAlign w:val="center"/>
          </w:tcPr>
          <w:p w14:paraId="59A9C68B" w14:textId="5E0094DD" w:rsidR="00453C18" w:rsidRPr="00F01F3A" w:rsidRDefault="00453C18" w:rsidP="009C12D9">
            <w:pPr>
              <w:cnfStyle w:val="000000000000" w:firstRow="0" w:lastRow="0" w:firstColumn="0" w:lastColumn="0" w:oddVBand="0" w:evenVBand="0" w:oddHBand="0" w:evenHBand="0" w:firstRowFirstColumn="0" w:firstRowLastColumn="0" w:lastRowFirstColumn="0" w:lastRowLastColumn="0"/>
              <w:rPr>
                <w:rFonts w:ascii="Calibri" w:hAnsi="Calibri"/>
                <w:b/>
                <w:bCs/>
                <w:sz w:val="16"/>
                <w:szCs w:val="16"/>
              </w:rPr>
            </w:pPr>
            <w:r w:rsidRPr="00F01F3A">
              <w:rPr>
                <w:rFonts w:ascii="Calibri" w:hAnsi="Calibri"/>
                <w:b/>
                <w:bCs/>
                <w:sz w:val="16"/>
                <w:szCs w:val="16"/>
              </w:rPr>
              <w:t xml:space="preserve">Purpose. </w:t>
            </w:r>
            <w:r w:rsidRPr="00F01F3A">
              <w:rPr>
                <w:rFonts w:ascii="Calibri" w:hAnsi="Calibri"/>
                <w:bCs/>
                <w:sz w:val="16"/>
                <w:szCs w:val="16"/>
              </w:rPr>
              <w:t xml:space="preserve">Distinguish the evaluation of RDTs intended either for screening or for diagnosis confirmation. </w:t>
            </w:r>
          </w:p>
          <w:p w14:paraId="40FA5A2E" w14:textId="2FE0AF17" w:rsidR="009C12D9" w:rsidRPr="00F01F3A" w:rsidRDefault="009C12D9" w:rsidP="009C12D9">
            <w:pPr>
              <w:cnfStyle w:val="000000000000" w:firstRow="0" w:lastRow="0" w:firstColumn="0" w:lastColumn="0" w:oddVBand="0" w:evenVBand="0" w:oddHBand="0" w:evenHBand="0" w:firstRowFirstColumn="0" w:firstRowLastColumn="0" w:lastRowFirstColumn="0" w:lastRowLastColumn="0"/>
              <w:rPr>
                <w:rFonts w:ascii="Calibri" w:hAnsi="Calibri"/>
                <w:bCs/>
                <w:sz w:val="16"/>
                <w:szCs w:val="16"/>
              </w:rPr>
            </w:pPr>
            <w:r w:rsidRPr="00F01F3A">
              <w:rPr>
                <w:rFonts w:ascii="Calibri" w:hAnsi="Calibri"/>
                <w:b/>
                <w:bCs/>
                <w:sz w:val="16"/>
                <w:szCs w:val="16"/>
              </w:rPr>
              <w:t>Outline</w:t>
            </w:r>
            <w:r w:rsidRPr="00F01F3A">
              <w:rPr>
                <w:rFonts w:ascii="Calibri" w:hAnsi="Calibri"/>
                <w:bCs/>
                <w:sz w:val="16"/>
                <w:szCs w:val="16"/>
              </w:rPr>
              <w:t xml:space="preserve"> </w:t>
            </w:r>
            <w:r w:rsidRPr="00F01F3A">
              <w:rPr>
                <w:rFonts w:ascii="Calibri" w:hAnsi="Calibri"/>
                <w:b/>
                <w:bCs/>
                <w:sz w:val="16"/>
                <w:szCs w:val="16"/>
              </w:rPr>
              <w:t>inclusion/exclusion criteria for samples/patients</w:t>
            </w:r>
            <w:r w:rsidRPr="00F01F3A">
              <w:rPr>
                <w:rFonts w:ascii="Calibri" w:hAnsi="Calibri"/>
                <w:bCs/>
                <w:sz w:val="16"/>
                <w:szCs w:val="16"/>
              </w:rPr>
              <w:t>. Exclude patients who had been treated with antiparasitic drugs.</w:t>
            </w:r>
          </w:p>
          <w:p w14:paraId="5F6261F0" w14:textId="77777777" w:rsidR="009C12D9" w:rsidRPr="00F01F3A" w:rsidRDefault="009C12D9" w:rsidP="009C12D9">
            <w:pPr>
              <w:cnfStyle w:val="000000000000" w:firstRow="0" w:lastRow="0" w:firstColumn="0" w:lastColumn="0" w:oddVBand="0" w:evenVBand="0" w:oddHBand="0" w:evenHBand="0" w:firstRowFirstColumn="0" w:firstRowLastColumn="0" w:lastRowFirstColumn="0" w:lastRowLastColumn="0"/>
              <w:rPr>
                <w:rFonts w:ascii="Calibri" w:hAnsi="Calibri"/>
                <w:bCs/>
                <w:sz w:val="16"/>
                <w:szCs w:val="16"/>
              </w:rPr>
            </w:pPr>
            <w:r w:rsidRPr="00F01F3A">
              <w:rPr>
                <w:rFonts w:ascii="Calibri" w:hAnsi="Calibri"/>
                <w:b/>
                <w:bCs/>
                <w:sz w:val="16"/>
                <w:szCs w:val="16"/>
              </w:rPr>
              <w:t>Informed Consent</w:t>
            </w:r>
            <w:r w:rsidRPr="00F01F3A">
              <w:rPr>
                <w:rFonts w:ascii="Calibri" w:hAnsi="Calibri"/>
                <w:bCs/>
                <w:sz w:val="16"/>
                <w:szCs w:val="16"/>
              </w:rPr>
              <w:t>. Translated to local languages (indigenous populations), adapted to illiterate people, and assent released for minors and children.</w:t>
            </w:r>
          </w:p>
        </w:tc>
      </w:tr>
      <w:tr w:rsidR="00093DF8" w:rsidRPr="00F01F3A" w14:paraId="77F6B792" w14:textId="77777777" w:rsidTr="009C12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2F672F73" w14:textId="77777777" w:rsidR="00093DF8" w:rsidRPr="00F01F3A" w:rsidRDefault="00093DF8" w:rsidP="00093DF8">
            <w:pPr>
              <w:jc w:val="center"/>
              <w:rPr>
                <w:rFonts w:ascii="Calibri" w:hAnsi="Calibri"/>
                <w:sz w:val="16"/>
                <w:szCs w:val="16"/>
              </w:rPr>
            </w:pPr>
          </w:p>
        </w:tc>
        <w:tc>
          <w:tcPr>
            <w:tcW w:w="2529" w:type="dxa"/>
            <w:vAlign w:val="center"/>
          </w:tcPr>
          <w:p w14:paraId="249414FD" w14:textId="16D3E1DA" w:rsidR="00093DF8" w:rsidRPr="00F01F3A" w:rsidRDefault="00093DF8" w:rsidP="00093DF8">
            <w:pPr>
              <w:cnfStyle w:val="000000100000" w:firstRow="0" w:lastRow="0" w:firstColumn="0" w:lastColumn="0" w:oddVBand="0" w:evenVBand="0" w:oddHBand="1" w:evenHBand="0" w:firstRowFirstColumn="0" w:firstRowLastColumn="0" w:lastRowFirstColumn="0" w:lastRowLastColumn="0"/>
              <w:rPr>
                <w:rFonts w:ascii="Calibri" w:hAnsi="Calibri"/>
                <w:b/>
                <w:bCs/>
                <w:sz w:val="16"/>
                <w:szCs w:val="16"/>
              </w:rPr>
            </w:pPr>
            <w:r w:rsidRPr="00F01F3A">
              <w:rPr>
                <w:rFonts w:ascii="Calibri" w:hAnsi="Calibri"/>
                <w:b/>
                <w:bCs/>
                <w:sz w:val="16"/>
                <w:szCs w:val="16"/>
              </w:rPr>
              <w:t xml:space="preserve">Expected predictive values. </w:t>
            </w:r>
            <w:r w:rsidRPr="00F01F3A">
              <w:rPr>
                <w:rFonts w:ascii="Calibri" w:hAnsi="Calibri"/>
                <w:bCs/>
                <w:sz w:val="16"/>
                <w:szCs w:val="16"/>
              </w:rPr>
              <w:t>At different prevalence (&lt;5%; 5-10%; &gt;10%) as test acceptance criteria</w:t>
            </w:r>
          </w:p>
        </w:tc>
        <w:tc>
          <w:tcPr>
            <w:tcW w:w="5626" w:type="dxa"/>
            <w:vAlign w:val="center"/>
          </w:tcPr>
          <w:p w14:paraId="5FF5E8F4" w14:textId="598C3239" w:rsidR="00093DF8" w:rsidRPr="00F01F3A" w:rsidRDefault="00093DF8" w:rsidP="00093DF8">
            <w:pPr>
              <w:cnfStyle w:val="000000100000" w:firstRow="0" w:lastRow="0" w:firstColumn="0" w:lastColumn="0" w:oddVBand="0" w:evenVBand="0" w:oddHBand="1" w:evenHBand="0" w:firstRowFirstColumn="0" w:firstRowLastColumn="0" w:lastRowFirstColumn="0" w:lastRowLastColumn="0"/>
              <w:rPr>
                <w:rFonts w:ascii="Calibri" w:hAnsi="Calibri"/>
                <w:b/>
                <w:bCs/>
                <w:sz w:val="16"/>
                <w:szCs w:val="16"/>
              </w:rPr>
            </w:pPr>
            <w:r w:rsidRPr="00F01F3A">
              <w:rPr>
                <w:rFonts w:ascii="Calibri" w:hAnsi="Calibri"/>
                <w:bCs/>
                <w:sz w:val="16"/>
                <w:szCs w:val="16"/>
              </w:rPr>
              <w:t>Se/</w:t>
            </w:r>
            <w:proofErr w:type="spellStart"/>
            <w:r w:rsidRPr="00F01F3A">
              <w:rPr>
                <w:rFonts w:ascii="Calibri" w:hAnsi="Calibri"/>
                <w:bCs/>
                <w:sz w:val="16"/>
                <w:szCs w:val="16"/>
              </w:rPr>
              <w:t>Sp</w:t>
            </w:r>
            <w:proofErr w:type="spellEnd"/>
            <w:r w:rsidRPr="00F01F3A">
              <w:rPr>
                <w:rFonts w:ascii="Calibri" w:hAnsi="Calibri"/>
                <w:bCs/>
                <w:sz w:val="16"/>
                <w:szCs w:val="16"/>
              </w:rPr>
              <w:t xml:space="preserve"> are prevalence-independent characteristics, but decisions on public health depend on prevalence. It is necessary to analyze the predictive values to understand the coverage margin of the policies to be implemented. Experts did not reach consensus, as there is not yet sufficient data in the region.</w:t>
            </w:r>
          </w:p>
        </w:tc>
      </w:tr>
      <w:tr w:rsidR="00093DF8" w:rsidRPr="00F01F3A" w14:paraId="04E63703" w14:textId="77777777" w:rsidTr="009C12D9">
        <w:trPr>
          <w:jc w:val="center"/>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115FA703" w14:textId="77777777" w:rsidR="00093DF8" w:rsidRPr="00F01F3A" w:rsidRDefault="00093DF8" w:rsidP="00093DF8">
            <w:pPr>
              <w:jc w:val="center"/>
              <w:rPr>
                <w:rFonts w:ascii="Calibri" w:hAnsi="Calibri"/>
                <w:sz w:val="16"/>
                <w:szCs w:val="16"/>
              </w:rPr>
            </w:pPr>
          </w:p>
        </w:tc>
        <w:tc>
          <w:tcPr>
            <w:tcW w:w="2529" w:type="dxa"/>
            <w:vAlign w:val="center"/>
          </w:tcPr>
          <w:p w14:paraId="1D96DBC2" w14:textId="77777777" w:rsidR="00093DF8" w:rsidRPr="00F01F3A" w:rsidRDefault="00093DF8" w:rsidP="00093DF8">
            <w:pPr>
              <w:cnfStyle w:val="000000000000" w:firstRow="0" w:lastRow="0" w:firstColumn="0" w:lastColumn="0" w:oddVBand="0" w:evenVBand="0" w:oddHBand="0" w:evenHBand="0" w:firstRowFirstColumn="0" w:firstRowLastColumn="0" w:lastRowFirstColumn="0" w:lastRowLastColumn="0"/>
              <w:rPr>
                <w:rFonts w:ascii="Calibri" w:hAnsi="Calibri"/>
                <w:b/>
                <w:sz w:val="16"/>
                <w:szCs w:val="16"/>
              </w:rPr>
            </w:pPr>
            <w:r w:rsidRPr="00F01F3A">
              <w:rPr>
                <w:rFonts w:ascii="Calibri" w:hAnsi="Calibri"/>
                <w:b/>
                <w:bCs/>
                <w:sz w:val="16"/>
                <w:szCs w:val="16"/>
              </w:rPr>
              <w:t>Guidance on proper results recording</w:t>
            </w:r>
          </w:p>
        </w:tc>
        <w:tc>
          <w:tcPr>
            <w:tcW w:w="5626" w:type="dxa"/>
            <w:vAlign w:val="center"/>
          </w:tcPr>
          <w:p w14:paraId="3F7967C2" w14:textId="77777777" w:rsidR="00093DF8" w:rsidRPr="00F01F3A" w:rsidRDefault="00093DF8" w:rsidP="00093DF8">
            <w:pPr>
              <w:cnfStyle w:val="000000000000" w:firstRow="0" w:lastRow="0" w:firstColumn="0" w:lastColumn="0" w:oddVBand="0" w:evenVBand="0" w:oddHBand="0" w:evenHBand="0" w:firstRowFirstColumn="0" w:firstRowLastColumn="0" w:lastRowFirstColumn="0" w:lastRowLastColumn="0"/>
              <w:rPr>
                <w:rFonts w:ascii="Calibri" w:hAnsi="Calibri"/>
                <w:bCs/>
                <w:sz w:val="16"/>
                <w:szCs w:val="16"/>
              </w:rPr>
            </w:pPr>
            <w:r w:rsidRPr="00F01F3A">
              <w:rPr>
                <w:rFonts w:ascii="Calibri" w:hAnsi="Calibri"/>
                <w:bCs/>
                <w:sz w:val="16"/>
                <w:szCs w:val="16"/>
              </w:rPr>
              <w:t xml:space="preserve">RDT results are classified as positive/reactive, negative/non-reactive, or invalid as per manufacturer’s instructions (remove the "indeterminate" classification for RDT results). </w:t>
            </w:r>
          </w:p>
          <w:p w14:paraId="2F8E65DA" w14:textId="77777777" w:rsidR="00093DF8" w:rsidRPr="00F01F3A" w:rsidRDefault="00093DF8" w:rsidP="00093DF8">
            <w:pPr>
              <w:cnfStyle w:val="000000000000" w:firstRow="0" w:lastRow="0" w:firstColumn="0" w:lastColumn="0" w:oddVBand="0" w:evenVBand="0" w:oddHBand="0" w:evenHBand="0" w:firstRowFirstColumn="0" w:firstRowLastColumn="0" w:lastRowFirstColumn="0" w:lastRowLastColumn="0"/>
              <w:rPr>
                <w:rFonts w:ascii="Calibri" w:hAnsi="Calibri"/>
                <w:bCs/>
                <w:sz w:val="16"/>
                <w:szCs w:val="16"/>
              </w:rPr>
            </w:pPr>
            <w:r w:rsidRPr="00F01F3A">
              <w:rPr>
                <w:rFonts w:ascii="Calibri" w:hAnsi="Calibri"/>
                <w:bCs/>
                <w:sz w:val="16"/>
                <w:szCs w:val="16"/>
              </w:rPr>
              <w:t>Conduct standardized photo results recording. Include more than one RDT reader for interpretation.</w:t>
            </w:r>
          </w:p>
        </w:tc>
      </w:tr>
      <w:tr w:rsidR="00093DF8" w:rsidRPr="00F01F3A" w14:paraId="33CEFAD8" w14:textId="77777777" w:rsidTr="009C12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0ED92743" w14:textId="77777777" w:rsidR="00093DF8" w:rsidRPr="00F01F3A" w:rsidRDefault="00093DF8" w:rsidP="00093DF8">
            <w:pPr>
              <w:jc w:val="center"/>
              <w:rPr>
                <w:rFonts w:ascii="Calibri" w:hAnsi="Calibri"/>
                <w:sz w:val="16"/>
                <w:szCs w:val="16"/>
              </w:rPr>
            </w:pPr>
          </w:p>
        </w:tc>
        <w:tc>
          <w:tcPr>
            <w:tcW w:w="2529" w:type="dxa"/>
            <w:vAlign w:val="center"/>
          </w:tcPr>
          <w:p w14:paraId="3BC3FF85" w14:textId="77777777" w:rsidR="00093DF8" w:rsidRPr="00F01F3A" w:rsidRDefault="00093DF8" w:rsidP="00093DF8">
            <w:pPr>
              <w:cnfStyle w:val="000000100000" w:firstRow="0" w:lastRow="0" w:firstColumn="0" w:lastColumn="0" w:oddVBand="0" w:evenVBand="0" w:oddHBand="1" w:evenHBand="0" w:firstRowFirstColumn="0" w:firstRowLastColumn="0" w:lastRowFirstColumn="0" w:lastRowLastColumn="0"/>
              <w:rPr>
                <w:rFonts w:ascii="Calibri" w:hAnsi="Calibri"/>
                <w:b/>
                <w:sz w:val="16"/>
                <w:szCs w:val="16"/>
                <w:lang w:val="es-AR"/>
              </w:rPr>
            </w:pPr>
            <w:r w:rsidRPr="00F01F3A">
              <w:rPr>
                <w:rFonts w:ascii="Calibri" w:hAnsi="Calibri"/>
                <w:b/>
                <w:bCs/>
                <w:sz w:val="16"/>
                <w:szCs w:val="16"/>
              </w:rPr>
              <w:t>Secondary objectives</w:t>
            </w:r>
          </w:p>
        </w:tc>
        <w:tc>
          <w:tcPr>
            <w:tcW w:w="5626" w:type="dxa"/>
            <w:vAlign w:val="center"/>
          </w:tcPr>
          <w:p w14:paraId="692E6469" w14:textId="77777777" w:rsidR="00093DF8" w:rsidRPr="00F01F3A" w:rsidRDefault="00093DF8" w:rsidP="00093DF8">
            <w:pPr>
              <w:cnfStyle w:val="000000100000" w:firstRow="0" w:lastRow="0" w:firstColumn="0" w:lastColumn="0" w:oddVBand="0" w:evenVBand="0" w:oddHBand="1" w:evenHBand="0" w:firstRowFirstColumn="0" w:firstRowLastColumn="0" w:lastRowFirstColumn="0" w:lastRowLastColumn="0"/>
              <w:rPr>
                <w:rFonts w:ascii="Calibri" w:hAnsi="Calibri"/>
                <w:bCs/>
                <w:sz w:val="16"/>
                <w:szCs w:val="16"/>
              </w:rPr>
            </w:pPr>
            <w:r w:rsidRPr="00F01F3A">
              <w:rPr>
                <w:rFonts w:ascii="Calibri" w:hAnsi="Calibri"/>
                <w:bCs/>
                <w:sz w:val="16"/>
                <w:szCs w:val="16"/>
              </w:rPr>
              <w:t>May provide assessing as secondary objective the cost-effectiveness to accompany the conclusions (task assigned to Group 3), and ease-of-use of the investigational products.</w:t>
            </w:r>
          </w:p>
        </w:tc>
      </w:tr>
      <w:tr w:rsidR="00093DF8" w:rsidRPr="00F01F3A" w14:paraId="5D430374" w14:textId="77777777" w:rsidTr="00453C18">
        <w:trPr>
          <w:trHeight w:val="670"/>
          <w:jc w:val="center"/>
        </w:trPr>
        <w:tc>
          <w:tcPr>
            <w:cnfStyle w:val="001000000000" w:firstRow="0" w:lastRow="0" w:firstColumn="1" w:lastColumn="0" w:oddVBand="0" w:evenVBand="0" w:oddHBand="0" w:evenHBand="0" w:firstRowFirstColumn="0" w:firstRowLastColumn="0" w:lastRowFirstColumn="0" w:lastRowLastColumn="0"/>
            <w:tcW w:w="917" w:type="dxa"/>
            <w:vMerge w:val="restart"/>
            <w:vAlign w:val="center"/>
          </w:tcPr>
          <w:p w14:paraId="2679FD1F" w14:textId="77777777" w:rsidR="00093DF8" w:rsidRPr="00F01F3A" w:rsidRDefault="00093DF8" w:rsidP="00093DF8">
            <w:pPr>
              <w:jc w:val="center"/>
              <w:rPr>
                <w:rFonts w:ascii="Calibri" w:hAnsi="Calibri"/>
                <w:bCs w:val="0"/>
                <w:sz w:val="16"/>
                <w:szCs w:val="16"/>
              </w:rPr>
            </w:pPr>
            <w:r w:rsidRPr="00F01F3A">
              <w:rPr>
                <w:rFonts w:ascii="Calibri" w:hAnsi="Calibri"/>
                <w:bCs w:val="0"/>
                <w:sz w:val="16"/>
                <w:szCs w:val="16"/>
              </w:rPr>
              <w:t>And 15-32% neutral or disagree</w:t>
            </w:r>
          </w:p>
        </w:tc>
        <w:tc>
          <w:tcPr>
            <w:tcW w:w="2529" w:type="dxa"/>
            <w:vAlign w:val="center"/>
          </w:tcPr>
          <w:p w14:paraId="30F06122" w14:textId="36F9C5C1" w:rsidR="00093DF8" w:rsidRPr="00F01F3A" w:rsidRDefault="00093DF8" w:rsidP="00093DF8">
            <w:pPr>
              <w:cnfStyle w:val="000000000000" w:firstRow="0" w:lastRow="0" w:firstColumn="0" w:lastColumn="0" w:oddVBand="0" w:evenVBand="0" w:oddHBand="0" w:evenHBand="0" w:firstRowFirstColumn="0" w:firstRowLastColumn="0" w:lastRowFirstColumn="0" w:lastRowLastColumn="0"/>
              <w:rPr>
                <w:rFonts w:ascii="Calibri" w:hAnsi="Calibri"/>
                <w:bCs/>
                <w:sz w:val="16"/>
                <w:szCs w:val="16"/>
              </w:rPr>
            </w:pPr>
            <w:r w:rsidRPr="00F01F3A">
              <w:rPr>
                <w:rFonts w:ascii="Calibri" w:hAnsi="Calibri"/>
                <w:b/>
                <w:sz w:val="16"/>
                <w:szCs w:val="16"/>
                <w:lang w:val="es-AR"/>
              </w:rPr>
              <w:t>Investigational Products (RDTs)</w:t>
            </w:r>
          </w:p>
        </w:tc>
        <w:tc>
          <w:tcPr>
            <w:tcW w:w="5626" w:type="dxa"/>
            <w:vAlign w:val="center"/>
          </w:tcPr>
          <w:p w14:paraId="10CB2B26" w14:textId="5855F9A6" w:rsidR="00093DF8" w:rsidRPr="00F01F3A" w:rsidRDefault="00093DF8" w:rsidP="00093DF8">
            <w:pPr>
              <w:cnfStyle w:val="000000000000" w:firstRow="0" w:lastRow="0" w:firstColumn="0" w:lastColumn="0" w:oddVBand="0" w:evenVBand="0" w:oddHBand="0" w:evenHBand="0" w:firstRowFirstColumn="0" w:firstRowLastColumn="0" w:lastRowFirstColumn="0" w:lastRowLastColumn="0"/>
              <w:rPr>
                <w:rFonts w:ascii="Calibri" w:hAnsi="Calibri"/>
                <w:bCs/>
                <w:sz w:val="16"/>
                <w:szCs w:val="16"/>
              </w:rPr>
            </w:pPr>
            <w:r w:rsidRPr="00F01F3A">
              <w:rPr>
                <w:rFonts w:ascii="Calibri" w:hAnsi="Calibri"/>
                <w:bCs/>
                <w:sz w:val="16"/>
                <w:szCs w:val="16"/>
                <w:lang w:val="en-GB"/>
              </w:rPr>
              <w:t>Do not recommend selecting RDTs with different antigens for the evaluation. This information is not always available, and local validation studies set the actual performance in the country of interest.</w:t>
            </w:r>
          </w:p>
        </w:tc>
      </w:tr>
      <w:tr w:rsidR="00093DF8" w:rsidRPr="00F01F3A" w14:paraId="49EEAFC1" w14:textId="77777777" w:rsidTr="009C12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5B31E2E9" w14:textId="77777777" w:rsidR="00093DF8" w:rsidRPr="00F01F3A" w:rsidRDefault="00093DF8" w:rsidP="00093DF8">
            <w:pPr>
              <w:jc w:val="center"/>
              <w:rPr>
                <w:rFonts w:ascii="Calibri" w:hAnsi="Calibri"/>
                <w:sz w:val="16"/>
                <w:szCs w:val="16"/>
              </w:rPr>
            </w:pPr>
          </w:p>
        </w:tc>
        <w:tc>
          <w:tcPr>
            <w:tcW w:w="2529" w:type="dxa"/>
            <w:vAlign w:val="center"/>
          </w:tcPr>
          <w:p w14:paraId="23DAEB26" w14:textId="77777777" w:rsidR="00093DF8" w:rsidRPr="00F01F3A" w:rsidRDefault="00093DF8" w:rsidP="00093DF8">
            <w:pPr>
              <w:cnfStyle w:val="000000100000" w:firstRow="0" w:lastRow="0" w:firstColumn="0" w:lastColumn="0" w:oddVBand="0" w:evenVBand="0" w:oddHBand="1" w:evenHBand="0" w:firstRowFirstColumn="0" w:firstRowLastColumn="0" w:lastRowFirstColumn="0" w:lastRowLastColumn="0"/>
              <w:rPr>
                <w:rFonts w:ascii="Calibri" w:hAnsi="Calibri"/>
                <w:bCs/>
                <w:sz w:val="16"/>
                <w:szCs w:val="16"/>
              </w:rPr>
            </w:pPr>
            <w:r w:rsidRPr="00F01F3A">
              <w:rPr>
                <w:rFonts w:ascii="Calibri" w:hAnsi="Calibri"/>
                <w:b/>
                <w:sz w:val="16"/>
                <w:szCs w:val="16"/>
              </w:rPr>
              <w:t>Quality Assurance</w:t>
            </w:r>
          </w:p>
        </w:tc>
        <w:tc>
          <w:tcPr>
            <w:tcW w:w="5626" w:type="dxa"/>
            <w:vAlign w:val="center"/>
          </w:tcPr>
          <w:p w14:paraId="207BD6DD" w14:textId="77777777" w:rsidR="00093DF8" w:rsidRPr="00F01F3A" w:rsidRDefault="00093DF8" w:rsidP="00093DF8">
            <w:pPr>
              <w:cnfStyle w:val="000000100000" w:firstRow="0" w:lastRow="0" w:firstColumn="0" w:lastColumn="0" w:oddVBand="0" w:evenVBand="0" w:oddHBand="1" w:evenHBand="0" w:firstRowFirstColumn="0" w:firstRowLastColumn="0" w:lastRowFirstColumn="0" w:lastRowLastColumn="0"/>
              <w:rPr>
                <w:rFonts w:ascii="Calibri" w:hAnsi="Calibri"/>
                <w:bCs/>
                <w:sz w:val="16"/>
                <w:szCs w:val="16"/>
              </w:rPr>
            </w:pPr>
            <w:r w:rsidRPr="00F01F3A">
              <w:rPr>
                <w:rFonts w:ascii="Calibri" w:hAnsi="Calibri"/>
                <w:bCs/>
                <w:sz w:val="16"/>
                <w:szCs w:val="16"/>
              </w:rPr>
              <w:t>Offer accessing certified external panels, e.g. WHO International Standard anti-</w:t>
            </w:r>
            <w:proofErr w:type="spellStart"/>
            <w:proofErr w:type="gramStart"/>
            <w:r w:rsidRPr="00F01F3A">
              <w:rPr>
                <w:rFonts w:ascii="Calibri" w:hAnsi="Calibri"/>
                <w:bCs/>
                <w:i/>
                <w:sz w:val="16"/>
                <w:szCs w:val="16"/>
              </w:rPr>
              <w:t>T.cruzi</w:t>
            </w:r>
            <w:proofErr w:type="spellEnd"/>
            <w:proofErr w:type="gramEnd"/>
            <w:r w:rsidRPr="00F01F3A">
              <w:rPr>
                <w:rFonts w:ascii="Calibri" w:hAnsi="Calibri"/>
                <w:bCs/>
                <w:sz w:val="16"/>
                <w:szCs w:val="16"/>
              </w:rPr>
              <w:t xml:space="preserve"> I and II Antibody Reference Panel.</w:t>
            </w:r>
          </w:p>
        </w:tc>
      </w:tr>
    </w:tbl>
    <w:p w14:paraId="5C169E47" w14:textId="77777777" w:rsidR="009C12D9" w:rsidRPr="00F01F3A" w:rsidRDefault="009C12D9">
      <w:pPr>
        <w:rPr>
          <w:rFonts w:ascii="Calibri" w:hAnsi="Calibri"/>
          <w:b/>
          <w:bCs/>
          <w:sz w:val="22"/>
          <w:szCs w:val="22"/>
        </w:rPr>
      </w:pPr>
      <w:r w:rsidRPr="00F01F3A">
        <w:rPr>
          <w:rFonts w:ascii="Calibri" w:hAnsi="Calibri"/>
          <w:b/>
          <w:bCs/>
          <w:sz w:val="22"/>
          <w:szCs w:val="22"/>
        </w:rPr>
        <w:br w:type="page"/>
      </w:r>
    </w:p>
    <w:p w14:paraId="4E1F7E4C" w14:textId="2EDE9BEC" w:rsidR="00584DC1" w:rsidRPr="00F01F3A" w:rsidRDefault="00E56888" w:rsidP="00F35ACD">
      <w:pPr>
        <w:jc w:val="both"/>
        <w:rPr>
          <w:rFonts w:ascii="Calibri" w:hAnsi="Calibri"/>
          <w:b/>
          <w:bCs/>
          <w:sz w:val="22"/>
          <w:szCs w:val="22"/>
        </w:rPr>
      </w:pPr>
      <w:r w:rsidRPr="00F01F3A">
        <w:rPr>
          <w:rFonts w:ascii="Calibri" w:hAnsi="Calibri"/>
          <w:b/>
          <w:bCs/>
          <w:sz w:val="22"/>
          <w:szCs w:val="22"/>
        </w:rPr>
        <w:lastRenderedPageBreak/>
        <w:t xml:space="preserve">Appendix </w:t>
      </w:r>
      <w:r w:rsidR="00453C18" w:rsidRPr="00F01F3A">
        <w:rPr>
          <w:rFonts w:ascii="Calibri" w:hAnsi="Calibri"/>
          <w:b/>
          <w:bCs/>
          <w:sz w:val="22"/>
          <w:szCs w:val="22"/>
        </w:rPr>
        <w:t>3</w:t>
      </w:r>
      <w:r w:rsidRPr="00F01F3A">
        <w:rPr>
          <w:rFonts w:ascii="Calibri" w:hAnsi="Calibri"/>
          <w:b/>
          <w:bCs/>
          <w:sz w:val="22"/>
          <w:szCs w:val="22"/>
        </w:rPr>
        <w:t xml:space="preserve">. </w:t>
      </w:r>
      <w:r w:rsidR="00A96360" w:rsidRPr="00F01F3A">
        <w:rPr>
          <w:rFonts w:ascii="Calibri" w:hAnsi="Calibri"/>
          <w:b/>
          <w:bCs/>
          <w:sz w:val="22"/>
          <w:szCs w:val="22"/>
        </w:rPr>
        <w:t>G</w:t>
      </w:r>
      <w:r w:rsidR="001A5E31" w:rsidRPr="00F01F3A">
        <w:rPr>
          <w:rFonts w:ascii="Calibri" w:hAnsi="Calibri"/>
          <w:b/>
          <w:bCs/>
          <w:sz w:val="22"/>
          <w:szCs w:val="22"/>
        </w:rPr>
        <w:t>uidance on sample size estimations</w:t>
      </w:r>
      <w:r w:rsidR="00A96360" w:rsidRPr="00F01F3A">
        <w:rPr>
          <w:rFonts w:ascii="Calibri" w:hAnsi="Calibri"/>
          <w:b/>
          <w:bCs/>
          <w:sz w:val="22"/>
          <w:szCs w:val="22"/>
        </w:rPr>
        <w:t xml:space="preserve"> in </w:t>
      </w:r>
      <w:r w:rsidR="001A5E31" w:rsidRPr="00F01F3A">
        <w:rPr>
          <w:rFonts w:ascii="Calibri" w:hAnsi="Calibri"/>
          <w:b/>
          <w:bCs/>
          <w:sz w:val="22"/>
          <w:szCs w:val="22"/>
        </w:rPr>
        <w:t>the harmonized protocol to evaluate RDTs</w:t>
      </w:r>
    </w:p>
    <w:p w14:paraId="6B1442B4" w14:textId="77777777" w:rsidR="00435EEB" w:rsidRPr="00F01F3A" w:rsidRDefault="00435EEB" w:rsidP="00F35ACD">
      <w:pPr>
        <w:jc w:val="both"/>
        <w:rPr>
          <w:rFonts w:ascii="Calibri" w:hAnsi="Calibri"/>
          <w:sz w:val="22"/>
          <w:szCs w:val="22"/>
        </w:rPr>
      </w:pPr>
    </w:p>
    <w:p w14:paraId="1839107F" w14:textId="62E71CDE" w:rsidR="001A5E31" w:rsidRPr="007C5D3A" w:rsidRDefault="001A5E31" w:rsidP="00F35ACD">
      <w:pPr>
        <w:jc w:val="both"/>
        <w:rPr>
          <w:rFonts w:ascii="Calibri" w:hAnsi="Calibri"/>
          <w:b/>
          <w:sz w:val="22"/>
          <w:szCs w:val="22"/>
        </w:rPr>
      </w:pPr>
      <w:r w:rsidRPr="00F01F3A">
        <w:rPr>
          <w:rFonts w:ascii="Calibri" w:hAnsi="Calibri"/>
          <w:sz w:val="22"/>
          <w:szCs w:val="22"/>
        </w:rPr>
        <w:t xml:space="preserve">Consensus was reached on the guidance on sample size estimations, to be included the harmonized protocol to evaluate RDTs. Recommend adding the reference to the book that has been widely cited on diagnostic evaluations </w:t>
      </w:r>
      <w:r w:rsidRPr="00F01F3A">
        <w:rPr>
          <w:rFonts w:ascii="Calibri" w:hAnsi="Calibri"/>
          <w:sz w:val="22"/>
          <w:szCs w:val="22"/>
        </w:rPr>
        <w:fldChar w:fldCharType="begin" w:fldLock="1"/>
      </w:r>
      <w:r w:rsidR="0062178E" w:rsidRPr="00F01F3A">
        <w:rPr>
          <w:rFonts w:ascii="Calibri" w:hAnsi="Calibri"/>
          <w:sz w:val="22"/>
          <w:szCs w:val="22"/>
        </w:rPr>
        <w:instrText>ADDIN CSL_CITATION {"citationItems":[{"id":"ITEM-1","itemData":{"ISBN":"978-0-470-31792-1","author":[{"dropping-particle":"","family":"Zhou","given":"X. H.","non-dropping-particle":"","parse-names":false,"suffix":""},{"dropping-particle":"","family":"McClish","given":"D.K.","non-dropping-particle":"","parse-names":false,"suffix":""},{"dropping-particle":"","family":"Obuchowski","given":"N. A","non-dropping-particle":"","parse-names":false,"suffix":""}],"id":"ITEM-1","issued":{"date-parts":[["2009"]]},"publisher":"John Wiley &amp; Sons","title":"Statistical Methods in Diagnostic Medicine","type":"book"},"uris":["http://www.mendeley.com/documents/?uuid=ed9a20f1-3af5-4079-bdfc-e33f3728875c"]}],"mendeley":{"formattedCitation":"(1)","plainTextFormattedCitation":"(1)","previouslyFormattedCitation":"(1)"},"properties":{"noteIndex":0},"schema":"https://github.com/citation-style-language/schema/raw/master/csl-citation.json"}</w:instrText>
      </w:r>
      <w:r w:rsidRPr="00F01F3A">
        <w:rPr>
          <w:rFonts w:ascii="Calibri" w:hAnsi="Calibri"/>
          <w:sz w:val="22"/>
          <w:szCs w:val="22"/>
        </w:rPr>
        <w:fldChar w:fldCharType="separate"/>
      </w:r>
      <w:r w:rsidR="00A96360" w:rsidRPr="00F01F3A">
        <w:rPr>
          <w:rFonts w:ascii="Calibri" w:hAnsi="Calibri"/>
          <w:noProof/>
          <w:sz w:val="22"/>
          <w:szCs w:val="22"/>
        </w:rPr>
        <w:t>(1)</w:t>
      </w:r>
      <w:r w:rsidRPr="00F01F3A">
        <w:rPr>
          <w:rFonts w:ascii="Calibri" w:hAnsi="Calibri"/>
          <w:sz w:val="22"/>
          <w:szCs w:val="22"/>
        </w:rPr>
        <w:fldChar w:fldCharType="end"/>
      </w:r>
      <w:r w:rsidRPr="00F01F3A">
        <w:rPr>
          <w:rFonts w:ascii="Calibri" w:hAnsi="Calibri"/>
          <w:sz w:val="22"/>
          <w:szCs w:val="22"/>
        </w:rPr>
        <w:t>, to calculate the number of confirmed positive/negatives by the reference test method, needed to estimate expected sensitivity/specificity with the given CI</w:t>
      </w:r>
      <w:r w:rsidR="00EB0608" w:rsidRPr="00F01F3A">
        <w:rPr>
          <w:rFonts w:ascii="Calibri" w:hAnsi="Calibri"/>
          <w:sz w:val="22"/>
          <w:szCs w:val="22"/>
        </w:rPr>
        <w:t xml:space="preserve"> </w:t>
      </w:r>
      <w:r w:rsidR="00EB0608" w:rsidRPr="00F01F3A">
        <w:rPr>
          <w:rFonts w:ascii="Calibri" w:hAnsi="Calibri"/>
          <w:b/>
          <w:sz w:val="22"/>
          <w:szCs w:val="22"/>
        </w:rPr>
        <w:t>(Table 1)</w:t>
      </w:r>
      <w:r w:rsidRPr="00F01F3A">
        <w:rPr>
          <w:rFonts w:ascii="Calibri" w:hAnsi="Calibri"/>
          <w:b/>
          <w:sz w:val="22"/>
          <w:szCs w:val="22"/>
        </w:rPr>
        <w:t>.</w:t>
      </w:r>
      <w:r w:rsidRPr="00F01F3A">
        <w:rPr>
          <w:rFonts w:ascii="Calibri" w:hAnsi="Calibri"/>
          <w:sz w:val="22"/>
          <w:szCs w:val="22"/>
        </w:rPr>
        <w:t xml:space="preserve"> If researchers would like to adjust the parameters, they can use the </w:t>
      </w:r>
      <w:proofErr w:type="spellStart"/>
      <w:r w:rsidRPr="00F01F3A">
        <w:rPr>
          <w:rFonts w:ascii="Calibri" w:hAnsi="Calibri"/>
          <w:sz w:val="22"/>
          <w:szCs w:val="22"/>
        </w:rPr>
        <w:t>shinyapp</w:t>
      </w:r>
      <w:proofErr w:type="spellEnd"/>
      <w:r w:rsidRPr="00F01F3A">
        <w:rPr>
          <w:rFonts w:ascii="Calibri" w:hAnsi="Calibri"/>
          <w:sz w:val="22"/>
          <w:szCs w:val="22"/>
        </w:rPr>
        <w:t xml:space="preserve"> developed by FIND, publicly available &lt;https://finddx.shinyapps.io/SampleSize/&gt;. In brief, the formula is as follows:</w:t>
      </w:r>
    </w:p>
    <w:p w14:paraId="447B24C0" w14:textId="707ECE22" w:rsidR="007C5D3A" w:rsidRDefault="007C5D3A" w:rsidP="00F35ACD">
      <w:pPr>
        <w:jc w:val="both"/>
        <w:rPr>
          <w:rFonts w:ascii="Calibri" w:hAnsi="Calibri"/>
          <w:sz w:val="22"/>
          <w:szCs w:val="22"/>
        </w:rPr>
      </w:pPr>
    </w:p>
    <w:p w14:paraId="4BB6E88F" w14:textId="5D18DB2D" w:rsidR="007C5D3A" w:rsidRPr="007C5D3A" w:rsidRDefault="007C5D3A" w:rsidP="00F35ACD">
      <w:pPr>
        <w:jc w:val="both"/>
        <w:rPr>
          <w:rFonts w:ascii="Calibri" w:eastAsiaTheme="minorEastAsia" w:hAnsi="Calibri"/>
          <w:sz w:val="22"/>
          <w:szCs w:val="22"/>
        </w:rPr>
      </w:pPr>
      <m:oMathPara>
        <m:oMath>
          <m:r>
            <w:rPr>
              <w:rFonts w:ascii="Cambria Math" w:hAnsi="Cambria Math"/>
              <w:sz w:val="22"/>
              <w:szCs w:val="22"/>
            </w:rPr>
            <m:t xml:space="preserve">n= </m:t>
          </m:r>
          <m:f>
            <m:fPr>
              <m:ctrlPr>
                <w:rPr>
                  <w:rFonts w:ascii="Cambria Math" w:hAnsi="Cambria Math"/>
                  <w:i/>
                  <w:sz w:val="22"/>
                  <w:szCs w:val="22"/>
                </w:rPr>
              </m:ctrlPr>
            </m:fPr>
            <m:num>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Z</m:t>
                  </m:r>
                </m:e>
                <m:sub>
                  <m:f>
                    <m:fPr>
                      <m:ctrlPr>
                        <w:rPr>
                          <w:rFonts w:ascii="Cambria Math" w:hAnsi="Cambria Math"/>
                          <w:i/>
                          <w:sz w:val="22"/>
                          <w:szCs w:val="22"/>
                        </w:rPr>
                      </m:ctrlPr>
                    </m:fPr>
                    <m:num>
                      <m:r>
                        <w:rPr>
                          <w:rFonts w:ascii="Cambria Math" w:hAnsi="Cambria Math"/>
                          <w:sz w:val="22"/>
                          <w:szCs w:val="22"/>
                        </w:rPr>
                        <m:t>α</m:t>
                      </m:r>
                    </m:num>
                    <m:den>
                      <m:r>
                        <w:rPr>
                          <w:rFonts w:ascii="Cambria Math" w:hAnsi="Cambria Math"/>
                          <w:sz w:val="22"/>
                          <w:szCs w:val="22"/>
                        </w:rPr>
                        <m:t>2</m:t>
                      </m:r>
                    </m:den>
                  </m:f>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Z</m:t>
                  </m:r>
                </m:e>
                <m:sub>
                  <m:r>
                    <w:rPr>
                      <w:rFonts w:ascii="Cambria Math" w:hAnsi="Cambria Math"/>
                      <w:sz w:val="22"/>
                      <w:szCs w:val="22"/>
                    </w:rPr>
                    <m:t>β</m:t>
                  </m:r>
                </m:sub>
              </m:sSub>
              <m:r>
                <w:rPr>
                  <w:rFonts w:ascii="Cambria Math" w:hAnsi="Cambria Math"/>
                  <w:sz w:val="22"/>
                  <w:szCs w:val="22"/>
                </w:rPr>
                <m:t>)</m:t>
              </m:r>
              <m:rad>
                <m:radPr>
                  <m:degHide m:val="1"/>
                  <m:ctrlPr>
                    <w:rPr>
                      <w:rFonts w:ascii="Cambria Math" w:hAnsi="Cambria Math"/>
                      <w:i/>
                      <w:sz w:val="22"/>
                      <w:szCs w:val="22"/>
                    </w:rPr>
                  </m:ctrlPr>
                </m:radPr>
                <m:deg/>
                <m:e>
                  <m:r>
                    <w:rPr>
                      <w:rFonts w:ascii="Cambria Math" w:hAnsi="Cambria Math"/>
                      <w:sz w:val="22"/>
                      <w:szCs w:val="22"/>
                    </w:rPr>
                    <m:t>V</m:t>
                  </m:r>
                  <m:sSup>
                    <m:sSupPr>
                      <m:ctrlPr>
                        <w:rPr>
                          <w:rFonts w:ascii="Cambria Math" w:hAnsi="Cambria Math"/>
                          <w:i/>
                          <w:sz w:val="22"/>
                          <w:szCs w:val="22"/>
                        </w:rPr>
                      </m:ctrlPr>
                    </m:sSupPr>
                    <m:e>
                      <m:r>
                        <w:rPr>
                          <w:rFonts w:ascii="Cambria Math" w:hAnsi="Cambria Math"/>
                          <w:sz w:val="22"/>
                          <w:szCs w:val="22"/>
                        </w:rPr>
                        <m:t>(θ)</m:t>
                      </m:r>
                    </m:e>
                    <m:sup>
                      <m:r>
                        <w:rPr>
                          <w:rFonts w:ascii="Cambria Math" w:hAnsi="Cambria Math"/>
                          <w:sz w:val="22"/>
                          <w:szCs w:val="22"/>
                        </w:rPr>
                        <m:t>2</m:t>
                      </m:r>
                    </m:sup>
                  </m:sSup>
                </m:e>
              </m:rad>
            </m:num>
            <m:den>
              <m:sSup>
                <m:sSupPr>
                  <m:ctrlPr>
                    <w:rPr>
                      <w:rFonts w:ascii="Cambria Math" w:hAnsi="Cambria Math"/>
                      <w:i/>
                      <w:sz w:val="22"/>
                      <w:szCs w:val="22"/>
                    </w:rPr>
                  </m:ctrlPr>
                </m:sSupPr>
                <m:e>
                  <m:r>
                    <w:rPr>
                      <w:rFonts w:ascii="Cambria Math" w:hAnsi="Cambria Math"/>
                      <w:sz w:val="22"/>
                      <w:szCs w:val="22"/>
                    </w:rPr>
                    <m:t>(L)</m:t>
                  </m:r>
                </m:e>
                <m:sup>
                  <m:r>
                    <w:rPr>
                      <w:rFonts w:ascii="Cambria Math" w:hAnsi="Cambria Math"/>
                      <w:sz w:val="22"/>
                      <w:szCs w:val="22"/>
                    </w:rPr>
                    <m:t>2</m:t>
                  </m:r>
                </m:sup>
              </m:sSup>
            </m:den>
          </m:f>
        </m:oMath>
      </m:oMathPara>
    </w:p>
    <w:p w14:paraId="1D9D42FD" w14:textId="77777777" w:rsidR="007C5D3A" w:rsidRPr="00F01F3A" w:rsidRDefault="007C5D3A" w:rsidP="00F35ACD">
      <w:pPr>
        <w:jc w:val="both"/>
        <w:rPr>
          <w:rFonts w:ascii="Calibri" w:hAnsi="Calibri"/>
          <w:sz w:val="22"/>
          <w:szCs w:val="22"/>
        </w:rPr>
      </w:pPr>
    </w:p>
    <w:p w14:paraId="603A8551" w14:textId="77777777" w:rsidR="001A5E31" w:rsidRPr="00F01F3A" w:rsidRDefault="001A5E31" w:rsidP="00F35ACD">
      <w:pPr>
        <w:jc w:val="both"/>
        <w:rPr>
          <w:rFonts w:ascii="Calibri" w:hAnsi="Calibri"/>
          <w:sz w:val="22"/>
          <w:szCs w:val="22"/>
        </w:rPr>
      </w:pPr>
      <w:r w:rsidRPr="00F01F3A">
        <w:rPr>
          <w:rFonts w:ascii="Calibri" w:hAnsi="Calibri"/>
          <w:sz w:val="22"/>
          <w:szCs w:val="22"/>
        </w:rPr>
        <w:t>Where Za/2 is the upper a/2 percentile of a standard normal distribution, Ζβ is the upper β percentile of a standard normal distribution where 1- β is the desired power, and L is the desired width of one-half of the CI. And the formula which links the n to be screened to statistical power, based on the prevalence:</w:t>
      </w:r>
    </w:p>
    <w:p w14:paraId="40196292" w14:textId="32D73700" w:rsidR="001A5E31" w:rsidRDefault="001A5E31" w:rsidP="00F35ACD">
      <w:pPr>
        <w:jc w:val="both"/>
        <w:rPr>
          <w:rFonts w:ascii="Calibri" w:hAnsi="Calibri"/>
          <w:sz w:val="22"/>
          <w:szCs w:val="22"/>
        </w:rPr>
      </w:pPr>
    </w:p>
    <w:p w14:paraId="696D6822" w14:textId="2B822FA8" w:rsidR="007C5D3A" w:rsidRPr="007C5D3A" w:rsidRDefault="00C62BE8" w:rsidP="00F35ACD">
      <w:pPr>
        <w:jc w:val="both"/>
        <w:rPr>
          <w:rFonts w:ascii="Calibri" w:eastAsiaTheme="minorEastAsia" w:hAnsi="Calibri"/>
          <w:sz w:val="22"/>
          <w:szCs w:val="22"/>
        </w:rPr>
      </w:pPr>
      <m:oMathPara>
        <m:oMath>
          <m:f>
            <m:fPr>
              <m:ctrlPr>
                <w:rPr>
                  <w:rFonts w:ascii="Cambria Math" w:hAnsi="Cambria Math"/>
                  <w:i/>
                  <w:sz w:val="22"/>
                  <w:szCs w:val="22"/>
                </w:rPr>
              </m:ctrlPr>
            </m:fPr>
            <m:num>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total</m:t>
                      </m:r>
                    </m:sub>
                  </m:sSub>
                  <m:r>
                    <w:rPr>
                      <w:rFonts w:ascii="Cambria Math" w:hAnsi="Cambria Math"/>
                      <w:sz w:val="22"/>
                      <w:szCs w:val="22"/>
                    </w:rPr>
                    <m:t xml:space="preserve"> × </m:t>
                  </m:r>
                  <m:sSub>
                    <m:sSubPr>
                      <m:ctrlPr>
                        <w:rPr>
                          <w:rFonts w:ascii="Cambria Math" w:hAnsi="Cambria Math"/>
                          <w:i/>
                          <w:sz w:val="22"/>
                          <w:szCs w:val="22"/>
                        </w:rPr>
                      </m:ctrlPr>
                    </m:sSubPr>
                    <m:e>
                      <m:r>
                        <w:rPr>
                          <w:rFonts w:ascii="Cambria Math" w:hAnsi="Cambria Math"/>
                          <w:sz w:val="22"/>
                          <w:szCs w:val="22"/>
                        </w:rPr>
                        <m:t>Prev</m:t>
                      </m:r>
                    </m:e>
                    <m:sub>
                      <m:r>
                        <w:rPr>
                          <w:rFonts w:ascii="Cambria Math" w:hAnsi="Cambria Math"/>
                          <w:sz w:val="22"/>
                          <w:szCs w:val="22"/>
                        </w:rPr>
                        <m:t>p</m:t>
                      </m:r>
                    </m:sub>
                  </m:sSub>
                </m:e>
              </m:d>
              <m:r>
                <w:rPr>
                  <w:rFonts w:ascii="Cambria Math" w:hAnsi="Cambria Math"/>
                  <w:sz w:val="22"/>
                  <w:szCs w:val="22"/>
                </w:rPr>
                <m:t>-n</m:t>
              </m:r>
            </m:num>
            <m:den>
              <m:rad>
                <m:radPr>
                  <m:degHide m:val="1"/>
                  <m:ctrlPr>
                    <w:rPr>
                      <w:rFonts w:ascii="Cambria Math" w:hAnsi="Cambria Math"/>
                      <w:i/>
                      <w:sz w:val="22"/>
                      <w:szCs w:val="22"/>
                    </w:rPr>
                  </m:ctrlPr>
                </m:radPr>
                <m:deg/>
                <m:e>
                  <m:sSub>
                    <m:sSubPr>
                      <m:ctrlPr>
                        <w:rPr>
                          <w:rFonts w:ascii="Cambria Math" w:hAnsi="Cambria Math"/>
                          <w:i/>
                          <w:sz w:val="22"/>
                          <w:szCs w:val="22"/>
                        </w:rPr>
                      </m:ctrlPr>
                    </m:sSubPr>
                    <m:e>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total</m:t>
                          </m:r>
                        </m:sub>
                      </m:sSub>
                      <m:r>
                        <w:rPr>
                          <w:rFonts w:ascii="Cambria Math" w:hAnsi="Cambria Math"/>
                          <w:sz w:val="22"/>
                          <w:szCs w:val="22"/>
                        </w:rPr>
                        <m:t xml:space="preserve"> × Prev</m:t>
                      </m:r>
                    </m:e>
                    <m:sub>
                      <m:r>
                        <w:rPr>
                          <w:rFonts w:ascii="Cambria Math" w:hAnsi="Cambria Math"/>
                          <w:sz w:val="22"/>
                          <w:szCs w:val="22"/>
                        </w:rPr>
                        <m:t>p</m:t>
                      </m:r>
                    </m:sub>
                  </m:sSub>
                  <m:r>
                    <w:rPr>
                      <w:rFonts w:ascii="Cambria Math" w:hAnsi="Cambria Math"/>
                      <w:sz w:val="22"/>
                      <w:szCs w:val="22"/>
                    </w:rPr>
                    <m:t xml:space="preserve"> × (1-</m:t>
                  </m:r>
                  <m:sSub>
                    <m:sSubPr>
                      <m:ctrlPr>
                        <w:rPr>
                          <w:rFonts w:ascii="Cambria Math" w:hAnsi="Cambria Math"/>
                          <w:i/>
                          <w:sz w:val="22"/>
                          <w:szCs w:val="22"/>
                        </w:rPr>
                      </m:ctrlPr>
                    </m:sSubPr>
                    <m:e>
                      <m:r>
                        <w:rPr>
                          <w:rFonts w:ascii="Cambria Math" w:hAnsi="Cambria Math"/>
                          <w:sz w:val="22"/>
                          <w:szCs w:val="22"/>
                        </w:rPr>
                        <m:t>Prev</m:t>
                      </m:r>
                    </m:e>
                    <m:sub>
                      <m:r>
                        <w:rPr>
                          <w:rFonts w:ascii="Cambria Math" w:hAnsi="Cambria Math"/>
                          <w:sz w:val="22"/>
                          <w:szCs w:val="22"/>
                        </w:rPr>
                        <m:t>p</m:t>
                      </m:r>
                    </m:sub>
                  </m:sSub>
                  <m:r>
                    <w:rPr>
                      <w:rFonts w:ascii="Cambria Math" w:hAnsi="Cambria Math"/>
                      <w:sz w:val="22"/>
                      <w:szCs w:val="22"/>
                    </w:rPr>
                    <m:t>)</m:t>
                  </m:r>
                </m:e>
              </m:rad>
            </m:den>
          </m:f>
          <m:r>
            <w:rPr>
              <w:rFonts w:ascii="Cambria Math" w:hAnsi="Cambria Math"/>
              <w:sz w:val="22"/>
              <w:szCs w:val="22"/>
            </w:rPr>
            <m:t xml:space="preserve"> = </m:t>
          </m:r>
          <m:sSub>
            <m:sSubPr>
              <m:ctrlPr>
                <w:rPr>
                  <w:rFonts w:ascii="Cambria Math" w:hAnsi="Cambria Math"/>
                  <w:i/>
                  <w:sz w:val="22"/>
                  <w:szCs w:val="22"/>
                </w:rPr>
              </m:ctrlPr>
            </m:sSubPr>
            <m:e>
              <m:r>
                <w:rPr>
                  <w:rFonts w:ascii="Cambria Math" w:hAnsi="Cambria Math"/>
                  <w:sz w:val="22"/>
                  <w:szCs w:val="22"/>
                </w:rPr>
                <m:t>Z</m:t>
              </m:r>
            </m:e>
            <m:sub>
              <m:r>
                <w:rPr>
                  <w:rFonts w:ascii="Cambria Math" w:hAnsi="Cambria Math"/>
                  <w:sz w:val="22"/>
                  <w:szCs w:val="22"/>
                </w:rPr>
                <m:t>β</m:t>
              </m:r>
            </m:sub>
          </m:sSub>
        </m:oMath>
      </m:oMathPara>
    </w:p>
    <w:p w14:paraId="3C6B0EA2" w14:textId="77777777" w:rsidR="007C5D3A" w:rsidRPr="00F01F3A" w:rsidRDefault="007C5D3A" w:rsidP="00F35ACD">
      <w:pPr>
        <w:jc w:val="both"/>
        <w:rPr>
          <w:rFonts w:ascii="Calibri" w:hAnsi="Calibri"/>
          <w:sz w:val="22"/>
          <w:szCs w:val="22"/>
        </w:rPr>
      </w:pPr>
    </w:p>
    <w:p w14:paraId="1603EB31" w14:textId="4B695654" w:rsidR="00EB0608" w:rsidRPr="00F01F3A" w:rsidRDefault="001A5E31" w:rsidP="00F35ACD">
      <w:pPr>
        <w:jc w:val="both"/>
        <w:rPr>
          <w:rFonts w:ascii="Calibri" w:hAnsi="Calibri"/>
          <w:sz w:val="22"/>
          <w:szCs w:val="22"/>
        </w:rPr>
      </w:pPr>
      <w:r w:rsidRPr="00F01F3A">
        <w:rPr>
          <w:rFonts w:ascii="Calibri" w:hAnsi="Calibri"/>
          <w:sz w:val="22"/>
          <w:szCs w:val="22"/>
        </w:rPr>
        <w:t xml:space="preserve">Where </w:t>
      </w:r>
      <w:proofErr w:type="spellStart"/>
      <w:r w:rsidRPr="00F01F3A">
        <w:rPr>
          <w:rFonts w:ascii="Calibri" w:hAnsi="Calibri"/>
          <w:sz w:val="22"/>
          <w:szCs w:val="22"/>
        </w:rPr>
        <w:t>Prevp</w:t>
      </w:r>
      <w:proofErr w:type="spellEnd"/>
      <w:r w:rsidRPr="00F01F3A">
        <w:rPr>
          <w:rFonts w:ascii="Calibri" w:hAnsi="Calibri"/>
          <w:sz w:val="22"/>
          <w:szCs w:val="22"/>
        </w:rPr>
        <w:t xml:space="preserve"> is the prevalence, and n is the n from the calculation above.</w:t>
      </w:r>
    </w:p>
    <w:p w14:paraId="2321A7C3" w14:textId="77777777" w:rsidR="00F35ACD" w:rsidRPr="00F01F3A" w:rsidRDefault="00F35ACD" w:rsidP="00F35ACD">
      <w:pPr>
        <w:jc w:val="both"/>
        <w:rPr>
          <w:rFonts w:ascii="Calibri" w:hAnsi="Calibri"/>
          <w:sz w:val="22"/>
          <w:szCs w:val="22"/>
        </w:rPr>
      </w:pPr>
    </w:p>
    <w:p w14:paraId="25A522F6" w14:textId="6BF1D628" w:rsidR="00EB0608" w:rsidRPr="00F01F3A" w:rsidRDefault="00EB0608" w:rsidP="00F35ACD">
      <w:pPr>
        <w:jc w:val="center"/>
        <w:rPr>
          <w:rFonts w:ascii="Calibri" w:hAnsi="Calibri"/>
          <w:sz w:val="22"/>
          <w:szCs w:val="22"/>
        </w:rPr>
      </w:pPr>
      <w:r w:rsidRPr="00F01F3A">
        <w:rPr>
          <w:rFonts w:ascii="Calibri" w:hAnsi="Calibri"/>
          <w:b/>
          <w:sz w:val="22"/>
          <w:szCs w:val="22"/>
        </w:rPr>
        <w:t>Table 1.</w:t>
      </w:r>
      <w:r w:rsidRPr="00F01F3A">
        <w:rPr>
          <w:rFonts w:ascii="Calibri" w:hAnsi="Calibri"/>
          <w:sz w:val="22"/>
          <w:szCs w:val="22"/>
        </w:rPr>
        <w:t xml:space="preserve"> Sample size needed to estimate sensitivity/specificity with the given CI, with 80% power and 5% significance level</w:t>
      </w:r>
    </w:p>
    <w:tbl>
      <w:tblPr>
        <w:tblStyle w:val="GridTable4-Accent3"/>
        <w:tblW w:w="7938" w:type="dxa"/>
        <w:jc w:val="center"/>
        <w:tblLook w:val="04A0" w:firstRow="1" w:lastRow="0" w:firstColumn="1" w:lastColumn="0" w:noHBand="0" w:noVBand="1"/>
      </w:tblPr>
      <w:tblGrid>
        <w:gridCol w:w="1943"/>
        <w:gridCol w:w="1652"/>
        <w:gridCol w:w="1648"/>
        <w:gridCol w:w="1198"/>
        <w:gridCol w:w="1497"/>
      </w:tblGrid>
      <w:tr w:rsidR="00EB0608" w:rsidRPr="00F01F3A" w14:paraId="15FA0A1F" w14:textId="77777777" w:rsidTr="00AF0C4B">
        <w:trPr>
          <w:cnfStyle w:val="100000000000" w:firstRow="1" w:lastRow="0" w:firstColumn="0" w:lastColumn="0" w:oddVBand="0" w:evenVBand="0" w:oddHBand="0"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B3B07D7" w14:textId="77777777" w:rsidR="00EB0608" w:rsidRPr="00F01F3A" w:rsidRDefault="00EB0608" w:rsidP="00F35ACD">
            <w:pPr>
              <w:jc w:val="both"/>
              <w:rPr>
                <w:rFonts w:ascii="Calibri" w:hAnsi="Calibri" w:cs="Calibri"/>
                <w:b w:val="0"/>
                <w:bCs w:val="0"/>
                <w:sz w:val="16"/>
                <w:szCs w:val="16"/>
              </w:rPr>
            </w:pPr>
            <w:r w:rsidRPr="00F01F3A">
              <w:rPr>
                <w:rFonts w:ascii="Calibri" w:hAnsi="Calibri" w:cs="Calibri"/>
                <w:sz w:val="16"/>
                <w:szCs w:val="16"/>
              </w:rPr>
              <w:t>Sensitivity / Specificity (expected for index test)</w:t>
            </w:r>
          </w:p>
        </w:tc>
        <w:tc>
          <w:tcPr>
            <w:tcW w:w="1564" w:type="dxa"/>
            <w:noWrap/>
            <w:hideMark/>
          </w:tcPr>
          <w:p w14:paraId="32A8A018" w14:textId="77777777" w:rsidR="00EB0608" w:rsidRPr="00F01F3A" w:rsidRDefault="00EB0608" w:rsidP="00F35ACD">
            <w:p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6"/>
                <w:szCs w:val="16"/>
              </w:rPr>
            </w:pPr>
            <w:r w:rsidRPr="00F01F3A">
              <w:rPr>
                <w:rFonts w:ascii="Calibri" w:hAnsi="Calibri" w:cs="Calibri"/>
                <w:sz w:val="16"/>
                <w:szCs w:val="16"/>
              </w:rPr>
              <w:t>Error Margin (half width CI)</w:t>
            </w:r>
          </w:p>
        </w:tc>
        <w:tc>
          <w:tcPr>
            <w:tcW w:w="1560" w:type="dxa"/>
            <w:noWrap/>
            <w:hideMark/>
          </w:tcPr>
          <w:p w14:paraId="0A127C28" w14:textId="77777777" w:rsidR="00EB0608" w:rsidRPr="00F01F3A" w:rsidRDefault="00EB0608" w:rsidP="00F35ACD">
            <w:p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6"/>
                <w:szCs w:val="16"/>
              </w:rPr>
            </w:pPr>
            <w:r w:rsidRPr="00F01F3A">
              <w:rPr>
                <w:rFonts w:ascii="Calibri" w:hAnsi="Calibri" w:cs="Calibri"/>
                <w:sz w:val="16"/>
                <w:szCs w:val="16"/>
              </w:rPr>
              <w:t>Disease Prevalence</w:t>
            </w:r>
          </w:p>
        </w:tc>
        <w:tc>
          <w:tcPr>
            <w:tcW w:w="1134" w:type="dxa"/>
            <w:noWrap/>
            <w:hideMark/>
          </w:tcPr>
          <w:p w14:paraId="0231D04B" w14:textId="77777777" w:rsidR="00EB0608" w:rsidRPr="00F01F3A" w:rsidRDefault="00EB0608" w:rsidP="00F35ACD">
            <w:p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6"/>
                <w:szCs w:val="16"/>
              </w:rPr>
            </w:pPr>
            <w:r w:rsidRPr="00F01F3A">
              <w:rPr>
                <w:rFonts w:ascii="Calibri" w:hAnsi="Calibri" w:cs="Calibri"/>
                <w:sz w:val="16"/>
                <w:szCs w:val="16"/>
              </w:rPr>
              <w:t xml:space="preserve">n Positives / </w:t>
            </w:r>
          </w:p>
          <w:p w14:paraId="4C1084D8" w14:textId="77777777" w:rsidR="00EB0608" w:rsidRPr="00F01F3A" w:rsidRDefault="00EB0608" w:rsidP="00F35ACD">
            <w:p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6"/>
                <w:szCs w:val="16"/>
              </w:rPr>
            </w:pPr>
            <w:r w:rsidRPr="00F01F3A">
              <w:rPr>
                <w:rFonts w:ascii="Calibri" w:hAnsi="Calibri" w:cs="Calibri"/>
                <w:sz w:val="16"/>
                <w:szCs w:val="16"/>
              </w:rPr>
              <w:t>n Negatives</w:t>
            </w:r>
          </w:p>
        </w:tc>
        <w:tc>
          <w:tcPr>
            <w:tcW w:w="1417" w:type="dxa"/>
            <w:noWrap/>
            <w:hideMark/>
          </w:tcPr>
          <w:p w14:paraId="30C523C5" w14:textId="77777777" w:rsidR="00EB0608" w:rsidRPr="00F01F3A" w:rsidRDefault="00EB0608" w:rsidP="00F35ACD">
            <w:pPr>
              <w:jc w:val="both"/>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6"/>
                <w:szCs w:val="16"/>
              </w:rPr>
            </w:pPr>
            <w:r w:rsidRPr="00F01F3A">
              <w:rPr>
                <w:rFonts w:ascii="Calibri" w:hAnsi="Calibri" w:cs="Calibri"/>
                <w:sz w:val="16"/>
                <w:szCs w:val="16"/>
              </w:rPr>
              <w:t>N Total to Screen</w:t>
            </w:r>
          </w:p>
        </w:tc>
      </w:tr>
      <w:tr w:rsidR="00EB0608" w:rsidRPr="00F01F3A" w14:paraId="2E309F12" w14:textId="77777777" w:rsidTr="00AF0C4B">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462FAAA" w14:textId="77777777" w:rsidR="00EB0608" w:rsidRPr="00F01F3A" w:rsidRDefault="00EB0608" w:rsidP="00F35ACD">
            <w:pPr>
              <w:jc w:val="both"/>
              <w:rPr>
                <w:rFonts w:ascii="Calibri" w:hAnsi="Calibri" w:cs="Calibri"/>
                <w:sz w:val="16"/>
                <w:szCs w:val="16"/>
              </w:rPr>
            </w:pPr>
            <w:r w:rsidRPr="00F01F3A">
              <w:rPr>
                <w:rFonts w:ascii="Calibri" w:hAnsi="Calibri" w:cs="Calibri"/>
                <w:sz w:val="16"/>
                <w:szCs w:val="16"/>
              </w:rPr>
              <w:t>95%</w:t>
            </w:r>
          </w:p>
        </w:tc>
        <w:tc>
          <w:tcPr>
            <w:tcW w:w="1564" w:type="dxa"/>
            <w:noWrap/>
            <w:hideMark/>
          </w:tcPr>
          <w:p w14:paraId="54371676"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2.50%</w:t>
            </w:r>
          </w:p>
        </w:tc>
        <w:tc>
          <w:tcPr>
            <w:tcW w:w="1560" w:type="dxa"/>
            <w:noWrap/>
            <w:hideMark/>
          </w:tcPr>
          <w:p w14:paraId="60658A60"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5%</w:t>
            </w:r>
          </w:p>
        </w:tc>
        <w:tc>
          <w:tcPr>
            <w:tcW w:w="1134" w:type="dxa"/>
            <w:noWrap/>
            <w:hideMark/>
          </w:tcPr>
          <w:p w14:paraId="327A7917"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597</w:t>
            </w:r>
          </w:p>
        </w:tc>
        <w:tc>
          <w:tcPr>
            <w:tcW w:w="1417" w:type="dxa"/>
            <w:noWrap/>
            <w:hideMark/>
          </w:tcPr>
          <w:p w14:paraId="1F8436A2"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12338</w:t>
            </w:r>
          </w:p>
        </w:tc>
      </w:tr>
      <w:tr w:rsidR="00EB0608" w:rsidRPr="00F01F3A" w14:paraId="0345B65B" w14:textId="77777777" w:rsidTr="00AF0C4B">
        <w:trPr>
          <w:trHeight w:val="142"/>
          <w:jc w:val="center"/>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A53548D" w14:textId="77777777" w:rsidR="00EB0608" w:rsidRPr="00F01F3A" w:rsidRDefault="00EB0608" w:rsidP="00F35ACD">
            <w:pPr>
              <w:jc w:val="both"/>
              <w:rPr>
                <w:rFonts w:ascii="Calibri" w:hAnsi="Calibri" w:cs="Calibri"/>
                <w:sz w:val="16"/>
                <w:szCs w:val="16"/>
              </w:rPr>
            </w:pPr>
            <w:r w:rsidRPr="00F01F3A">
              <w:rPr>
                <w:rFonts w:ascii="Calibri" w:hAnsi="Calibri" w:cs="Calibri"/>
                <w:sz w:val="16"/>
                <w:szCs w:val="16"/>
              </w:rPr>
              <w:t>98%</w:t>
            </w:r>
          </w:p>
        </w:tc>
        <w:tc>
          <w:tcPr>
            <w:tcW w:w="1564" w:type="dxa"/>
            <w:noWrap/>
            <w:hideMark/>
          </w:tcPr>
          <w:p w14:paraId="09DF64FE"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2.50%</w:t>
            </w:r>
          </w:p>
        </w:tc>
        <w:tc>
          <w:tcPr>
            <w:tcW w:w="1560" w:type="dxa"/>
            <w:noWrap/>
            <w:hideMark/>
          </w:tcPr>
          <w:p w14:paraId="5A32077D"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5%</w:t>
            </w:r>
          </w:p>
        </w:tc>
        <w:tc>
          <w:tcPr>
            <w:tcW w:w="1134" w:type="dxa"/>
            <w:noWrap/>
            <w:hideMark/>
          </w:tcPr>
          <w:p w14:paraId="4C562E7C"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247</w:t>
            </w:r>
          </w:p>
        </w:tc>
        <w:tc>
          <w:tcPr>
            <w:tcW w:w="1417" w:type="dxa"/>
            <w:noWrap/>
            <w:hideMark/>
          </w:tcPr>
          <w:p w14:paraId="2142305A"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5188</w:t>
            </w:r>
          </w:p>
        </w:tc>
      </w:tr>
      <w:tr w:rsidR="00EB0608" w:rsidRPr="00F01F3A" w14:paraId="1B21C883" w14:textId="77777777" w:rsidTr="00AF0C4B">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4716361" w14:textId="77777777" w:rsidR="00EB0608" w:rsidRPr="00F01F3A" w:rsidRDefault="00EB0608" w:rsidP="00F35ACD">
            <w:pPr>
              <w:jc w:val="both"/>
              <w:rPr>
                <w:rFonts w:ascii="Calibri" w:hAnsi="Calibri" w:cs="Calibri"/>
                <w:sz w:val="16"/>
                <w:szCs w:val="16"/>
              </w:rPr>
            </w:pPr>
            <w:r w:rsidRPr="00F01F3A">
              <w:rPr>
                <w:rFonts w:ascii="Calibri" w:hAnsi="Calibri" w:cs="Calibri"/>
                <w:sz w:val="16"/>
                <w:szCs w:val="16"/>
              </w:rPr>
              <w:t>95%</w:t>
            </w:r>
          </w:p>
        </w:tc>
        <w:tc>
          <w:tcPr>
            <w:tcW w:w="1564" w:type="dxa"/>
            <w:noWrap/>
            <w:hideMark/>
          </w:tcPr>
          <w:p w14:paraId="2CFE3B10"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2.50%</w:t>
            </w:r>
          </w:p>
        </w:tc>
        <w:tc>
          <w:tcPr>
            <w:tcW w:w="1560" w:type="dxa"/>
            <w:noWrap/>
            <w:hideMark/>
          </w:tcPr>
          <w:p w14:paraId="302C8F7C"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10%</w:t>
            </w:r>
          </w:p>
        </w:tc>
        <w:tc>
          <w:tcPr>
            <w:tcW w:w="1134" w:type="dxa"/>
            <w:noWrap/>
            <w:hideMark/>
          </w:tcPr>
          <w:p w14:paraId="38894424"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597</w:t>
            </w:r>
          </w:p>
        </w:tc>
        <w:tc>
          <w:tcPr>
            <w:tcW w:w="1417" w:type="dxa"/>
            <w:noWrap/>
            <w:hideMark/>
          </w:tcPr>
          <w:p w14:paraId="0507E67C"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6164</w:t>
            </w:r>
          </w:p>
        </w:tc>
      </w:tr>
      <w:tr w:rsidR="00EB0608" w:rsidRPr="00F01F3A" w14:paraId="2A81DE99" w14:textId="77777777" w:rsidTr="00AF0C4B">
        <w:trPr>
          <w:trHeight w:val="142"/>
          <w:jc w:val="center"/>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A161C88" w14:textId="77777777" w:rsidR="00EB0608" w:rsidRPr="00F01F3A" w:rsidRDefault="00EB0608" w:rsidP="00F35ACD">
            <w:pPr>
              <w:jc w:val="both"/>
              <w:rPr>
                <w:rFonts w:ascii="Calibri" w:hAnsi="Calibri" w:cs="Calibri"/>
                <w:sz w:val="16"/>
                <w:szCs w:val="16"/>
              </w:rPr>
            </w:pPr>
            <w:r w:rsidRPr="00F01F3A">
              <w:rPr>
                <w:rFonts w:ascii="Calibri" w:hAnsi="Calibri" w:cs="Calibri"/>
                <w:sz w:val="16"/>
                <w:szCs w:val="16"/>
              </w:rPr>
              <w:t>98%</w:t>
            </w:r>
          </w:p>
        </w:tc>
        <w:tc>
          <w:tcPr>
            <w:tcW w:w="1564" w:type="dxa"/>
            <w:noWrap/>
            <w:hideMark/>
          </w:tcPr>
          <w:p w14:paraId="3D519088"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2.50%</w:t>
            </w:r>
          </w:p>
        </w:tc>
        <w:tc>
          <w:tcPr>
            <w:tcW w:w="1560" w:type="dxa"/>
            <w:noWrap/>
            <w:hideMark/>
          </w:tcPr>
          <w:p w14:paraId="7D228672"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10%</w:t>
            </w:r>
          </w:p>
        </w:tc>
        <w:tc>
          <w:tcPr>
            <w:tcW w:w="1134" w:type="dxa"/>
            <w:noWrap/>
            <w:hideMark/>
          </w:tcPr>
          <w:p w14:paraId="308CC9D6"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247</w:t>
            </w:r>
          </w:p>
        </w:tc>
        <w:tc>
          <w:tcPr>
            <w:tcW w:w="1417" w:type="dxa"/>
            <w:noWrap/>
            <w:hideMark/>
          </w:tcPr>
          <w:p w14:paraId="2427EB7D"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2590</w:t>
            </w:r>
          </w:p>
        </w:tc>
      </w:tr>
      <w:tr w:rsidR="00EB0608" w:rsidRPr="00F01F3A" w14:paraId="5BCAF5DB" w14:textId="77777777" w:rsidTr="00AF0C4B">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838" w:type="dxa"/>
            <w:noWrap/>
            <w:hideMark/>
          </w:tcPr>
          <w:p w14:paraId="5345524C" w14:textId="77777777" w:rsidR="00EB0608" w:rsidRPr="00F01F3A" w:rsidRDefault="00EB0608" w:rsidP="00F35ACD">
            <w:pPr>
              <w:jc w:val="both"/>
              <w:rPr>
                <w:rFonts w:ascii="Calibri" w:hAnsi="Calibri" w:cs="Calibri"/>
                <w:sz w:val="16"/>
                <w:szCs w:val="16"/>
              </w:rPr>
            </w:pPr>
            <w:r w:rsidRPr="00F01F3A">
              <w:rPr>
                <w:rFonts w:ascii="Calibri" w:hAnsi="Calibri" w:cs="Calibri"/>
                <w:sz w:val="16"/>
                <w:szCs w:val="16"/>
              </w:rPr>
              <w:t>95%</w:t>
            </w:r>
          </w:p>
        </w:tc>
        <w:tc>
          <w:tcPr>
            <w:tcW w:w="1564" w:type="dxa"/>
            <w:noWrap/>
            <w:hideMark/>
          </w:tcPr>
          <w:p w14:paraId="257308B9"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2.50%</w:t>
            </w:r>
          </w:p>
        </w:tc>
        <w:tc>
          <w:tcPr>
            <w:tcW w:w="1560" w:type="dxa"/>
            <w:noWrap/>
            <w:hideMark/>
          </w:tcPr>
          <w:p w14:paraId="49227640"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15%</w:t>
            </w:r>
          </w:p>
        </w:tc>
        <w:tc>
          <w:tcPr>
            <w:tcW w:w="1134" w:type="dxa"/>
            <w:noWrap/>
            <w:hideMark/>
          </w:tcPr>
          <w:p w14:paraId="4A1F554F"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597</w:t>
            </w:r>
          </w:p>
        </w:tc>
        <w:tc>
          <w:tcPr>
            <w:tcW w:w="1417" w:type="dxa"/>
            <w:noWrap/>
            <w:hideMark/>
          </w:tcPr>
          <w:p w14:paraId="2F188C4B"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4106</w:t>
            </w:r>
          </w:p>
        </w:tc>
      </w:tr>
      <w:tr w:rsidR="00EB0608" w:rsidRPr="00F01F3A" w14:paraId="12DAD501" w14:textId="77777777" w:rsidTr="00AF0C4B">
        <w:trPr>
          <w:trHeight w:val="142"/>
          <w:jc w:val="center"/>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446BFE2" w14:textId="77777777" w:rsidR="00EB0608" w:rsidRPr="00F01F3A" w:rsidRDefault="00EB0608" w:rsidP="00F35ACD">
            <w:pPr>
              <w:jc w:val="both"/>
              <w:rPr>
                <w:rFonts w:ascii="Calibri" w:hAnsi="Calibri" w:cs="Calibri"/>
                <w:sz w:val="16"/>
                <w:szCs w:val="16"/>
              </w:rPr>
            </w:pPr>
            <w:r w:rsidRPr="00F01F3A">
              <w:rPr>
                <w:rFonts w:ascii="Calibri" w:hAnsi="Calibri" w:cs="Calibri"/>
                <w:sz w:val="16"/>
                <w:szCs w:val="16"/>
              </w:rPr>
              <w:t>98%</w:t>
            </w:r>
          </w:p>
        </w:tc>
        <w:tc>
          <w:tcPr>
            <w:tcW w:w="1564" w:type="dxa"/>
            <w:noWrap/>
            <w:hideMark/>
          </w:tcPr>
          <w:p w14:paraId="793BF519"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2.50%</w:t>
            </w:r>
          </w:p>
        </w:tc>
        <w:tc>
          <w:tcPr>
            <w:tcW w:w="1560" w:type="dxa"/>
            <w:noWrap/>
            <w:hideMark/>
          </w:tcPr>
          <w:p w14:paraId="0C36C289"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15%</w:t>
            </w:r>
          </w:p>
        </w:tc>
        <w:tc>
          <w:tcPr>
            <w:tcW w:w="1134" w:type="dxa"/>
            <w:noWrap/>
            <w:hideMark/>
          </w:tcPr>
          <w:p w14:paraId="2BD1BE63"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247</w:t>
            </w:r>
          </w:p>
        </w:tc>
        <w:tc>
          <w:tcPr>
            <w:tcW w:w="1417" w:type="dxa"/>
            <w:noWrap/>
            <w:hideMark/>
          </w:tcPr>
          <w:p w14:paraId="2881B3C8"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1725</w:t>
            </w:r>
          </w:p>
        </w:tc>
      </w:tr>
      <w:tr w:rsidR="00EB0608" w:rsidRPr="00F01F3A" w14:paraId="3153BC96" w14:textId="77777777" w:rsidTr="00AF0C4B">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02A3691" w14:textId="77777777" w:rsidR="00EB0608" w:rsidRPr="00F01F3A" w:rsidRDefault="00EB0608" w:rsidP="00F35ACD">
            <w:pPr>
              <w:jc w:val="both"/>
              <w:rPr>
                <w:rFonts w:ascii="Calibri" w:hAnsi="Calibri" w:cs="Calibri"/>
                <w:sz w:val="16"/>
                <w:szCs w:val="16"/>
              </w:rPr>
            </w:pPr>
            <w:r w:rsidRPr="00F01F3A">
              <w:rPr>
                <w:rFonts w:ascii="Calibri" w:hAnsi="Calibri" w:cs="Calibri"/>
                <w:sz w:val="16"/>
                <w:szCs w:val="16"/>
              </w:rPr>
              <w:t>95%</w:t>
            </w:r>
          </w:p>
        </w:tc>
        <w:tc>
          <w:tcPr>
            <w:tcW w:w="1564" w:type="dxa"/>
            <w:noWrap/>
            <w:hideMark/>
          </w:tcPr>
          <w:p w14:paraId="1E7C4327"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2.50%</w:t>
            </w:r>
          </w:p>
        </w:tc>
        <w:tc>
          <w:tcPr>
            <w:tcW w:w="1560" w:type="dxa"/>
            <w:noWrap/>
            <w:hideMark/>
          </w:tcPr>
          <w:p w14:paraId="2028E6FE"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20%</w:t>
            </w:r>
          </w:p>
        </w:tc>
        <w:tc>
          <w:tcPr>
            <w:tcW w:w="1134" w:type="dxa"/>
            <w:noWrap/>
            <w:hideMark/>
          </w:tcPr>
          <w:p w14:paraId="5C325E1C"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597</w:t>
            </w:r>
          </w:p>
        </w:tc>
        <w:tc>
          <w:tcPr>
            <w:tcW w:w="1417" w:type="dxa"/>
            <w:noWrap/>
            <w:hideMark/>
          </w:tcPr>
          <w:p w14:paraId="13514F16" w14:textId="77777777" w:rsidR="00EB0608" w:rsidRPr="00F01F3A" w:rsidRDefault="00EB0608" w:rsidP="00F35AC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3076</w:t>
            </w:r>
          </w:p>
        </w:tc>
      </w:tr>
      <w:tr w:rsidR="00EB0608" w:rsidRPr="00F01F3A" w14:paraId="41BCC31D" w14:textId="77777777" w:rsidTr="00AF0C4B">
        <w:trPr>
          <w:trHeight w:val="142"/>
          <w:jc w:val="center"/>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47685CE" w14:textId="77777777" w:rsidR="00EB0608" w:rsidRPr="00F01F3A" w:rsidRDefault="00EB0608" w:rsidP="00F35ACD">
            <w:pPr>
              <w:jc w:val="both"/>
              <w:rPr>
                <w:rFonts w:ascii="Calibri" w:hAnsi="Calibri" w:cs="Calibri"/>
                <w:sz w:val="16"/>
                <w:szCs w:val="16"/>
              </w:rPr>
            </w:pPr>
            <w:r w:rsidRPr="00F01F3A">
              <w:rPr>
                <w:rFonts w:ascii="Calibri" w:hAnsi="Calibri" w:cs="Calibri"/>
                <w:sz w:val="16"/>
                <w:szCs w:val="16"/>
              </w:rPr>
              <w:t>98%</w:t>
            </w:r>
          </w:p>
        </w:tc>
        <w:tc>
          <w:tcPr>
            <w:tcW w:w="1564" w:type="dxa"/>
            <w:noWrap/>
            <w:hideMark/>
          </w:tcPr>
          <w:p w14:paraId="01F81C56"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2.50%</w:t>
            </w:r>
          </w:p>
        </w:tc>
        <w:tc>
          <w:tcPr>
            <w:tcW w:w="1560" w:type="dxa"/>
            <w:noWrap/>
            <w:hideMark/>
          </w:tcPr>
          <w:p w14:paraId="2663C352"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20%</w:t>
            </w:r>
          </w:p>
        </w:tc>
        <w:tc>
          <w:tcPr>
            <w:tcW w:w="1134" w:type="dxa"/>
            <w:noWrap/>
            <w:hideMark/>
          </w:tcPr>
          <w:p w14:paraId="5C48DD7B"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247</w:t>
            </w:r>
          </w:p>
        </w:tc>
        <w:tc>
          <w:tcPr>
            <w:tcW w:w="1417" w:type="dxa"/>
            <w:noWrap/>
            <w:hideMark/>
          </w:tcPr>
          <w:p w14:paraId="7265AD78" w14:textId="77777777" w:rsidR="00EB0608" w:rsidRPr="00F01F3A" w:rsidRDefault="00EB0608" w:rsidP="00F35ACD">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1292</w:t>
            </w:r>
          </w:p>
        </w:tc>
      </w:tr>
    </w:tbl>
    <w:p w14:paraId="7ABD4E74" w14:textId="77777777" w:rsidR="00EB0608" w:rsidRPr="00F01F3A" w:rsidRDefault="00EB0608" w:rsidP="00F35ACD">
      <w:pPr>
        <w:rPr>
          <w:rFonts w:ascii="Calibri" w:hAnsi="Calibri"/>
          <w:b/>
          <w:bCs/>
          <w:sz w:val="22"/>
          <w:szCs w:val="22"/>
        </w:rPr>
      </w:pPr>
    </w:p>
    <w:p w14:paraId="0BC44C6A" w14:textId="77777777" w:rsidR="006B1B31" w:rsidRPr="00F01F3A" w:rsidRDefault="00EB0608" w:rsidP="00F35ACD">
      <w:pPr>
        <w:jc w:val="both"/>
        <w:rPr>
          <w:rFonts w:ascii="Calibri" w:hAnsi="Calibri"/>
          <w:sz w:val="22"/>
          <w:szCs w:val="22"/>
        </w:rPr>
      </w:pPr>
      <w:r w:rsidRPr="00F01F3A">
        <w:rPr>
          <w:rFonts w:ascii="Calibri" w:hAnsi="Calibri"/>
          <w:sz w:val="22"/>
          <w:szCs w:val="22"/>
        </w:rPr>
        <w:t>For precision, recommended to work with a maximum width of the 95% CI of 5% (+/- 2.5%). If researchers prefer to reduce the sample size, or if it is not feasible to perform the study with such a sample size, first consider decreasing the statistical power (from 90 to 80%). Secondarily, widening the CI. Estimations should be reviewed by a statistician who tailors to the specific study objectives.</w:t>
      </w:r>
    </w:p>
    <w:p w14:paraId="6782FA2D" w14:textId="77777777" w:rsidR="006B1B31" w:rsidRPr="00F01F3A" w:rsidRDefault="006B1B31" w:rsidP="006B1B31">
      <w:pPr>
        <w:jc w:val="both"/>
        <w:rPr>
          <w:rFonts w:ascii="Calibri" w:hAnsi="Calibri"/>
          <w:b/>
          <w:sz w:val="22"/>
          <w:szCs w:val="22"/>
        </w:rPr>
      </w:pPr>
    </w:p>
    <w:p w14:paraId="31EA112B" w14:textId="1360A26D" w:rsidR="001A5E31" w:rsidRPr="00F01F3A" w:rsidRDefault="001A5E31" w:rsidP="006B1B31">
      <w:pPr>
        <w:widowControl w:val="0"/>
        <w:autoSpaceDE w:val="0"/>
        <w:autoSpaceDN w:val="0"/>
        <w:adjustRightInd w:val="0"/>
        <w:ind w:left="640" w:hanging="640"/>
        <w:rPr>
          <w:rFonts w:ascii="Calibri" w:hAnsi="Calibri"/>
          <w:b/>
          <w:bCs/>
          <w:sz w:val="22"/>
          <w:szCs w:val="22"/>
        </w:rPr>
      </w:pPr>
      <w:r w:rsidRPr="00F01F3A">
        <w:rPr>
          <w:rFonts w:ascii="Calibri" w:hAnsi="Calibri"/>
          <w:b/>
          <w:bCs/>
          <w:sz w:val="22"/>
          <w:szCs w:val="22"/>
        </w:rPr>
        <w:br w:type="page"/>
      </w:r>
    </w:p>
    <w:p w14:paraId="14EF3E88" w14:textId="1537C606" w:rsidR="00472EE1" w:rsidRPr="00F01F3A" w:rsidRDefault="00472EE1" w:rsidP="00472EE1">
      <w:pPr>
        <w:rPr>
          <w:rFonts w:ascii="Calibri" w:hAnsi="Calibri"/>
          <w:b/>
          <w:bCs/>
          <w:sz w:val="22"/>
          <w:szCs w:val="22"/>
        </w:rPr>
      </w:pPr>
      <w:r w:rsidRPr="00F01F3A">
        <w:rPr>
          <w:rFonts w:ascii="Calibri" w:hAnsi="Calibri"/>
          <w:b/>
          <w:bCs/>
          <w:sz w:val="22"/>
          <w:szCs w:val="22"/>
        </w:rPr>
        <w:lastRenderedPageBreak/>
        <w:t xml:space="preserve">Appendix </w:t>
      </w:r>
      <w:r w:rsidR="00453C18" w:rsidRPr="00F01F3A">
        <w:rPr>
          <w:rFonts w:ascii="Calibri" w:hAnsi="Calibri"/>
          <w:b/>
          <w:bCs/>
          <w:sz w:val="22"/>
          <w:szCs w:val="22"/>
        </w:rPr>
        <w:t>4</w:t>
      </w:r>
      <w:r w:rsidRPr="00F01F3A">
        <w:rPr>
          <w:rFonts w:ascii="Calibri" w:hAnsi="Calibri"/>
          <w:b/>
          <w:bCs/>
          <w:sz w:val="22"/>
          <w:szCs w:val="22"/>
        </w:rPr>
        <w:t xml:space="preserve">. Molecular testing of </w:t>
      </w:r>
      <w:r w:rsidRPr="00F01F3A">
        <w:rPr>
          <w:rFonts w:ascii="Calibri" w:hAnsi="Calibri"/>
          <w:b/>
          <w:bCs/>
          <w:i/>
          <w:sz w:val="22"/>
          <w:szCs w:val="22"/>
        </w:rPr>
        <w:t>T. cruzi</w:t>
      </w:r>
      <w:r w:rsidRPr="00F01F3A">
        <w:rPr>
          <w:rFonts w:ascii="Calibri" w:hAnsi="Calibri"/>
          <w:b/>
          <w:bCs/>
          <w:sz w:val="22"/>
          <w:szCs w:val="22"/>
        </w:rPr>
        <w:t xml:space="preserve"> and challenges in development and evaluation</w:t>
      </w:r>
    </w:p>
    <w:p w14:paraId="4D6C8420" w14:textId="71F09054" w:rsidR="00472EE1" w:rsidRPr="00F01F3A" w:rsidRDefault="00472EE1" w:rsidP="00472EE1">
      <w:pPr>
        <w:jc w:val="center"/>
        <w:rPr>
          <w:rFonts w:ascii="Calibri" w:hAnsi="Calibri"/>
          <w:sz w:val="22"/>
          <w:szCs w:val="22"/>
        </w:rPr>
      </w:pPr>
    </w:p>
    <w:tbl>
      <w:tblPr>
        <w:tblStyle w:val="GridTable4-Accent3"/>
        <w:tblW w:w="9072" w:type="dxa"/>
        <w:tblLook w:val="04A0" w:firstRow="1" w:lastRow="0" w:firstColumn="1" w:lastColumn="0" w:noHBand="0" w:noVBand="1"/>
      </w:tblPr>
      <w:tblGrid>
        <w:gridCol w:w="2830"/>
        <w:gridCol w:w="6242"/>
      </w:tblGrid>
      <w:tr w:rsidR="00472EE1" w:rsidRPr="00F01F3A" w14:paraId="0A554109" w14:textId="77777777" w:rsidTr="00C5444A">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30" w:type="dxa"/>
            <w:hideMark/>
          </w:tcPr>
          <w:p w14:paraId="5715A54D" w14:textId="77777777" w:rsidR="00472EE1" w:rsidRPr="00F01F3A" w:rsidRDefault="00472EE1" w:rsidP="00C5444A">
            <w:pPr>
              <w:jc w:val="center"/>
              <w:rPr>
                <w:rFonts w:ascii="Calibri" w:hAnsi="Calibri"/>
                <w:sz w:val="16"/>
                <w:szCs w:val="16"/>
              </w:rPr>
            </w:pPr>
            <w:r w:rsidRPr="00F01F3A">
              <w:rPr>
                <w:rFonts w:ascii="Calibri" w:hAnsi="Calibri"/>
                <w:sz w:val="16"/>
                <w:szCs w:val="16"/>
              </w:rPr>
              <w:t>Category</w:t>
            </w:r>
          </w:p>
        </w:tc>
        <w:tc>
          <w:tcPr>
            <w:tcW w:w="6242" w:type="dxa"/>
            <w:hideMark/>
          </w:tcPr>
          <w:p w14:paraId="74736777" w14:textId="77777777" w:rsidR="00472EE1" w:rsidRPr="00F01F3A" w:rsidRDefault="00472EE1" w:rsidP="00C5444A">
            <w:pPr>
              <w:jc w:val="center"/>
              <w:cnfStyle w:val="100000000000" w:firstRow="1" w:lastRow="0" w:firstColumn="0" w:lastColumn="0" w:oddVBand="0" w:evenVBand="0" w:oddHBand="0" w:evenHBand="0" w:firstRowFirstColumn="0" w:firstRowLastColumn="0" w:lastRowFirstColumn="0" w:lastRowLastColumn="0"/>
              <w:rPr>
                <w:rFonts w:ascii="Calibri" w:hAnsi="Calibri"/>
                <w:sz w:val="16"/>
                <w:szCs w:val="16"/>
              </w:rPr>
            </w:pPr>
            <w:r w:rsidRPr="00F01F3A">
              <w:rPr>
                <w:rFonts w:ascii="Calibri" w:hAnsi="Calibri"/>
                <w:sz w:val="16"/>
                <w:szCs w:val="16"/>
              </w:rPr>
              <w:t>Key Characteristics / Trade-offs</w:t>
            </w:r>
          </w:p>
        </w:tc>
      </w:tr>
      <w:tr w:rsidR="00472EE1" w:rsidRPr="00F01F3A" w14:paraId="135D4606" w14:textId="77777777" w:rsidTr="00C5444A">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9072" w:type="dxa"/>
            <w:gridSpan w:val="2"/>
          </w:tcPr>
          <w:p w14:paraId="03ACB30A" w14:textId="77777777" w:rsidR="00472EE1" w:rsidRPr="00F01F3A" w:rsidRDefault="00472EE1" w:rsidP="00C5444A">
            <w:pPr>
              <w:jc w:val="both"/>
              <w:rPr>
                <w:rFonts w:ascii="Calibri" w:hAnsi="Calibri"/>
                <w:i/>
                <w:sz w:val="16"/>
                <w:szCs w:val="16"/>
              </w:rPr>
            </w:pPr>
            <w:r w:rsidRPr="00F01F3A">
              <w:rPr>
                <w:rFonts w:ascii="Calibri" w:hAnsi="Calibri"/>
                <w:b w:val="0"/>
                <w:i/>
                <w:sz w:val="16"/>
                <w:szCs w:val="16"/>
              </w:rPr>
              <w:t>Available Technologies:</w:t>
            </w:r>
          </w:p>
        </w:tc>
      </w:tr>
      <w:tr w:rsidR="00472EE1" w:rsidRPr="00F01F3A" w14:paraId="53E2DF0D" w14:textId="77777777" w:rsidTr="00C5444A">
        <w:tc>
          <w:tcPr>
            <w:cnfStyle w:val="001000000000" w:firstRow="0" w:lastRow="0" w:firstColumn="1" w:lastColumn="0" w:oddVBand="0" w:evenVBand="0" w:oddHBand="0" w:evenHBand="0" w:firstRowFirstColumn="0" w:firstRowLastColumn="0" w:lastRowFirstColumn="0" w:lastRowLastColumn="0"/>
            <w:tcW w:w="2830" w:type="dxa"/>
          </w:tcPr>
          <w:p w14:paraId="7C542147" w14:textId="77777777" w:rsidR="00472EE1" w:rsidRPr="00F01F3A" w:rsidRDefault="00472EE1" w:rsidP="00C5444A">
            <w:pPr>
              <w:jc w:val="both"/>
              <w:rPr>
                <w:rFonts w:ascii="Calibri" w:hAnsi="Calibri"/>
                <w:b w:val="0"/>
                <w:sz w:val="16"/>
                <w:szCs w:val="16"/>
              </w:rPr>
            </w:pPr>
            <w:r w:rsidRPr="00F01F3A">
              <w:rPr>
                <w:rFonts w:ascii="Calibri" w:hAnsi="Calibri"/>
                <w:b w:val="0"/>
                <w:sz w:val="16"/>
                <w:szCs w:val="16"/>
              </w:rPr>
              <w:t>LAMP (late development - validation)</w:t>
            </w:r>
          </w:p>
        </w:tc>
        <w:tc>
          <w:tcPr>
            <w:tcW w:w="6242" w:type="dxa"/>
          </w:tcPr>
          <w:p w14:paraId="428D9D79" w14:textId="097AC9F5" w:rsidR="00472EE1" w:rsidRPr="00F01F3A" w:rsidRDefault="00472EE1"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bCs/>
                <w:sz w:val="16"/>
                <w:szCs w:val="16"/>
              </w:rPr>
            </w:pPr>
            <w:r w:rsidRPr="00F01F3A">
              <w:rPr>
                <w:rFonts w:ascii="Calibri" w:hAnsi="Calibri"/>
                <w:sz w:val="16"/>
                <w:szCs w:val="16"/>
              </w:rPr>
              <w:t>Need for standardizing POC DNA extraction methods at or near the site of patient care</w:t>
            </w:r>
            <w:r w:rsidRPr="00F01F3A">
              <w:rPr>
                <w:rFonts w:ascii="Calibri" w:hAnsi="Calibri"/>
                <w:bCs/>
                <w:sz w:val="16"/>
                <w:szCs w:val="16"/>
              </w:rPr>
              <w:t xml:space="preserve">, ideally compatible with </w:t>
            </w:r>
            <w:r w:rsidR="00F31A4A" w:rsidRPr="00F01F3A">
              <w:rPr>
                <w:rFonts w:ascii="Calibri" w:hAnsi="Calibri"/>
                <w:bCs/>
                <w:sz w:val="16"/>
                <w:szCs w:val="16"/>
              </w:rPr>
              <w:t>q</w:t>
            </w:r>
            <w:r w:rsidRPr="00F01F3A">
              <w:rPr>
                <w:rFonts w:ascii="Calibri" w:hAnsi="Calibri"/>
                <w:bCs/>
                <w:sz w:val="16"/>
                <w:szCs w:val="16"/>
              </w:rPr>
              <w:t>PCR</w:t>
            </w:r>
            <w:r w:rsidRPr="00F01F3A">
              <w:rPr>
                <w:rFonts w:ascii="Calibri" w:hAnsi="Calibri"/>
                <w:sz w:val="16"/>
                <w:szCs w:val="16"/>
              </w:rPr>
              <w:t>, including (1) a repositioned 3D printer to rapid DNA extractor</w:t>
            </w:r>
            <w:r w:rsidR="00F31A4A" w:rsidRPr="00F01F3A">
              <w:rPr>
                <w:rFonts w:ascii="Calibri" w:hAnsi="Calibri"/>
                <w:sz w:val="16"/>
                <w:szCs w:val="16"/>
              </w:rPr>
              <w:t xml:space="preserve"> (AI Biosciences, USA)</w:t>
            </w:r>
            <w:r w:rsidRPr="00F01F3A">
              <w:rPr>
                <w:rFonts w:ascii="Calibri" w:hAnsi="Calibri"/>
                <w:sz w:val="16"/>
                <w:szCs w:val="16"/>
              </w:rPr>
              <w:t>, and (2) an ultrarapid DNA extraction method (PURE</w:t>
            </w:r>
            <w:r w:rsidR="00F31A4A" w:rsidRPr="00F01F3A">
              <w:rPr>
                <w:rFonts w:ascii="Calibri" w:hAnsi="Calibri"/>
                <w:sz w:val="16"/>
                <w:szCs w:val="16"/>
              </w:rPr>
              <w:t>-Eiken Chemical Co, Japan</w:t>
            </w:r>
            <w:r w:rsidRPr="00F01F3A">
              <w:rPr>
                <w:rFonts w:ascii="Calibri" w:hAnsi="Calibri"/>
                <w:sz w:val="16"/>
                <w:szCs w:val="16"/>
              </w:rPr>
              <w:t xml:space="preserve">). </w:t>
            </w:r>
          </w:p>
          <w:p w14:paraId="4DDF0E63" w14:textId="77777777" w:rsidR="00472EE1" w:rsidRPr="00F01F3A" w:rsidRDefault="00472EE1"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r w:rsidRPr="00F01F3A">
              <w:rPr>
                <w:rFonts w:ascii="Calibri" w:hAnsi="Calibri"/>
                <w:bCs/>
                <w:sz w:val="16"/>
                <w:szCs w:val="16"/>
              </w:rPr>
              <w:t xml:space="preserve">Need for portable equipment remains a significant limitation for field use. </w:t>
            </w:r>
          </w:p>
          <w:p w14:paraId="0137C73B" w14:textId="0693CFFF" w:rsidR="00472EE1" w:rsidRPr="00F01F3A" w:rsidRDefault="00472EE1"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r w:rsidRPr="00F01F3A">
              <w:rPr>
                <w:rFonts w:ascii="Calibri" w:hAnsi="Calibri"/>
                <w:sz w:val="16"/>
                <w:szCs w:val="16"/>
              </w:rPr>
              <w:t xml:space="preserve">Clinical </w:t>
            </w:r>
            <w:proofErr w:type="spellStart"/>
            <w:r w:rsidRPr="00F01F3A">
              <w:rPr>
                <w:rFonts w:ascii="Calibri" w:hAnsi="Calibri"/>
                <w:sz w:val="16"/>
                <w:szCs w:val="16"/>
              </w:rPr>
              <w:t>Sp</w:t>
            </w:r>
            <w:proofErr w:type="spellEnd"/>
            <w:r w:rsidRPr="00F01F3A">
              <w:rPr>
                <w:rFonts w:ascii="Calibri" w:hAnsi="Calibri"/>
                <w:sz w:val="16"/>
                <w:szCs w:val="16"/>
              </w:rPr>
              <w:t xml:space="preserve"> reported compared to RT-PCR for detection of vertical infection was 98.6% for neonates at birth, and 98.2% at 2 months of age </w:t>
            </w:r>
            <w:r w:rsidRPr="00F01F3A">
              <w:rPr>
                <w:rFonts w:ascii="Calibri" w:hAnsi="Calibri"/>
                <w:sz w:val="16"/>
                <w:szCs w:val="16"/>
              </w:rPr>
              <w:fldChar w:fldCharType="begin" w:fldLock="1"/>
            </w:r>
            <w:r w:rsidR="0062178E" w:rsidRPr="00F01F3A">
              <w:rPr>
                <w:rFonts w:ascii="Calibri" w:hAnsi="Calibri"/>
                <w:sz w:val="16"/>
                <w:szCs w:val="16"/>
              </w:rPr>
              <w:instrText>ADDIN CSL_CITATION {"citationItems":[{"id":"ITEM-1","itemData":{"DOI":"10.1016/S2666-5247(24)00110-1","ISSN":"2666-5247 (Electronic)","PMID":"38971173","abstract":"BACKGROUND: Vertical transmission of Trypanosoma cruzi represents approximately  20% of new Chagas disease cases. Early detection and treatment for women of childbearing age and newborns is a public health priority, but the lack of a simple and reliable diagnostic test remains a major barrier. We aimed to evaluate the performance of a point-of-care loop-mediated isothermal amplification (LAMP) assay for the detection of T cruzi. METHODS: In this proof-of-concept study, we coupled a low-cost 3D printer repurposed for sample preparation and amplification (PrintrLab) to the Eiken T cruzi-LAMP prototype to detect vertically transmitted T cruzi, which we compared with standardised PCR and with the gold-standard algorithm (microscopy at birth and 2 months and serological study several months later). We screened pregnant women from two hospitals in the Bolivian Gran Chaco province, and those who were seropositive for T cruzi were offered the opportunity for their newborns to be enrolled in the study. Newborns were tested by microscopy, LAMP, and PCR at birth and 2 months, and by serology at 8 months. FINDINGS: Between April 23 and Nov 17, 2018, 986 mothers were screened, among whom 276 were seropositive for T cruzi (28·0% prevalence, 95% CI 25·6-31·2). In total, 224 infants born to 221 seropositive mothers completed 8 months of follow-up. Congenital transmission was detected in nine of the 224 newborns (4·0% prevalence, 1·9-7·5) by direct microscopy observation, and 14 more cases were diagnosed serologically (6·3%, 3·6-10·3), accounting for an overall vertical transmission rate of 10·3% (6·6-15·0; 23 of 224). All microscopy-positive newborns were positive by PrintrLab-LAMP and by PCR, while these techniques respectively detected four and five extra positive cases among the remaining 215 microscopy-negative newborns. INTERPRETATION: The PrintrLab-LAMP yielded a higher sensitivity than microscopy-based analysis. Considering the simpler use and expected lower cost of LAMP compared with PCR, our findings encourage its evaluation in a larger study over a wider geographical area. FUNDING: Inter-American Development Bank.","author":[{"dropping-particle":"","family":"Rojas Panozo","given":"Lizeth","non-dropping-particle":"","parse-names":false,"suffix":""},{"dropping-particle":"","family":"Rivera Nina","given":"Silvia","non-dropping-particle":"","parse-names":false,"suffix":""},{"dropping-particle":"","family":"Wehrendt","given":"Diana P","non-dropping-particle":"","parse-names":false,"suffix":""},{"dropping-particle":"","family":"Casellas","given":"Aina","non-dropping-particle":"","parse-names":false,"suffix":""},{"dropping-particle":"","family":"Pinto","given":"Lilian","non-dropping-particle":"","parse-names":false,"suffix":""},{"dropping-particle":"","family":"Mendez","given":"Susana","non-dropping-particle":"","parse-names":false,"suffix":""},{"dropping-particle":"","family":"Kuo","given":"Chi-Wei","non-dropping-particle":"","parse-names":false,"suffix":""},{"dropping-particle":"","family":"Lozano","given":"Daniel F","non-dropping-particle":"","parse-names":false,"suffix":""},{"dropping-particle":"","family":"Ortiz","given":"Lourdes","non-dropping-particle":"","parse-names":false,"suffix":""},{"dropping-particle":"","family":"Pinazo","given":"Maria-Jesus","non-dropping-particle":"","parse-names":false,"suffix":""},{"dropping-particle":"","family":"Picado","given":"Albert","non-dropping-particle":"","parse-names":false,"suffix":""},{"dropping-particle":"","family":"Sanz","given":"Sergi","non-dropping-particle":"","parse-names":false,"suffix":""},{"dropping-particle":"","family":"Abril","given":"Marcelo","non-dropping-particle":"","parse-names":false,"suffix":""},{"dropping-particle":"","family":"Gascon","given":"Joaquim","non-dropping-particle":"","parse-names":false,"suffix":""},{"dropping-particle":"","family":"Wong","given":"Season","non-dropping-particle":"","parse-names":false,"suffix":""},{"dropping-particle":"","family":"Schijman","given":"Alejandro G","non-dropping-particle":"","parse-names":false,"suffix":""},{"dropping-particle":"","family":"Torrico","given":"Faustino","non-dropping-particle":"","parse-names":false,"suffix":""},{"dropping-particle":"","family":"Alonso-Padilla","given":"Julio","non-dropping-particle":"","parse-names":false,"suffix":""}],"container-title":"The Lancet. Microbe","id":"ITEM-1","issue":"9","issued":{"date-parts":[["2024","9"]]},"language":"eng","page":"100887","publisher-place":"England","title":"Evaluation and validation of a PrintrLab-based LAMP assay to identify Trypanosoma  cruzi in newborns in Bolivia: a proof-of-concept study.","type":"article-journal","volume":"5"},"uris":["http://www.mendeley.com/documents/?uuid=0021497c-7d51-41d3-9da7-6062e703e735"]}],"mendeley":{"formattedCitation":"(2)","plainTextFormattedCitation":"(2)","previouslyFormattedCitation":"(2)"},"properties":{"noteIndex":0},"schema":"https://github.com/citation-style-language/schema/raw/master/csl-citation.json"}</w:instrText>
            </w:r>
            <w:r w:rsidRPr="00F01F3A">
              <w:rPr>
                <w:rFonts w:ascii="Calibri" w:hAnsi="Calibri"/>
                <w:sz w:val="16"/>
                <w:szCs w:val="16"/>
              </w:rPr>
              <w:fldChar w:fldCharType="separate"/>
            </w:r>
            <w:r w:rsidR="0062178E" w:rsidRPr="00F01F3A">
              <w:rPr>
                <w:rFonts w:ascii="Calibri" w:hAnsi="Calibri"/>
                <w:noProof/>
                <w:sz w:val="16"/>
                <w:szCs w:val="16"/>
              </w:rPr>
              <w:t>(2)</w:t>
            </w:r>
            <w:r w:rsidRPr="00F01F3A">
              <w:rPr>
                <w:rFonts w:ascii="Calibri" w:hAnsi="Calibri"/>
                <w:sz w:val="16"/>
                <w:szCs w:val="16"/>
              </w:rPr>
              <w:fldChar w:fldCharType="end"/>
            </w:r>
            <w:r w:rsidRPr="00F01F3A">
              <w:rPr>
                <w:rFonts w:ascii="Calibri" w:hAnsi="Calibri"/>
                <w:sz w:val="16"/>
                <w:szCs w:val="16"/>
              </w:rPr>
              <w:t>.</w:t>
            </w:r>
          </w:p>
        </w:tc>
      </w:tr>
      <w:tr w:rsidR="00472EE1" w:rsidRPr="00F01F3A" w14:paraId="2228EB79" w14:textId="77777777" w:rsidTr="00C54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193CD8A" w14:textId="609E10F7" w:rsidR="00472EE1" w:rsidRPr="00F01F3A" w:rsidRDefault="00F31A4A" w:rsidP="00C5444A">
            <w:pPr>
              <w:jc w:val="both"/>
              <w:rPr>
                <w:rFonts w:ascii="Calibri" w:hAnsi="Calibri"/>
                <w:b w:val="0"/>
                <w:sz w:val="16"/>
                <w:szCs w:val="16"/>
              </w:rPr>
            </w:pPr>
            <w:r w:rsidRPr="00F01F3A">
              <w:rPr>
                <w:rFonts w:ascii="Calibri" w:hAnsi="Calibri"/>
                <w:b w:val="0"/>
                <w:sz w:val="16"/>
                <w:szCs w:val="16"/>
              </w:rPr>
              <w:t xml:space="preserve">Real Time </w:t>
            </w:r>
            <w:r w:rsidR="00472EE1" w:rsidRPr="00F01F3A">
              <w:rPr>
                <w:rFonts w:ascii="Calibri" w:hAnsi="Calibri"/>
                <w:b w:val="0"/>
                <w:sz w:val="16"/>
                <w:szCs w:val="16"/>
              </w:rPr>
              <w:t>PCR (commerc</w:t>
            </w:r>
            <w:r w:rsidRPr="00F01F3A">
              <w:rPr>
                <w:rFonts w:ascii="Calibri" w:hAnsi="Calibri"/>
                <w:b w:val="0"/>
                <w:sz w:val="16"/>
                <w:szCs w:val="16"/>
              </w:rPr>
              <w:t>i</w:t>
            </w:r>
            <w:r w:rsidR="00472EE1" w:rsidRPr="00F01F3A">
              <w:rPr>
                <w:rFonts w:ascii="Calibri" w:hAnsi="Calibri"/>
                <w:b w:val="0"/>
                <w:sz w:val="16"/>
                <w:szCs w:val="16"/>
              </w:rPr>
              <w:t>al kits)</w:t>
            </w:r>
          </w:p>
        </w:tc>
        <w:tc>
          <w:tcPr>
            <w:tcW w:w="6242" w:type="dxa"/>
          </w:tcPr>
          <w:p w14:paraId="5E4107F0" w14:textId="341C0483" w:rsidR="00472EE1" w:rsidRPr="00F01F3A" w:rsidRDefault="00472EE1"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 xml:space="preserve">Consensus agreement to evaluate </w:t>
            </w:r>
            <w:r w:rsidR="00F31A4A" w:rsidRPr="00F01F3A">
              <w:rPr>
                <w:rFonts w:ascii="Calibri" w:hAnsi="Calibri"/>
                <w:sz w:val="16"/>
                <w:szCs w:val="16"/>
              </w:rPr>
              <w:t>q</w:t>
            </w:r>
            <w:r w:rsidRPr="00F01F3A">
              <w:rPr>
                <w:rFonts w:ascii="Calibri" w:hAnsi="Calibri"/>
                <w:sz w:val="16"/>
                <w:szCs w:val="16"/>
              </w:rPr>
              <w:t xml:space="preserve">PCR methods for detection of </w:t>
            </w:r>
            <w:r w:rsidRPr="00F01F3A">
              <w:rPr>
                <w:rFonts w:ascii="Calibri" w:hAnsi="Calibri"/>
                <w:i/>
                <w:sz w:val="16"/>
                <w:szCs w:val="16"/>
              </w:rPr>
              <w:t>T. cruzi</w:t>
            </w:r>
            <w:r w:rsidRPr="00F01F3A">
              <w:rPr>
                <w:rFonts w:ascii="Calibri" w:hAnsi="Calibri"/>
                <w:sz w:val="16"/>
                <w:szCs w:val="16"/>
              </w:rPr>
              <w:t xml:space="preserve"> DNA available in </w:t>
            </w:r>
            <w:r w:rsidRPr="00F01F3A">
              <w:rPr>
                <w:rFonts w:ascii="Calibri" w:hAnsi="Calibri"/>
                <w:sz w:val="16"/>
                <w:szCs w:val="16"/>
              </w:rPr>
              <w:fldChar w:fldCharType="begin" w:fldLock="1"/>
            </w:r>
            <w:r w:rsidR="0062178E" w:rsidRPr="00F01F3A">
              <w:rPr>
                <w:rFonts w:ascii="Calibri" w:hAnsi="Calibri"/>
                <w:sz w:val="16"/>
                <w:szCs w:val="16"/>
              </w:rPr>
              <w:instrText>ADDIN CSL_CITATION {"citationItems":[{"id":"ITEM-1","itemData":{"DOI":"10.1371/journal.pntd.0000931","ISSN":"1935-2735 (Electronic)","PMID":"21264349","abstract":"BACKGROUND: A century after its discovery, Chagas disease still represents a  major neglected tropical threat. Accurate diagnostics tools as well as surrogate markers of parasitological response to treatment are research priorities in the field. The purpose of this study was to evaluate the performance of PCR methods in detection of Trypanosoma cruzi DNA by an external quality evaluation. METHODOLOGY/FINDINGS: An international collaborative study was launched by expert PCR laboratories from 16 countries. Currently used strategies were challenged against serial dilutions of purified DNA from stocks representing T. cruzi discrete typing units (DTU) I, IV and VI (set A), human blood spiked with parasite cells (set B) and Guanidine Hidrochloride-EDTA blood samples from 32 seropositive and 10 seronegative patients from Southern Cone countries (set C). Forty eight PCR tests were reported for set A and 44 for sets B and C; 28 targeted minicircle DNA (kDNA), 13 satellite DNA (Sat-DNA) and the remainder low copy number sequences. In set A, commercial master mixes and Sat-DNA Real Time PCR showed better specificity, but kDNA-PCR was more sensitive to detect DTU I DNA. In set B, commercial DNA extraction kits presented better specificity than solvent extraction protocols. Sat-DNA PCR tests had higher specificity, with sensitivities of 0.05-0.5 parasites/mL whereas specific kDNA tests detected 5.10(-3) par/mL. Sixteen specific and coherent methods had a Good Performance in both sets A and B (10 fg/µl of DNA from all stocks, 5 par/mL spiked blood). The median values of sensitivities, specificities and accuracies obtained in testing the Set C samples with the 16 tests determined to be good performing by analyzing Sets A and B samples varied considerably. Out of them, four methods depicted the best performing parameters in all three sets of samples, detecting at least 10 fg/µl for each DNA stock, 0.5 par/mL and a sensitivity between 83.3-94.4%, specificity of 85-95%, accuracy of 86.8-89.5% and kappa index of 0.7-0.8 compared to consensus PCR reports of the 16 good performing tests and 63-69%, 100%, 71.4-76.2% and 0.4-0.5, respectively compared to serodiagnosis. Method LbD2 used solvent extraction followed by Sybr-Green based Real time PCR targeted to Sat-DNA; method LbD3 used solvent DNA extraction followed by conventional PCR targeted to Sat-DNA. The third method (LbF1) used glass fiber column based DNA extraction followed by TaqMan Real Time PCR targeted to Sat-DNA …","author":[{"dropping-particle":"","family":"Schijman","given":"Alejandro G","non-dropping-particle":"","parse-names":false,"suffix":""},{"dropping-particle":"","family":"Bisio","given":"Margarita","non-dropping-particle":"","parse-names":false,"suffix":""},{"dropping-particle":"","family":"Orellana","given":"Liliana","non-dropping-particle":"","parse-names":false,"suffix":""},{"dropping-particle":"","family":"Sued","given":"Mariela","non-dropping-particle":"","parse-names":false,"suffix":""},{"dropping-particle":"","family":"Duffy","given":"Tomás","non-dropping-particle":"","parse-names":false,"suffix":""},{"dropping-particle":"","family":"Mejia Jaramillo","given":"Ana M","non-dropping-particle":"","parse-names":false,"suffix":""},{"dropping-particle":"","family":"Cura","given":"Carolina","non-dropping-particle":"","parse-names":false,"suffix":""},{"dropping-particle":"","family":"Auter","given":"Frederic","non-dropping-particle":"","parse-names":false,"suffix":""},{"dropping-particle":"","family":"Veron","given":"Vincent","non-dropping-particle":"","parse-names":false,"suffix":""},{"dropping-particle":"","family":"Qvarnstrom","given":"Yvonne","non-dropping-particle":"","parse-names":false,"suffix":""},{"dropping-particle":"","family":"Deborggraeve","given":"Stijn","non-dropping-particle":"","parse-names":false,"suffix":""},{"dropping-particle":"","family":"Hijar","given":"Gisely","non-dropping-particle":"","parse-names":false,"suffix":""},{"dropping-particle":"","family":"Zulantay","given":"Inés","non-dropping-particle":"","parse-names":false,"suffix":""},{"dropping-particle":"","family":"Lucero","given":"Raúl Horacio","non-dropping-particle":"","parse-names":false,"suffix":""},{"dropping-particle":"","family":"Velazquez","given":"Elsa","non-dropping-particle":"","parse-names":false,"suffix":""},{"dropping-particle":"","family":"Tellez","given":"Tatiana","non-dropping-particle":"","parse-names":false,"suffix":""},{"dropping-particle":"","family":"Sanchez Leon","given":"Zunilda","non-dropping-particle":"","parse-names":false,"suffix":""},{"dropping-particle":"","family":"Galvão","given":"Lucia","non-dropping-particle":"","parse-names":false,"suffix":""},{"dropping-particle":"","family":"Nolder","given":"Debbie","non-dropping-particle":"","parse-names":false,"suffix":""},{"dropping-particle":"","family":"Monje Rumi","given":"María","non-dropping-particle":"","parse-names":false,"suffix":""},{"dropping-particle":"","family":"Levi","given":"José E","non-dropping-particle":"","parse-names":false,"suffix":""},{"dropping-particle":"","family":"Ramirez","given":"Juan D","non-dropping-particle":"","parse-names":false,"suffix":""},{"dropping-particle":"","family":"Zorrilla","given":"Pilar","non-dropping-particle":"","parse-names":false,"suffix":""},{"dropping-particle":"","family":"Flores","given":"María","non-dropping-particle":"","parse-names":false,"suffix":""},{"dropping-particle":"","family":"Jercic","given":"Maria I","non-dropping-particle":"","parse-names":false,"suffix":""},{"dropping-particle":"","family":"Crisante","given":"Gladys","non-dropping-particle":"","parse-names":false,"suffix":""},{"dropping-particle":"","family":"Añez","given":"Néstor","non-dropping-particle":"","parse-names":false,"suffix":""},{"dropping-particle":"","family":"Castro","given":"Ana M","non-dropping-particle":"De","parse-names":false,"suffix":""},{"dropping-particle":"","family":"Gonzalez","given":"Clara I","non-dropping-particle":"","parse-names":false,"suffix":""},{"dropping-particle":"","family":"Acosta Viana","given":"Karla","non-dropping-particle":"","parse-names":false,"suffix":""},{"dropping-particle":"","family":"Yachelini","given":"Pedro","non-dropping-particle":"","parse-names":false,"suffix":""},{"dropping-particle":"","family":"Torrico","given":"Faustino","non-dropping-particle":"","parse-names":false,"suffix":""},{"dropping-particle":"","family":"Robello","given":"Carlos","non-dropping-particle":"","parse-names":false,"suffix":""},{"dropping-particle":"","family":"Diosque","given":"Patricio","non-dropping-particle":"","parse-names":false,"suffix":""},{"dropping-particle":"","family":"Triana Chavez","given":"Omar","non-dropping-particle":"","parse-names":false,"suffix":""},{"dropping-particle":"","family":"Aznar","given":"Christine","non-dropping-particle":"","parse-names":false,"suffix":""},{"dropping-particle":"","family":"Russomando","given":"Graciela","non-dropping-particle":"","parse-names":false,"suffix":""},{"dropping-particle":"","family":"Büscher","given":"Philippe","non-dropping-particle":"","parse-names":false,"suffix":""},{"dropping-particle":"","family":"Assal","given":"Azzedine","non-dropping-particle":"","parse-names":false,"suffix":""},{"dropping-particle":"","family":"Guhl","given":"Felipe","non-dropping-particle":"","parse-names":false,"suffix":""},{"dropping-particle":"","family":"Sosa Estani","given":"Sergio","non-dropping-particle":"","parse-names":false,"suffix":""},{"dropping-particle":"","family":"DaSilva","given":"Alexandre","non-dropping-particle":"","parse-names":false,"suffix":""},{"dropping-particle":"","family":"Britto","given":"Constança","non-dropping-particle":"","parse-names":false,"suffix":""},{"dropping-particle":"","family":"Luquetti","given":"Alejandro","non-dropping-particle":"","parse-names":false,"suffix":""},{"dropping-particle":"","family":"Ladzins","given":"Janis","non-dropping-particle":"","parse-names":false,"suffix":""}],"container-title":"PLoS neglected tropical diseases","id":"ITEM-1","issue":"1","issued":{"date-parts":[["2011","1"]]},"language":"eng","page":"e931","publisher-place":"United States","title":"International study to evaluate PCR methods for detection of Trypanosoma cruzi  DNA in blood samples from Chagas disease patients.","type":"article-journal","volume":"5"},"uris":["http://www.mendeley.com/documents/?uuid=1ff43caa-09c7-435f-928d-5682650b266d"]},{"id":"ITEM-2","itemData":{"DOI":"10.1016/j.jmoldx.2015.04.010","ISSN":"1943-7811 (Electronic)","PMID":"26320872","abstract":"An international study was performed by 26 experienced PCR laboratories from 14  countries to assess the performance of duplex quantitative real-time PCR (qPCR) strategies on the basis of TaqMan probes for detection and quantification of parasitic loads in peripheral blood samples from Chagas disease patients. Two methods were studied: Satellite DNA (SatDNA) qPCR and kinetoplastid DNA (kDNA) qPCR. Both methods included an internal amplification control. Reportable range, analytical sensitivity, limits of detection and quantification, and precision were estimated according to international guidelines. In addition, inclusivity and exclusivity were estimated with DNA from stocks representing the different Trypanosoma cruzi discrete typing units and Trypanosoma rangeli and Leishmania spp. Both methods were challenged against 156 blood samples provided by the participant laboratories, including samples from acute and chronic patients with varied clinical findings, infected by oral route or vectorial transmission. kDNA qPCR showed better analytical sensitivity than SatDNA qPCR with limits of detection of 0.23 and 0.70 parasite equivalents/mL, respectively. Analyses of clinical samples revealed a high concordance in terms of sensitivity and parasitic loads determined by both SatDNA and kDNA qPCRs. This effort is a major step toward international validation of qPCR methods for the quantification of T. cruzi DNA in human blood samples, aiming to provide an accurate surrogate biomarker for diagnosis and treatment monitoring for patients with Chagas disease.","author":[{"dropping-particle":"","family":"Ramírez","given":"Juan Carlos","non-dropping-particle":"","parse-names":false,"suffix":""},{"dropping-particle":"","family":"Cura","given":"Carolina Inés","non-dropping-particle":"","parse-names":false,"suffix":""},{"dropping-particle":"","family":"Cruz Moreira","given":"Otacilio","non-dropping-particle":"da","parse-names":false,"suffix":""},{"dropping-particle":"","family":"Lages-Silva","given":"Eliane","non-dropping-particle":"","parse-names":false,"suffix":""},{"dropping-particle":"","family":"Juiz","given":"Natalia","non-dropping-particle":"","parse-names":false,"suffix":""},{"dropping-particle":"","family":"Velázquez","given":"Elsa","non-dropping-particle":"","parse-names":false,"suffix":""},{"dropping-particle":"","family":"Ramírez","given":"Juan David","non-dropping-particle":"","parse-names":false,"suffix":""},{"dropping-particle":"","family":"Alberti","given":"Anahí","non-dropping-particle":"","parse-names":false,"suffix":""},{"dropping-particle":"","family":"Pavia","given":"Paula","non-dropping-particle":"","parse-names":false,"suffix":""},{"dropping-particle":"","family":"Flores-Chávez","given":"María Delmans","non-dropping-particle":"","parse-names":false,"suffix":""},{"dropping-particle":"","family":"Muñoz-Calderón","given":"Arturo","non-dropping-particle":"","parse-names":false,"suffix":""},{"dropping-particle":"","family":"Pérez-Morales","given":"Deyanira","non-dropping-particle":"","parse-names":false,"suffix":""},{"dropping-particle":"","family":"Santalla","given":"José","non-dropping-particle":"","parse-names":false,"suffix":""},{"dropping-particle":"","family":"Marcos da Matta Guedes","given":"Paulo","non-dropping-particle":"","parse-names":false,"suffix":""},{"dropping-particle":"","family":"Peneau","given":"Julie","non-dropping-particle":"","parse-names":false,"suffix":""},{"dropping-particle":"","family":"Marcet","given":"Paula","non-dropping-particle":"","parse-names":false,"suffix":""},{"dropping-particle":"","family":"Padilla","given":"Carlos","non-dropping-particle":"","parse-names":false,"suffix":""},{"dropping-particle":"","family":"Cruz-Robles","given":"David","non-dropping-particle":"","parse-names":false,"suffix":""},{"dropping-particle":"","family":"Valencia","given":"Edward","non-dropping-particle":"","parse-names":false,"suffix":""},{"dropping-particle":"","family":"Crisante","given":"Gladys Elena","non-dropping-particle":"","parse-names":false,"suffix":""},{"dropping-particle":"","family":"Greif","given":"Gonzalo","non-dropping-particle":"","parse-names":false,"suffix":""},{"dropping-particle":"","family":"Zulantay","given":"Inés","non-dropping-particle":"","parse-names":false,"suffix":""},{"dropping-particle":"","family":"Costales","given":"Jaime Alfredo","non-dropping-particle":"","parse-names":false,"suffix":""},{"dropping-particle":"","family":"Alvarez-Martínez","given":"Miriam","non-dropping-particle":"","parse-names":false,"suffix":""},{"dropping-particle":"","family":"Martínez","given":"Norma Edith","non-dropping-particle":"","parse-names":false,"suffix":""},{"dropping-particle":"","family":"Villarroel","given":"Rodrigo","non-dropping-particle":"","parse-names":false,"suffix":""},{"dropping-particle":"","family":"Villarroel","given":"Sandro","non-dropping-particle":"","parse-names":false,"suffix":""},{"dropping-particle":"","family":"Sánchez","given":"Zunilda","non-dropping-particle":"","parse-names":false,"suffix":""},{"dropping-particle":"","family":"Bisio","given":"Margarita","non-dropping-particle":"","parse-names":false,"suffix":""},{"dropping-particle":"","family":"Parrado","given":"Rudy","non-dropping-particle":"","parse-names":false,"suffix":""},{"dropping-particle":"","family":"Maria da Cunha Galvão","given":"Lúcia","non-dropping-particle":"","parse-names":false,"suffix":""},{"dropping-particle":"","family":"Jácome da Câmara","given":"Antonia Cláudia","non-dropping-particle":"","parse-names":false,"suffix":""},{"dropping-particle":"","family":"Espinoza","given":"Bertha","non-dropping-particle":"","parse-names":false,"suffix":""},{"dropping-particle":"","family":"Alarcón de Noya","given":"Belkisyole","non-dropping-particle":"","parse-names":false,"suffix":""},{"dropping-particle":"","family":"Puerta","given":"Concepción","non-dropping-particle":"","parse-names":false,"suffix":""},{"dropping-particle":"","family":"Riarte","given":"Adelina","non-dropping-particle":"","parse-names":false,"suffix":""},{"dropping-particle":"","family":"Diosque","given":"Patricio","non-dropping-particle":"","parse-names":false,"suffix":""},{"dropping-particle":"","family":"Sosa-Estani","given":"Sergio","non-dropping-particle":"","parse-names":false,"suffix":""},{"dropping-particle":"","family":"Guhl","given":"Felipe","non-dropping-particle":"","parse-names":false,"suffix":""},{"dropping-particle":"","family":"Ribeiro","given":"Isabela","non-dropping-particle":"","parse-names":false,"suffix":""},{"dropping-particle":"","family":"Aznar","given":"Christine","non-dropping-particle":"","parse-names":false,"suffix":""},{"dropping-particle":"","family":"Britto","given":"Constança","non-dropping-particle":"","parse-names":false,"suffix":""},{"dropping-particle":"","family":"Yadón","given":"Zaida Estela","non-dropping-particle":"","parse-names":false,"suffix":""},{"dropping-particle":"","family":"Schijman","given":"Alejandro G","non-dropping-particle":"","parse-names":false,"suffix":""}],"container-title":"The Journal of molecular diagnostics : JMD","id":"ITEM-2","issue":"5","issued":{"date-parts":[["2015","9"]]},"language":"eng","page":"605-615","publisher-place":"United States","title":"Analytical Validation of Quantitative Real-Time PCR Methods for Quantification of  Trypanosoma cruzi DNA in Blood Samples from Chagas Disease Patients.","type":"article-journal","volume":"17"},"uris":["http://www.mendeley.com/documents/?uuid=f4b36078-2649-4a94-aba4-4e1a0021906b"]}],"mendeley":{"formattedCitation":"(3,4)","plainTextFormattedCitation":"(3,4)","previouslyFormattedCitation":"(3,4)"},"properties":{"noteIndex":0},"schema":"https://github.com/citation-style-language/schema/raw/master/csl-citation.json"}</w:instrText>
            </w:r>
            <w:r w:rsidRPr="00F01F3A">
              <w:rPr>
                <w:rFonts w:ascii="Calibri" w:hAnsi="Calibri"/>
                <w:sz w:val="16"/>
                <w:szCs w:val="16"/>
              </w:rPr>
              <w:fldChar w:fldCharType="separate"/>
            </w:r>
            <w:r w:rsidR="0062178E" w:rsidRPr="00F01F3A">
              <w:rPr>
                <w:rFonts w:ascii="Calibri" w:hAnsi="Calibri"/>
                <w:noProof/>
                <w:sz w:val="16"/>
                <w:szCs w:val="16"/>
              </w:rPr>
              <w:t>(3,4)</w:t>
            </w:r>
            <w:r w:rsidRPr="00F01F3A">
              <w:rPr>
                <w:rFonts w:ascii="Calibri" w:hAnsi="Calibri"/>
                <w:sz w:val="16"/>
                <w:szCs w:val="16"/>
              </w:rPr>
              <w:fldChar w:fldCharType="end"/>
            </w:r>
            <w:r w:rsidRPr="00F01F3A">
              <w:rPr>
                <w:rFonts w:ascii="Calibri" w:hAnsi="Calibri"/>
                <w:sz w:val="16"/>
                <w:szCs w:val="16"/>
              </w:rPr>
              <w:t xml:space="preserve">, and Target Product Profiles (TPPs), in 2015, ﻿for POC diagnosis </w:t>
            </w:r>
            <w:r w:rsidRPr="00F01F3A">
              <w:rPr>
                <w:rFonts w:ascii="Calibri" w:hAnsi="Calibri"/>
                <w:bCs/>
                <w:sz w:val="16"/>
                <w:szCs w:val="16"/>
              </w:rPr>
              <w:t>based on evidence available up to 2011,</w:t>
            </w:r>
            <w:r w:rsidRPr="00F01F3A">
              <w:rPr>
                <w:rFonts w:ascii="Calibri" w:hAnsi="Calibri"/>
                <w:sz w:val="16"/>
                <w:szCs w:val="16"/>
              </w:rPr>
              <w:t xml:space="preserve"> and in 2020 ﻿for assessment of treatment efficacy in CD patients </w:t>
            </w:r>
            <w:r w:rsidRPr="00F01F3A">
              <w:rPr>
                <w:rFonts w:ascii="Calibri" w:hAnsi="Calibri"/>
                <w:sz w:val="16"/>
                <w:szCs w:val="16"/>
              </w:rPr>
              <w:fldChar w:fldCharType="begin" w:fldLock="1"/>
            </w:r>
            <w:r w:rsidR="0062178E" w:rsidRPr="00F01F3A">
              <w:rPr>
                <w:rFonts w:ascii="Calibri" w:hAnsi="Calibri"/>
                <w:sz w:val="16"/>
                <w:szCs w:val="16"/>
              </w:rPr>
              <w:instrText>ADDIN CSL_CITATION {"citationItems":[{"id":"ITEM-1","itemData":{"DOI":"10.1371/journal.pntd.0003697","ISSN":"1935-2735 (Electronic)","PMID":"26042730","author":[{"dropping-particle":"","family":"Porrás","given":"Analía I","non-dropping-particle":"","parse-names":false,"suffix":""},{"dropping-particle":"","family":"Yadon","given":"Zaida E","non-dropping-particle":"","parse-names":false,"suffix":""},{"dropping-particle":"","family":"Altcheh","given":"Jaime","non-dropping-particle":"","parse-names":false,"suffix":""},{"dropping-particle":"","family":"Britto","given":"Constança","non-dropping-particle":"","parse-names":false,"suffix":""},{"dropping-particle":"","family":"Chaves","given":"Gabriela C","non-dropping-particle":"","parse-names":false,"suffix":""},{"dropping-particle":"","family":"Flevaud","given":"Laurence","non-dropping-particle":"","parse-names":false,"suffix":""},{"dropping-particle":"","family":"Martins-Filho","given":"Olindo Assis","non-dropping-particle":"","parse-names":false,"suffix":""},{"dropping-particle":"","family":"Ribeiro","given":"Isabela","non-dropping-particle":"","parse-names":false,"suffix":""},{"dropping-particle":"","family":"Schijman","given":"Alejandro G","non-dropping-particle":"","parse-names":false,"suffix":""},{"dropping-particle":"","family":"Shikanai-Yasuda","given":"Maria Aparecida","non-dropping-particle":"","parse-names":false,"suffix":""},{"dropping-particle":"","family":"Sosa-Estani","given":"Sergio","non-dropping-particle":"","parse-names":false,"suffix":""},{"dropping-particle":"","family":"Stobbaerts","given":"Eric","non-dropping-particle":"","parse-names":false,"suffix":""},{"dropping-particle":"","family":"Zicker","given":"Fabio","non-dropping-particle":"","parse-names":false,"suffix":""}],"container-title":"PLoS neglected tropical diseases","id":"ITEM-1","issue":"6","issued":{"date-parts":[["2015","6"]]},"language":"eng","page":"e0003697","publisher-place":"United States","title":"Target Product Profile (TPP) for Chagas Disease Point-of-Care Diagnosis and  Assessment of Response to Treatment.","type":"article-journal","volume":"9"},"uris":["http://www.mendeley.com/documents/?uuid=8dab20f2-750c-43a9-ac40-3a746aa09135"]},{"id":"ITEM-2","itemData":{"DOI":"10.1371/journal.pntd.0008035","ISSN":"1935-2735 (Electronic)","PMID":"32324735","author":[{"dropping-particle":"","family":"Alonso-Padilla","given":"Julio","non-dropping-particle":"","parse-names":false,"suffix":""},{"dropping-particle":"","family":"Abril","given":"Marcelo","non-dropping-particle":"","parse-names":false,"suffix":""},{"dropping-particle":"","family":"Alarcón de Noya","given":"Belkisyolé","non-dropping-particle":"","parse-names":false,"suffix":""},{"dropping-particle":"","family":"Almeida","given":"Igor C","non-dropping-particle":"","parse-names":false,"suffix":""},{"dropping-particle":"","family":"Angheben","given":"Andrea","non-dropping-particle":"","parse-names":false,"suffix":""},{"dropping-particle":"","family":"Araujo Jorge","given":"Tania","non-dropping-particle":"","parse-names":false,"suffix":""},{"dropping-particle":"","family":"Chatelain","given":"Eric","non-dropping-particle":"","parse-names":false,"suffix":""},{"dropping-particle":"","family":"Esteva","given":"Monica","non-dropping-particle":"","parse-names":false,"suffix":""},{"dropping-particle":"","family":"Gascón","given":"Joaquim","non-dropping-particle":"","parse-names":false,"suffix":""},{"dropping-particle":"","family":"Grijalva","given":"Mario J","non-dropping-particle":"","parse-names":false,"suffix":""},{"dropping-particle":"","family":"Guhl","given":"Felipe","non-dropping-particle":"","parse-names":false,"suffix":""},{"dropping-particle":"","family":"Hasslocher-Moreno","given":"Alejandro Marcel","non-dropping-particle":"","parse-names":false,"suffix":""},{"dropping-particle":"","family":"López","given":"Manuel Carlos","non-dropping-particle":"","parse-names":false,"suffix":""},{"dropping-particle":"","family":"Luquetti","given":"Alejandro","non-dropping-particle":"","parse-names":false,"suffix":""},{"dropping-particle":"","family":"Noya","given":"Oscar","non-dropping-particle":"","parse-names":false,"suffix":""},{"dropping-particle":"","family":"Pinazo","given":"María Jesús","non-dropping-particle":"","parse-names":false,"suffix":""},{"dropping-particle":"","family":"Ramsey","given":"Janine M","non-dropping-particle":"","parse-names":false,"suffix":""},{"dropping-particle":"","family":"Ribeiro","given":"Isabela","non-dropping-particle":"","parse-names":false,"suffix":""},{"dropping-particle":"","family":"Ruiz","given":"Andres Mariano","non-dropping-particle":"","parse-names":false,"suffix":""},{"dropping-particle":"","family":"Schijman","given":"Alejandro G","non-dropping-particle":"","parse-names":false,"suffix":""},{"dropping-particle":"","family":"Sosa-Estani","given":"Sergio","non-dropping-particle":"","parse-names":false,"suffix":""},{"dropping-particle":"","family":"Thomas","given":"M Carmen","non-dropping-particle":"","parse-names":false,"suffix":""},{"dropping-particle":"","family":"Torrico","given":"Faustino","non-dropping-particle":"","parse-names":false,"suffix":""},{"dropping-particle":"","family":"Zrein","given":"Maan","non-dropping-particle":"","parse-names":false,"suffix":""},{"dropping-particle":"","family":"Picado","given":"Albert","non-dropping-particle":"","parse-names":false,"suffix":""}],"container-title":"PLoS neglected tropical diseases","id":"ITEM-2","issue":"4","issued":{"date-parts":[["2020","4"]]},"language":"eng","page":"e0008035","publisher-place":"United States","title":"Target product profile for a test for the early assessment of treatment efficacy  in Chagas disease patients: An expert consensus.","type":"article-journal","volume":"14"},"uris":["http://www.mendeley.com/documents/?uuid=bfdedbd0-c8f9-4520-a3a5-2689d2fc05e9"]}],"mendeley":{"formattedCitation":"(5,6)","plainTextFormattedCitation":"(5,6)","previouslyFormattedCitation":"(5,6)"},"properties":{"noteIndex":0},"schema":"https://github.com/citation-style-language/schema/raw/master/csl-citation.json"}</w:instrText>
            </w:r>
            <w:r w:rsidRPr="00F01F3A">
              <w:rPr>
                <w:rFonts w:ascii="Calibri" w:hAnsi="Calibri"/>
                <w:sz w:val="16"/>
                <w:szCs w:val="16"/>
              </w:rPr>
              <w:fldChar w:fldCharType="separate"/>
            </w:r>
            <w:r w:rsidR="0062178E" w:rsidRPr="00F01F3A">
              <w:rPr>
                <w:rFonts w:ascii="Calibri" w:hAnsi="Calibri"/>
                <w:noProof/>
                <w:sz w:val="16"/>
                <w:szCs w:val="16"/>
              </w:rPr>
              <w:t>(5,6)</w:t>
            </w:r>
            <w:r w:rsidRPr="00F01F3A">
              <w:rPr>
                <w:rFonts w:ascii="Calibri" w:hAnsi="Calibri"/>
                <w:sz w:val="16"/>
                <w:szCs w:val="16"/>
              </w:rPr>
              <w:fldChar w:fldCharType="end"/>
            </w:r>
            <w:r w:rsidRPr="00F01F3A">
              <w:rPr>
                <w:rFonts w:ascii="Calibri" w:hAnsi="Calibri"/>
                <w:sz w:val="16"/>
                <w:szCs w:val="16"/>
              </w:rPr>
              <w:t xml:space="preserve">. </w:t>
            </w:r>
          </w:p>
          <w:p w14:paraId="7FDA7619" w14:textId="5D7F5D98" w:rsidR="00472EE1" w:rsidRPr="00F01F3A" w:rsidRDefault="00472EE1"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Some kits allow collecting the blood of patients in hard-to-reach areas, mixing it with guanidine</w:t>
            </w:r>
            <w:r w:rsidR="00F31A4A" w:rsidRPr="00F01F3A">
              <w:rPr>
                <w:rFonts w:ascii="Calibri" w:hAnsi="Calibri"/>
                <w:sz w:val="16"/>
                <w:szCs w:val="16"/>
              </w:rPr>
              <w:t xml:space="preserve"> </w:t>
            </w:r>
            <w:proofErr w:type="spellStart"/>
            <w:r w:rsidR="00F31A4A" w:rsidRPr="00F01F3A">
              <w:rPr>
                <w:rFonts w:ascii="Calibri" w:hAnsi="Calibri"/>
                <w:sz w:val="16"/>
                <w:szCs w:val="16"/>
              </w:rPr>
              <w:t>hidrochoride</w:t>
            </w:r>
            <w:proofErr w:type="spellEnd"/>
            <w:r w:rsidR="00F31A4A" w:rsidRPr="00F01F3A">
              <w:rPr>
                <w:rFonts w:ascii="Calibri" w:hAnsi="Calibri"/>
                <w:sz w:val="16"/>
                <w:szCs w:val="16"/>
              </w:rPr>
              <w:t xml:space="preserve"> 6M, EDTA 0.2 M, pH 8.00 buffer</w:t>
            </w:r>
            <w:r w:rsidRPr="00F01F3A">
              <w:rPr>
                <w:rFonts w:ascii="Calibri" w:hAnsi="Calibri"/>
                <w:sz w:val="16"/>
                <w:szCs w:val="16"/>
              </w:rPr>
              <w:t xml:space="preserve">, and transporting it, without a cold-chain, to central laboratories. </w:t>
            </w:r>
          </w:p>
          <w:p w14:paraId="7AF19D35" w14:textId="5E679104" w:rsidR="00472EE1" w:rsidRPr="00F01F3A" w:rsidRDefault="00472EE1"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 xml:space="preserve">Performance exhibited in a head-to-head comparison of four </w:t>
            </w:r>
            <w:r w:rsidR="00F31A4A" w:rsidRPr="00F01F3A">
              <w:rPr>
                <w:rFonts w:ascii="Calibri" w:hAnsi="Calibri"/>
                <w:sz w:val="16"/>
                <w:szCs w:val="16"/>
              </w:rPr>
              <w:t>q</w:t>
            </w:r>
            <w:r w:rsidRPr="00F01F3A">
              <w:rPr>
                <w:rFonts w:ascii="Calibri" w:hAnsi="Calibri"/>
                <w:sz w:val="16"/>
                <w:szCs w:val="16"/>
              </w:rPr>
              <w:t xml:space="preserve">PCR kits, showed that two had all lower bounds (95% CI) of Se, </w:t>
            </w:r>
            <w:proofErr w:type="spellStart"/>
            <w:r w:rsidRPr="00F01F3A">
              <w:rPr>
                <w:rFonts w:ascii="Calibri" w:hAnsi="Calibri"/>
                <w:sz w:val="16"/>
                <w:szCs w:val="16"/>
              </w:rPr>
              <w:t>Sp</w:t>
            </w:r>
            <w:proofErr w:type="spellEnd"/>
            <w:r w:rsidRPr="00F01F3A">
              <w:rPr>
                <w:rFonts w:ascii="Calibri" w:hAnsi="Calibri"/>
                <w:sz w:val="16"/>
                <w:szCs w:val="16"/>
              </w:rPr>
              <w:t xml:space="preserve">, and predictive values ≥96.4%. </w:t>
            </w:r>
          </w:p>
        </w:tc>
      </w:tr>
      <w:tr w:rsidR="00472EE1" w:rsidRPr="00F01F3A" w14:paraId="6834B979" w14:textId="77777777" w:rsidTr="00C5444A">
        <w:trPr>
          <w:trHeight w:val="238"/>
        </w:trPr>
        <w:tc>
          <w:tcPr>
            <w:cnfStyle w:val="001000000000" w:firstRow="0" w:lastRow="0" w:firstColumn="1" w:lastColumn="0" w:oddVBand="0" w:evenVBand="0" w:oddHBand="0" w:evenHBand="0" w:firstRowFirstColumn="0" w:firstRowLastColumn="0" w:lastRowFirstColumn="0" w:lastRowLastColumn="0"/>
            <w:tcW w:w="9072" w:type="dxa"/>
            <w:gridSpan w:val="2"/>
          </w:tcPr>
          <w:p w14:paraId="16DE461E" w14:textId="77777777" w:rsidR="00472EE1" w:rsidRPr="00F01F3A" w:rsidRDefault="00472EE1" w:rsidP="00C5444A">
            <w:pPr>
              <w:jc w:val="both"/>
              <w:rPr>
                <w:rFonts w:ascii="Calibri" w:hAnsi="Calibri"/>
                <w:b w:val="0"/>
                <w:i/>
                <w:sz w:val="16"/>
                <w:szCs w:val="16"/>
              </w:rPr>
            </w:pPr>
            <w:r w:rsidRPr="00F01F3A">
              <w:rPr>
                <w:rFonts w:ascii="Calibri" w:hAnsi="Calibri"/>
                <w:b w:val="0"/>
                <w:i/>
                <w:sz w:val="16"/>
                <w:szCs w:val="16"/>
              </w:rPr>
              <w:t>New molecular POC diagnostics that could be adapted to detect T. cruzi and have a transformational impact in primary healthcare facilities:</w:t>
            </w:r>
          </w:p>
        </w:tc>
      </w:tr>
      <w:tr w:rsidR="00472EE1" w:rsidRPr="00F01F3A" w14:paraId="1AEC7BB1" w14:textId="77777777" w:rsidTr="00C54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hideMark/>
          </w:tcPr>
          <w:p w14:paraId="49BC4939" w14:textId="77777777" w:rsidR="00472EE1" w:rsidRPr="00F01F3A" w:rsidRDefault="00472EE1" w:rsidP="00C5444A">
            <w:pPr>
              <w:jc w:val="both"/>
              <w:rPr>
                <w:rFonts w:ascii="Calibri" w:hAnsi="Calibri"/>
                <w:b w:val="0"/>
                <w:sz w:val="16"/>
                <w:szCs w:val="16"/>
              </w:rPr>
            </w:pPr>
            <w:r w:rsidRPr="00F01F3A">
              <w:rPr>
                <w:rFonts w:ascii="Calibri" w:hAnsi="Calibri"/>
                <w:b w:val="0"/>
                <w:sz w:val="16"/>
                <w:szCs w:val="16"/>
              </w:rPr>
              <w:t>Development Pipeline</w:t>
            </w:r>
          </w:p>
        </w:tc>
        <w:tc>
          <w:tcPr>
            <w:tcW w:w="6242" w:type="dxa"/>
            <w:hideMark/>
          </w:tcPr>
          <w:p w14:paraId="5751E99F" w14:textId="77777777" w:rsidR="00472EE1" w:rsidRPr="00F01F3A" w:rsidRDefault="00472EE1"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161 total molecular diagnostic tools, 10 supported by FIND</w:t>
            </w:r>
          </w:p>
          <w:p w14:paraId="7C7C5166" w14:textId="77777777" w:rsidR="00472EE1" w:rsidRPr="00F01F3A" w:rsidRDefault="00472EE1"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 xml:space="preserve">10 true POC tests </w:t>
            </w:r>
          </w:p>
          <w:p w14:paraId="484BB1B0" w14:textId="77777777" w:rsidR="00472EE1" w:rsidRPr="00F01F3A" w:rsidRDefault="00472EE1"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 xml:space="preserve">3 instrument-free options </w:t>
            </w:r>
          </w:p>
        </w:tc>
      </w:tr>
      <w:tr w:rsidR="00472EE1" w:rsidRPr="00F01F3A" w14:paraId="27FDF78E" w14:textId="77777777" w:rsidTr="00C5444A">
        <w:tc>
          <w:tcPr>
            <w:cnfStyle w:val="001000000000" w:firstRow="0" w:lastRow="0" w:firstColumn="1" w:lastColumn="0" w:oddVBand="0" w:evenVBand="0" w:oddHBand="0" w:evenHBand="0" w:firstRowFirstColumn="0" w:firstRowLastColumn="0" w:lastRowFirstColumn="0" w:lastRowLastColumn="0"/>
            <w:tcW w:w="2830" w:type="dxa"/>
            <w:hideMark/>
          </w:tcPr>
          <w:p w14:paraId="7D51E51A" w14:textId="77777777" w:rsidR="00472EE1" w:rsidRPr="00F01F3A" w:rsidRDefault="00472EE1" w:rsidP="00C5444A">
            <w:pPr>
              <w:jc w:val="both"/>
              <w:rPr>
                <w:rFonts w:ascii="Calibri" w:hAnsi="Calibri"/>
                <w:b w:val="0"/>
                <w:sz w:val="16"/>
                <w:szCs w:val="16"/>
              </w:rPr>
            </w:pPr>
            <w:r w:rsidRPr="00F01F3A">
              <w:rPr>
                <w:rFonts w:ascii="Calibri" w:hAnsi="Calibri"/>
                <w:b w:val="0"/>
                <w:sz w:val="16"/>
                <w:szCs w:val="16"/>
              </w:rPr>
              <w:t>PCR assays with reader</w:t>
            </w:r>
          </w:p>
        </w:tc>
        <w:tc>
          <w:tcPr>
            <w:tcW w:w="6242" w:type="dxa"/>
            <w:hideMark/>
          </w:tcPr>
          <w:p w14:paraId="49CF124D" w14:textId="77777777" w:rsidR="00472EE1" w:rsidRPr="00F01F3A" w:rsidRDefault="00472EE1"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r w:rsidRPr="00F01F3A">
              <w:rPr>
                <w:rFonts w:ascii="Calibri" w:hAnsi="Calibri"/>
                <w:sz w:val="16"/>
                <w:szCs w:val="16"/>
              </w:rPr>
              <w:t>High power requirements, higher costs</w:t>
            </w:r>
          </w:p>
        </w:tc>
      </w:tr>
      <w:tr w:rsidR="00472EE1" w:rsidRPr="00F01F3A" w14:paraId="6F1E1B05" w14:textId="77777777" w:rsidTr="00C54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hideMark/>
          </w:tcPr>
          <w:p w14:paraId="550EC56C" w14:textId="77777777" w:rsidR="00472EE1" w:rsidRPr="00F01F3A" w:rsidRDefault="00472EE1" w:rsidP="00C5444A">
            <w:pPr>
              <w:jc w:val="both"/>
              <w:rPr>
                <w:rFonts w:ascii="Calibri" w:hAnsi="Calibri"/>
                <w:b w:val="0"/>
                <w:sz w:val="16"/>
                <w:szCs w:val="16"/>
              </w:rPr>
            </w:pPr>
            <w:r w:rsidRPr="00F01F3A">
              <w:rPr>
                <w:rFonts w:ascii="Calibri" w:hAnsi="Calibri"/>
                <w:b w:val="0"/>
                <w:sz w:val="16"/>
                <w:szCs w:val="16"/>
              </w:rPr>
              <w:t>Isothermal assays with reader</w:t>
            </w:r>
          </w:p>
        </w:tc>
        <w:tc>
          <w:tcPr>
            <w:tcW w:w="6242" w:type="dxa"/>
            <w:hideMark/>
          </w:tcPr>
          <w:p w14:paraId="32B89AF9" w14:textId="77777777" w:rsidR="00472EE1" w:rsidRPr="00F01F3A" w:rsidRDefault="00472EE1"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Lower sensitivity, limited multiplexing capacity</w:t>
            </w:r>
          </w:p>
        </w:tc>
      </w:tr>
      <w:tr w:rsidR="00472EE1" w:rsidRPr="00F01F3A" w14:paraId="3274B596" w14:textId="77777777" w:rsidTr="00C5444A">
        <w:tc>
          <w:tcPr>
            <w:cnfStyle w:val="001000000000" w:firstRow="0" w:lastRow="0" w:firstColumn="1" w:lastColumn="0" w:oddVBand="0" w:evenVBand="0" w:oddHBand="0" w:evenHBand="0" w:firstRowFirstColumn="0" w:firstRowLastColumn="0" w:lastRowFirstColumn="0" w:lastRowLastColumn="0"/>
            <w:tcW w:w="2830" w:type="dxa"/>
            <w:hideMark/>
          </w:tcPr>
          <w:p w14:paraId="70FF837A" w14:textId="77777777" w:rsidR="00472EE1" w:rsidRPr="00F01F3A" w:rsidRDefault="00472EE1" w:rsidP="00C5444A">
            <w:pPr>
              <w:jc w:val="both"/>
              <w:rPr>
                <w:rFonts w:ascii="Calibri" w:hAnsi="Calibri"/>
                <w:b w:val="0"/>
                <w:sz w:val="16"/>
                <w:szCs w:val="16"/>
              </w:rPr>
            </w:pPr>
            <w:r w:rsidRPr="00F01F3A">
              <w:rPr>
                <w:rFonts w:ascii="Calibri" w:hAnsi="Calibri"/>
                <w:b w:val="0"/>
                <w:sz w:val="16"/>
                <w:szCs w:val="16"/>
              </w:rPr>
              <w:t>Isothermal single-use platforms</w:t>
            </w:r>
          </w:p>
        </w:tc>
        <w:tc>
          <w:tcPr>
            <w:tcW w:w="6242" w:type="dxa"/>
            <w:hideMark/>
          </w:tcPr>
          <w:p w14:paraId="1563D87B" w14:textId="77777777" w:rsidR="00472EE1" w:rsidRPr="00F01F3A" w:rsidRDefault="00472EE1"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r w:rsidRPr="00F01F3A">
              <w:rPr>
                <w:rFonts w:ascii="Calibri" w:hAnsi="Calibri"/>
                <w:sz w:val="16"/>
                <w:szCs w:val="16"/>
              </w:rPr>
              <w:t>Higher cost per test, environmental impact concerns</w:t>
            </w:r>
          </w:p>
        </w:tc>
      </w:tr>
      <w:tr w:rsidR="00472EE1" w:rsidRPr="00F01F3A" w14:paraId="1DC9F09E" w14:textId="77777777" w:rsidTr="00C54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hideMark/>
          </w:tcPr>
          <w:p w14:paraId="4266F93C" w14:textId="77777777" w:rsidR="00472EE1" w:rsidRPr="00F01F3A" w:rsidRDefault="00472EE1" w:rsidP="00C5444A">
            <w:pPr>
              <w:jc w:val="both"/>
              <w:rPr>
                <w:rFonts w:ascii="Calibri" w:hAnsi="Calibri"/>
                <w:b w:val="0"/>
                <w:sz w:val="16"/>
                <w:szCs w:val="16"/>
              </w:rPr>
            </w:pPr>
            <w:r w:rsidRPr="00F01F3A">
              <w:rPr>
                <w:rFonts w:ascii="Calibri" w:hAnsi="Calibri"/>
                <w:b w:val="0"/>
                <w:sz w:val="16"/>
                <w:szCs w:val="16"/>
              </w:rPr>
              <w:t>Novel methodologies</w:t>
            </w:r>
          </w:p>
        </w:tc>
        <w:tc>
          <w:tcPr>
            <w:tcW w:w="6242" w:type="dxa"/>
            <w:hideMark/>
          </w:tcPr>
          <w:p w14:paraId="0374400D" w14:textId="77777777" w:rsidR="00472EE1" w:rsidRPr="00F01F3A" w:rsidRDefault="00472EE1"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Early-stage technology, limited clinical data (other diseases)</w:t>
            </w:r>
          </w:p>
        </w:tc>
      </w:tr>
      <w:tr w:rsidR="00472EE1" w:rsidRPr="00F01F3A" w14:paraId="116F1EC9" w14:textId="77777777" w:rsidTr="00C5444A">
        <w:tc>
          <w:tcPr>
            <w:cnfStyle w:val="001000000000" w:firstRow="0" w:lastRow="0" w:firstColumn="1" w:lastColumn="0" w:oddVBand="0" w:evenVBand="0" w:oddHBand="0" w:evenHBand="0" w:firstRowFirstColumn="0" w:firstRowLastColumn="0" w:lastRowFirstColumn="0" w:lastRowLastColumn="0"/>
            <w:tcW w:w="2830" w:type="dxa"/>
            <w:hideMark/>
          </w:tcPr>
          <w:p w14:paraId="67209239" w14:textId="77777777" w:rsidR="00472EE1" w:rsidRPr="00F01F3A" w:rsidRDefault="00472EE1" w:rsidP="00C5444A">
            <w:pPr>
              <w:jc w:val="both"/>
              <w:rPr>
                <w:rFonts w:ascii="Calibri" w:hAnsi="Calibri"/>
                <w:b w:val="0"/>
                <w:sz w:val="16"/>
                <w:szCs w:val="16"/>
              </w:rPr>
            </w:pPr>
            <w:r w:rsidRPr="00F01F3A">
              <w:rPr>
                <w:rFonts w:ascii="Calibri" w:hAnsi="Calibri"/>
                <w:b w:val="0"/>
                <w:sz w:val="16"/>
                <w:szCs w:val="16"/>
              </w:rPr>
              <w:t>Key Technologies Summarized</w:t>
            </w:r>
          </w:p>
        </w:tc>
        <w:tc>
          <w:tcPr>
            <w:tcW w:w="6242" w:type="dxa"/>
            <w:hideMark/>
          </w:tcPr>
          <w:p w14:paraId="679670B8" w14:textId="77777777" w:rsidR="00472EE1" w:rsidRPr="00F01F3A" w:rsidRDefault="00472EE1"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r w:rsidRPr="00F01F3A">
              <w:rPr>
                <w:rFonts w:ascii="Calibri" w:hAnsi="Calibri"/>
                <w:sz w:val="16"/>
                <w:szCs w:val="16"/>
              </w:rPr>
              <w:t>Isothermal amplification techniques, amplification-free methodologies</w:t>
            </w:r>
          </w:p>
        </w:tc>
      </w:tr>
      <w:tr w:rsidR="00472EE1" w:rsidRPr="00F01F3A" w14:paraId="61B4A228" w14:textId="77777777" w:rsidTr="00C54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Align w:val="center"/>
            <w:hideMark/>
          </w:tcPr>
          <w:p w14:paraId="6EFCB39F" w14:textId="77777777" w:rsidR="00472EE1" w:rsidRPr="00F01F3A" w:rsidRDefault="00472EE1" w:rsidP="00C5444A">
            <w:pPr>
              <w:rPr>
                <w:rFonts w:ascii="Calibri" w:hAnsi="Calibri"/>
                <w:bCs w:val="0"/>
                <w:sz w:val="16"/>
                <w:szCs w:val="16"/>
              </w:rPr>
            </w:pPr>
            <w:r w:rsidRPr="00F01F3A">
              <w:rPr>
                <w:rFonts w:ascii="Calibri" w:hAnsi="Calibri"/>
                <w:b w:val="0"/>
                <w:sz w:val="16"/>
                <w:szCs w:val="16"/>
              </w:rPr>
              <w:t xml:space="preserve">Challenges in development for </w:t>
            </w:r>
            <w:r w:rsidRPr="00F01F3A">
              <w:rPr>
                <w:rFonts w:ascii="Calibri" w:hAnsi="Calibri"/>
                <w:b w:val="0"/>
                <w:i/>
                <w:sz w:val="16"/>
                <w:szCs w:val="16"/>
              </w:rPr>
              <w:t>T. cruzi</w:t>
            </w:r>
            <w:r w:rsidRPr="00F01F3A">
              <w:rPr>
                <w:rFonts w:ascii="Calibri" w:hAnsi="Calibri"/>
                <w:b w:val="0"/>
                <w:sz w:val="16"/>
                <w:szCs w:val="16"/>
              </w:rPr>
              <w:t xml:space="preserve"> detection</w:t>
            </w:r>
          </w:p>
        </w:tc>
        <w:tc>
          <w:tcPr>
            <w:tcW w:w="6242" w:type="dxa"/>
            <w:hideMark/>
          </w:tcPr>
          <w:p w14:paraId="6F83DA36" w14:textId="77777777" w:rsidR="00472EE1" w:rsidRPr="00F01F3A" w:rsidRDefault="00472EE1"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b/>
                <w:bCs/>
                <w:sz w:val="16"/>
                <w:szCs w:val="16"/>
              </w:rPr>
              <w:t xml:space="preserve">1. Limited diagnostics menu. </w:t>
            </w:r>
            <w:r w:rsidRPr="00F01F3A">
              <w:rPr>
                <w:rFonts w:ascii="Calibri" w:hAnsi="Calibri"/>
                <w:bCs/>
                <w:sz w:val="16"/>
                <w:szCs w:val="16"/>
              </w:rPr>
              <w:t>R</w:t>
            </w:r>
            <w:r w:rsidRPr="00F01F3A">
              <w:rPr>
                <w:rFonts w:ascii="Calibri" w:hAnsi="Calibri"/>
                <w:sz w:val="16"/>
                <w:szCs w:val="16"/>
              </w:rPr>
              <w:t>equiring additional financing and incentives</w:t>
            </w:r>
          </w:p>
          <w:p w14:paraId="305748C6" w14:textId="77777777" w:rsidR="00472EE1" w:rsidRPr="00F01F3A" w:rsidRDefault="00472EE1"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bCs/>
                <w:sz w:val="16"/>
                <w:szCs w:val="16"/>
              </w:rPr>
            </w:pPr>
            <w:r w:rsidRPr="00F01F3A">
              <w:rPr>
                <w:rFonts w:ascii="Calibri" w:hAnsi="Calibri"/>
                <w:b/>
                <w:bCs/>
                <w:sz w:val="16"/>
                <w:szCs w:val="16"/>
              </w:rPr>
              <w:t>2. Lack of updated TPP.</w:t>
            </w:r>
            <w:r w:rsidRPr="00F01F3A">
              <w:rPr>
                <w:rFonts w:ascii="Calibri" w:hAnsi="Calibri"/>
                <w:bCs/>
                <w:sz w:val="16"/>
                <w:szCs w:val="16"/>
              </w:rPr>
              <w:t xml:space="preserve"> Tailored to the current needs and technology, developed by the health authorities, end users and industry </w:t>
            </w:r>
          </w:p>
          <w:p w14:paraId="1F8F90D9" w14:textId="77777777" w:rsidR="00472EE1" w:rsidRPr="00F01F3A" w:rsidRDefault="00472EE1"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b/>
                <w:bCs/>
                <w:sz w:val="16"/>
                <w:szCs w:val="16"/>
              </w:rPr>
              <w:t>3. Potential sample incompatibility</w:t>
            </w:r>
            <w:r w:rsidRPr="00F01F3A">
              <w:rPr>
                <w:rFonts w:ascii="Calibri" w:hAnsi="Calibri"/>
                <w:sz w:val="16"/>
                <w:szCs w:val="16"/>
              </w:rPr>
              <w:t xml:space="preserve"> (whole blood/urine) </w:t>
            </w:r>
          </w:p>
        </w:tc>
      </w:tr>
      <w:tr w:rsidR="00472EE1" w:rsidRPr="00F01F3A" w14:paraId="2C1A54DD" w14:textId="77777777" w:rsidTr="00C5444A">
        <w:tc>
          <w:tcPr>
            <w:cnfStyle w:val="001000000000" w:firstRow="0" w:lastRow="0" w:firstColumn="1" w:lastColumn="0" w:oddVBand="0" w:evenVBand="0" w:oddHBand="0" w:evenHBand="0" w:firstRowFirstColumn="0" w:firstRowLastColumn="0" w:lastRowFirstColumn="0" w:lastRowLastColumn="0"/>
            <w:tcW w:w="2830" w:type="dxa"/>
            <w:shd w:val="clear" w:color="auto" w:fill="EDEDED" w:themeFill="accent3" w:themeFillTint="33"/>
            <w:vAlign w:val="center"/>
          </w:tcPr>
          <w:p w14:paraId="69BDC3C0" w14:textId="77777777" w:rsidR="00472EE1" w:rsidRPr="00F01F3A" w:rsidRDefault="00472EE1" w:rsidP="00C5444A">
            <w:pPr>
              <w:rPr>
                <w:rFonts w:ascii="Calibri" w:hAnsi="Calibri"/>
                <w:b w:val="0"/>
                <w:sz w:val="16"/>
                <w:szCs w:val="16"/>
              </w:rPr>
            </w:pPr>
            <w:r w:rsidRPr="00F01F3A">
              <w:rPr>
                <w:rFonts w:ascii="Calibri" w:hAnsi="Calibri"/>
                <w:b w:val="0"/>
                <w:sz w:val="16"/>
                <w:szCs w:val="16"/>
              </w:rPr>
              <w:t xml:space="preserve">Issues for the evaluation </w:t>
            </w:r>
          </w:p>
        </w:tc>
        <w:tc>
          <w:tcPr>
            <w:tcW w:w="6242" w:type="dxa"/>
          </w:tcPr>
          <w:p w14:paraId="300B9A2E" w14:textId="77777777" w:rsidR="00472EE1" w:rsidRPr="00F01F3A" w:rsidRDefault="00472EE1"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b/>
                <w:bCs/>
                <w:sz w:val="16"/>
                <w:szCs w:val="16"/>
              </w:rPr>
            </w:pPr>
            <w:r w:rsidRPr="00F01F3A">
              <w:rPr>
                <w:rFonts w:ascii="Calibri" w:hAnsi="Calibri"/>
                <w:b/>
                <w:bCs/>
                <w:sz w:val="16"/>
                <w:szCs w:val="16"/>
              </w:rPr>
              <w:t>1. Access biospecimens.</w:t>
            </w:r>
            <w:r w:rsidRPr="00F01F3A">
              <w:rPr>
                <w:rFonts w:ascii="Calibri" w:hAnsi="Calibri"/>
                <w:sz w:val="16"/>
                <w:szCs w:val="16"/>
              </w:rPr>
              <w:t xml:space="preserve"> </w:t>
            </w:r>
            <w:r w:rsidRPr="00F01F3A">
              <w:rPr>
                <w:rFonts w:ascii="Calibri" w:hAnsi="Calibri"/>
                <w:bCs/>
                <w:sz w:val="16"/>
                <w:szCs w:val="16"/>
              </w:rPr>
              <w:t>R</w:t>
            </w:r>
            <w:r w:rsidRPr="00F01F3A">
              <w:rPr>
                <w:rFonts w:ascii="Calibri" w:hAnsi="Calibri"/>
                <w:sz w:val="16"/>
                <w:szCs w:val="16"/>
              </w:rPr>
              <w:t>equiring collaborations</w:t>
            </w:r>
            <w:r w:rsidRPr="00F01F3A">
              <w:rPr>
                <w:rFonts w:ascii="Calibri" w:hAnsi="Calibri"/>
                <w:bCs/>
                <w:sz w:val="16"/>
                <w:szCs w:val="16"/>
              </w:rPr>
              <w:t xml:space="preserve"> and setting the requirements (</w:t>
            </w:r>
            <w:r w:rsidRPr="00F01F3A">
              <w:rPr>
                <w:rFonts w:ascii="Calibri" w:hAnsi="Calibri"/>
                <w:sz w:val="16"/>
                <w:szCs w:val="16"/>
              </w:rPr>
              <w:t>calibration curves, interlaboratory studies to reduce bias, and amplification curves to increase precision)</w:t>
            </w:r>
          </w:p>
          <w:p w14:paraId="4826B319" w14:textId="77777777" w:rsidR="00472EE1" w:rsidRPr="00F01F3A" w:rsidRDefault="00472EE1"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r w:rsidRPr="00F01F3A">
              <w:rPr>
                <w:rFonts w:ascii="Calibri" w:hAnsi="Calibri"/>
                <w:b/>
                <w:bCs/>
                <w:sz w:val="16"/>
                <w:szCs w:val="16"/>
              </w:rPr>
              <w:t xml:space="preserve">2. Lack of international reference standards. </w:t>
            </w:r>
            <w:r w:rsidRPr="00F01F3A">
              <w:rPr>
                <w:rFonts w:ascii="Calibri" w:hAnsi="Calibri"/>
                <w:bCs/>
                <w:sz w:val="16"/>
                <w:szCs w:val="16"/>
              </w:rPr>
              <w:t>Hindering comparison of parasitic loads between laboratories</w:t>
            </w:r>
          </w:p>
          <w:p w14:paraId="0FB19E80" w14:textId="77777777" w:rsidR="00472EE1" w:rsidRPr="00F01F3A" w:rsidRDefault="00472EE1"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r w:rsidRPr="00F01F3A">
              <w:rPr>
                <w:rFonts w:ascii="Calibri" w:hAnsi="Calibri"/>
                <w:b/>
                <w:bCs/>
                <w:sz w:val="16"/>
                <w:szCs w:val="16"/>
              </w:rPr>
              <w:t xml:space="preserve">3. Lack of </w:t>
            </w:r>
            <w:r w:rsidRPr="00F01F3A">
              <w:rPr>
                <w:rFonts w:ascii="Calibri" w:hAnsi="Calibri"/>
                <w:b/>
                <w:sz w:val="16"/>
                <w:szCs w:val="16"/>
              </w:rPr>
              <w:t>(quantitative) positive controls and</w:t>
            </w:r>
            <w:r w:rsidRPr="00F01F3A">
              <w:rPr>
                <w:rFonts w:ascii="Calibri" w:hAnsi="Calibri"/>
                <w:sz w:val="16"/>
                <w:szCs w:val="16"/>
              </w:rPr>
              <w:t xml:space="preserve"> </w:t>
            </w:r>
            <w:r w:rsidRPr="00F01F3A">
              <w:rPr>
                <w:rFonts w:ascii="Calibri" w:hAnsi="Calibri"/>
                <w:b/>
                <w:bCs/>
                <w:sz w:val="16"/>
                <w:szCs w:val="16"/>
              </w:rPr>
              <w:t xml:space="preserve">panels </w:t>
            </w:r>
            <w:r w:rsidRPr="00F01F3A">
              <w:rPr>
                <w:rFonts w:ascii="Calibri" w:hAnsi="Calibri"/>
                <w:bCs/>
                <w:sz w:val="16"/>
                <w:szCs w:val="16"/>
              </w:rPr>
              <w:t>for verification, validation, and performance</w:t>
            </w:r>
            <w:r w:rsidRPr="00F01F3A">
              <w:rPr>
                <w:rFonts w:ascii="Calibri" w:hAnsi="Calibri"/>
                <w:sz w:val="16"/>
                <w:szCs w:val="16"/>
              </w:rPr>
              <w:t xml:space="preserve"> evaluation </w:t>
            </w:r>
          </w:p>
        </w:tc>
      </w:tr>
    </w:tbl>
    <w:p w14:paraId="29C3B859" w14:textId="4A9763D7" w:rsidR="00472EE1" w:rsidRPr="00F01F3A" w:rsidRDefault="00472EE1" w:rsidP="0062178E">
      <w:pPr>
        <w:widowControl w:val="0"/>
        <w:autoSpaceDE w:val="0"/>
        <w:autoSpaceDN w:val="0"/>
        <w:adjustRightInd w:val="0"/>
        <w:rPr>
          <w:rFonts w:ascii="Calibri" w:hAnsi="Calibri"/>
          <w:b/>
          <w:bCs/>
          <w:sz w:val="22"/>
          <w:szCs w:val="22"/>
        </w:rPr>
      </w:pPr>
      <w:r w:rsidRPr="00F01F3A">
        <w:rPr>
          <w:rFonts w:ascii="Calibri" w:hAnsi="Calibri"/>
          <w:b/>
          <w:bCs/>
          <w:sz w:val="22"/>
          <w:szCs w:val="22"/>
        </w:rPr>
        <w:br w:type="page"/>
      </w:r>
    </w:p>
    <w:p w14:paraId="38A86A66" w14:textId="72673DC7" w:rsidR="00F35ACD" w:rsidRPr="00F01F3A" w:rsidRDefault="00A96360" w:rsidP="00F35ACD">
      <w:pPr>
        <w:rPr>
          <w:rFonts w:ascii="Calibri" w:hAnsi="Calibri"/>
          <w:b/>
          <w:bCs/>
          <w:sz w:val="22"/>
          <w:szCs w:val="22"/>
        </w:rPr>
      </w:pPr>
      <w:r w:rsidRPr="00F01F3A">
        <w:rPr>
          <w:rFonts w:ascii="Calibri" w:hAnsi="Calibri"/>
          <w:b/>
          <w:bCs/>
          <w:sz w:val="22"/>
          <w:szCs w:val="22"/>
        </w:rPr>
        <w:lastRenderedPageBreak/>
        <w:t xml:space="preserve">Appendix </w:t>
      </w:r>
      <w:r w:rsidR="00453C18" w:rsidRPr="00F01F3A">
        <w:rPr>
          <w:rFonts w:ascii="Calibri" w:hAnsi="Calibri"/>
          <w:b/>
          <w:bCs/>
          <w:sz w:val="22"/>
          <w:szCs w:val="22"/>
        </w:rPr>
        <w:t>5</w:t>
      </w:r>
      <w:r w:rsidRPr="00F01F3A">
        <w:rPr>
          <w:rFonts w:ascii="Calibri" w:hAnsi="Calibri"/>
          <w:b/>
          <w:bCs/>
          <w:sz w:val="22"/>
          <w:szCs w:val="22"/>
        </w:rPr>
        <w:t xml:space="preserve">. </w:t>
      </w:r>
      <w:r w:rsidR="00F35ACD" w:rsidRPr="00F01F3A">
        <w:rPr>
          <w:rFonts w:ascii="Calibri" w:hAnsi="Calibri"/>
          <w:b/>
          <w:sz w:val="22"/>
          <w:szCs w:val="22"/>
        </w:rPr>
        <w:t xml:space="preserve">Summary of pre-meeting survey results about the </w:t>
      </w:r>
      <w:r w:rsidR="00F35ACD" w:rsidRPr="00F01F3A">
        <w:rPr>
          <w:rFonts w:ascii="Calibri" w:hAnsi="Calibri"/>
          <w:b/>
          <w:bCs/>
          <w:sz w:val="22"/>
          <w:szCs w:val="22"/>
        </w:rPr>
        <w:t>key product characteristics of R</w:t>
      </w:r>
      <w:r w:rsidR="00CC5D55" w:rsidRPr="00F01F3A">
        <w:rPr>
          <w:rFonts w:ascii="Calibri" w:hAnsi="Calibri"/>
          <w:b/>
          <w:bCs/>
          <w:sz w:val="22"/>
          <w:szCs w:val="22"/>
        </w:rPr>
        <w:t xml:space="preserve">eal </w:t>
      </w:r>
      <w:r w:rsidR="00F35ACD" w:rsidRPr="00F01F3A">
        <w:rPr>
          <w:rFonts w:ascii="Calibri" w:hAnsi="Calibri"/>
          <w:b/>
          <w:bCs/>
          <w:sz w:val="22"/>
          <w:szCs w:val="22"/>
        </w:rPr>
        <w:t>T</w:t>
      </w:r>
      <w:r w:rsidR="00CC5D55" w:rsidRPr="00F01F3A">
        <w:rPr>
          <w:rFonts w:ascii="Calibri" w:hAnsi="Calibri"/>
          <w:b/>
          <w:bCs/>
          <w:sz w:val="22"/>
          <w:szCs w:val="22"/>
        </w:rPr>
        <w:t>ime</w:t>
      </w:r>
      <w:r w:rsidR="00F35ACD" w:rsidRPr="00F01F3A">
        <w:rPr>
          <w:rFonts w:ascii="Calibri" w:hAnsi="Calibri"/>
          <w:b/>
          <w:bCs/>
          <w:sz w:val="22"/>
          <w:szCs w:val="22"/>
        </w:rPr>
        <w:t>-PCR tests</w:t>
      </w:r>
    </w:p>
    <w:p w14:paraId="70D11C39" w14:textId="77777777" w:rsidR="00435EEB" w:rsidRPr="00F01F3A" w:rsidRDefault="00435EEB" w:rsidP="00F35ACD">
      <w:pPr>
        <w:rPr>
          <w:rFonts w:ascii="Calibri" w:hAnsi="Calibri"/>
          <w:sz w:val="22"/>
          <w:szCs w:val="22"/>
        </w:rPr>
      </w:pPr>
    </w:p>
    <w:tbl>
      <w:tblPr>
        <w:tblStyle w:val="GridTable4-Accent3"/>
        <w:tblW w:w="9209" w:type="dxa"/>
        <w:tblLook w:val="04A0" w:firstRow="1" w:lastRow="0" w:firstColumn="1" w:lastColumn="0" w:noHBand="0" w:noVBand="1"/>
      </w:tblPr>
      <w:tblGrid>
        <w:gridCol w:w="917"/>
        <w:gridCol w:w="1913"/>
        <w:gridCol w:w="3261"/>
        <w:gridCol w:w="3118"/>
      </w:tblGrid>
      <w:tr w:rsidR="00F35ACD" w:rsidRPr="00F01F3A" w14:paraId="6D2EB44F" w14:textId="77777777" w:rsidTr="00AF0C4B">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17" w:type="dxa"/>
            <w:tcBorders>
              <w:top w:val="single" w:sz="4" w:space="0" w:color="FFFFFF"/>
              <w:left w:val="single" w:sz="4" w:space="0" w:color="FFFFFF"/>
              <w:bottom w:val="single" w:sz="4" w:space="0" w:color="FFFFFF"/>
            </w:tcBorders>
            <w:vAlign w:val="center"/>
          </w:tcPr>
          <w:p w14:paraId="09108A77" w14:textId="77777777" w:rsidR="00F35ACD" w:rsidRPr="00F01F3A" w:rsidRDefault="00F35ACD" w:rsidP="00F35ACD">
            <w:pPr>
              <w:jc w:val="center"/>
              <w:rPr>
                <w:rFonts w:ascii="Calibri" w:hAnsi="Calibri"/>
                <w:bCs w:val="0"/>
                <w:sz w:val="16"/>
                <w:szCs w:val="16"/>
              </w:rPr>
            </w:pPr>
            <w:r w:rsidRPr="00F01F3A">
              <w:rPr>
                <w:rFonts w:ascii="Calibri" w:hAnsi="Calibri"/>
                <w:sz w:val="16"/>
                <w:szCs w:val="16"/>
              </w:rPr>
              <w:t>Consensus</w:t>
            </w:r>
          </w:p>
          <w:p w14:paraId="5A9CAB14" w14:textId="77777777" w:rsidR="00F35ACD" w:rsidRPr="00F01F3A" w:rsidRDefault="00F35ACD" w:rsidP="00F35ACD">
            <w:pPr>
              <w:jc w:val="center"/>
              <w:rPr>
                <w:rFonts w:ascii="Calibri" w:hAnsi="Calibri" w:cs="Calibri"/>
                <w:sz w:val="16"/>
                <w:szCs w:val="16"/>
              </w:rPr>
            </w:pPr>
            <w:r w:rsidRPr="00F01F3A">
              <w:rPr>
                <w:rFonts w:ascii="Calibri" w:hAnsi="Calibri"/>
                <w:sz w:val="16"/>
                <w:szCs w:val="16"/>
              </w:rPr>
              <w:t>(</w:t>
            </w:r>
            <w:r w:rsidRPr="00F01F3A">
              <w:rPr>
                <w:rFonts w:ascii="Calibri" w:hAnsi="Calibri"/>
                <w:bCs w:val="0"/>
                <w:sz w:val="16"/>
                <w:szCs w:val="16"/>
              </w:rPr>
              <w:t>&gt;50% agree</w:t>
            </w:r>
            <w:r w:rsidRPr="00F01F3A">
              <w:rPr>
                <w:rFonts w:ascii="Calibri" w:hAnsi="Calibri"/>
                <w:sz w:val="16"/>
                <w:szCs w:val="16"/>
              </w:rPr>
              <w:t>)</w:t>
            </w:r>
          </w:p>
        </w:tc>
        <w:tc>
          <w:tcPr>
            <w:tcW w:w="1913" w:type="dxa"/>
            <w:tcBorders>
              <w:top w:val="single" w:sz="4" w:space="0" w:color="FFFFFF"/>
              <w:bottom w:val="single" w:sz="4" w:space="0" w:color="FFFFFF"/>
            </w:tcBorders>
            <w:vAlign w:val="center"/>
            <w:hideMark/>
          </w:tcPr>
          <w:p w14:paraId="475C12C7" w14:textId="77777777" w:rsidR="00F35ACD" w:rsidRPr="00F01F3A" w:rsidRDefault="00F35ACD" w:rsidP="00F35AC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sz w:val="16"/>
                <w:szCs w:val="16"/>
              </w:rPr>
            </w:pPr>
            <w:r w:rsidRPr="00F01F3A">
              <w:rPr>
                <w:rFonts w:ascii="Calibri" w:hAnsi="Calibri" w:cs="Calibri"/>
                <w:sz w:val="16"/>
                <w:szCs w:val="16"/>
              </w:rPr>
              <w:t>Product Characteristic</w:t>
            </w:r>
          </w:p>
        </w:tc>
        <w:tc>
          <w:tcPr>
            <w:tcW w:w="3261" w:type="dxa"/>
            <w:tcBorders>
              <w:top w:val="single" w:sz="4" w:space="0" w:color="FFFFFF"/>
              <w:bottom w:val="single" w:sz="4" w:space="0" w:color="FFFFFF"/>
            </w:tcBorders>
            <w:vAlign w:val="center"/>
            <w:hideMark/>
          </w:tcPr>
          <w:p w14:paraId="32494771" w14:textId="77777777" w:rsidR="00F35ACD" w:rsidRPr="00F01F3A" w:rsidRDefault="00F35ACD" w:rsidP="00F35AC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sz w:val="16"/>
                <w:szCs w:val="16"/>
              </w:rPr>
            </w:pPr>
            <w:r w:rsidRPr="00F01F3A">
              <w:rPr>
                <w:rFonts w:ascii="Calibri" w:hAnsi="Calibri" w:cs="Calibri"/>
                <w:sz w:val="16"/>
                <w:szCs w:val="16"/>
              </w:rPr>
              <w:t>Minimum Requirement</w:t>
            </w:r>
          </w:p>
        </w:tc>
        <w:tc>
          <w:tcPr>
            <w:tcW w:w="3118" w:type="dxa"/>
            <w:tcBorders>
              <w:top w:val="single" w:sz="4" w:space="0" w:color="FFFFFF"/>
              <w:bottom w:val="single" w:sz="4" w:space="0" w:color="FFFFFF"/>
            </w:tcBorders>
            <w:vAlign w:val="center"/>
            <w:hideMark/>
          </w:tcPr>
          <w:p w14:paraId="40468A26" w14:textId="77777777" w:rsidR="00F35ACD" w:rsidRPr="00F01F3A" w:rsidRDefault="00F35ACD" w:rsidP="00F35AC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sz w:val="16"/>
                <w:szCs w:val="16"/>
              </w:rPr>
            </w:pPr>
            <w:r w:rsidRPr="00F01F3A">
              <w:rPr>
                <w:rFonts w:ascii="Calibri" w:hAnsi="Calibri" w:cs="Calibri"/>
                <w:sz w:val="16"/>
                <w:szCs w:val="16"/>
              </w:rPr>
              <w:t>Ideal Requirement</w:t>
            </w:r>
          </w:p>
        </w:tc>
      </w:tr>
      <w:tr w:rsidR="00F35ACD" w:rsidRPr="00F01F3A" w14:paraId="531775B5" w14:textId="77777777" w:rsidTr="00AF0C4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17" w:type="dxa"/>
            <w:vMerge w:val="restart"/>
            <w:vAlign w:val="center"/>
          </w:tcPr>
          <w:p w14:paraId="33C8391B" w14:textId="28E8317E" w:rsidR="00F35ACD" w:rsidRPr="00F01F3A" w:rsidRDefault="00F35ACD" w:rsidP="00F35ACD">
            <w:pPr>
              <w:rPr>
                <w:rFonts w:ascii="Calibri" w:hAnsi="Calibri" w:cs="Calibri"/>
                <w:sz w:val="16"/>
                <w:szCs w:val="16"/>
              </w:rPr>
            </w:pPr>
            <w:r w:rsidRPr="00F01F3A">
              <w:rPr>
                <w:rFonts w:ascii="Calibri" w:hAnsi="Calibri" w:cs="Calibri"/>
                <w:sz w:val="16"/>
                <w:szCs w:val="16"/>
              </w:rPr>
              <w:t xml:space="preserve">&lt;15% </w:t>
            </w:r>
            <w:r w:rsidRPr="00F01F3A">
              <w:rPr>
                <w:rFonts w:ascii="Calibri" w:hAnsi="Calibri"/>
                <w:bCs w:val="0"/>
                <w:sz w:val="16"/>
                <w:szCs w:val="16"/>
              </w:rPr>
              <w:t>neutral or disagree</w:t>
            </w:r>
          </w:p>
        </w:tc>
        <w:tc>
          <w:tcPr>
            <w:tcW w:w="1913" w:type="dxa"/>
            <w:vAlign w:val="center"/>
            <w:hideMark/>
          </w:tcPr>
          <w:p w14:paraId="234384C5"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Target Analyte</w:t>
            </w:r>
          </w:p>
        </w:tc>
        <w:tc>
          <w:tcPr>
            <w:tcW w:w="3261" w:type="dxa"/>
            <w:vAlign w:val="center"/>
            <w:hideMark/>
          </w:tcPr>
          <w:p w14:paraId="704949BD"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i/>
                <w:sz w:val="16"/>
                <w:szCs w:val="16"/>
              </w:rPr>
              <w:t xml:space="preserve">T. cruzi </w:t>
            </w:r>
            <w:r w:rsidRPr="00F01F3A">
              <w:rPr>
                <w:rFonts w:ascii="Calibri" w:hAnsi="Calibri" w:cs="Calibri"/>
                <w:sz w:val="16"/>
                <w:szCs w:val="16"/>
              </w:rPr>
              <w:t>DNA and internal amplification control</w:t>
            </w:r>
          </w:p>
        </w:tc>
        <w:tc>
          <w:tcPr>
            <w:tcW w:w="3118" w:type="dxa"/>
            <w:vAlign w:val="center"/>
            <w:hideMark/>
          </w:tcPr>
          <w:p w14:paraId="469EBF23"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Multiplex</w:t>
            </w:r>
          </w:p>
        </w:tc>
      </w:tr>
      <w:tr w:rsidR="00F35ACD" w:rsidRPr="00F01F3A" w14:paraId="6CF4B0D8" w14:textId="77777777" w:rsidTr="00AF0C4B">
        <w:trPr>
          <w:trHeight w:val="113"/>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460B9258" w14:textId="77777777" w:rsidR="00F35ACD" w:rsidRPr="00F01F3A" w:rsidRDefault="00F35ACD" w:rsidP="00F35ACD">
            <w:pPr>
              <w:rPr>
                <w:rFonts w:ascii="Calibri" w:hAnsi="Calibri" w:cs="Calibri"/>
                <w:sz w:val="16"/>
                <w:szCs w:val="16"/>
              </w:rPr>
            </w:pPr>
          </w:p>
        </w:tc>
        <w:tc>
          <w:tcPr>
            <w:tcW w:w="1913" w:type="dxa"/>
            <w:vAlign w:val="center"/>
            <w:hideMark/>
          </w:tcPr>
          <w:p w14:paraId="44FA21E5"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Reference Method</w:t>
            </w:r>
          </w:p>
        </w:tc>
        <w:tc>
          <w:tcPr>
            <w:tcW w:w="6379" w:type="dxa"/>
            <w:gridSpan w:val="2"/>
            <w:vAlign w:val="center"/>
            <w:hideMark/>
          </w:tcPr>
          <w:p w14:paraId="4AF3258F"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cs="Arial"/>
                <w:sz w:val="16"/>
                <w:szCs w:val="16"/>
              </w:rPr>
              <w:t>Microscopy / Standard algorithm for vertical infection</w:t>
            </w:r>
          </w:p>
        </w:tc>
      </w:tr>
      <w:tr w:rsidR="00F35ACD" w:rsidRPr="00F01F3A" w14:paraId="3A1F5B81" w14:textId="77777777" w:rsidTr="00AF0C4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02313CC4" w14:textId="77777777" w:rsidR="00F35ACD" w:rsidRPr="00F01F3A" w:rsidRDefault="00F35ACD" w:rsidP="00F35ACD">
            <w:pPr>
              <w:rPr>
                <w:rFonts w:ascii="Calibri" w:hAnsi="Calibri" w:cs="Calibri"/>
                <w:sz w:val="16"/>
                <w:szCs w:val="16"/>
              </w:rPr>
            </w:pPr>
          </w:p>
        </w:tc>
        <w:tc>
          <w:tcPr>
            <w:tcW w:w="1913" w:type="dxa"/>
            <w:vAlign w:val="center"/>
            <w:hideMark/>
          </w:tcPr>
          <w:p w14:paraId="35F4ED11"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Analytical Specificity</w:t>
            </w:r>
          </w:p>
        </w:tc>
        <w:tc>
          <w:tcPr>
            <w:tcW w:w="6379" w:type="dxa"/>
            <w:gridSpan w:val="2"/>
            <w:vAlign w:val="center"/>
            <w:hideMark/>
          </w:tcPr>
          <w:p w14:paraId="1037720F"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 xml:space="preserve">No cross-reactivity with other </w:t>
            </w:r>
            <w:r w:rsidRPr="00F01F3A">
              <w:rPr>
                <w:rFonts w:ascii="Calibri" w:hAnsi="Calibri" w:cs="Calibri"/>
                <w:i/>
                <w:sz w:val="16"/>
                <w:szCs w:val="16"/>
              </w:rPr>
              <w:t>Trypanosoma spp., Leishmania spp</w:t>
            </w:r>
            <w:r w:rsidRPr="00F01F3A">
              <w:rPr>
                <w:rFonts w:ascii="Calibri" w:hAnsi="Calibri" w:cs="Calibri"/>
                <w:sz w:val="16"/>
                <w:szCs w:val="16"/>
              </w:rPr>
              <w:t>., or other pathogens</w:t>
            </w:r>
          </w:p>
        </w:tc>
      </w:tr>
      <w:tr w:rsidR="00F35ACD" w:rsidRPr="00F01F3A" w14:paraId="00828B2E" w14:textId="77777777" w:rsidTr="00AF0C4B">
        <w:trPr>
          <w:trHeight w:val="113"/>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6006243A" w14:textId="77777777" w:rsidR="00F35ACD" w:rsidRPr="00F01F3A" w:rsidRDefault="00F35ACD" w:rsidP="00F35ACD">
            <w:pPr>
              <w:rPr>
                <w:rFonts w:ascii="Calibri" w:hAnsi="Calibri" w:cs="Calibri"/>
                <w:sz w:val="16"/>
                <w:szCs w:val="16"/>
              </w:rPr>
            </w:pPr>
          </w:p>
        </w:tc>
        <w:tc>
          <w:tcPr>
            <w:tcW w:w="1913" w:type="dxa"/>
            <w:vAlign w:val="center"/>
            <w:hideMark/>
          </w:tcPr>
          <w:p w14:paraId="66A8A008"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Strain Specificity</w:t>
            </w:r>
          </w:p>
        </w:tc>
        <w:tc>
          <w:tcPr>
            <w:tcW w:w="6379" w:type="dxa"/>
            <w:gridSpan w:val="2"/>
            <w:vAlign w:val="center"/>
            <w:hideMark/>
          </w:tcPr>
          <w:p w14:paraId="6E104060"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Detects all DTUs</w:t>
            </w:r>
          </w:p>
        </w:tc>
      </w:tr>
      <w:tr w:rsidR="00F35ACD" w:rsidRPr="00F01F3A" w14:paraId="19742D85" w14:textId="77777777" w:rsidTr="00AF0C4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2B221132" w14:textId="77777777" w:rsidR="00F35ACD" w:rsidRPr="00F01F3A" w:rsidRDefault="00F35ACD" w:rsidP="00F35ACD">
            <w:pPr>
              <w:rPr>
                <w:rFonts w:ascii="Calibri" w:hAnsi="Calibri" w:cs="Calibri"/>
                <w:sz w:val="16"/>
                <w:szCs w:val="16"/>
              </w:rPr>
            </w:pPr>
          </w:p>
        </w:tc>
        <w:tc>
          <w:tcPr>
            <w:tcW w:w="1913" w:type="dxa"/>
            <w:vAlign w:val="center"/>
            <w:hideMark/>
          </w:tcPr>
          <w:p w14:paraId="54FA6875"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Quantitation</w:t>
            </w:r>
          </w:p>
        </w:tc>
        <w:tc>
          <w:tcPr>
            <w:tcW w:w="3261" w:type="dxa"/>
            <w:vAlign w:val="center"/>
            <w:hideMark/>
          </w:tcPr>
          <w:p w14:paraId="258625D0"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No</w:t>
            </w:r>
          </w:p>
        </w:tc>
        <w:tc>
          <w:tcPr>
            <w:tcW w:w="3118" w:type="dxa"/>
            <w:vAlign w:val="center"/>
            <w:hideMark/>
          </w:tcPr>
          <w:p w14:paraId="26655B81"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Yes</w:t>
            </w:r>
          </w:p>
        </w:tc>
      </w:tr>
      <w:tr w:rsidR="00F35ACD" w:rsidRPr="00F01F3A" w14:paraId="05D862F4" w14:textId="77777777" w:rsidTr="00AF0C4B">
        <w:trPr>
          <w:trHeight w:val="499"/>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19031000" w14:textId="77777777" w:rsidR="00F35ACD" w:rsidRPr="00F01F3A" w:rsidRDefault="00F35ACD" w:rsidP="00F35ACD">
            <w:pPr>
              <w:rPr>
                <w:rFonts w:ascii="Calibri" w:hAnsi="Calibri" w:cs="Calibri"/>
                <w:sz w:val="16"/>
                <w:szCs w:val="16"/>
              </w:rPr>
            </w:pPr>
          </w:p>
        </w:tc>
        <w:tc>
          <w:tcPr>
            <w:tcW w:w="1913" w:type="dxa"/>
            <w:vAlign w:val="center"/>
            <w:hideMark/>
          </w:tcPr>
          <w:p w14:paraId="25898AD2"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Training Needs</w:t>
            </w:r>
          </w:p>
        </w:tc>
        <w:tc>
          <w:tcPr>
            <w:tcW w:w="6379" w:type="dxa"/>
            <w:gridSpan w:val="2"/>
            <w:vAlign w:val="center"/>
            <w:hideMark/>
          </w:tcPr>
          <w:p w14:paraId="289F6452" w14:textId="6215246B"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Compartmentalized rooms for PCR laboratory (PHS, 2017 Q4E guide). One-week training for a t</w:t>
            </w:r>
            <w:r w:rsidRPr="00F01F3A">
              <w:rPr>
                <w:sz w:val="16"/>
                <w:szCs w:val="16"/>
              </w:rPr>
              <w:t>echnician / biochemist</w:t>
            </w:r>
            <w:r w:rsidRPr="00F01F3A">
              <w:rPr>
                <w:rFonts w:ascii="Calibri" w:hAnsi="Calibri" w:cs="Calibri"/>
                <w:sz w:val="16"/>
                <w:szCs w:val="16"/>
              </w:rPr>
              <w:t xml:space="preserve"> with advance</w:t>
            </w:r>
            <w:r w:rsidR="00CC5D55" w:rsidRPr="00F01F3A">
              <w:rPr>
                <w:rFonts w:ascii="Calibri" w:hAnsi="Calibri" w:cs="Calibri"/>
                <w:sz w:val="16"/>
                <w:szCs w:val="16"/>
              </w:rPr>
              <w:t>d</w:t>
            </w:r>
            <w:r w:rsidRPr="00F01F3A">
              <w:rPr>
                <w:rFonts w:ascii="Calibri" w:hAnsi="Calibri" w:cs="Calibri"/>
                <w:sz w:val="16"/>
                <w:szCs w:val="16"/>
              </w:rPr>
              <w:t xml:space="preserve"> skills in molecular techniques</w:t>
            </w:r>
          </w:p>
        </w:tc>
      </w:tr>
      <w:tr w:rsidR="00F35ACD" w:rsidRPr="00F01F3A" w14:paraId="60CACEE0" w14:textId="77777777" w:rsidTr="00F35ACD">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5958D0DA" w14:textId="77777777" w:rsidR="00F35ACD" w:rsidRPr="00F01F3A" w:rsidRDefault="00F35ACD" w:rsidP="00F35ACD">
            <w:pPr>
              <w:rPr>
                <w:rFonts w:ascii="Calibri" w:hAnsi="Calibri" w:cs="Calibri"/>
                <w:sz w:val="16"/>
                <w:szCs w:val="16"/>
              </w:rPr>
            </w:pPr>
          </w:p>
        </w:tc>
        <w:tc>
          <w:tcPr>
            <w:tcW w:w="1913" w:type="dxa"/>
            <w:vAlign w:val="center"/>
            <w:hideMark/>
          </w:tcPr>
          <w:p w14:paraId="3F512D76"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Specimen Type</w:t>
            </w:r>
          </w:p>
        </w:tc>
        <w:tc>
          <w:tcPr>
            <w:tcW w:w="3261" w:type="dxa"/>
            <w:vAlign w:val="center"/>
            <w:hideMark/>
          </w:tcPr>
          <w:p w14:paraId="2849E1C8" w14:textId="1EC4BAF6"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Anticoagulated blood with stabilizing agent (e.g. Guanidine Hydrochloride EDTA)</w:t>
            </w:r>
          </w:p>
        </w:tc>
        <w:tc>
          <w:tcPr>
            <w:tcW w:w="3118" w:type="dxa"/>
            <w:vAlign w:val="center"/>
            <w:hideMark/>
          </w:tcPr>
          <w:p w14:paraId="35678E4C"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Anticoagulated blood without stabilizing agent (GE) DBS</w:t>
            </w:r>
          </w:p>
        </w:tc>
      </w:tr>
      <w:tr w:rsidR="00F35ACD" w:rsidRPr="00F01F3A" w14:paraId="1736392E" w14:textId="77777777" w:rsidTr="00AF0C4B">
        <w:trPr>
          <w:trHeight w:val="596"/>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5F6F5C56" w14:textId="77777777" w:rsidR="00F35ACD" w:rsidRPr="00F01F3A" w:rsidRDefault="00F35ACD" w:rsidP="00F35ACD">
            <w:pPr>
              <w:rPr>
                <w:rFonts w:ascii="Calibri" w:hAnsi="Calibri" w:cs="Calibri"/>
                <w:sz w:val="16"/>
                <w:szCs w:val="16"/>
              </w:rPr>
            </w:pPr>
          </w:p>
        </w:tc>
        <w:tc>
          <w:tcPr>
            <w:tcW w:w="1913" w:type="dxa"/>
            <w:vAlign w:val="center"/>
          </w:tcPr>
          <w:p w14:paraId="4E363DD6"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Time sample collected to result</w:t>
            </w:r>
          </w:p>
        </w:tc>
        <w:tc>
          <w:tcPr>
            <w:tcW w:w="3261" w:type="dxa"/>
            <w:vAlign w:val="center"/>
          </w:tcPr>
          <w:p w14:paraId="11EF187B"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Two days</w:t>
            </w:r>
          </w:p>
        </w:tc>
        <w:tc>
          <w:tcPr>
            <w:tcW w:w="3118" w:type="dxa"/>
            <w:vAlign w:val="center"/>
          </w:tcPr>
          <w:p w14:paraId="1C8AE314"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One day</w:t>
            </w:r>
          </w:p>
        </w:tc>
      </w:tr>
      <w:tr w:rsidR="00F35ACD" w:rsidRPr="00F01F3A" w14:paraId="0095F8A2" w14:textId="77777777" w:rsidTr="00F35ACD">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163C550F" w14:textId="77777777" w:rsidR="00F35ACD" w:rsidRPr="00F01F3A" w:rsidRDefault="00F35ACD" w:rsidP="00F35ACD">
            <w:pPr>
              <w:rPr>
                <w:rFonts w:ascii="Calibri" w:hAnsi="Calibri" w:cs="Calibri"/>
                <w:sz w:val="16"/>
                <w:szCs w:val="16"/>
              </w:rPr>
            </w:pPr>
          </w:p>
        </w:tc>
        <w:tc>
          <w:tcPr>
            <w:tcW w:w="1913" w:type="dxa"/>
            <w:vAlign w:val="center"/>
            <w:hideMark/>
          </w:tcPr>
          <w:p w14:paraId="2397CE88"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Internal Quality Control</w:t>
            </w:r>
          </w:p>
        </w:tc>
        <w:tc>
          <w:tcPr>
            <w:tcW w:w="3261" w:type="dxa"/>
            <w:vAlign w:val="center"/>
            <w:hideMark/>
          </w:tcPr>
          <w:p w14:paraId="11DB0616"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Positive control, non-template control, and negative DNA extraction control included in kit</w:t>
            </w:r>
          </w:p>
        </w:tc>
        <w:tc>
          <w:tcPr>
            <w:tcW w:w="3118" w:type="dxa"/>
            <w:vAlign w:val="center"/>
            <w:hideMark/>
          </w:tcPr>
          <w:p w14:paraId="1A8522D5"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Quantitative positive control included in kit</w:t>
            </w:r>
          </w:p>
        </w:tc>
      </w:tr>
      <w:tr w:rsidR="00F35ACD" w:rsidRPr="00F01F3A" w14:paraId="10D3E137" w14:textId="77777777" w:rsidTr="00F35ACD">
        <w:trPr>
          <w:trHeight w:val="604"/>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14701B9F" w14:textId="77777777" w:rsidR="00F35ACD" w:rsidRPr="00F01F3A" w:rsidRDefault="00F35ACD" w:rsidP="00F35ACD">
            <w:pPr>
              <w:rPr>
                <w:rFonts w:ascii="Calibri" w:hAnsi="Calibri" w:cs="Calibri"/>
                <w:sz w:val="16"/>
                <w:szCs w:val="16"/>
              </w:rPr>
            </w:pPr>
          </w:p>
        </w:tc>
        <w:tc>
          <w:tcPr>
            <w:tcW w:w="1913" w:type="dxa"/>
            <w:vAlign w:val="center"/>
            <w:hideMark/>
          </w:tcPr>
          <w:p w14:paraId="2BE06227"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External Quality Control</w:t>
            </w:r>
          </w:p>
        </w:tc>
        <w:tc>
          <w:tcPr>
            <w:tcW w:w="3261" w:type="dxa"/>
            <w:vAlign w:val="center"/>
            <w:hideMark/>
          </w:tcPr>
          <w:p w14:paraId="5A224AC5"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Standard (third-party) reference panels</w:t>
            </w:r>
          </w:p>
        </w:tc>
        <w:tc>
          <w:tcPr>
            <w:tcW w:w="3118" w:type="dxa"/>
            <w:vAlign w:val="center"/>
            <w:hideMark/>
          </w:tcPr>
          <w:p w14:paraId="709B4C88"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International certified harmonized (third-party) panels. And prospective field studies with blind samples</w:t>
            </w:r>
          </w:p>
        </w:tc>
      </w:tr>
      <w:tr w:rsidR="00F35ACD" w:rsidRPr="00F01F3A" w14:paraId="6C7F40E2" w14:textId="77777777" w:rsidTr="00AF0C4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917" w:type="dxa"/>
            <w:vMerge w:val="restart"/>
            <w:vAlign w:val="center"/>
          </w:tcPr>
          <w:p w14:paraId="2B73AC5C" w14:textId="77777777" w:rsidR="00F35ACD" w:rsidRPr="00F01F3A" w:rsidRDefault="00F35ACD" w:rsidP="00F35ACD">
            <w:pPr>
              <w:rPr>
                <w:rFonts w:ascii="Calibri" w:hAnsi="Calibri" w:cs="Calibri"/>
                <w:sz w:val="16"/>
                <w:szCs w:val="16"/>
              </w:rPr>
            </w:pPr>
            <w:r w:rsidRPr="00F01F3A">
              <w:rPr>
                <w:rFonts w:ascii="Calibri" w:hAnsi="Calibri" w:cs="Calibri"/>
                <w:sz w:val="16"/>
                <w:szCs w:val="16"/>
              </w:rPr>
              <w:t xml:space="preserve">16-28% </w:t>
            </w:r>
            <w:r w:rsidRPr="00F01F3A">
              <w:rPr>
                <w:rFonts w:ascii="Calibri" w:hAnsi="Calibri"/>
                <w:bCs w:val="0"/>
                <w:sz w:val="16"/>
                <w:szCs w:val="16"/>
              </w:rPr>
              <w:t>neutral or disagree</w:t>
            </w:r>
          </w:p>
        </w:tc>
        <w:tc>
          <w:tcPr>
            <w:tcW w:w="1913" w:type="dxa"/>
            <w:vAlign w:val="center"/>
          </w:tcPr>
          <w:p w14:paraId="0FA813CD"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Intended use</w:t>
            </w:r>
          </w:p>
        </w:tc>
        <w:tc>
          <w:tcPr>
            <w:tcW w:w="3261" w:type="dxa"/>
            <w:vAlign w:val="center"/>
          </w:tcPr>
          <w:p w14:paraId="3E0C52CD"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cs="Arial"/>
                <w:sz w:val="16"/>
                <w:szCs w:val="16"/>
              </w:rPr>
              <w:t>Diagnosis for patients suspected of acute infection (all transmission modes or infection reactivation)</w:t>
            </w:r>
          </w:p>
        </w:tc>
        <w:tc>
          <w:tcPr>
            <w:tcW w:w="3118" w:type="dxa"/>
            <w:vAlign w:val="center"/>
          </w:tcPr>
          <w:p w14:paraId="79D14634"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cs="Arial"/>
                <w:sz w:val="16"/>
                <w:szCs w:val="16"/>
              </w:rPr>
              <w:t>Diagnosis for patients suspected of acute infection (all transmission modes or infection reactivation);</w:t>
            </w:r>
            <w:r w:rsidRPr="00F01F3A">
              <w:rPr>
                <w:rFonts w:ascii="Calibri" w:hAnsi="Calibri" w:cs="Calibri"/>
                <w:sz w:val="16"/>
                <w:szCs w:val="16"/>
              </w:rPr>
              <w:t xml:space="preserve"> Asymptomatic / symptomatic patients suspected of chronic infection; Assessment of response to antiparasitic treatment in chronic phase</w:t>
            </w:r>
          </w:p>
        </w:tc>
      </w:tr>
      <w:tr w:rsidR="00F35ACD" w:rsidRPr="00F01F3A" w14:paraId="16D9C611" w14:textId="77777777" w:rsidTr="00AF0C4B">
        <w:trPr>
          <w:trHeight w:val="113"/>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68E91203" w14:textId="77777777" w:rsidR="00F35ACD" w:rsidRPr="00F01F3A" w:rsidRDefault="00F35ACD" w:rsidP="00F35ACD">
            <w:pPr>
              <w:rPr>
                <w:rFonts w:ascii="Calibri" w:hAnsi="Calibri" w:cs="Calibri"/>
                <w:sz w:val="16"/>
                <w:szCs w:val="16"/>
              </w:rPr>
            </w:pPr>
          </w:p>
        </w:tc>
        <w:tc>
          <w:tcPr>
            <w:tcW w:w="1913" w:type="dxa"/>
            <w:vAlign w:val="center"/>
          </w:tcPr>
          <w:p w14:paraId="5064FD4B"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Diagnostic Sensitivity</w:t>
            </w:r>
          </w:p>
        </w:tc>
        <w:tc>
          <w:tcPr>
            <w:tcW w:w="3261" w:type="dxa"/>
            <w:vAlign w:val="center"/>
          </w:tcPr>
          <w:p w14:paraId="4D55F7EB"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≥92% (point estimate with maximum +/- 5% -95%CI)</w:t>
            </w:r>
          </w:p>
        </w:tc>
        <w:tc>
          <w:tcPr>
            <w:tcW w:w="3118" w:type="dxa"/>
            <w:vAlign w:val="center"/>
          </w:tcPr>
          <w:p w14:paraId="7614CBC2"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≥95% (point estimate with maximum +/- 5% -95%CI)</w:t>
            </w:r>
          </w:p>
        </w:tc>
      </w:tr>
      <w:tr w:rsidR="00F35ACD" w:rsidRPr="00F01F3A" w14:paraId="44E3198F" w14:textId="77777777" w:rsidTr="00AF0C4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3B9045EE" w14:textId="77777777" w:rsidR="00F35ACD" w:rsidRPr="00F01F3A" w:rsidRDefault="00F35ACD" w:rsidP="00F35ACD">
            <w:pPr>
              <w:rPr>
                <w:rFonts w:ascii="Calibri" w:hAnsi="Calibri" w:cs="Calibri"/>
                <w:sz w:val="16"/>
                <w:szCs w:val="16"/>
              </w:rPr>
            </w:pPr>
          </w:p>
        </w:tc>
        <w:tc>
          <w:tcPr>
            <w:tcW w:w="1913" w:type="dxa"/>
            <w:vAlign w:val="center"/>
          </w:tcPr>
          <w:p w14:paraId="28D78771"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Diagnostic Specificity</w:t>
            </w:r>
          </w:p>
        </w:tc>
        <w:tc>
          <w:tcPr>
            <w:tcW w:w="6379" w:type="dxa"/>
            <w:gridSpan w:val="2"/>
            <w:vAlign w:val="center"/>
          </w:tcPr>
          <w:p w14:paraId="6F73B491"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Comparable to microscopy</w:t>
            </w:r>
          </w:p>
        </w:tc>
      </w:tr>
      <w:tr w:rsidR="00F35ACD" w:rsidRPr="00F01F3A" w14:paraId="77E118D1" w14:textId="77777777" w:rsidTr="00AF0C4B">
        <w:trPr>
          <w:trHeight w:val="277"/>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57585897" w14:textId="77777777" w:rsidR="00F35ACD" w:rsidRPr="00F01F3A" w:rsidRDefault="00F35ACD" w:rsidP="00F35ACD">
            <w:pPr>
              <w:rPr>
                <w:rFonts w:ascii="Calibri" w:hAnsi="Calibri" w:cs="Calibri"/>
                <w:sz w:val="16"/>
                <w:szCs w:val="16"/>
              </w:rPr>
            </w:pPr>
          </w:p>
        </w:tc>
        <w:tc>
          <w:tcPr>
            <w:tcW w:w="1913" w:type="dxa"/>
            <w:vAlign w:val="center"/>
          </w:tcPr>
          <w:p w14:paraId="734B8A4B"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Analytical Sensitivity</w:t>
            </w:r>
          </w:p>
        </w:tc>
        <w:tc>
          <w:tcPr>
            <w:tcW w:w="3261" w:type="dxa"/>
            <w:vAlign w:val="center"/>
          </w:tcPr>
          <w:p w14:paraId="34055F99"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One eq. par./ml in blood</w:t>
            </w:r>
          </w:p>
        </w:tc>
        <w:tc>
          <w:tcPr>
            <w:tcW w:w="3118" w:type="dxa"/>
            <w:vAlign w:val="center"/>
          </w:tcPr>
          <w:p w14:paraId="4D315044"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0.1 - 0.5 eq. par./ml</w:t>
            </w:r>
          </w:p>
        </w:tc>
      </w:tr>
      <w:tr w:rsidR="00F35ACD" w:rsidRPr="00F01F3A" w14:paraId="057BF796" w14:textId="77777777" w:rsidTr="00AF0C4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1181FB25" w14:textId="77777777" w:rsidR="00F35ACD" w:rsidRPr="00F01F3A" w:rsidRDefault="00F35ACD" w:rsidP="00F35ACD">
            <w:pPr>
              <w:rPr>
                <w:rFonts w:ascii="Calibri" w:hAnsi="Calibri" w:cs="Calibri"/>
                <w:sz w:val="16"/>
                <w:szCs w:val="16"/>
              </w:rPr>
            </w:pPr>
          </w:p>
        </w:tc>
        <w:tc>
          <w:tcPr>
            <w:tcW w:w="1913" w:type="dxa"/>
            <w:vAlign w:val="center"/>
          </w:tcPr>
          <w:p w14:paraId="428C7F9A"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Specimen prep</w:t>
            </w:r>
          </w:p>
        </w:tc>
        <w:tc>
          <w:tcPr>
            <w:tcW w:w="6379" w:type="dxa"/>
            <w:gridSpan w:val="2"/>
            <w:vAlign w:val="center"/>
          </w:tcPr>
          <w:p w14:paraId="23080386"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cs="Arial"/>
                <w:sz w:val="16"/>
                <w:szCs w:val="16"/>
              </w:rPr>
              <w:t>Column based DNA extraction commercial kit</w:t>
            </w:r>
          </w:p>
        </w:tc>
      </w:tr>
      <w:tr w:rsidR="00F35ACD" w:rsidRPr="00F01F3A" w14:paraId="5E9A8A6D" w14:textId="77777777" w:rsidTr="00AF0C4B">
        <w:trPr>
          <w:trHeight w:val="229"/>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7FD5E90A" w14:textId="77777777" w:rsidR="00F35ACD" w:rsidRPr="00F01F3A" w:rsidRDefault="00F35ACD" w:rsidP="00F35ACD">
            <w:pPr>
              <w:rPr>
                <w:rFonts w:ascii="Calibri" w:hAnsi="Calibri" w:cs="Calibri"/>
                <w:sz w:val="16"/>
                <w:szCs w:val="16"/>
              </w:rPr>
            </w:pPr>
          </w:p>
        </w:tc>
        <w:tc>
          <w:tcPr>
            <w:tcW w:w="1913" w:type="dxa"/>
            <w:vAlign w:val="center"/>
          </w:tcPr>
          <w:p w14:paraId="4C5A23A3"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Reagent kit stability</w:t>
            </w:r>
          </w:p>
        </w:tc>
        <w:tc>
          <w:tcPr>
            <w:tcW w:w="3261" w:type="dxa"/>
            <w:vAlign w:val="center"/>
          </w:tcPr>
          <w:p w14:paraId="3915F98F" w14:textId="4358E2A1"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6 months</w:t>
            </w:r>
          </w:p>
        </w:tc>
        <w:tc>
          <w:tcPr>
            <w:tcW w:w="3118" w:type="dxa"/>
            <w:vAlign w:val="center"/>
          </w:tcPr>
          <w:p w14:paraId="1B13B885"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18 months</w:t>
            </w:r>
          </w:p>
        </w:tc>
      </w:tr>
      <w:tr w:rsidR="00F35ACD" w:rsidRPr="00F01F3A" w14:paraId="7F77CF2A" w14:textId="77777777" w:rsidTr="00AF0C4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69BD55B5" w14:textId="77777777" w:rsidR="00F35ACD" w:rsidRPr="00F01F3A" w:rsidRDefault="00F35ACD" w:rsidP="00F35ACD">
            <w:pPr>
              <w:rPr>
                <w:rFonts w:ascii="Calibri" w:hAnsi="Calibri" w:cs="Calibri"/>
                <w:sz w:val="16"/>
                <w:szCs w:val="16"/>
              </w:rPr>
            </w:pPr>
          </w:p>
        </w:tc>
        <w:tc>
          <w:tcPr>
            <w:tcW w:w="1913" w:type="dxa"/>
            <w:vAlign w:val="center"/>
          </w:tcPr>
          <w:p w14:paraId="1F8DDFFD"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Quality Assurance</w:t>
            </w:r>
          </w:p>
        </w:tc>
        <w:tc>
          <w:tcPr>
            <w:tcW w:w="3261" w:type="dxa"/>
            <w:vAlign w:val="center"/>
          </w:tcPr>
          <w:p w14:paraId="20D6C195"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Proficiency testing panels evaluated before starting implementation of a new assay, and every two years thereafter.</w:t>
            </w:r>
          </w:p>
        </w:tc>
        <w:tc>
          <w:tcPr>
            <w:tcW w:w="3118" w:type="dxa"/>
            <w:vAlign w:val="center"/>
          </w:tcPr>
          <w:p w14:paraId="69CD2E58"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Proficiency testing panels evaluated every year.</w:t>
            </w:r>
          </w:p>
        </w:tc>
      </w:tr>
      <w:tr w:rsidR="00F35ACD" w:rsidRPr="00F01F3A" w14:paraId="3AF66FAA" w14:textId="77777777" w:rsidTr="00AF0C4B">
        <w:trPr>
          <w:trHeight w:val="113"/>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32537F5C" w14:textId="77777777" w:rsidR="00F35ACD" w:rsidRPr="00F01F3A" w:rsidRDefault="00F35ACD" w:rsidP="00F35ACD">
            <w:pPr>
              <w:rPr>
                <w:rFonts w:ascii="Calibri" w:hAnsi="Calibri" w:cs="Calibri"/>
                <w:sz w:val="16"/>
                <w:szCs w:val="16"/>
              </w:rPr>
            </w:pPr>
          </w:p>
        </w:tc>
        <w:tc>
          <w:tcPr>
            <w:tcW w:w="1913" w:type="dxa"/>
            <w:vAlign w:val="center"/>
          </w:tcPr>
          <w:p w14:paraId="4849C510"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 xml:space="preserve">Test Price (reagents costs, </w:t>
            </w:r>
            <w:proofErr w:type="spellStart"/>
            <w:r w:rsidRPr="00F01F3A">
              <w:rPr>
                <w:rFonts w:ascii="Calibri" w:hAnsi="Calibri" w:cs="Calibri"/>
                <w:sz w:val="16"/>
                <w:szCs w:val="16"/>
              </w:rPr>
              <w:t>exworks</w:t>
            </w:r>
            <w:proofErr w:type="spellEnd"/>
            <w:r w:rsidRPr="00F01F3A">
              <w:rPr>
                <w:rFonts w:ascii="Calibri" w:hAnsi="Calibri" w:cs="Calibri"/>
                <w:sz w:val="16"/>
                <w:szCs w:val="16"/>
              </w:rPr>
              <w:t>)</w:t>
            </w:r>
          </w:p>
        </w:tc>
        <w:tc>
          <w:tcPr>
            <w:tcW w:w="3261" w:type="dxa"/>
            <w:vAlign w:val="center"/>
          </w:tcPr>
          <w:p w14:paraId="5119CC15"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Less than 20 USD</w:t>
            </w:r>
          </w:p>
        </w:tc>
        <w:tc>
          <w:tcPr>
            <w:tcW w:w="3118" w:type="dxa"/>
            <w:vAlign w:val="center"/>
          </w:tcPr>
          <w:p w14:paraId="65B7103A" w14:textId="77777777" w:rsidR="00F35ACD" w:rsidRPr="00F01F3A" w:rsidRDefault="00F35ACD" w:rsidP="00F35ACD">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Less than 15 USD</w:t>
            </w:r>
          </w:p>
        </w:tc>
      </w:tr>
      <w:tr w:rsidR="00F35ACD" w:rsidRPr="00F01F3A" w14:paraId="28359FCC" w14:textId="77777777" w:rsidTr="00AF0C4B">
        <w:trPr>
          <w:cnfStyle w:val="000000100000" w:firstRow="0" w:lastRow="0" w:firstColumn="0" w:lastColumn="0" w:oddVBand="0" w:evenVBand="0" w:oddHBand="1" w:evenHBand="0"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917" w:type="dxa"/>
            <w:vMerge/>
            <w:vAlign w:val="center"/>
          </w:tcPr>
          <w:p w14:paraId="1B26AA7F" w14:textId="77777777" w:rsidR="00F35ACD" w:rsidRPr="00F01F3A" w:rsidRDefault="00F35ACD" w:rsidP="00F35ACD">
            <w:pPr>
              <w:rPr>
                <w:rFonts w:ascii="Calibri" w:hAnsi="Calibri" w:cs="Calibri"/>
                <w:sz w:val="16"/>
                <w:szCs w:val="16"/>
              </w:rPr>
            </w:pPr>
          </w:p>
        </w:tc>
        <w:tc>
          <w:tcPr>
            <w:tcW w:w="1913" w:type="dxa"/>
            <w:vAlign w:val="center"/>
          </w:tcPr>
          <w:p w14:paraId="35678688"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Instrument Price (</w:t>
            </w:r>
            <w:proofErr w:type="spellStart"/>
            <w:r w:rsidRPr="00F01F3A">
              <w:rPr>
                <w:rFonts w:ascii="Calibri" w:hAnsi="Calibri" w:cs="Calibri"/>
                <w:sz w:val="16"/>
                <w:szCs w:val="16"/>
              </w:rPr>
              <w:t>exworks</w:t>
            </w:r>
            <w:proofErr w:type="spellEnd"/>
            <w:r w:rsidRPr="00F01F3A">
              <w:rPr>
                <w:rFonts w:ascii="Calibri" w:hAnsi="Calibri" w:cs="Calibri"/>
                <w:sz w:val="16"/>
                <w:szCs w:val="16"/>
              </w:rPr>
              <w:t>)</w:t>
            </w:r>
          </w:p>
        </w:tc>
        <w:tc>
          <w:tcPr>
            <w:tcW w:w="3261" w:type="dxa"/>
            <w:vAlign w:val="center"/>
          </w:tcPr>
          <w:p w14:paraId="5FA0D251"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Less than 40,000 USD two-channels thermocycler</w:t>
            </w:r>
          </w:p>
        </w:tc>
        <w:tc>
          <w:tcPr>
            <w:tcW w:w="3118" w:type="dxa"/>
            <w:vAlign w:val="center"/>
          </w:tcPr>
          <w:p w14:paraId="37B14F22" w14:textId="77777777" w:rsidR="00F35ACD" w:rsidRPr="00F01F3A" w:rsidRDefault="00F35ACD" w:rsidP="00F35ACD">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F01F3A">
              <w:rPr>
                <w:rFonts w:ascii="Calibri" w:hAnsi="Calibri" w:cs="Calibri"/>
                <w:sz w:val="16"/>
                <w:szCs w:val="16"/>
              </w:rPr>
              <w:t>Less than 25,000 USD two-channels thermocycler</w:t>
            </w:r>
          </w:p>
        </w:tc>
      </w:tr>
    </w:tbl>
    <w:p w14:paraId="082239C3" w14:textId="318D540F" w:rsidR="00A96360" w:rsidRPr="00F01F3A" w:rsidRDefault="00A96360" w:rsidP="00F35ACD">
      <w:pPr>
        <w:jc w:val="both"/>
        <w:rPr>
          <w:rFonts w:ascii="Calibri" w:hAnsi="Calibri"/>
          <w:b/>
          <w:bCs/>
          <w:sz w:val="22"/>
          <w:szCs w:val="22"/>
        </w:rPr>
      </w:pPr>
    </w:p>
    <w:p w14:paraId="162F92C7" w14:textId="77777777" w:rsidR="00F85D45" w:rsidRPr="00F01F3A" w:rsidRDefault="00F85D45">
      <w:pPr>
        <w:rPr>
          <w:rFonts w:ascii="Calibri" w:hAnsi="Calibri"/>
          <w:b/>
          <w:bCs/>
          <w:sz w:val="22"/>
          <w:szCs w:val="22"/>
        </w:rPr>
      </w:pPr>
      <w:r w:rsidRPr="00F01F3A">
        <w:rPr>
          <w:rFonts w:ascii="Calibri" w:hAnsi="Calibri"/>
          <w:b/>
          <w:bCs/>
          <w:sz w:val="22"/>
          <w:szCs w:val="22"/>
        </w:rPr>
        <w:br w:type="page"/>
      </w:r>
    </w:p>
    <w:p w14:paraId="181B52A2" w14:textId="25B05B34" w:rsidR="001B31C6" w:rsidRPr="00F01F3A" w:rsidRDefault="001B31C6" w:rsidP="001B31C6">
      <w:pPr>
        <w:jc w:val="both"/>
        <w:rPr>
          <w:rFonts w:ascii="Calibri" w:hAnsi="Calibri"/>
          <w:b/>
          <w:bCs/>
          <w:sz w:val="22"/>
          <w:szCs w:val="22"/>
        </w:rPr>
      </w:pPr>
      <w:r w:rsidRPr="00F01F3A">
        <w:rPr>
          <w:rFonts w:ascii="Calibri" w:hAnsi="Calibri"/>
          <w:b/>
          <w:bCs/>
          <w:sz w:val="22"/>
          <w:szCs w:val="22"/>
        </w:rPr>
        <w:lastRenderedPageBreak/>
        <w:t xml:space="preserve">Appendix </w:t>
      </w:r>
      <w:r w:rsidR="00453C18" w:rsidRPr="00F01F3A">
        <w:rPr>
          <w:rFonts w:ascii="Calibri" w:hAnsi="Calibri"/>
          <w:b/>
          <w:bCs/>
          <w:sz w:val="22"/>
          <w:szCs w:val="22"/>
        </w:rPr>
        <w:t>6</w:t>
      </w:r>
      <w:r w:rsidRPr="00F01F3A">
        <w:rPr>
          <w:rFonts w:ascii="Calibri" w:hAnsi="Calibri"/>
          <w:b/>
          <w:bCs/>
          <w:sz w:val="22"/>
          <w:szCs w:val="22"/>
        </w:rPr>
        <w:t>. Evidence on cost-effectiveness and economic impact of new testing methods</w:t>
      </w:r>
    </w:p>
    <w:p w14:paraId="4CE41471" w14:textId="54121BFA" w:rsidR="001B31C6" w:rsidRPr="00F01F3A" w:rsidRDefault="001B31C6" w:rsidP="00F35ACD">
      <w:pPr>
        <w:jc w:val="both"/>
        <w:rPr>
          <w:rFonts w:ascii="Calibri" w:hAnsi="Calibri"/>
          <w:bCs/>
          <w:sz w:val="22"/>
          <w:szCs w:val="22"/>
        </w:rPr>
      </w:pPr>
    </w:p>
    <w:tbl>
      <w:tblPr>
        <w:tblStyle w:val="GridTable4-Accent3"/>
        <w:tblW w:w="9350" w:type="dxa"/>
        <w:tblLook w:val="04A0" w:firstRow="1" w:lastRow="0" w:firstColumn="1" w:lastColumn="0" w:noHBand="0" w:noVBand="1"/>
      </w:tblPr>
      <w:tblGrid>
        <w:gridCol w:w="1091"/>
        <w:gridCol w:w="3582"/>
        <w:gridCol w:w="4677"/>
      </w:tblGrid>
      <w:tr w:rsidR="001B31C6" w:rsidRPr="00F01F3A" w14:paraId="53ECCD5B" w14:textId="77777777" w:rsidTr="00C5444A">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091" w:type="dxa"/>
            <w:hideMark/>
          </w:tcPr>
          <w:p w14:paraId="01E9EFDA" w14:textId="77777777" w:rsidR="001B31C6" w:rsidRPr="00F01F3A" w:rsidRDefault="001B31C6" w:rsidP="00C5444A">
            <w:pPr>
              <w:jc w:val="center"/>
              <w:rPr>
                <w:rFonts w:ascii="Calibri" w:hAnsi="Calibri"/>
                <w:sz w:val="16"/>
                <w:szCs w:val="16"/>
                <w:lang w:val="es-AR"/>
              </w:rPr>
            </w:pPr>
            <w:r w:rsidRPr="00F01F3A">
              <w:rPr>
                <w:rFonts w:ascii="Calibri" w:hAnsi="Calibri"/>
                <w:sz w:val="16"/>
                <w:szCs w:val="16"/>
                <w:lang w:val="es-AR"/>
              </w:rPr>
              <w:t>Category</w:t>
            </w:r>
          </w:p>
        </w:tc>
        <w:tc>
          <w:tcPr>
            <w:tcW w:w="3582" w:type="dxa"/>
            <w:hideMark/>
          </w:tcPr>
          <w:p w14:paraId="06A31EDE" w14:textId="77777777" w:rsidR="001B31C6" w:rsidRPr="00F01F3A" w:rsidRDefault="001B31C6" w:rsidP="00C5444A">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16"/>
                <w:szCs w:val="16"/>
              </w:rPr>
            </w:pPr>
            <w:r w:rsidRPr="00F01F3A">
              <w:rPr>
                <w:rFonts w:ascii="Calibri" w:hAnsi="Calibri"/>
                <w:sz w:val="16"/>
                <w:szCs w:val="16"/>
              </w:rPr>
              <w:t>How and what is measured</w:t>
            </w:r>
          </w:p>
        </w:tc>
        <w:tc>
          <w:tcPr>
            <w:tcW w:w="4677" w:type="dxa"/>
          </w:tcPr>
          <w:p w14:paraId="3AE3E59F" w14:textId="77777777" w:rsidR="001B31C6" w:rsidRPr="00F01F3A" w:rsidRDefault="001B31C6" w:rsidP="00C5444A">
            <w:pPr>
              <w:jc w:val="center"/>
              <w:cnfStyle w:val="100000000000" w:firstRow="1" w:lastRow="0" w:firstColumn="0" w:lastColumn="0" w:oddVBand="0" w:evenVBand="0" w:oddHBand="0" w:evenHBand="0" w:firstRowFirstColumn="0" w:firstRowLastColumn="0" w:lastRowFirstColumn="0" w:lastRowLastColumn="0"/>
              <w:rPr>
                <w:rFonts w:ascii="Calibri" w:hAnsi="Calibri"/>
                <w:sz w:val="16"/>
                <w:szCs w:val="16"/>
                <w:lang w:val="es-AR"/>
              </w:rPr>
            </w:pPr>
            <w:r w:rsidRPr="00F01F3A">
              <w:rPr>
                <w:rFonts w:ascii="Calibri" w:hAnsi="Calibri"/>
                <w:sz w:val="16"/>
                <w:szCs w:val="16"/>
                <w:lang w:val="es-AR"/>
              </w:rPr>
              <w:t>Conclusions</w:t>
            </w:r>
          </w:p>
        </w:tc>
      </w:tr>
      <w:tr w:rsidR="001B31C6" w:rsidRPr="00F01F3A" w14:paraId="1261EBF8" w14:textId="77777777" w:rsidTr="00C54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val="restart"/>
            <w:vAlign w:val="center"/>
            <w:hideMark/>
          </w:tcPr>
          <w:p w14:paraId="3E8F0D5A" w14:textId="5AA6708A" w:rsidR="001B31C6" w:rsidRPr="00F01F3A" w:rsidRDefault="001B31C6" w:rsidP="00C5444A">
            <w:pPr>
              <w:rPr>
                <w:rFonts w:ascii="Calibri" w:hAnsi="Calibri"/>
                <w:sz w:val="16"/>
                <w:szCs w:val="16"/>
              </w:rPr>
            </w:pPr>
            <w:r w:rsidRPr="00F01F3A">
              <w:rPr>
                <w:rFonts w:ascii="Calibri" w:hAnsi="Calibri"/>
                <w:sz w:val="16"/>
                <w:szCs w:val="16"/>
              </w:rPr>
              <w:t>Asse</w:t>
            </w:r>
            <w:r w:rsidR="00AF06B0" w:rsidRPr="00F01F3A">
              <w:rPr>
                <w:rFonts w:ascii="Calibri" w:hAnsi="Calibri"/>
                <w:sz w:val="16"/>
                <w:szCs w:val="16"/>
              </w:rPr>
              <w:t>s</w:t>
            </w:r>
            <w:r w:rsidRPr="00F01F3A">
              <w:rPr>
                <w:rFonts w:ascii="Calibri" w:hAnsi="Calibri"/>
                <w:sz w:val="16"/>
                <w:szCs w:val="16"/>
              </w:rPr>
              <w:t xml:space="preserve">sing cost-effectiveness (CE) of </w:t>
            </w:r>
            <w:r w:rsidRPr="00F01F3A">
              <w:rPr>
                <w:rFonts w:ascii="Calibri" w:hAnsi="Calibri"/>
                <w:i/>
                <w:sz w:val="16"/>
                <w:szCs w:val="16"/>
              </w:rPr>
              <w:t>T. cruzi</w:t>
            </w:r>
            <w:r w:rsidRPr="00F01F3A">
              <w:rPr>
                <w:rFonts w:ascii="Calibri" w:hAnsi="Calibri"/>
                <w:sz w:val="16"/>
                <w:szCs w:val="16"/>
              </w:rPr>
              <w:t xml:space="preserve"> diagnostic algorithms</w:t>
            </w:r>
          </w:p>
        </w:tc>
        <w:tc>
          <w:tcPr>
            <w:tcW w:w="3582" w:type="dxa"/>
            <w:hideMark/>
          </w:tcPr>
          <w:p w14:paraId="110001C0" w14:textId="77777777" w:rsidR="001B31C6" w:rsidRPr="00F01F3A" w:rsidRDefault="001B31C6"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 xml:space="preserve">Comparing CE of current </w:t>
            </w:r>
            <w:r w:rsidRPr="00F01F3A">
              <w:rPr>
                <w:rFonts w:ascii="Calibri" w:hAnsi="Calibri"/>
                <w:i/>
                <w:sz w:val="16"/>
                <w:szCs w:val="16"/>
              </w:rPr>
              <w:t>T. cruzi</w:t>
            </w:r>
            <w:r w:rsidRPr="00F01F3A">
              <w:rPr>
                <w:rFonts w:ascii="Calibri" w:hAnsi="Calibri"/>
                <w:sz w:val="16"/>
                <w:szCs w:val="16"/>
              </w:rPr>
              <w:t xml:space="preserve"> diagnostic algorithm against new RDT testing algorithms in Argentina</w:t>
            </w:r>
            <w:r w:rsidRPr="00F01F3A">
              <w:rPr>
                <w:rFonts w:ascii="Calibri" w:hAnsi="Calibri"/>
                <w:b/>
                <w:sz w:val="16"/>
                <w:szCs w:val="16"/>
              </w:rPr>
              <w:t xml:space="preserve"> </w:t>
            </w:r>
            <w:r w:rsidRPr="00F01F3A">
              <w:rPr>
                <w:rFonts w:ascii="Calibri" w:hAnsi="Calibri"/>
                <w:sz w:val="16"/>
                <w:szCs w:val="16"/>
              </w:rPr>
              <w:t>(ongoing, FIND).</w:t>
            </w:r>
          </w:p>
        </w:tc>
        <w:tc>
          <w:tcPr>
            <w:tcW w:w="4677" w:type="dxa"/>
          </w:tcPr>
          <w:p w14:paraId="484FE43D" w14:textId="77777777" w:rsidR="001B31C6" w:rsidRPr="00F01F3A" w:rsidRDefault="001B31C6"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 RDT diagnostic algorithm is as efficient in identifying positive cases as the current testing algorithm, but more efficient when patients visit costs were included.</w:t>
            </w:r>
          </w:p>
          <w:p w14:paraId="3BF3C88F" w14:textId="77777777" w:rsidR="001B31C6" w:rsidRPr="00F01F3A" w:rsidRDefault="001B31C6"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 Serial algorithm versus parallel algorithms (combining 2-3 RDTs) identified slightly fewer positive cases but was cheaper per patient identified due to fewer tests being performed.</w:t>
            </w:r>
          </w:p>
        </w:tc>
      </w:tr>
      <w:tr w:rsidR="001B31C6" w:rsidRPr="00F01F3A" w14:paraId="270ED6A8" w14:textId="77777777" w:rsidTr="00C5444A">
        <w:tc>
          <w:tcPr>
            <w:cnfStyle w:val="001000000000" w:firstRow="0" w:lastRow="0" w:firstColumn="1" w:lastColumn="0" w:oddVBand="0" w:evenVBand="0" w:oddHBand="0" w:evenHBand="0" w:firstRowFirstColumn="0" w:firstRowLastColumn="0" w:lastRowFirstColumn="0" w:lastRowLastColumn="0"/>
            <w:tcW w:w="1091" w:type="dxa"/>
            <w:vMerge/>
          </w:tcPr>
          <w:p w14:paraId="51A650A6" w14:textId="77777777" w:rsidR="001B31C6" w:rsidRPr="00F01F3A" w:rsidRDefault="001B31C6" w:rsidP="00C5444A">
            <w:pPr>
              <w:jc w:val="both"/>
              <w:rPr>
                <w:rFonts w:ascii="Calibri" w:hAnsi="Calibri"/>
                <w:sz w:val="16"/>
                <w:szCs w:val="16"/>
              </w:rPr>
            </w:pPr>
          </w:p>
        </w:tc>
        <w:tc>
          <w:tcPr>
            <w:tcW w:w="3582" w:type="dxa"/>
            <w:vAlign w:val="center"/>
          </w:tcPr>
          <w:p w14:paraId="7470DC0C" w14:textId="77777777" w:rsidR="001B31C6" w:rsidRPr="00F01F3A" w:rsidRDefault="001B31C6"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r w:rsidRPr="00F01F3A">
              <w:rPr>
                <w:rFonts w:ascii="Calibri" w:hAnsi="Calibri"/>
                <w:sz w:val="16"/>
                <w:szCs w:val="16"/>
              </w:rPr>
              <w:t>Presented an interactive online tool by FIND:</w:t>
            </w:r>
          </w:p>
          <w:p w14:paraId="28B6C035" w14:textId="77777777" w:rsidR="001B31C6" w:rsidRPr="00F01F3A" w:rsidRDefault="001B31C6"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r w:rsidRPr="00F01F3A">
              <w:rPr>
                <w:rFonts w:ascii="Calibri" w:hAnsi="Calibri"/>
                <w:sz w:val="16"/>
                <w:szCs w:val="16"/>
              </w:rPr>
              <w:t>&lt;https://finddx.shinyapps.io/chagaspathway/&gt;</w:t>
            </w:r>
          </w:p>
        </w:tc>
        <w:tc>
          <w:tcPr>
            <w:tcW w:w="4677" w:type="dxa"/>
          </w:tcPr>
          <w:p w14:paraId="05F870DF" w14:textId="77777777" w:rsidR="001B31C6" w:rsidRPr="00F01F3A" w:rsidRDefault="001B31C6"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r w:rsidRPr="00F01F3A">
              <w:rPr>
                <w:rFonts w:ascii="Calibri" w:hAnsi="Calibri"/>
                <w:sz w:val="16"/>
                <w:szCs w:val="16"/>
              </w:rPr>
              <w:t>It allows non-expert users to model impact outcomes (total costs, cases linked to treatment, DALYs, predictive values, cost per disease), by choosing different diagnostic algorithm structures, and using as input different tests parameters (type, performance, and settings), costs to health system and patient, loss to follow up, prevalence, linkage to treatment and treatment effect.</w:t>
            </w:r>
          </w:p>
        </w:tc>
      </w:tr>
      <w:tr w:rsidR="001B31C6" w:rsidRPr="00F01F3A" w14:paraId="2BC23B50" w14:textId="77777777" w:rsidTr="00C54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hideMark/>
          </w:tcPr>
          <w:p w14:paraId="7F4DB4FB" w14:textId="77777777" w:rsidR="001B31C6" w:rsidRPr="00F01F3A" w:rsidRDefault="001B31C6" w:rsidP="00C5444A">
            <w:pPr>
              <w:jc w:val="both"/>
              <w:rPr>
                <w:rFonts w:ascii="Calibri" w:hAnsi="Calibri"/>
                <w:sz w:val="16"/>
                <w:szCs w:val="16"/>
              </w:rPr>
            </w:pPr>
          </w:p>
        </w:tc>
        <w:tc>
          <w:tcPr>
            <w:tcW w:w="3582" w:type="dxa"/>
            <w:hideMark/>
          </w:tcPr>
          <w:p w14:paraId="63250C19" w14:textId="77777777" w:rsidR="001B31C6" w:rsidRPr="00F01F3A" w:rsidRDefault="001B31C6"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 xml:space="preserve">Analysis using a decision tree and a Markov model, to compare CE of different testing algorithms based on RDTs and/or laboratory serology in Bolivia (under preparation for publication, </w:t>
            </w:r>
            <w:proofErr w:type="spellStart"/>
            <w:r w:rsidRPr="00F01F3A">
              <w:rPr>
                <w:rFonts w:ascii="Calibri" w:hAnsi="Calibri"/>
                <w:i/>
                <w:sz w:val="16"/>
                <w:szCs w:val="16"/>
              </w:rPr>
              <w:t>Sicuri</w:t>
            </w:r>
            <w:proofErr w:type="spellEnd"/>
            <w:r w:rsidRPr="00F01F3A">
              <w:rPr>
                <w:rFonts w:ascii="Calibri" w:hAnsi="Calibri"/>
                <w:i/>
                <w:sz w:val="16"/>
                <w:szCs w:val="16"/>
              </w:rPr>
              <w:t xml:space="preserve"> et.al</w:t>
            </w:r>
            <w:r w:rsidRPr="00F01F3A">
              <w:rPr>
                <w:rFonts w:ascii="Calibri" w:hAnsi="Calibri"/>
                <w:sz w:val="16"/>
                <w:szCs w:val="16"/>
              </w:rPr>
              <w:t>).</w:t>
            </w:r>
          </w:p>
        </w:tc>
        <w:tc>
          <w:tcPr>
            <w:tcW w:w="4677" w:type="dxa"/>
          </w:tcPr>
          <w:p w14:paraId="1F4E124C" w14:textId="77777777" w:rsidR="001B31C6" w:rsidRPr="00F01F3A" w:rsidRDefault="001B31C6"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 xml:space="preserve">Most cost-effective testing strategy was RDT + laboratory serology, for RDT sensitivity &lt;90%. </w:t>
            </w:r>
          </w:p>
          <w:p w14:paraId="1120A0B7" w14:textId="77777777" w:rsidR="001B31C6" w:rsidRPr="00F01F3A" w:rsidRDefault="001B31C6"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RDT-only strategy is increasingly more cost-effective for RDT sensitivity &gt;90%, and for lower prevalence (e.g. 1%).</w:t>
            </w:r>
          </w:p>
        </w:tc>
      </w:tr>
      <w:tr w:rsidR="001B31C6" w:rsidRPr="00F01F3A" w14:paraId="57D1EFD7" w14:textId="77777777" w:rsidTr="00C5444A">
        <w:trPr>
          <w:trHeight w:val="803"/>
        </w:trPr>
        <w:tc>
          <w:tcPr>
            <w:cnfStyle w:val="001000000000" w:firstRow="0" w:lastRow="0" w:firstColumn="1" w:lastColumn="0" w:oddVBand="0" w:evenVBand="0" w:oddHBand="0" w:evenHBand="0" w:firstRowFirstColumn="0" w:firstRowLastColumn="0" w:lastRowFirstColumn="0" w:lastRowLastColumn="0"/>
            <w:tcW w:w="1091" w:type="dxa"/>
            <w:vMerge/>
          </w:tcPr>
          <w:p w14:paraId="556A33B1" w14:textId="77777777" w:rsidR="001B31C6" w:rsidRPr="00F01F3A" w:rsidRDefault="001B31C6" w:rsidP="00C5444A">
            <w:pPr>
              <w:jc w:val="both"/>
              <w:rPr>
                <w:rFonts w:ascii="Calibri" w:hAnsi="Calibri"/>
                <w:sz w:val="16"/>
                <w:szCs w:val="16"/>
              </w:rPr>
            </w:pPr>
          </w:p>
        </w:tc>
        <w:tc>
          <w:tcPr>
            <w:tcW w:w="3582" w:type="dxa"/>
            <w:vAlign w:val="center"/>
          </w:tcPr>
          <w:p w14:paraId="664E0004" w14:textId="0A329BDD" w:rsidR="001B31C6" w:rsidRPr="00F01F3A" w:rsidRDefault="001B31C6" w:rsidP="00C5444A">
            <w:pP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r w:rsidRPr="00F01F3A">
              <w:rPr>
                <w:rFonts w:ascii="Calibri" w:hAnsi="Calibri"/>
                <w:bCs/>
                <w:sz w:val="16"/>
                <w:szCs w:val="16"/>
              </w:rPr>
              <w:t xml:space="preserve">Comparing CE of RDT algorithms versus current testing algorithms, in Brazil, Bolivia and Colombia. QALYs, cost-utility, discounting for costs and benefits at a rate of 3-5%, diagnosis opportunity and treatment coverage will be measured in this ongoing multi-country study </w:t>
            </w:r>
            <w:r w:rsidRPr="00F01F3A">
              <w:rPr>
                <w:rFonts w:ascii="Calibri" w:hAnsi="Calibri"/>
                <w:bCs/>
                <w:sz w:val="16"/>
                <w:szCs w:val="16"/>
              </w:rPr>
              <w:fldChar w:fldCharType="begin" w:fldLock="1"/>
            </w:r>
            <w:r w:rsidR="00C5444A" w:rsidRPr="00F01F3A">
              <w:rPr>
                <w:rFonts w:ascii="Calibri" w:hAnsi="Calibri"/>
                <w:bCs/>
                <w:sz w:val="16"/>
                <w:szCs w:val="16"/>
              </w:rPr>
              <w:instrText>ADDIN CSL_CITATION {"citationItems":[{"id":"ITEM-1","itemData":{"DOI":"10.1590/0037-8682-0171-2021","ISSN":"1678-9849 (Electronic)","PMID":"35522804","abstract":"BACKGROUND: Mother-to-child transmission of Chagas disease (CD) has become a relevant problem in both endemic and non-endemic areas. METHODS: Description of the CUIDA Chagas Project - Communities United for Innovation, Development and Attention for Chagas disease'. RESULTS: Through innovative and strategic research, this project will provide improved diagnostic and treatment options as well as replicable implementation models that are adaptable to different contexts. CONCLUSIONS: By integrating test, treat and care actions for CD into primary health care practices, the burden of CD on people and health systems may be significantly reduced.","author":[{"dropping-particle":"de","family":"Sousa","given":"Andréa Silvestre","non-dropping-particle":"","parse-names":false,"suffix":""},{"dropping-particle":"","family":"Vermeij","given":"Debbie","non-dropping-particle":"","parse-names":false,"suffix":""},{"dropping-particle":"","family":"Parra-Henao","given":"Gabriel","non-dropping-particle":"","parse-names":false,"suffix":""},{"dropping-particle":"","family":"Lesmo","given":"Vidalia","non-dropping-particle":"","parse-names":false,"suffix":""},{"dropping-particle":"","family":"Fernández","given":"Evelin Fortún","non-dropping-particle":"","parse-names":false,"suffix":""},{"dropping-particle":"","family":"Aruni","given":"José Jorge Chura","non-dropping-particle":"","parse-names":false,"suffix":""},{"dropping-particle":"","family":"Mendes","given":"Fernanda de Souza Nogueira Sardinha","non-dropping-particle":"","parse-names":false,"suffix":""},{"dropping-particle":"","family":"Bohorquez","given":"Laura C","non-dropping-particle":"","parse-names":false,"suffix":""},{"dropping-particle":"","family":"Luquetti","given":"Alejandro O","non-dropping-particle":"","parse-names":false,"suffix":""}],"container-title":"Revista da Sociedade Brasileira de Medicina Tropical","id":"ITEM-1","issued":{"date-parts":[["2022"]]},"language":"eng","page":"e01712022","title":"The CUIDA Chagas Project: towards the elimination of congenital transmission of Chagas disease in Bolivia, Brazil, Colombia, and Paraguay.","type":"article-journal","volume":"55"},"uris":["http://www.mendeley.com/documents/?uuid=920f1b9d-0fc0-4106-91b5-90e3ca9c6897"]}],"mendeley":{"formattedCitation":"(7)","plainTextFormattedCitation":"(7)","previouslyFormattedCitation":"(21)"},"properties":{"noteIndex":0},"schema":"https://github.com/citation-style-language/schema/raw/master/csl-citation.json"}</w:instrText>
            </w:r>
            <w:r w:rsidRPr="00F01F3A">
              <w:rPr>
                <w:rFonts w:ascii="Calibri" w:hAnsi="Calibri"/>
                <w:bCs/>
                <w:sz w:val="16"/>
                <w:szCs w:val="16"/>
              </w:rPr>
              <w:fldChar w:fldCharType="separate"/>
            </w:r>
            <w:r w:rsidR="00C5444A" w:rsidRPr="00F01F3A">
              <w:rPr>
                <w:rFonts w:ascii="Calibri" w:hAnsi="Calibri"/>
                <w:bCs/>
                <w:noProof/>
                <w:sz w:val="16"/>
                <w:szCs w:val="16"/>
              </w:rPr>
              <w:t>(7)</w:t>
            </w:r>
            <w:r w:rsidRPr="00F01F3A">
              <w:rPr>
                <w:rFonts w:ascii="Calibri" w:hAnsi="Calibri"/>
                <w:sz w:val="16"/>
                <w:szCs w:val="16"/>
              </w:rPr>
              <w:fldChar w:fldCharType="end"/>
            </w:r>
            <w:r w:rsidRPr="00F01F3A">
              <w:rPr>
                <w:rFonts w:ascii="Calibri" w:hAnsi="Calibri"/>
                <w:sz w:val="16"/>
                <w:szCs w:val="16"/>
              </w:rPr>
              <w:t>.</w:t>
            </w:r>
          </w:p>
        </w:tc>
        <w:tc>
          <w:tcPr>
            <w:tcW w:w="4677" w:type="dxa"/>
          </w:tcPr>
          <w:p w14:paraId="596376D0" w14:textId="77777777" w:rsidR="001B31C6" w:rsidRPr="00F01F3A" w:rsidRDefault="001B31C6"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r w:rsidRPr="00F01F3A">
              <w:rPr>
                <w:rFonts w:ascii="Calibri" w:hAnsi="Calibri"/>
                <w:bCs/>
                <w:sz w:val="16"/>
                <w:szCs w:val="16"/>
              </w:rPr>
              <w:t xml:space="preserve">A model simulation incorporates patient and societal costs perspectives, as well as CE thresholds to assess whether an intervention is worthwhile and should reflect health opportunity cost of other interventions. </w:t>
            </w:r>
            <w:r w:rsidRPr="00F01F3A">
              <w:rPr>
                <w:rFonts w:ascii="Calibri" w:hAnsi="Calibri"/>
                <w:sz w:val="16"/>
                <w:szCs w:val="16"/>
              </w:rPr>
              <w:t>Cost and health consequences of interventions are discounted at a rate following guidelines for technology assessment (Brazil and WHO-CHOICE).</w:t>
            </w:r>
          </w:p>
        </w:tc>
      </w:tr>
      <w:tr w:rsidR="001B31C6" w:rsidRPr="00F01F3A" w14:paraId="770241A4" w14:textId="77777777" w:rsidTr="00C54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dxa"/>
            <w:vMerge w:val="restart"/>
            <w:vAlign w:val="center"/>
            <w:hideMark/>
          </w:tcPr>
          <w:p w14:paraId="2BEAE2A0" w14:textId="77777777" w:rsidR="001B31C6" w:rsidRPr="00F01F3A" w:rsidRDefault="001B31C6" w:rsidP="00C5444A">
            <w:pPr>
              <w:rPr>
                <w:rFonts w:ascii="Calibri" w:hAnsi="Calibri"/>
                <w:bCs w:val="0"/>
                <w:sz w:val="16"/>
                <w:szCs w:val="16"/>
              </w:rPr>
            </w:pPr>
          </w:p>
          <w:p w14:paraId="6D04CD98" w14:textId="77777777" w:rsidR="001B31C6" w:rsidRPr="00F01F3A" w:rsidRDefault="001B31C6" w:rsidP="00C5444A">
            <w:pPr>
              <w:rPr>
                <w:rFonts w:ascii="Calibri" w:hAnsi="Calibri"/>
                <w:sz w:val="16"/>
                <w:szCs w:val="16"/>
                <w:lang w:val="es-AR"/>
              </w:rPr>
            </w:pPr>
            <w:r w:rsidRPr="00F01F3A">
              <w:rPr>
                <w:rFonts w:ascii="Calibri" w:hAnsi="Calibri"/>
                <w:sz w:val="16"/>
                <w:szCs w:val="16"/>
                <w:lang w:val="es-AR"/>
              </w:rPr>
              <w:t>Multi-dimensional approaches</w:t>
            </w:r>
          </w:p>
        </w:tc>
        <w:tc>
          <w:tcPr>
            <w:tcW w:w="3582" w:type="dxa"/>
            <w:hideMark/>
          </w:tcPr>
          <w:p w14:paraId="6C502645" w14:textId="32E89CA8" w:rsidR="001B31C6" w:rsidRPr="00F01F3A" w:rsidRDefault="001B31C6"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bCs/>
                <w:sz w:val="16"/>
                <w:szCs w:val="16"/>
              </w:rPr>
            </w:pPr>
            <w:r w:rsidRPr="00F01F3A">
              <w:rPr>
                <w:rFonts w:ascii="Calibri" w:hAnsi="Calibri"/>
                <w:bCs/>
                <w:sz w:val="16"/>
                <w:szCs w:val="16"/>
              </w:rPr>
              <w:t xml:space="preserve">Analyses of patients-incurred costs in Colombia, as the impact of receiving care for </w:t>
            </w:r>
            <w:proofErr w:type="spellStart"/>
            <w:r w:rsidRPr="00F01F3A">
              <w:rPr>
                <w:rFonts w:ascii="Calibri" w:hAnsi="Calibri"/>
                <w:bCs/>
                <w:i/>
                <w:sz w:val="16"/>
                <w:szCs w:val="16"/>
              </w:rPr>
              <w:t>T.cruzi</w:t>
            </w:r>
            <w:proofErr w:type="spellEnd"/>
            <w:r w:rsidRPr="00F01F3A">
              <w:rPr>
                <w:rFonts w:ascii="Calibri" w:hAnsi="Calibri"/>
                <w:bCs/>
                <w:sz w:val="16"/>
                <w:szCs w:val="16"/>
              </w:rPr>
              <w:t xml:space="preserve"> infection in primary healthcare facilities </w:t>
            </w:r>
            <w:r w:rsidRPr="00F01F3A">
              <w:rPr>
                <w:rFonts w:ascii="Calibri" w:hAnsi="Calibri"/>
                <w:bCs/>
                <w:sz w:val="16"/>
                <w:szCs w:val="16"/>
              </w:rPr>
              <w:fldChar w:fldCharType="begin" w:fldLock="1"/>
            </w:r>
            <w:r w:rsidR="00C5444A" w:rsidRPr="00F01F3A">
              <w:rPr>
                <w:rFonts w:ascii="Calibri" w:hAnsi="Calibri"/>
                <w:bCs/>
                <w:sz w:val="16"/>
                <w:szCs w:val="16"/>
              </w:rPr>
              <w:instrText>ADDIN CSL_CITATION {"citationItems":[{"id":"ITEM-1","itemData":{"DOI":"10.1016/j.actatropica.2023.106963","ISSN":"1873-6254 (Electronic)","PMID":"37302690","abstract":"BACKGROUND: Out-of-pocket expenditure (OOP) are key costs (medical and  non-medical) that many individuals incur to receive health services. They have been identified as a key access barrier for vulnerable populations, in particular for populations affected by neglected diseases with a chronic progression, such as Chagas disease. It is important to understand the costs of accessing healthcare services that are borne by patients with T. cruzi infection. METHODOLOGY: We prepared a structured survey for patients with T. cruzi infection/Chagas disease who were all treated by the healthcare system in endemic municipalities in Colombia. The results were analyzed according to three categories: 1. The socioeconomic profiling of the patients; 2. The costs of accommodation, food and transportation, in addition to the time spent commuting; and 3. the income losses (money that was not earned due to absence from work) related to treatment at the local primary care hospital or at the high-complexity reference hospital. MAIN FINDINGS: Ninety-one patients answered the survey voluntarily. The data revealed that, when treated at the specialized reference hospital, patients spent 5.5 times more on food and accommodation, transportation costs were five times higher, and the loss of earnings was three times higher than when they were treated at the local primary care hospital. Moreover, the amount of time spent on transportation was 4 times higher at the reference hospital. CONCLUSIONS: Providing comprehensive healthcare services for Chagas management at local primary healthcare hospitals would allow the most vulnerable patients to save on expenses related to medical and non-medical costs, in turn leading to higher adhesion to treatment thus benefiting the health system as a whole. These findings are in alignment with the WHO's World Health Assembly 2010 Resolution on the importance of treating Chagas at local primary care hospitals, thereby saving patients time and money, allowing for timely care, and promoting access to healthcare.","author":[{"dropping-particle":"","family":"Herazo","given":"Rafael","non-dropping-particle":"","parse-names":false,"suffix":""},{"dropping-particle":"","family":"Rey","given":"Adriana","non-dropping-particle":"","parse-names":false,"suffix":""},{"dropping-particle":"","family":"Galvão","given":"Diogo","non-dropping-particle":"","parse-names":false,"suffix":""},{"dropping-particle":"","family":"Camargo","given":"Manuel Medina","non-dropping-particle":"","parse-names":false,"suffix":""},{"dropping-particle":"","family":"Pinzón","given":"Nini Johana Cobos","non-dropping-particle":"","parse-names":false,"suffix":""},{"dropping-particle":"","family":"Sanchez","given":"Alba Cecilia Rodriguez","non-dropping-particle":"","parse-names":false,"suffix":""},{"dropping-particle":"","family":"Marchiol","given":"Andrea","non-dropping-particle":"","parse-names":false,"suffix":""},{"dropping-particle":"","family":"Pinazo","given":"Maria Jesus","non-dropping-particle":"","parse-names":false,"suffix":""}],"container-title":"Acta tropica","id":"ITEM-1","issued":{"date-parts":[["2023","9"]]},"language":"eng","page":"106963","publisher-place":"Netherlands","title":"Analysis of the costs incurred by patients with Chagas disease: The experience in  endemic municipalities in Colombia.","type":"article-journal","volume":"245"},"uris":["http://www.mendeley.com/documents/?uuid=ac09db1a-1f47-41d9-a4d1-3f2d04688981"]}],"mendeley":{"formattedCitation":"(8)","plainTextFormattedCitation":"(8)","previouslyFormattedCitation":"(22)"},"properties":{"noteIndex":0},"schema":"https://github.com/citation-style-language/schema/raw/master/csl-citation.json"}</w:instrText>
            </w:r>
            <w:r w:rsidRPr="00F01F3A">
              <w:rPr>
                <w:rFonts w:ascii="Calibri" w:hAnsi="Calibri"/>
                <w:bCs/>
                <w:sz w:val="16"/>
                <w:szCs w:val="16"/>
              </w:rPr>
              <w:fldChar w:fldCharType="separate"/>
            </w:r>
            <w:r w:rsidR="00C5444A" w:rsidRPr="00F01F3A">
              <w:rPr>
                <w:rFonts w:ascii="Calibri" w:hAnsi="Calibri"/>
                <w:bCs/>
                <w:noProof/>
                <w:sz w:val="16"/>
                <w:szCs w:val="16"/>
              </w:rPr>
              <w:t>(8)</w:t>
            </w:r>
            <w:r w:rsidRPr="00F01F3A">
              <w:rPr>
                <w:rFonts w:ascii="Calibri" w:hAnsi="Calibri"/>
                <w:sz w:val="16"/>
                <w:szCs w:val="16"/>
              </w:rPr>
              <w:fldChar w:fldCharType="end"/>
            </w:r>
            <w:r w:rsidRPr="00F01F3A">
              <w:rPr>
                <w:rFonts w:ascii="Calibri" w:hAnsi="Calibri"/>
                <w:sz w:val="16"/>
                <w:szCs w:val="16"/>
              </w:rPr>
              <w:t>.</w:t>
            </w:r>
          </w:p>
        </w:tc>
        <w:tc>
          <w:tcPr>
            <w:tcW w:w="4677" w:type="dxa"/>
          </w:tcPr>
          <w:p w14:paraId="59D90E31" w14:textId="77777777" w:rsidR="001B31C6" w:rsidRPr="00F01F3A" w:rsidRDefault="001B31C6" w:rsidP="00C5444A">
            <w:pPr>
              <w:jc w:val="both"/>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r w:rsidRPr="00F01F3A">
              <w:rPr>
                <w:rFonts w:ascii="Calibri" w:hAnsi="Calibri"/>
                <w:sz w:val="16"/>
                <w:szCs w:val="16"/>
              </w:rPr>
              <w:t>Patient perspective</w:t>
            </w:r>
            <w:r w:rsidRPr="00F01F3A">
              <w:rPr>
                <w:rFonts w:ascii="Calibri" w:hAnsi="Calibri"/>
                <w:bCs/>
                <w:sz w:val="16"/>
                <w:szCs w:val="16"/>
              </w:rPr>
              <w:t xml:space="preserve"> showed a 4-fold reduction in travel time, a 5-fold reduction in transport expenses, 5.5-fold reduction in food and housing expenses, and a 2-fold reduction in income losses.</w:t>
            </w:r>
          </w:p>
        </w:tc>
      </w:tr>
      <w:tr w:rsidR="001B31C6" w:rsidRPr="00F01F3A" w14:paraId="24CD4DDA" w14:textId="77777777" w:rsidTr="00C5444A">
        <w:tc>
          <w:tcPr>
            <w:cnfStyle w:val="001000000000" w:firstRow="0" w:lastRow="0" w:firstColumn="1" w:lastColumn="0" w:oddVBand="0" w:evenVBand="0" w:oddHBand="0" w:evenHBand="0" w:firstRowFirstColumn="0" w:firstRowLastColumn="0" w:lastRowFirstColumn="0" w:lastRowLastColumn="0"/>
            <w:tcW w:w="1091" w:type="dxa"/>
            <w:vMerge/>
            <w:hideMark/>
          </w:tcPr>
          <w:p w14:paraId="2C9D3A99" w14:textId="77777777" w:rsidR="001B31C6" w:rsidRPr="00F01F3A" w:rsidRDefault="001B31C6" w:rsidP="00C5444A">
            <w:pPr>
              <w:jc w:val="both"/>
              <w:rPr>
                <w:rFonts w:ascii="Calibri" w:hAnsi="Calibri"/>
                <w:b w:val="0"/>
                <w:sz w:val="16"/>
                <w:szCs w:val="16"/>
              </w:rPr>
            </w:pPr>
          </w:p>
        </w:tc>
        <w:tc>
          <w:tcPr>
            <w:tcW w:w="3582" w:type="dxa"/>
            <w:hideMark/>
          </w:tcPr>
          <w:p w14:paraId="26DDC98A" w14:textId="2FA30704" w:rsidR="001B31C6" w:rsidRPr="00F01F3A" w:rsidRDefault="001B31C6"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bCs/>
                <w:sz w:val="16"/>
                <w:szCs w:val="16"/>
              </w:rPr>
            </w:pPr>
            <w:r w:rsidRPr="00F01F3A">
              <w:rPr>
                <w:rFonts w:ascii="Calibri" w:hAnsi="Calibri"/>
                <w:bCs/>
                <w:sz w:val="16"/>
                <w:szCs w:val="16"/>
              </w:rPr>
              <w:t>Budget impact analysis and CE analyses of POC molecular diagnosis of human papillomavirus and tuberculosis, in Argentina (</w:t>
            </w:r>
            <w:proofErr w:type="spellStart"/>
            <w:r w:rsidRPr="00F01F3A">
              <w:rPr>
                <w:rFonts w:ascii="Calibri" w:hAnsi="Calibri"/>
                <w:bCs/>
                <w:sz w:val="16"/>
                <w:szCs w:val="16"/>
              </w:rPr>
              <w:t>RedARETS</w:t>
            </w:r>
            <w:proofErr w:type="spellEnd"/>
            <w:r w:rsidRPr="00F01F3A">
              <w:rPr>
                <w:rFonts w:ascii="Calibri" w:hAnsi="Calibri"/>
                <w:bCs/>
                <w:sz w:val="16"/>
                <w:szCs w:val="16"/>
              </w:rPr>
              <w:t>).</w:t>
            </w:r>
          </w:p>
        </w:tc>
        <w:tc>
          <w:tcPr>
            <w:tcW w:w="4677" w:type="dxa"/>
          </w:tcPr>
          <w:p w14:paraId="25897153" w14:textId="77777777" w:rsidR="001B31C6" w:rsidRPr="00F01F3A" w:rsidRDefault="001B31C6" w:rsidP="00C5444A">
            <w:pPr>
              <w:jc w:val="both"/>
              <w:cnfStyle w:val="000000000000" w:firstRow="0" w:lastRow="0" w:firstColumn="0" w:lastColumn="0" w:oddVBand="0" w:evenVBand="0" w:oddHBand="0" w:evenHBand="0" w:firstRowFirstColumn="0" w:firstRowLastColumn="0" w:lastRowFirstColumn="0" w:lastRowLastColumn="0"/>
              <w:rPr>
                <w:rFonts w:ascii="Calibri" w:hAnsi="Calibri"/>
                <w:bCs/>
                <w:sz w:val="16"/>
                <w:szCs w:val="16"/>
              </w:rPr>
            </w:pPr>
            <w:r w:rsidRPr="00F01F3A">
              <w:rPr>
                <w:rFonts w:ascii="Calibri" w:hAnsi="Calibri"/>
                <w:bCs/>
                <w:sz w:val="16"/>
                <w:szCs w:val="16"/>
              </w:rPr>
              <w:t>Examples not related to CD diagnostics, conducted by public health technology agencies that have influenced policy changes, emphasized the importance of including “hidden” costs (social indirect costs, instruments maintenance, lifetime cycle, spare parts, software updates, human resources needed, and their regional differences across countries).</w:t>
            </w:r>
          </w:p>
        </w:tc>
      </w:tr>
    </w:tbl>
    <w:p w14:paraId="50A5FC46" w14:textId="660B9B77" w:rsidR="001B31C6" w:rsidRPr="00F01F3A" w:rsidRDefault="001B31C6">
      <w:pPr>
        <w:rPr>
          <w:rFonts w:ascii="Calibri" w:hAnsi="Calibri"/>
          <w:b/>
          <w:bCs/>
          <w:sz w:val="22"/>
          <w:szCs w:val="22"/>
        </w:rPr>
      </w:pPr>
    </w:p>
    <w:p w14:paraId="3101477B" w14:textId="77777777" w:rsidR="001B31C6" w:rsidRPr="00F01F3A" w:rsidRDefault="001B31C6">
      <w:pPr>
        <w:rPr>
          <w:rFonts w:ascii="Calibri" w:hAnsi="Calibri"/>
          <w:b/>
          <w:bCs/>
          <w:sz w:val="22"/>
          <w:szCs w:val="22"/>
        </w:rPr>
      </w:pPr>
      <w:r w:rsidRPr="00F01F3A">
        <w:rPr>
          <w:rFonts w:ascii="Calibri" w:hAnsi="Calibri"/>
          <w:b/>
          <w:bCs/>
          <w:sz w:val="22"/>
          <w:szCs w:val="22"/>
        </w:rPr>
        <w:br w:type="page"/>
      </w:r>
    </w:p>
    <w:p w14:paraId="678F6CA8" w14:textId="400499BB" w:rsidR="00301BE2" w:rsidRPr="00F01F3A" w:rsidRDefault="00E56888" w:rsidP="00F35ACD">
      <w:pPr>
        <w:jc w:val="both"/>
        <w:rPr>
          <w:rFonts w:ascii="Calibri" w:hAnsi="Calibri"/>
          <w:b/>
          <w:bCs/>
          <w:sz w:val="22"/>
          <w:szCs w:val="22"/>
        </w:rPr>
      </w:pPr>
      <w:r w:rsidRPr="00F01F3A">
        <w:rPr>
          <w:rFonts w:ascii="Calibri" w:hAnsi="Calibri"/>
          <w:b/>
          <w:bCs/>
          <w:sz w:val="22"/>
          <w:szCs w:val="22"/>
        </w:rPr>
        <w:lastRenderedPageBreak/>
        <w:t xml:space="preserve">Appendix </w:t>
      </w:r>
      <w:r w:rsidR="00453C18" w:rsidRPr="00F01F3A">
        <w:rPr>
          <w:rFonts w:ascii="Calibri" w:hAnsi="Calibri"/>
          <w:b/>
          <w:bCs/>
          <w:sz w:val="22"/>
          <w:szCs w:val="22"/>
        </w:rPr>
        <w:t>7</w:t>
      </w:r>
      <w:r w:rsidRPr="00F01F3A">
        <w:rPr>
          <w:rFonts w:ascii="Calibri" w:hAnsi="Calibri"/>
          <w:b/>
          <w:bCs/>
          <w:sz w:val="22"/>
          <w:szCs w:val="22"/>
        </w:rPr>
        <w:t>. Annex to Generic Protocol: Cost-effectiveness sub-study (version 06 June 2024)</w:t>
      </w:r>
    </w:p>
    <w:p w14:paraId="37AA51E6" w14:textId="77777777" w:rsidR="0062178E" w:rsidRPr="00F01F3A" w:rsidRDefault="0062178E" w:rsidP="006B1B31">
      <w:pPr>
        <w:rPr>
          <w:b/>
        </w:rPr>
      </w:pPr>
    </w:p>
    <w:p w14:paraId="4FE95157" w14:textId="05B624B1" w:rsidR="008F4180" w:rsidRPr="00F01F3A" w:rsidRDefault="008F4180" w:rsidP="006B1B31">
      <w:pPr>
        <w:rPr>
          <w:b/>
          <w:bCs/>
          <w:lang w:bidi="hi-IN"/>
        </w:rPr>
      </w:pPr>
      <w:r w:rsidRPr="00F01F3A">
        <w:rPr>
          <w:b/>
        </w:rPr>
        <w:t>Annex to Generic Protocol: Cost-effectiveness sub-study</w:t>
      </w:r>
    </w:p>
    <w:p w14:paraId="44E24E1F" w14:textId="77777777" w:rsidR="008F4180" w:rsidRPr="00F01F3A" w:rsidRDefault="008F4180" w:rsidP="006B1B31">
      <w:pPr>
        <w:rPr>
          <w:b/>
        </w:rPr>
      </w:pPr>
      <w:r w:rsidRPr="00F01F3A">
        <w:rPr>
          <w:b/>
        </w:rPr>
        <w:t>Overview</w:t>
      </w:r>
    </w:p>
    <w:p w14:paraId="38DBDB19" w14:textId="6808295F"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t xml:space="preserve">A cost-effectiveness analysis can be conducted to compare (1) the current standard of care </w:t>
      </w:r>
      <w:bookmarkStart w:id="0" w:name="_Hlk167384558"/>
      <w:r w:rsidRPr="00F01F3A">
        <w:rPr>
          <w:rFonts w:ascii="Calibri" w:hAnsi="Calibri" w:cs="Calibri Light"/>
          <w:sz w:val="22"/>
          <w:szCs w:val="22"/>
        </w:rPr>
        <w:t xml:space="preserve">for diagnosing chronic </w:t>
      </w:r>
      <w:proofErr w:type="spellStart"/>
      <w:proofErr w:type="gramStart"/>
      <w:r w:rsidRPr="00F01F3A">
        <w:rPr>
          <w:rFonts w:ascii="Calibri" w:hAnsi="Calibri" w:cs="Calibri Light"/>
          <w:i/>
          <w:iCs/>
          <w:sz w:val="22"/>
          <w:szCs w:val="22"/>
        </w:rPr>
        <w:t>T.cruzi</w:t>
      </w:r>
      <w:proofErr w:type="spellEnd"/>
      <w:proofErr w:type="gramEnd"/>
      <w:r w:rsidRPr="00F01F3A">
        <w:rPr>
          <w:rFonts w:ascii="Calibri" w:hAnsi="Calibri" w:cs="Calibri Light"/>
          <w:i/>
          <w:iCs/>
          <w:sz w:val="22"/>
          <w:szCs w:val="22"/>
        </w:rPr>
        <w:t xml:space="preserve"> </w:t>
      </w:r>
      <w:r w:rsidRPr="00F01F3A">
        <w:rPr>
          <w:rFonts w:ascii="Calibri" w:hAnsi="Calibri" w:cs="Calibri Light"/>
          <w:sz w:val="22"/>
          <w:szCs w:val="22"/>
        </w:rPr>
        <w:t xml:space="preserve">infection </w:t>
      </w:r>
      <w:bookmarkEnd w:id="0"/>
      <w:r w:rsidRPr="00F01F3A">
        <w:rPr>
          <w:rFonts w:ascii="Calibri" w:hAnsi="Calibri" w:cs="Calibri Light"/>
          <w:sz w:val="22"/>
          <w:szCs w:val="22"/>
        </w:rPr>
        <w:t xml:space="preserve">to (2) new algorithms that incorporate new testing technologies such as rapid diagnostic tests (RDTs) adopted at lower levels of the healthcare system (the </w:t>
      </w:r>
      <w:r w:rsidRPr="00F01F3A">
        <w:rPr>
          <w:rFonts w:ascii="Calibri" w:hAnsi="Calibri" w:cs="Calibri Light"/>
          <w:i/>
          <w:iCs/>
          <w:sz w:val="22"/>
          <w:szCs w:val="22"/>
        </w:rPr>
        <w:t>intervention</w:t>
      </w:r>
      <w:r w:rsidRPr="00F01F3A">
        <w:rPr>
          <w:rFonts w:ascii="Calibri" w:hAnsi="Calibri" w:cs="Calibri Light"/>
          <w:sz w:val="22"/>
          <w:szCs w:val="22"/>
        </w:rPr>
        <w:t xml:space="preserve">). This is an annex to the main study, which will evaluate the performance of the new algorithms incorporating these new test technologies in Setting X. </w:t>
      </w:r>
    </w:p>
    <w:p w14:paraId="65710DC5" w14:textId="77777777"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t xml:space="preserve">Two main scenarios will be modelled: </w:t>
      </w:r>
    </w:p>
    <w:p w14:paraId="3D2A278B" w14:textId="458F10B2" w:rsidR="008F4180" w:rsidRPr="00F01F3A" w:rsidRDefault="006B1B31" w:rsidP="006B1B31">
      <w:pPr>
        <w:tabs>
          <w:tab w:val="left" w:pos="1440"/>
        </w:tabs>
        <w:spacing w:before="60" w:after="120"/>
        <w:jc w:val="both"/>
        <w:rPr>
          <w:rFonts w:ascii="Calibri" w:hAnsi="Calibri" w:cs="Calibri Light"/>
          <w:sz w:val="22"/>
          <w:szCs w:val="22"/>
        </w:rPr>
      </w:pPr>
      <w:r w:rsidRPr="00F01F3A">
        <w:rPr>
          <w:rFonts w:ascii="Calibri" w:hAnsi="Calibri" w:cs="Calibri Light"/>
          <w:b/>
          <w:i/>
          <w:iCs/>
          <w:sz w:val="22"/>
          <w:szCs w:val="22"/>
        </w:rPr>
        <w:t xml:space="preserve">1) </w:t>
      </w:r>
      <w:r w:rsidR="008F4180" w:rsidRPr="00F01F3A">
        <w:rPr>
          <w:rFonts w:ascii="Calibri" w:hAnsi="Calibri" w:cs="Calibri Light"/>
          <w:b/>
          <w:i/>
          <w:iCs/>
          <w:sz w:val="22"/>
          <w:szCs w:val="22"/>
        </w:rPr>
        <w:t>Standard of care (the comparator)</w:t>
      </w:r>
      <w:r w:rsidR="008F4180" w:rsidRPr="00F01F3A">
        <w:rPr>
          <w:rFonts w:ascii="Calibri" w:hAnsi="Calibri" w:cs="Calibri Light"/>
          <w:b/>
          <w:sz w:val="22"/>
          <w:szCs w:val="22"/>
        </w:rPr>
        <w:t>:</w:t>
      </w:r>
      <w:r w:rsidR="008F4180" w:rsidRPr="00F01F3A">
        <w:rPr>
          <w:rFonts w:ascii="Calibri" w:hAnsi="Calibri" w:cs="Calibri Light"/>
          <w:sz w:val="22"/>
          <w:szCs w:val="22"/>
        </w:rPr>
        <w:t xml:space="preserve"> This represents the current standard of care, or status quo, for diagnosing chronic </w:t>
      </w:r>
      <w:proofErr w:type="spellStart"/>
      <w:proofErr w:type="gramStart"/>
      <w:r w:rsidR="008F4180" w:rsidRPr="00F01F3A">
        <w:rPr>
          <w:rFonts w:ascii="Calibri" w:hAnsi="Calibri" w:cs="Calibri Light"/>
          <w:i/>
          <w:iCs/>
          <w:sz w:val="22"/>
          <w:szCs w:val="22"/>
        </w:rPr>
        <w:t>T.cruzi</w:t>
      </w:r>
      <w:proofErr w:type="spellEnd"/>
      <w:proofErr w:type="gramEnd"/>
      <w:r w:rsidR="008F4180" w:rsidRPr="00F01F3A">
        <w:rPr>
          <w:rFonts w:ascii="Calibri" w:hAnsi="Calibri" w:cs="Calibri Light"/>
          <w:i/>
          <w:iCs/>
          <w:sz w:val="22"/>
          <w:szCs w:val="22"/>
        </w:rPr>
        <w:t xml:space="preserve"> </w:t>
      </w:r>
      <w:r w:rsidR="008F4180" w:rsidRPr="00F01F3A">
        <w:rPr>
          <w:rFonts w:ascii="Calibri" w:hAnsi="Calibri" w:cs="Calibri Light"/>
          <w:sz w:val="22"/>
          <w:szCs w:val="22"/>
        </w:rPr>
        <w:t xml:space="preserve">infection in Setting X. The standard of care can be described, detailing the sample type, test technology, algorithm structure and the place of testing. For example, venous blood is collected from individuals accessing high complexity </w:t>
      </w:r>
      <w:proofErr w:type="spellStart"/>
      <w:r w:rsidR="008F4180" w:rsidRPr="00F01F3A">
        <w:rPr>
          <w:rFonts w:ascii="Calibri" w:hAnsi="Calibri" w:cs="Calibri Light"/>
          <w:sz w:val="22"/>
          <w:szCs w:val="22"/>
        </w:rPr>
        <w:t>centres</w:t>
      </w:r>
      <w:proofErr w:type="spellEnd"/>
      <w:r w:rsidR="008F4180" w:rsidRPr="00F01F3A">
        <w:rPr>
          <w:rFonts w:ascii="Calibri" w:hAnsi="Calibri" w:cs="Calibri Light"/>
          <w:sz w:val="22"/>
          <w:szCs w:val="22"/>
        </w:rPr>
        <w:t xml:space="preserve"> (secondary/tertiary </w:t>
      </w:r>
      <w:proofErr w:type="spellStart"/>
      <w:r w:rsidR="008F4180" w:rsidRPr="00F01F3A">
        <w:rPr>
          <w:rFonts w:ascii="Calibri" w:hAnsi="Calibri" w:cs="Calibri Light"/>
          <w:sz w:val="22"/>
          <w:szCs w:val="22"/>
        </w:rPr>
        <w:t>centres</w:t>
      </w:r>
      <w:proofErr w:type="spellEnd"/>
      <w:r w:rsidR="008F4180" w:rsidRPr="00F01F3A">
        <w:rPr>
          <w:rFonts w:ascii="Calibri" w:hAnsi="Calibri" w:cs="Calibri Light"/>
          <w:sz w:val="22"/>
          <w:szCs w:val="22"/>
        </w:rPr>
        <w:t xml:space="preserve">), or samples are transported to high- complexity </w:t>
      </w:r>
      <w:proofErr w:type="spellStart"/>
      <w:r w:rsidR="008F4180" w:rsidRPr="00F01F3A">
        <w:rPr>
          <w:rFonts w:ascii="Calibri" w:hAnsi="Calibri" w:cs="Calibri Light"/>
          <w:sz w:val="22"/>
          <w:szCs w:val="22"/>
        </w:rPr>
        <w:t>centres</w:t>
      </w:r>
      <w:proofErr w:type="spellEnd"/>
      <w:r w:rsidR="008F4180" w:rsidRPr="00F01F3A">
        <w:rPr>
          <w:rFonts w:ascii="Calibri" w:hAnsi="Calibri" w:cs="Calibri Light"/>
          <w:sz w:val="22"/>
          <w:szCs w:val="22"/>
        </w:rPr>
        <w:t xml:space="preserve"> from low complexity </w:t>
      </w:r>
      <w:proofErr w:type="spellStart"/>
      <w:r w:rsidR="008F4180" w:rsidRPr="00F01F3A">
        <w:rPr>
          <w:rFonts w:ascii="Calibri" w:hAnsi="Calibri" w:cs="Calibri Light"/>
          <w:sz w:val="22"/>
          <w:szCs w:val="22"/>
        </w:rPr>
        <w:t>centres</w:t>
      </w:r>
      <w:proofErr w:type="spellEnd"/>
      <w:r w:rsidR="008F4180" w:rsidRPr="00F01F3A">
        <w:rPr>
          <w:rFonts w:ascii="Calibri" w:hAnsi="Calibri" w:cs="Calibri Light"/>
          <w:sz w:val="22"/>
          <w:szCs w:val="22"/>
        </w:rPr>
        <w:t xml:space="preserve"> (primary healthcare </w:t>
      </w:r>
      <w:proofErr w:type="spellStart"/>
      <w:r w:rsidR="008F4180" w:rsidRPr="00F01F3A">
        <w:rPr>
          <w:rFonts w:ascii="Calibri" w:hAnsi="Calibri" w:cs="Calibri Light"/>
          <w:sz w:val="22"/>
          <w:szCs w:val="22"/>
        </w:rPr>
        <w:t>centres</w:t>
      </w:r>
      <w:proofErr w:type="spellEnd"/>
      <w:r w:rsidR="008F4180" w:rsidRPr="00F01F3A">
        <w:rPr>
          <w:rFonts w:ascii="Calibri" w:hAnsi="Calibri" w:cs="Calibri Light"/>
          <w:sz w:val="22"/>
          <w:szCs w:val="22"/>
        </w:rPr>
        <w:t xml:space="preserve">) for testing. Two laboratory-based serology IgG tests for </w:t>
      </w:r>
      <w:r w:rsidR="008F4180" w:rsidRPr="00F01F3A">
        <w:rPr>
          <w:rFonts w:ascii="Calibri" w:hAnsi="Calibri" w:cs="Calibri Light"/>
          <w:i/>
          <w:iCs/>
          <w:sz w:val="22"/>
          <w:szCs w:val="22"/>
        </w:rPr>
        <w:t>T. cruzi</w:t>
      </w:r>
      <w:r w:rsidR="008F4180" w:rsidRPr="00F01F3A">
        <w:rPr>
          <w:rFonts w:ascii="Calibri" w:hAnsi="Calibri" w:cs="Calibri Light"/>
          <w:sz w:val="22"/>
          <w:szCs w:val="22"/>
        </w:rPr>
        <w:t xml:space="preserve"> are performed in parallel; a third test is performed in case of discordance. </w:t>
      </w:r>
    </w:p>
    <w:p w14:paraId="153BC555" w14:textId="09914058" w:rsidR="008F4180" w:rsidRPr="00F01F3A" w:rsidRDefault="006B1B31" w:rsidP="006B1B31">
      <w:pPr>
        <w:tabs>
          <w:tab w:val="left" w:pos="1440"/>
        </w:tabs>
        <w:spacing w:before="60" w:after="120"/>
        <w:jc w:val="both"/>
        <w:rPr>
          <w:rFonts w:ascii="Calibri" w:hAnsi="Calibri" w:cs="Calibri Light"/>
          <w:b/>
          <w:sz w:val="22"/>
          <w:szCs w:val="22"/>
        </w:rPr>
      </w:pPr>
      <w:r w:rsidRPr="00F01F3A">
        <w:rPr>
          <w:rFonts w:ascii="Calibri" w:hAnsi="Calibri" w:cs="Calibri Light"/>
          <w:b/>
          <w:i/>
          <w:iCs/>
          <w:sz w:val="22"/>
          <w:szCs w:val="22"/>
        </w:rPr>
        <w:t xml:space="preserve">2) </w:t>
      </w:r>
      <w:r w:rsidR="008F4180" w:rsidRPr="00F01F3A">
        <w:rPr>
          <w:rFonts w:ascii="Calibri" w:hAnsi="Calibri" w:cs="Calibri Light"/>
          <w:b/>
          <w:i/>
          <w:iCs/>
          <w:sz w:val="22"/>
          <w:szCs w:val="22"/>
        </w:rPr>
        <w:t>Intervention</w:t>
      </w:r>
      <w:r w:rsidR="008F4180" w:rsidRPr="00F01F3A">
        <w:rPr>
          <w:rFonts w:ascii="Calibri" w:hAnsi="Calibri" w:cs="Calibri Light"/>
          <w:sz w:val="22"/>
          <w:szCs w:val="22"/>
        </w:rPr>
        <w:t xml:space="preserve"> (</w:t>
      </w:r>
      <w:r w:rsidR="008F4180" w:rsidRPr="00F01F3A">
        <w:rPr>
          <w:rFonts w:ascii="Calibri" w:hAnsi="Calibri"/>
          <w:b/>
          <w:i/>
          <w:sz w:val="22"/>
          <w:szCs w:val="22"/>
        </w:rPr>
        <w:t>the new algorithms incorporating new testing technologies</w:t>
      </w:r>
      <w:r w:rsidR="008F4180" w:rsidRPr="00F01F3A">
        <w:rPr>
          <w:rFonts w:ascii="Calibri" w:hAnsi="Calibri" w:cs="Calibri Light"/>
          <w:b/>
          <w:sz w:val="22"/>
          <w:szCs w:val="22"/>
        </w:rPr>
        <w:t>):</w:t>
      </w:r>
      <w:r w:rsidR="008F4180" w:rsidRPr="00F01F3A">
        <w:rPr>
          <w:rFonts w:ascii="Calibri" w:hAnsi="Calibri"/>
          <w:b/>
          <w:sz w:val="22"/>
          <w:szCs w:val="22"/>
        </w:rPr>
        <w:t xml:space="preserve"> </w:t>
      </w:r>
      <w:r w:rsidR="008F4180" w:rsidRPr="00F01F3A">
        <w:rPr>
          <w:rFonts w:ascii="Calibri" w:hAnsi="Calibri"/>
          <w:sz w:val="22"/>
          <w:szCs w:val="22"/>
        </w:rPr>
        <w:t>This is the new proposed algorithms that include</w:t>
      </w:r>
      <w:r w:rsidR="008F4180" w:rsidRPr="00F01F3A">
        <w:rPr>
          <w:rFonts w:ascii="Calibri" w:hAnsi="Calibri" w:cs="Calibri Light"/>
          <w:sz w:val="22"/>
          <w:szCs w:val="22"/>
        </w:rPr>
        <w:t xml:space="preserve"> RDTs which can be used to decentralize the diagnosis of </w:t>
      </w:r>
      <w:r w:rsidR="008F4180" w:rsidRPr="00F01F3A">
        <w:rPr>
          <w:rFonts w:ascii="Calibri" w:hAnsi="Calibri" w:cs="Calibri Light"/>
          <w:i/>
          <w:iCs/>
          <w:sz w:val="22"/>
          <w:szCs w:val="22"/>
        </w:rPr>
        <w:t>T. cruzi</w:t>
      </w:r>
      <w:r w:rsidR="008F4180" w:rsidRPr="00F01F3A">
        <w:rPr>
          <w:rFonts w:ascii="Calibri" w:hAnsi="Calibri" w:cs="Calibri Light"/>
          <w:sz w:val="22"/>
          <w:szCs w:val="22"/>
        </w:rPr>
        <w:t xml:space="preserve"> to lower levels of the healthcare system. </w:t>
      </w:r>
    </w:p>
    <w:p w14:paraId="310E0C72" w14:textId="1C68D8E3"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t>There are four components to this study: (A) Estimating the potential impact in terms of effectiveness of the Chagas disease (CD) diagnostic care cascade in relation to the standard of care and intervention scenario, (B) estimating the costs associated with the different testing algorithms, (C) evaluating the cost-effectiveness of the different testing algorithms, and (D) performing a Budget Impact Analysis (BIA) to assess the financial impact of adopting a new algorithm.</w:t>
      </w:r>
    </w:p>
    <w:p w14:paraId="03003E98" w14:textId="5082DE9A"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t xml:space="preserve">The approach described in this Annex is </w:t>
      </w:r>
      <w:r w:rsidRPr="00F01F3A">
        <w:rPr>
          <w:rFonts w:ascii="Calibri" w:hAnsi="Calibri" w:cs="Calibri Light"/>
          <w:sz w:val="22"/>
          <w:szCs w:val="22"/>
          <w:u w:val="single"/>
        </w:rPr>
        <w:t>conservative</w:t>
      </w:r>
      <w:r w:rsidRPr="00F01F3A">
        <w:rPr>
          <w:rFonts w:ascii="Calibri" w:hAnsi="Calibri" w:cs="Calibri Light"/>
          <w:sz w:val="22"/>
          <w:szCs w:val="22"/>
        </w:rPr>
        <w:t xml:space="preserve"> in terms of determining the full benefit of the introduction of a new technology to diagnose chronic </w:t>
      </w:r>
      <w:proofErr w:type="spellStart"/>
      <w:proofErr w:type="gramStart"/>
      <w:r w:rsidRPr="00F01F3A">
        <w:rPr>
          <w:rFonts w:ascii="Calibri" w:hAnsi="Calibri" w:cs="Calibri Light"/>
          <w:i/>
          <w:iCs/>
          <w:sz w:val="22"/>
          <w:szCs w:val="22"/>
        </w:rPr>
        <w:t>T.cruzi</w:t>
      </w:r>
      <w:proofErr w:type="spellEnd"/>
      <w:proofErr w:type="gramEnd"/>
      <w:r w:rsidRPr="00F01F3A">
        <w:rPr>
          <w:rFonts w:ascii="Calibri" w:hAnsi="Calibri" w:cs="Calibri Light"/>
          <w:i/>
          <w:iCs/>
          <w:sz w:val="22"/>
          <w:szCs w:val="22"/>
        </w:rPr>
        <w:t xml:space="preserve"> </w:t>
      </w:r>
      <w:r w:rsidRPr="00F01F3A">
        <w:rPr>
          <w:rFonts w:ascii="Calibri" w:hAnsi="Calibri" w:cs="Calibri Light"/>
          <w:sz w:val="22"/>
          <w:szCs w:val="22"/>
        </w:rPr>
        <w:t xml:space="preserve">infection.   It only incorporates the direct benefits in the diagnostic pathway for CD, however, there are potentially many additional benefits that are likely to arise that strengthen the primary healthcare system more broadly. These however are not quantified here. More complex analyses may be conducted that measure improvements in access for those seeking care or conduct a distributional cost-effectiveness analysis that evaluates how the intervention improves health inequalities for different population sub-groups. </w:t>
      </w:r>
    </w:p>
    <w:p w14:paraId="47A290F0" w14:textId="77777777" w:rsidR="006B1B31" w:rsidRPr="00F01F3A" w:rsidRDefault="006B1B31" w:rsidP="00F35ACD">
      <w:pPr>
        <w:jc w:val="both"/>
        <w:rPr>
          <w:rFonts w:ascii="Calibri" w:hAnsi="Calibri" w:cs="Calibri Light"/>
          <w:sz w:val="22"/>
          <w:szCs w:val="22"/>
        </w:rPr>
      </w:pPr>
    </w:p>
    <w:p w14:paraId="3B6E0424" w14:textId="3E427E3D" w:rsidR="008F4180" w:rsidRPr="00F01F3A" w:rsidRDefault="008F4180" w:rsidP="006B1B31">
      <w:pPr>
        <w:rPr>
          <w:rFonts w:cs="Calibri Light"/>
          <w:b/>
        </w:rPr>
      </w:pPr>
      <w:r w:rsidRPr="00F01F3A">
        <w:rPr>
          <w:b/>
        </w:rPr>
        <w:t xml:space="preserve">Chagas Diagnostic Cascade Model Framework </w:t>
      </w:r>
    </w:p>
    <w:p w14:paraId="06A1B865" w14:textId="77777777" w:rsidR="008F4180" w:rsidRPr="00F01F3A" w:rsidRDefault="008F4180" w:rsidP="00F35ACD">
      <w:pPr>
        <w:jc w:val="both"/>
        <w:rPr>
          <w:rFonts w:ascii="Calibri" w:hAnsi="Calibri" w:cs="Calibri Light"/>
          <w:color w:val="000000" w:themeColor="text1"/>
          <w:sz w:val="22"/>
          <w:szCs w:val="22"/>
        </w:rPr>
      </w:pPr>
      <w:r w:rsidRPr="00F01F3A">
        <w:rPr>
          <w:rFonts w:ascii="Calibri" w:hAnsi="Calibri" w:cs="Calibri Light"/>
          <w:sz w:val="22"/>
          <w:szCs w:val="22"/>
        </w:rPr>
        <w:t xml:space="preserve">The performance and impact of the different diagnostic cascades may be directly estimated from primary data from evaluation or pilot studies that assess outcomes among patient groups tested under different algorithms. In these situations, studies should be </w:t>
      </w:r>
      <w:r w:rsidRPr="00F01F3A">
        <w:rPr>
          <w:rFonts w:ascii="Calibri" w:hAnsi="Calibri" w:cs="Calibri Light"/>
          <w:color w:val="000000" w:themeColor="text1"/>
          <w:sz w:val="22"/>
          <w:szCs w:val="22"/>
        </w:rPr>
        <w:t xml:space="preserve">designed to collect appropriate data to estimate the </w:t>
      </w:r>
      <w:r w:rsidRPr="00F01F3A">
        <w:rPr>
          <w:rFonts w:ascii="Calibri" w:hAnsi="Calibri" w:cs="Calibri Light"/>
          <w:b/>
          <w:color w:val="000000" w:themeColor="text1"/>
          <w:sz w:val="22"/>
          <w:szCs w:val="22"/>
        </w:rPr>
        <w:t>key outcomes</w:t>
      </w:r>
      <w:r w:rsidRPr="00F01F3A">
        <w:rPr>
          <w:rFonts w:ascii="Calibri" w:hAnsi="Calibri" w:cs="Calibri Light"/>
          <w:color w:val="000000" w:themeColor="text1"/>
          <w:sz w:val="22"/>
          <w:szCs w:val="22"/>
        </w:rPr>
        <w:t xml:space="preserve"> listed below, ensuring the representativeness of the study population for the target population of interest. </w:t>
      </w:r>
    </w:p>
    <w:p w14:paraId="052BA09C" w14:textId="77777777" w:rsidR="008F4180" w:rsidRPr="00F01F3A" w:rsidRDefault="008F4180" w:rsidP="00F35ACD">
      <w:pPr>
        <w:jc w:val="both"/>
        <w:rPr>
          <w:rFonts w:ascii="Calibri" w:hAnsi="Calibri" w:cs="Calibri Light"/>
          <w:sz w:val="22"/>
          <w:szCs w:val="22"/>
        </w:rPr>
      </w:pPr>
      <w:r w:rsidRPr="00F01F3A">
        <w:rPr>
          <w:rFonts w:ascii="Calibri" w:hAnsi="Calibri" w:cs="Calibri Light"/>
          <w:color w:val="000000" w:themeColor="text1"/>
          <w:sz w:val="22"/>
          <w:szCs w:val="22"/>
        </w:rPr>
        <w:t xml:space="preserve">Where it is not possible to directly measure the </w:t>
      </w:r>
      <w:r w:rsidRPr="00F01F3A">
        <w:rPr>
          <w:rFonts w:ascii="Calibri" w:hAnsi="Calibri" w:cs="Calibri Light"/>
          <w:b/>
          <w:color w:val="000000" w:themeColor="text1"/>
          <w:sz w:val="22"/>
          <w:szCs w:val="22"/>
        </w:rPr>
        <w:t>key outcomes</w:t>
      </w:r>
      <w:r w:rsidRPr="00F01F3A">
        <w:rPr>
          <w:rFonts w:ascii="Calibri" w:hAnsi="Calibri" w:cs="Calibri Light"/>
          <w:color w:val="000000" w:themeColor="text1"/>
          <w:sz w:val="22"/>
          <w:szCs w:val="22"/>
        </w:rPr>
        <w:t xml:space="preserve"> of each diagnostic algorithm of interest, modelling, using secondary data sources, can be a useful tool to estimate the overall impact of diagnostic algorithms based on data from individual test performance. A model of the CD diagnostic care cascade in Setting X can be created using the FIND Chagas Diagnostic Algorithm application (https://finddx.shinyapps.io/chagaspathway/) </w:t>
      </w:r>
      <w:r w:rsidRPr="00F01F3A">
        <w:rPr>
          <w:rFonts w:ascii="Calibri" w:eastAsia="Calibri Light" w:hAnsi="Calibri" w:cs="Calibri Light"/>
          <w:color w:val="000000" w:themeColor="text1"/>
          <w:sz w:val="22"/>
          <w:szCs w:val="22"/>
        </w:rPr>
        <w:t xml:space="preserve">developed with the support of DNDi, </w:t>
      </w:r>
      <w:r w:rsidRPr="00F01F3A">
        <w:rPr>
          <w:rFonts w:ascii="Calibri" w:hAnsi="Calibri" w:cs="Calibri Light"/>
          <w:sz w:val="22"/>
          <w:szCs w:val="22"/>
        </w:rPr>
        <w:t xml:space="preserve">or alternative </w:t>
      </w:r>
      <w:r w:rsidRPr="00F01F3A">
        <w:rPr>
          <w:rFonts w:ascii="Calibri" w:hAnsi="Calibri" w:cs="Calibri Light"/>
          <w:sz w:val="22"/>
          <w:szCs w:val="22"/>
        </w:rPr>
        <w:lastRenderedPageBreak/>
        <w:t>decision-tree models. Models representing the current standard of care within Setting X should be compared to models representing the diagnostic algorithms incorporating new testing technologies to estimate changes in overall diagnostic accuracy and costs.</w:t>
      </w:r>
    </w:p>
    <w:p w14:paraId="75BD30B3" w14:textId="61F35A94"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t>An example of a generic diagnostic care cascade for standard of care and a new algorithm that incorporates RDTs at a lower level of care, is shown below.</w:t>
      </w:r>
    </w:p>
    <w:p w14:paraId="4FE6BA5A" w14:textId="77777777" w:rsidR="006B1B31" w:rsidRPr="00F01F3A" w:rsidRDefault="006B1B31" w:rsidP="00F35ACD">
      <w:pPr>
        <w:jc w:val="both"/>
        <w:rPr>
          <w:rFonts w:ascii="Calibri" w:hAnsi="Calibri" w:cs="Calibri Light"/>
          <w:sz w:val="22"/>
          <w:szCs w:val="22"/>
        </w:rPr>
      </w:pPr>
    </w:p>
    <w:p w14:paraId="76022D6C" w14:textId="1E9E6E55" w:rsidR="008F4180" w:rsidRPr="00F01F3A" w:rsidRDefault="008F4180" w:rsidP="00F35ACD">
      <w:pPr>
        <w:rPr>
          <w:rFonts w:ascii="Calibri" w:hAnsi="Calibri" w:cs="Calibri Light"/>
          <w:color w:val="000000" w:themeColor="text1"/>
          <w:sz w:val="22"/>
          <w:szCs w:val="22"/>
        </w:rPr>
      </w:pPr>
      <w:r w:rsidRPr="00F01F3A">
        <w:rPr>
          <w:rFonts w:ascii="Calibri" w:hAnsi="Calibri" w:cs="Calibri Light"/>
          <w:b/>
          <w:i/>
          <w:iCs/>
          <w:color w:val="000000" w:themeColor="text1"/>
          <w:sz w:val="22"/>
          <w:szCs w:val="22"/>
        </w:rPr>
        <w:t xml:space="preserve">Figure </w:t>
      </w:r>
      <w:r w:rsidR="006B1B31" w:rsidRPr="00F01F3A">
        <w:rPr>
          <w:rFonts w:ascii="Calibri" w:hAnsi="Calibri" w:cs="Calibri Light"/>
          <w:b/>
          <w:i/>
          <w:iCs/>
          <w:color w:val="000000" w:themeColor="text1"/>
          <w:sz w:val="22"/>
          <w:szCs w:val="22"/>
        </w:rPr>
        <w:t xml:space="preserve">1. </w:t>
      </w:r>
      <w:r w:rsidRPr="00F01F3A">
        <w:rPr>
          <w:rFonts w:ascii="Calibri" w:hAnsi="Calibri" w:cs="Calibri Light"/>
          <w:b/>
          <w:i/>
          <w:iCs/>
          <w:color w:val="000000" w:themeColor="text1"/>
          <w:sz w:val="22"/>
          <w:szCs w:val="22"/>
        </w:rPr>
        <w:t xml:space="preserve"> The Chagas disease diagnostic cascade</w:t>
      </w:r>
    </w:p>
    <w:p w14:paraId="4C9585BD" w14:textId="77777777" w:rsidR="008F4180" w:rsidRPr="00F01F3A" w:rsidRDefault="008F4180" w:rsidP="00F35ACD">
      <w:pPr>
        <w:jc w:val="both"/>
        <w:rPr>
          <w:rFonts w:ascii="Calibri" w:hAnsi="Calibri" w:cs="Calibri Light"/>
          <w:sz w:val="22"/>
          <w:szCs w:val="22"/>
        </w:rPr>
      </w:pPr>
    </w:p>
    <w:p w14:paraId="1F388718" w14:textId="77777777" w:rsidR="008F4180" w:rsidRPr="00F01F3A" w:rsidRDefault="008F4180" w:rsidP="00F35ACD">
      <w:pPr>
        <w:jc w:val="center"/>
        <w:rPr>
          <w:rFonts w:ascii="Calibri" w:hAnsi="Calibri"/>
          <w:sz w:val="22"/>
          <w:szCs w:val="22"/>
        </w:rPr>
      </w:pPr>
      <w:r w:rsidRPr="00F01F3A">
        <w:rPr>
          <w:rFonts w:ascii="Calibri" w:hAnsi="Calibri" w:cs="Calibri Light"/>
          <w:noProof/>
          <w:sz w:val="22"/>
          <w:szCs w:val="22"/>
          <w:lang w:eastAsia="es-AR"/>
        </w:rPr>
        <w:drawing>
          <wp:inline distT="0" distB="0" distL="0" distR="0" wp14:anchorId="59739C81" wp14:editId="4347D888">
            <wp:extent cx="4756150" cy="1304603"/>
            <wp:effectExtent l="0" t="0" r="6350" b="0"/>
            <wp:docPr id="485020372" name="Picture 485020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020372" name="Picture 4850203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67914" cy="1307830"/>
                    </a:xfrm>
                    <a:prstGeom prst="rect">
                      <a:avLst/>
                    </a:prstGeom>
                  </pic:spPr>
                </pic:pic>
              </a:graphicData>
            </a:graphic>
          </wp:inline>
        </w:drawing>
      </w:r>
    </w:p>
    <w:p w14:paraId="56A3589E" w14:textId="77777777" w:rsidR="008F4180" w:rsidRPr="00F01F3A" w:rsidRDefault="008F4180" w:rsidP="00F35ACD">
      <w:pPr>
        <w:jc w:val="both"/>
        <w:rPr>
          <w:rFonts w:ascii="Calibri" w:hAnsi="Calibri" w:cs="Calibri Light"/>
          <w:color w:val="000000" w:themeColor="text1"/>
          <w:sz w:val="22"/>
          <w:szCs w:val="22"/>
        </w:rPr>
      </w:pPr>
      <w:r w:rsidRPr="00F01F3A">
        <w:rPr>
          <w:rFonts w:ascii="Calibri" w:hAnsi="Calibri" w:cs="Calibri Light"/>
          <w:sz w:val="22"/>
          <w:szCs w:val="22"/>
        </w:rPr>
        <w:t xml:space="preserve">These decision tree models should capture the diagnostic tests used, the performance (sensitivity/specificity) of these tests and the healthcare level at which patients seek care and at which samples are collected and tested. The patient and sample flow should be considered to identify touchpoints at which individuals or samples could be lost from the cascade and estimate the number of visits required to receive a final diagnosis. For both scenarios (standard of care and the intervention), an estimated number of individuals diagnosed correctly with </w:t>
      </w:r>
      <w:proofErr w:type="spellStart"/>
      <w:proofErr w:type="gramStart"/>
      <w:r w:rsidRPr="00F01F3A">
        <w:rPr>
          <w:rFonts w:ascii="Calibri" w:hAnsi="Calibri" w:cs="Calibri Light"/>
          <w:i/>
          <w:iCs/>
          <w:sz w:val="22"/>
          <w:szCs w:val="22"/>
        </w:rPr>
        <w:t>T.cruzi</w:t>
      </w:r>
      <w:proofErr w:type="spellEnd"/>
      <w:proofErr w:type="gramEnd"/>
      <w:r w:rsidRPr="00F01F3A">
        <w:rPr>
          <w:rFonts w:ascii="Calibri" w:hAnsi="Calibri" w:cs="Calibri Light"/>
          <w:i/>
          <w:iCs/>
          <w:sz w:val="22"/>
          <w:szCs w:val="22"/>
        </w:rPr>
        <w:t xml:space="preserve"> </w:t>
      </w:r>
      <w:r w:rsidRPr="00F01F3A">
        <w:rPr>
          <w:rFonts w:ascii="Calibri" w:hAnsi="Calibri" w:cs="Calibri Light"/>
          <w:sz w:val="22"/>
          <w:szCs w:val="22"/>
        </w:rPr>
        <w:t xml:space="preserve">infection (of those who truly have </w:t>
      </w:r>
      <w:proofErr w:type="spellStart"/>
      <w:proofErr w:type="gramStart"/>
      <w:r w:rsidRPr="00F01F3A">
        <w:rPr>
          <w:rFonts w:ascii="Calibri" w:hAnsi="Calibri" w:cs="Calibri Light"/>
          <w:i/>
          <w:iCs/>
          <w:sz w:val="22"/>
          <w:szCs w:val="22"/>
        </w:rPr>
        <w:t>T.cruzi</w:t>
      </w:r>
      <w:proofErr w:type="spellEnd"/>
      <w:proofErr w:type="gramEnd"/>
      <w:r w:rsidRPr="00F01F3A">
        <w:rPr>
          <w:rFonts w:ascii="Calibri" w:hAnsi="Calibri" w:cs="Calibri Light"/>
          <w:i/>
          <w:iCs/>
          <w:sz w:val="22"/>
          <w:szCs w:val="22"/>
        </w:rPr>
        <w:t xml:space="preserve"> </w:t>
      </w:r>
      <w:proofErr w:type="gramStart"/>
      <w:r w:rsidRPr="00F01F3A">
        <w:rPr>
          <w:rFonts w:ascii="Calibri" w:hAnsi="Calibri" w:cs="Calibri Light"/>
          <w:sz w:val="22"/>
          <w:szCs w:val="22"/>
        </w:rPr>
        <w:t xml:space="preserve">infection)   </w:t>
      </w:r>
      <w:proofErr w:type="gramEnd"/>
      <w:r w:rsidRPr="00F01F3A">
        <w:rPr>
          <w:rFonts w:ascii="Calibri" w:hAnsi="Calibri" w:cs="Calibri Light"/>
          <w:sz w:val="22"/>
          <w:szCs w:val="22"/>
        </w:rPr>
        <w:t xml:space="preserve">is determined as well as the number of individuals who receive the positive test(s) who are successfully </w:t>
      </w:r>
      <w:r w:rsidRPr="00F01F3A">
        <w:rPr>
          <w:rFonts w:ascii="Calibri" w:hAnsi="Calibri" w:cs="Calibri Light"/>
          <w:color w:val="000000" w:themeColor="text1"/>
          <w:sz w:val="22"/>
          <w:szCs w:val="22"/>
        </w:rPr>
        <w:t xml:space="preserve">linked to further care/treatment. </w:t>
      </w:r>
    </w:p>
    <w:p w14:paraId="538B8861" w14:textId="77777777" w:rsidR="008F4180" w:rsidRPr="00F01F3A" w:rsidRDefault="008F4180" w:rsidP="00F35ACD">
      <w:pPr>
        <w:jc w:val="both"/>
        <w:rPr>
          <w:rFonts w:ascii="Calibri" w:hAnsi="Calibri" w:cs="Calibri Light"/>
          <w:sz w:val="22"/>
          <w:szCs w:val="22"/>
        </w:rPr>
      </w:pPr>
      <w:r w:rsidRPr="00F01F3A">
        <w:rPr>
          <w:rFonts w:ascii="Calibri" w:hAnsi="Calibri" w:cs="Calibri Light"/>
          <w:color w:val="000000" w:themeColor="text1"/>
          <w:sz w:val="22"/>
          <w:szCs w:val="22"/>
        </w:rPr>
        <w:t xml:space="preserve">The new intervention algorithms will then be compared to the standard of care against a number of </w:t>
      </w:r>
      <w:r w:rsidRPr="00F01F3A">
        <w:rPr>
          <w:rFonts w:ascii="Calibri" w:hAnsi="Calibri" w:cs="Calibri Light"/>
          <w:b/>
          <w:color w:val="000000" w:themeColor="text1"/>
          <w:sz w:val="22"/>
          <w:szCs w:val="22"/>
        </w:rPr>
        <w:t>key outcomes</w:t>
      </w:r>
      <w:r w:rsidRPr="00F01F3A">
        <w:rPr>
          <w:rFonts w:ascii="Calibri" w:hAnsi="Calibri" w:cs="Calibri Light"/>
          <w:color w:val="000000" w:themeColor="text1"/>
          <w:sz w:val="22"/>
          <w:szCs w:val="22"/>
        </w:rPr>
        <w:t xml:space="preserve"> which seek to capture the potential for increased yield through better test performance or increases in accessibility </w:t>
      </w:r>
      <w:r w:rsidRPr="00F01F3A">
        <w:rPr>
          <w:rFonts w:ascii="Calibri" w:hAnsi="Calibri" w:cs="Calibri Light"/>
          <w:sz w:val="22"/>
          <w:szCs w:val="22"/>
        </w:rPr>
        <w:t>to testing and results, or a reduced proportion of individuals being lost during the diagnostic process with new diagnostic algorithms:</w:t>
      </w:r>
    </w:p>
    <w:p w14:paraId="2AFBC90E" w14:textId="77777777" w:rsidR="008F4180" w:rsidRPr="00F01F3A" w:rsidRDefault="008F4180" w:rsidP="006B1B31">
      <w:pPr>
        <w:tabs>
          <w:tab w:val="left" w:pos="1440"/>
        </w:tabs>
        <w:spacing w:before="60" w:after="120"/>
        <w:jc w:val="both"/>
        <w:rPr>
          <w:rFonts w:ascii="Calibri" w:hAnsi="Calibri" w:cs="Calibri Light"/>
          <w:sz w:val="22"/>
          <w:szCs w:val="22"/>
        </w:rPr>
      </w:pPr>
      <w:r w:rsidRPr="00F01F3A">
        <w:rPr>
          <w:rFonts w:ascii="Calibri" w:hAnsi="Calibri" w:cs="Calibri Light"/>
          <w:sz w:val="22"/>
          <w:szCs w:val="22"/>
        </w:rPr>
        <w:t>The number of individuals receiving a correct diagnosis (true positives/negatives)</w:t>
      </w:r>
    </w:p>
    <w:p w14:paraId="185CF36F" w14:textId="77777777" w:rsidR="008F4180" w:rsidRPr="00F01F3A" w:rsidRDefault="008F4180" w:rsidP="006B1B31">
      <w:pPr>
        <w:tabs>
          <w:tab w:val="left" w:pos="1440"/>
        </w:tabs>
        <w:spacing w:before="60" w:after="120"/>
        <w:jc w:val="both"/>
        <w:rPr>
          <w:rFonts w:ascii="Calibri" w:hAnsi="Calibri" w:cs="Calibri Light"/>
          <w:sz w:val="22"/>
          <w:szCs w:val="22"/>
        </w:rPr>
      </w:pPr>
      <w:r w:rsidRPr="00F01F3A">
        <w:rPr>
          <w:rFonts w:ascii="Calibri" w:hAnsi="Calibri" w:cs="Calibri Light"/>
          <w:sz w:val="22"/>
          <w:szCs w:val="22"/>
        </w:rPr>
        <w:t>The number of individuals receiving an incorrect diagnosis (false positives/negatives)</w:t>
      </w:r>
    </w:p>
    <w:p w14:paraId="40F39888" w14:textId="77777777" w:rsidR="008F4180" w:rsidRPr="00F01F3A" w:rsidRDefault="008F4180" w:rsidP="006B1B31">
      <w:pPr>
        <w:tabs>
          <w:tab w:val="left" w:pos="1440"/>
        </w:tabs>
        <w:spacing w:before="60" w:after="120"/>
        <w:jc w:val="both"/>
        <w:rPr>
          <w:rFonts w:ascii="Calibri" w:hAnsi="Calibri" w:cs="Calibri Light"/>
          <w:sz w:val="22"/>
          <w:szCs w:val="22"/>
        </w:rPr>
      </w:pPr>
      <w:r w:rsidRPr="00F01F3A">
        <w:rPr>
          <w:rFonts w:ascii="Calibri" w:hAnsi="Calibri" w:cs="Calibri Light"/>
          <w:sz w:val="22"/>
          <w:szCs w:val="22"/>
        </w:rPr>
        <w:t>The number (and proportion) of positive individuals linked to further care/treatment</w:t>
      </w:r>
    </w:p>
    <w:p w14:paraId="5C2F5D84" w14:textId="77777777" w:rsidR="008F4180" w:rsidRPr="00F01F3A" w:rsidRDefault="008F4180" w:rsidP="006B1B31">
      <w:pPr>
        <w:tabs>
          <w:tab w:val="left" w:pos="1440"/>
        </w:tabs>
        <w:spacing w:before="60" w:after="120"/>
        <w:jc w:val="both"/>
        <w:rPr>
          <w:rFonts w:ascii="Calibri" w:hAnsi="Calibri" w:cs="Calibri Light"/>
          <w:sz w:val="22"/>
          <w:szCs w:val="22"/>
        </w:rPr>
      </w:pPr>
      <w:r w:rsidRPr="00F01F3A">
        <w:rPr>
          <w:rFonts w:ascii="Calibri" w:hAnsi="Calibri" w:cs="Calibri Light"/>
          <w:sz w:val="22"/>
          <w:szCs w:val="22"/>
        </w:rPr>
        <w:t>The number of each test type conducted</w:t>
      </w:r>
    </w:p>
    <w:p w14:paraId="20236F11" w14:textId="77777777" w:rsidR="008F4180" w:rsidRPr="00F01F3A" w:rsidRDefault="008F4180" w:rsidP="006B1B31">
      <w:pPr>
        <w:tabs>
          <w:tab w:val="left" w:pos="1440"/>
        </w:tabs>
        <w:spacing w:before="60" w:after="120"/>
        <w:jc w:val="both"/>
        <w:rPr>
          <w:rFonts w:ascii="Calibri" w:hAnsi="Calibri" w:cs="Calibri Light"/>
          <w:sz w:val="22"/>
          <w:szCs w:val="22"/>
        </w:rPr>
      </w:pPr>
      <w:r w:rsidRPr="00F01F3A">
        <w:rPr>
          <w:rFonts w:ascii="Calibri" w:hAnsi="Calibri" w:cs="Calibri Light"/>
          <w:sz w:val="22"/>
          <w:szCs w:val="22"/>
        </w:rPr>
        <w:t xml:space="preserve">The number of patient visits (by healthcare level) prior to diagnosis </w:t>
      </w:r>
    </w:p>
    <w:p w14:paraId="0A68980D" w14:textId="77777777" w:rsidR="008F4180" w:rsidRPr="00F01F3A" w:rsidRDefault="008F4180" w:rsidP="006B1B31">
      <w:pPr>
        <w:tabs>
          <w:tab w:val="left" w:pos="1440"/>
        </w:tabs>
        <w:spacing w:before="60" w:after="120"/>
        <w:jc w:val="both"/>
        <w:rPr>
          <w:rFonts w:ascii="Calibri" w:hAnsi="Calibri" w:cs="Calibri Light"/>
          <w:sz w:val="22"/>
          <w:szCs w:val="22"/>
        </w:rPr>
      </w:pPr>
      <w:r w:rsidRPr="00F01F3A">
        <w:rPr>
          <w:rFonts w:ascii="Calibri" w:hAnsi="Calibri" w:cs="Calibri Light"/>
          <w:sz w:val="22"/>
          <w:szCs w:val="22"/>
        </w:rPr>
        <w:t>Number of individuals lost to follow-up prior to final diagnosis</w:t>
      </w:r>
    </w:p>
    <w:p w14:paraId="699DD907" w14:textId="77777777" w:rsidR="008F4180" w:rsidRPr="00F01F3A" w:rsidRDefault="008F4180" w:rsidP="006B1B31">
      <w:pPr>
        <w:tabs>
          <w:tab w:val="left" w:pos="1440"/>
        </w:tabs>
        <w:spacing w:before="60" w:after="120"/>
        <w:jc w:val="both"/>
        <w:rPr>
          <w:rFonts w:ascii="Calibri" w:hAnsi="Calibri" w:cs="Calibri Light"/>
          <w:sz w:val="22"/>
          <w:szCs w:val="22"/>
        </w:rPr>
      </w:pPr>
      <w:r w:rsidRPr="00F01F3A">
        <w:rPr>
          <w:rFonts w:ascii="Calibri" w:hAnsi="Calibri" w:cs="Calibri Light"/>
          <w:sz w:val="22"/>
          <w:szCs w:val="22"/>
        </w:rPr>
        <w:t>Additional: Disability-adjusted life-years (DALYs) averted through linkage to treatment</w:t>
      </w:r>
    </w:p>
    <w:p w14:paraId="679BC51F" w14:textId="77777777"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t>Parameters required for the Chagas Diagnostic Algorithm application to be estimated through the main Performance Evaluation Study, as well as possible sources for parameters that are not collected through evaluation studies, are described in Table 1. Note that parameter values should be customized to represent the specific context and population of interest.</w:t>
      </w:r>
    </w:p>
    <w:p w14:paraId="5DE61F76" w14:textId="77777777" w:rsidR="008F4180" w:rsidRPr="00F01F3A" w:rsidRDefault="008F4180" w:rsidP="00F35ACD">
      <w:pPr>
        <w:pBdr>
          <w:top w:val="single" w:sz="4" w:space="1" w:color="auto"/>
          <w:left w:val="single" w:sz="4" w:space="1" w:color="auto"/>
          <w:bottom w:val="single" w:sz="4" w:space="1" w:color="auto"/>
          <w:right w:val="single" w:sz="4" w:space="1" w:color="auto"/>
        </w:pBdr>
        <w:shd w:val="clear" w:color="auto" w:fill="F2F2F2" w:themeFill="background1" w:themeFillShade="F2"/>
        <w:jc w:val="both"/>
        <w:rPr>
          <w:rFonts w:ascii="Calibri" w:hAnsi="Calibri" w:cs="Calibri Light"/>
          <w:sz w:val="22"/>
          <w:szCs w:val="22"/>
        </w:rPr>
      </w:pPr>
      <w:r w:rsidRPr="00F01F3A">
        <w:rPr>
          <w:rFonts w:ascii="Calibri" w:hAnsi="Calibri" w:cs="Calibri Light"/>
          <w:sz w:val="22"/>
          <w:szCs w:val="22"/>
        </w:rPr>
        <w:t xml:space="preserve">The end-point for this analysis is the confirmation of the final diagnosis and linkage to further care/treatment.  The downstream impact of treatment is not included. Should the </w:t>
      </w:r>
      <w:proofErr w:type="gramStart"/>
      <w:r w:rsidRPr="00F01F3A">
        <w:rPr>
          <w:rFonts w:ascii="Calibri" w:hAnsi="Calibri" w:cs="Calibri Light"/>
          <w:sz w:val="22"/>
          <w:szCs w:val="22"/>
        </w:rPr>
        <w:t>end-point</w:t>
      </w:r>
      <w:proofErr w:type="gramEnd"/>
      <w:r w:rsidRPr="00F01F3A">
        <w:rPr>
          <w:rFonts w:ascii="Calibri" w:hAnsi="Calibri" w:cs="Calibri Light"/>
          <w:sz w:val="22"/>
          <w:szCs w:val="22"/>
        </w:rPr>
        <w:t xml:space="preserve"> include treatment of those diagnosed with </w:t>
      </w:r>
      <w:proofErr w:type="spellStart"/>
      <w:proofErr w:type="gramStart"/>
      <w:r w:rsidRPr="00F01F3A">
        <w:rPr>
          <w:rFonts w:ascii="Calibri" w:hAnsi="Calibri" w:cs="Calibri Light"/>
          <w:i/>
          <w:iCs/>
          <w:sz w:val="22"/>
          <w:szCs w:val="22"/>
        </w:rPr>
        <w:t>T.cruzi</w:t>
      </w:r>
      <w:proofErr w:type="spellEnd"/>
      <w:proofErr w:type="gramEnd"/>
      <w:r w:rsidRPr="00F01F3A">
        <w:rPr>
          <w:rFonts w:ascii="Calibri" w:hAnsi="Calibri" w:cs="Calibri Light"/>
          <w:i/>
          <w:iCs/>
          <w:sz w:val="22"/>
          <w:szCs w:val="22"/>
        </w:rPr>
        <w:t xml:space="preserve"> </w:t>
      </w:r>
      <w:r w:rsidRPr="00F01F3A">
        <w:rPr>
          <w:rFonts w:ascii="Calibri" w:hAnsi="Calibri" w:cs="Calibri Light"/>
          <w:sz w:val="22"/>
          <w:szCs w:val="22"/>
        </w:rPr>
        <w:t xml:space="preserve">infection, additional parameters/data are </w:t>
      </w:r>
      <w:proofErr w:type="gramStart"/>
      <w:r w:rsidRPr="00F01F3A">
        <w:rPr>
          <w:rFonts w:ascii="Calibri" w:hAnsi="Calibri" w:cs="Calibri Light"/>
          <w:sz w:val="22"/>
          <w:szCs w:val="22"/>
        </w:rPr>
        <w:t>required</w:t>
      </w:r>
      <w:proofErr w:type="gramEnd"/>
      <w:r w:rsidRPr="00F01F3A">
        <w:rPr>
          <w:rFonts w:ascii="Calibri" w:hAnsi="Calibri" w:cs="Calibri Light"/>
          <w:sz w:val="22"/>
          <w:szCs w:val="22"/>
        </w:rPr>
        <w:t xml:space="preserve"> and an </w:t>
      </w:r>
      <w:r w:rsidRPr="00F01F3A">
        <w:rPr>
          <w:rFonts w:ascii="Calibri" w:hAnsi="Calibri" w:cs="Calibri Light"/>
          <w:sz w:val="22"/>
          <w:szCs w:val="22"/>
        </w:rPr>
        <w:lastRenderedPageBreak/>
        <w:t xml:space="preserve">additional model (e.g. Markov model) is necessary to evaluate the impact of treatment. For example, outputs on the number of cases linked to further care/treatment from the FIND Chagas Diagnostic Algorithm application can be used as inputs into a disease progression model or other to estimate the downstream impact. </w:t>
      </w:r>
    </w:p>
    <w:p w14:paraId="36A8F956" w14:textId="77777777" w:rsidR="006B1B31" w:rsidRPr="00F01F3A" w:rsidRDefault="006B1B31" w:rsidP="00F35ACD">
      <w:pPr>
        <w:jc w:val="both"/>
        <w:rPr>
          <w:rFonts w:ascii="Calibri" w:hAnsi="Calibri" w:cs="Calibri Light"/>
          <w:b/>
          <w:i/>
          <w:iCs/>
          <w:color w:val="2E74B5" w:themeColor="accent5" w:themeShade="BF"/>
          <w:sz w:val="22"/>
          <w:szCs w:val="22"/>
        </w:rPr>
      </w:pPr>
    </w:p>
    <w:p w14:paraId="6051CC9B" w14:textId="311C6AA0" w:rsidR="008F4180" w:rsidRPr="00F01F3A" w:rsidRDefault="008F4180" w:rsidP="00F35ACD">
      <w:pPr>
        <w:jc w:val="both"/>
        <w:rPr>
          <w:rFonts w:ascii="Calibri" w:hAnsi="Calibri" w:cs="Calibri Light"/>
          <w:b/>
          <w:bCs/>
          <w:i/>
          <w:iCs/>
          <w:color w:val="000000" w:themeColor="text1"/>
          <w:sz w:val="22"/>
          <w:szCs w:val="22"/>
        </w:rPr>
      </w:pPr>
      <w:r w:rsidRPr="00F01F3A">
        <w:rPr>
          <w:rFonts w:ascii="Calibri" w:hAnsi="Calibri" w:cs="Calibri Light"/>
          <w:b/>
          <w:i/>
          <w:iCs/>
          <w:color w:val="000000" w:themeColor="text1"/>
          <w:sz w:val="22"/>
          <w:szCs w:val="22"/>
        </w:rPr>
        <w:t>Table 1. Required parameters for CD diagnostic cascade model</w:t>
      </w:r>
    </w:p>
    <w:tbl>
      <w:tblPr>
        <w:tblStyle w:val="TableGrid"/>
        <w:tblW w:w="0" w:type="auto"/>
        <w:tblLook w:val="04A0" w:firstRow="1" w:lastRow="0" w:firstColumn="1" w:lastColumn="0" w:noHBand="0" w:noVBand="1"/>
      </w:tblPr>
      <w:tblGrid>
        <w:gridCol w:w="1778"/>
        <w:gridCol w:w="7572"/>
      </w:tblGrid>
      <w:tr w:rsidR="008F4180" w:rsidRPr="00F01F3A" w14:paraId="28AE6092" w14:textId="77777777" w:rsidTr="00B4448C">
        <w:tc>
          <w:tcPr>
            <w:tcW w:w="1778" w:type="dxa"/>
          </w:tcPr>
          <w:p w14:paraId="3D232EE0" w14:textId="77777777" w:rsidR="008F4180" w:rsidRPr="00F01F3A" w:rsidRDefault="008F4180" w:rsidP="00F35ACD">
            <w:pPr>
              <w:jc w:val="both"/>
              <w:rPr>
                <w:rFonts w:ascii="Calibri" w:eastAsia="Calibri Light" w:hAnsi="Calibri" w:cs="Calibri Light"/>
                <w:b/>
                <w:sz w:val="22"/>
                <w:szCs w:val="22"/>
                <w:lang w:val="en-US"/>
              </w:rPr>
            </w:pPr>
            <w:r w:rsidRPr="00F01F3A">
              <w:rPr>
                <w:rFonts w:ascii="Calibri" w:eastAsia="Calibri Light" w:hAnsi="Calibri" w:cs="Calibri Light"/>
                <w:b/>
                <w:sz w:val="22"/>
                <w:szCs w:val="22"/>
                <w:lang w:val="en-US"/>
              </w:rPr>
              <w:t>Cost category</w:t>
            </w:r>
          </w:p>
        </w:tc>
        <w:tc>
          <w:tcPr>
            <w:tcW w:w="7572" w:type="dxa"/>
          </w:tcPr>
          <w:p w14:paraId="09CA15AE" w14:textId="77777777" w:rsidR="008F4180" w:rsidRPr="00F01F3A" w:rsidRDefault="008F4180" w:rsidP="00F35ACD">
            <w:pPr>
              <w:jc w:val="both"/>
              <w:rPr>
                <w:rFonts w:ascii="Calibri" w:eastAsia="Calibri Light" w:hAnsi="Calibri" w:cs="Calibri Light"/>
                <w:b/>
                <w:sz w:val="22"/>
                <w:szCs w:val="22"/>
                <w:lang w:val="en-US"/>
              </w:rPr>
            </w:pPr>
            <w:r w:rsidRPr="00F01F3A">
              <w:rPr>
                <w:rFonts w:ascii="Calibri" w:eastAsia="Calibri Light" w:hAnsi="Calibri" w:cs="Calibri Light"/>
                <w:b/>
                <w:sz w:val="22"/>
                <w:szCs w:val="22"/>
                <w:lang w:val="en-US"/>
              </w:rPr>
              <w:t>Detail</w:t>
            </w:r>
          </w:p>
        </w:tc>
      </w:tr>
      <w:tr w:rsidR="008F4180" w:rsidRPr="00F01F3A" w14:paraId="66A45ED4" w14:textId="77777777" w:rsidTr="00B4448C">
        <w:tc>
          <w:tcPr>
            <w:tcW w:w="1778" w:type="dxa"/>
          </w:tcPr>
          <w:p w14:paraId="44BB88E5" w14:textId="77777777" w:rsidR="008F4180" w:rsidRPr="00F01F3A" w:rsidRDefault="008F4180" w:rsidP="00F35ACD">
            <w:pPr>
              <w:rPr>
                <w:rFonts w:ascii="Calibri" w:eastAsia="Calibri Light" w:hAnsi="Calibri" w:cs="Calibri Light"/>
                <w:sz w:val="22"/>
                <w:szCs w:val="22"/>
                <w:lang w:val="en-US"/>
              </w:rPr>
            </w:pPr>
            <w:r w:rsidRPr="00F01F3A">
              <w:rPr>
                <w:rFonts w:ascii="Calibri" w:eastAsia="Calibri Light" w:hAnsi="Calibri" w:cs="Calibri Light"/>
                <w:sz w:val="22"/>
                <w:szCs w:val="22"/>
                <w:lang w:val="en-US"/>
              </w:rPr>
              <w:t>Population</w:t>
            </w:r>
          </w:p>
        </w:tc>
        <w:tc>
          <w:tcPr>
            <w:tcW w:w="7572" w:type="dxa"/>
          </w:tcPr>
          <w:p w14:paraId="697F9A72" w14:textId="77777777" w:rsidR="008F4180" w:rsidRPr="00F01F3A" w:rsidRDefault="008F4180" w:rsidP="00F35ACD">
            <w:pPr>
              <w:rPr>
                <w:rFonts w:ascii="Calibri" w:hAnsi="Calibri" w:cs="Calibri Light"/>
                <w:sz w:val="22"/>
                <w:szCs w:val="22"/>
                <w:lang w:val="en-US"/>
              </w:rPr>
            </w:pPr>
            <w:r w:rsidRPr="00F01F3A">
              <w:rPr>
                <w:rFonts w:ascii="Calibri" w:eastAsia="Calibri" w:hAnsi="Calibri" w:cs="Calibri Light"/>
                <w:sz w:val="22"/>
                <w:szCs w:val="22"/>
                <w:lang w:val="en-US"/>
              </w:rPr>
              <w:t xml:space="preserve">Seroprevalence of </w:t>
            </w:r>
            <w:proofErr w:type="spellStart"/>
            <w:proofErr w:type="gramStart"/>
            <w:r w:rsidRPr="00F01F3A">
              <w:rPr>
                <w:rFonts w:ascii="Calibri" w:hAnsi="Calibri" w:cs="Calibri Light"/>
                <w:i/>
                <w:iCs/>
                <w:sz w:val="22"/>
                <w:szCs w:val="22"/>
                <w:lang w:val="en-US"/>
              </w:rPr>
              <w:t>T.cruzi</w:t>
            </w:r>
            <w:proofErr w:type="spellEnd"/>
            <w:proofErr w:type="gramEnd"/>
            <w:r w:rsidRPr="00F01F3A">
              <w:rPr>
                <w:rFonts w:ascii="Calibri" w:hAnsi="Calibri" w:cs="Calibri Light"/>
                <w:i/>
                <w:iCs/>
                <w:sz w:val="22"/>
                <w:szCs w:val="22"/>
                <w:lang w:val="en-US"/>
              </w:rPr>
              <w:t xml:space="preserve"> </w:t>
            </w:r>
            <w:r w:rsidRPr="00F01F3A">
              <w:rPr>
                <w:rFonts w:ascii="Calibri" w:hAnsi="Calibri" w:cs="Calibri Light"/>
                <w:sz w:val="22"/>
                <w:szCs w:val="22"/>
                <w:lang w:val="en-US"/>
              </w:rPr>
              <w:t>infection</w:t>
            </w:r>
            <w:r w:rsidRPr="00F01F3A">
              <w:rPr>
                <w:rFonts w:ascii="Calibri" w:eastAsia="Calibri" w:hAnsi="Calibri" w:cs="Calibri Light"/>
                <w:sz w:val="22"/>
                <w:szCs w:val="22"/>
                <w:lang w:val="en-US"/>
              </w:rPr>
              <w:t xml:space="preserve"> in population</w:t>
            </w:r>
            <w:r w:rsidRPr="007C5D3A">
              <w:rPr>
                <w:rStyle w:val="FootnoteReference"/>
              </w:rPr>
              <w:footnoteReference w:id="1"/>
            </w:r>
            <w:r w:rsidRPr="00F01F3A">
              <w:rPr>
                <w:rFonts w:ascii="Calibri" w:eastAsia="Calibri" w:hAnsi="Calibri" w:cs="Calibri Light"/>
                <w:sz w:val="22"/>
                <w:szCs w:val="22"/>
                <w:lang w:val="en-US"/>
              </w:rPr>
              <w:t xml:space="preserve"> being tested as part of this study (</w:t>
            </w:r>
            <w:r w:rsidRPr="00F01F3A">
              <w:rPr>
                <w:rFonts w:ascii="Calibri" w:hAnsi="Calibri" w:cs="Calibri Light"/>
                <w:sz w:val="22"/>
                <w:szCs w:val="22"/>
                <w:lang w:val="en-US"/>
              </w:rPr>
              <w:t xml:space="preserve">prospective evaluation of RDTs for </w:t>
            </w:r>
            <w:r w:rsidRPr="00F01F3A">
              <w:rPr>
                <w:rFonts w:ascii="Calibri" w:hAnsi="Calibri" w:cs="Calibri Light"/>
                <w:i/>
                <w:sz w:val="22"/>
                <w:szCs w:val="22"/>
                <w:lang w:val="en-US"/>
              </w:rPr>
              <w:t>Trypanosoma cruzi</w:t>
            </w:r>
            <w:r w:rsidRPr="00F01F3A">
              <w:rPr>
                <w:rFonts w:ascii="Calibri" w:hAnsi="Calibri" w:cs="Calibri Light"/>
                <w:sz w:val="22"/>
                <w:szCs w:val="22"/>
                <w:lang w:val="en-US"/>
              </w:rPr>
              <w:t xml:space="preserve"> infection in Setting X)</w:t>
            </w:r>
            <w:r w:rsidRPr="00F01F3A" w:rsidDel="00336498">
              <w:rPr>
                <w:rStyle w:val="Instructional"/>
                <w:rFonts w:ascii="Calibri" w:hAnsi="Calibri" w:cs="Calibri Light"/>
                <w:sz w:val="22"/>
                <w:szCs w:val="22"/>
                <w:lang w:val="en-US"/>
              </w:rPr>
              <w:t xml:space="preserve"> </w:t>
            </w:r>
          </w:p>
          <w:p w14:paraId="5F54FEC6" w14:textId="77777777" w:rsidR="008F4180" w:rsidRPr="00F01F3A" w:rsidRDefault="008F4180" w:rsidP="00F35ACD">
            <w:pPr>
              <w:rPr>
                <w:rFonts w:ascii="Calibri" w:eastAsia="Calibri" w:hAnsi="Calibri" w:cs="Calibri Light"/>
                <w:sz w:val="22"/>
                <w:szCs w:val="22"/>
                <w:lang w:val="en-US"/>
              </w:rPr>
            </w:pPr>
            <w:r w:rsidRPr="00F01F3A">
              <w:rPr>
                <w:rFonts w:ascii="Calibri" w:eastAsia="Calibri" w:hAnsi="Calibri" w:cs="Calibri Light"/>
                <w:sz w:val="22"/>
                <w:szCs w:val="22"/>
                <w:lang w:val="en-US"/>
              </w:rPr>
              <w:t>Socio-demographic characteristics of those being offered the test: age, sex, urban/rural, access to healthcare, level of education (as aligned with main protocol and the sub-analyses stipulated there).</w:t>
            </w:r>
          </w:p>
          <w:p w14:paraId="5ABED954" w14:textId="77777777" w:rsidR="008F4180" w:rsidRPr="00F01F3A" w:rsidRDefault="008F4180" w:rsidP="00F35ACD">
            <w:pPr>
              <w:rPr>
                <w:rFonts w:ascii="Calibri" w:eastAsia="Calibri" w:hAnsi="Calibri" w:cs="Calibri Light"/>
                <w:i/>
                <w:iCs/>
                <w:sz w:val="22"/>
                <w:szCs w:val="22"/>
                <w:lang w:val="en-US"/>
              </w:rPr>
            </w:pPr>
            <w:r w:rsidRPr="00F01F3A">
              <w:rPr>
                <w:rFonts w:ascii="Calibri" w:eastAsia="Calibri" w:hAnsi="Calibri" w:cs="Calibri Light"/>
                <w:i/>
                <w:iCs/>
                <w:sz w:val="22"/>
                <w:szCs w:val="22"/>
                <w:lang w:val="en-US"/>
              </w:rPr>
              <w:t>Source: surveillance data; recruitment participant data</w:t>
            </w:r>
          </w:p>
        </w:tc>
      </w:tr>
      <w:tr w:rsidR="008F4180" w:rsidRPr="00F01F3A" w14:paraId="32D69473" w14:textId="77777777" w:rsidTr="00B4448C">
        <w:tc>
          <w:tcPr>
            <w:tcW w:w="1778" w:type="dxa"/>
          </w:tcPr>
          <w:p w14:paraId="4AD6D9C2" w14:textId="77777777" w:rsidR="008F4180" w:rsidRPr="00F01F3A" w:rsidRDefault="008F4180" w:rsidP="00F35ACD">
            <w:pPr>
              <w:jc w:val="both"/>
              <w:rPr>
                <w:rFonts w:ascii="Calibri" w:eastAsia="Calibri Light" w:hAnsi="Calibri" w:cs="Calibri Light"/>
                <w:sz w:val="22"/>
                <w:szCs w:val="22"/>
                <w:lang w:val="en-US"/>
              </w:rPr>
            </w:pPr>
            <w:r w:rsidRPr="00F01F3A">
              <w:rPr>
                <w:rFonts w:ascii="Calibri" w:eastAsia="Calibri Light" w:hAnsi="Calibri" w:cs="Calibri Light"/>
                <w:sz w:val="22"/>
                <w:szCs w:val="22"/>
                <w:lang w:val="en-US"/>
              </w:rPr>
              <w:t>Test characteristics</w:t>
            </w:r>
          </w:p>
        </w:tc>
        <w:tc>
          <w:tcPr>
            <w:tcW w:w="7572" w:type="dxa"/>
          </w:tcPr>
          <w:p w14:paraId="2F6CD326" w14:textId="77777777" w:rsidR="008F4180" w:rsidRPr="00F01F3A" w:rsidRDefault="008F4180" w:rsidP="00F35ACD">
            <w:pPr>
              <w:rPr>
                <w:rFonts w:ascii="Calibri" w:eastAsia="Calibri Light" w:hAnsi="Calibri" w:cs="Calibri Light"/>
                <w:sz w:val="22"/>
                <w:szCs w:val="22"/>
                <w:lang w:val="en-US"/>
              </w:rPr>
            </w:pPr>
            <w:r w:rsidRPr="00F01F3A">
              <w:rPr>
                <w:rFonts w:ascii="Calibri" w:eastAsia="Calibri Light" w:hAnsi="Calibri" w:cs="Calibri Light"/>
                <w:sz w:val="22"/>
                <w:szCs w:val="22"/>
                <w:lang w:val="en-US"/>
              </w:rPr>
              <w:t>Test assay sensitivity, specificity</w:t>
            </w:r>
          </w:p>
          <w:p w14:paraId="7CED3351" w14:textId="77777777" w:rsidR="008F4180" w:rsidRPr="00F01F3A" w:rsidRDefault="008F4180" w:rsidP="00F35ACD">
            <w:pPr>
              <w:rPr>
                <w:rFonts w:ascii="Calibri" w:hAnsi="Calibri" w:cs="Calibri Light"/>
                <w:i/>
                <w:iCs/>
                <w:sz w:val="22"/>
                <w:szCs w:val="22"/>
                <w:lang w:val="en-US"/>
              </w:rPr>
            </w:pPr>
            <w:r w:rsidRPr="00F01F3A">
              <w:rPr>
                <w:rFonts w:ascii="Calibri" w:eastAsia="Calibri Light" w:hAnsi="Calibri" w:cs="Calibri Light"/>
                <w:i/>
                <w:iCs/>
                <w:sz w:val="22"/>
                <w:szCs w:val="22"/>
                <w:lang w:val="en-US"/>
              </w:rPr>
              <w:t xml:space="preserve">Source: literature/manufacturer specifications, </w:t>
            </w:r>
            <w:r w:rsidRPr="00F01F3A">
              <w:rPr>
                <w:rFonts w:ascii="Calibri" w:hAnsi="Calibri" w:cs="Calibri Light"/>
                <w:i/>
                <w:iCs/>
                <w:sz w:val="22"/>
                <w:szCs w:val="22"/>
                <w:lang w:val="en-US"/>
              </w:rPr>
              <w:t>performance evaluation study</w:t>
            </w:r>
            <w:r w:rsidRPr="00F01F3A">
              <w:rPr>
                <w:rFonts w:ascii="Calibri" w:eastAsia="Calibri Light" w:hAnsi="Calibri" w:cs="Calibri Light"/>
                <w:i/>
                <w:iCs/>
                <w:sz w:val="22"/>
                <w:szCs w:val="22"/>
                <w:lang w:val="en-US"/>
              </w:rPr>
              <w:t xml:space="preserve"> </w:t>
            </w:r>
          </w:p>
        </w:tc>
      </w:tr>
      <w:tr w:rsidR="008F4180" w:rsidRPr="00F01F3A" w14:paraId="16356DDD" w14:textId="77777777" w:rsidTr="00B4448C">
        <w:tc>
          <w:tcPr>
            <w:tcW w:w="1778" w:type="dxa"/>
          </w:tcPr>
          <w:p w14:paraId="6D09DA83" w14:textId="77777777" w:rsidR="008F4180" w:rsidRPr="00F01F3A" w:rsidRDefault="008F4180" w:rsidP="00F35ACD">
            <w:pPr>
              <w:rPr>
                <w:rFonts w:ascii="Calibri" w:eastAsia="Calibri Light" w:hAnsi="Calibri" w:cs="Calibri Light"/>
                <w:sz w:val="22"/>
                <w:szCs w:val="22"/>
                <w:lang w:val="en-US"/>
              </w:rPr>
            </w:pPr>
            <w:r w:rsidRPr="00F01F3A">
              <w:rPr>
                <w:rFonts w:ascii="Calibri" w:eastAsia="Calibri Light" w:hAnsi="Calibri" w:cs="Calibri Light"/>
                <w:sz w:val="22"/>
                <w:szCs w:val="22"/>
                <w:lang w:val="en-US"/>
              </w:rPr>
              <w:t>Linkage to further care/treatment</w:t>
            </w:r>
          </w:p>
        </w:tc>
        <w:tc>
          <w:tcPr>
            <w:tcW w:w="7572" w:type="dxa"/>
          </w:tcPr>
          <w:p w14:paraId="2E10D285" w14:textId="77777777" w:rsidR="008F4180" w:rsidRPr="00F01F3A" w:rsidRDefault="008F4180" w:rsidP="00F35ACD">
            <w:pPr>
              <w:rPr>
                <w:rFonts w:ascii="Calibri" w:eastAsia="Calibri" w:hAnsi="Calibri" w:cs="Calibri Light"/>
                <w:sz w:val="22"/>
                <w:szCs w:val="22"/>
                <w:lang w:val="en-US"/>
              </w:rPr>
            </w:pPr>
            <w:r w:rsidRPr="00F01F3A">
              <w:rPr>
                <w:rFonts w:ascii="Calibri" w:eastAsia="Calibri" w:hAnsi="Calibri" w:cs="Calibri Light"/>
                <w:sz w:val="22"/>
                <w:szCs w:val="22"/>
                <w:lang w:val="en-US"/>
              </w:rPr>
              <w:t xml:space="preserve">Probability linked to further care/treatment following a positive test result. This can differ depending on the setting where the final diagnosis is made, the target population and the availability of treatment at this healthcare level.  </w:t>
            </w:r>
          </w:p>
          <w:p w14:paraId="566906C4" w14:textId="77777777" w:rsidR="008F4180" w:rsidRPr="00F01F3A" w:rsidRDefault="008F4180" w:rsidP="00F35ACD">
            <w:pPr>
              <w:rPr>
                <w:rFonts w:ascii="Calibri" w:eastAsia="Calibri" w:hAnsi="Calibri" w:cs="Calibri Light"/>
                <w:i/>
                <w:iCs/>
                <w:sz w:val="22"/>
                <w:szCs w:val="22"/>
                <w:lang w:val="en-US"/>
              </w:rPr>
            </w:pPr>
            <w:r w:rsidRPr="00F01F3A">
              <w:rPr>
                <w:rFonts w:ascii="Calibri" w:hAnsi="Calibri" w:cs="Calibri Light"/>
                <w:i/>
                <w:iCs/>
                <w:sz w:val="22"/>
                <w:szCs w:val="22"/>
                <w:lang w:val="en-US"/>
              </w:rPr>
              <w:t>Source: literature</w:t>
            </w:r>
          </w:p>
        </w:tc>
      </w:tr>
      <w:tr w:rsidR="008F4180" w:rsidRPr="00F01F3A" w14:paraId="086F6A56" w14:textId="77777777" w:rsidTr="00B4448C">
        <w:tc>
          <w:tcPr>
            <w:tcW w:w="1778" w:type="dxa"/>
          </w:tcPr>
          <w:p w14:paraId="1AC476E7" w14:textId="77777777" w:rsidR="008F4180" w:rsidRPr="00F01F3A" w:rsidRDefault="008F4180" w:rsidP="00F35ACD">
            <w:pPr>
              <w:rPr>
                <w:rFonts w:ascii="Calibri" w:eastAsia="Calibri Light" w:hAnsi="Calibri" w:cs="Calibri Light"/>
                <w:sz w:val="22"/>
                <w:szCs w:val="22"/>
                <w:lang w:val="en-US"/>
              </w:rPr>
            </w:pPr>
            <w:r w:rsidRPr="00F01F3A">
              <w:rPr>
                <w:rFonts w:ascii="Calibri" w:eastAsia="Calibri Light" w:hAnsi="Calibri" w:cs="Calibri Light"/>
                <w:sz w:val="22"/>
                <w:szCs w:val="22"/>
                <w:lang w:val="en-US"/>
              </w:rPr>
              <w:t>Loss to follow-up</w:t>
            </w:r>
          </w:p>
        </w:tc>
        <w:tc>
          <w:tcPr>
            <w:tcW w:w="7572" w:type="dxa"/>
          </w:tcPr>
          <w:p w14:paraId="7E12378F" w14:textId="77777777" w:rsidR="008F4180" w:rsidRPr="00F01F3A" w:rsidRDefault="008F4180" w:rsidP="00F35ACD">
            <w:pPr>
              <w:rPr>
                <w:rFonts w:ascii="Calibri" w:eastAsia="Calibri" w:hAnsi="Calibri" w:cs="Calibri Light"/>
                <w:sz w:val="22"/>
                <w:szCs w:val="22"/>
                <w:lang w:val="en-US"/>
              </w:rPr>
            </w:pPr>
            <w:r w:rsidRPr="00F01F3A">
              <w:rPr>
                <w:rFonts w:ascii="Calibri" w:eastAsia="Calibri" w:hAnsi="Calibri" w:cs="Calibri Light"/>
                <w:sz w:val="22"/>
                <w:szCs w:val="22"/>
                <w:lang w:val="en-US"/>
              </w:rPr>
              <w:t>Loss to follow-up in the diagnostic cascade occurs whenever a patient has to return for a subsequent visit prior to the final diagnosis confirmation or where a sample has to be transported to another facility for processing and testing. It is the percent of the population seeking care who are unlikely to return for an additional visit – alternatively, the probability that a sample is lost between collection and testing.</w:t>
            </w:r>
          </w:p>
          <w:p w14:paraId="1BEA5945" w14:textId="77777777" w:rsidR="008F4180" w:rsidRPr="00F01F3A" w:rsidRDefault="008F4180" w:rsidP="00F35ACD">
            <w:pPr>
              <w:rPr>
                <w:rFonts w:ascii="Calibri" w:hAnsi="Calibri"/>
                <w:sz w:val="22"/>
                <w:szCs w:val="22"/>
                <w:lang w:val="en-US"/>
              </w:rPr>
            </w:pPr>
            <w:r w:rsidRPr="00F01F3A">
              <w:rPr>
                <w:rFonts w:ascii="Calibri" w:hAnsi="Calibri"/>
                <w:i/>
                <w:sz w:val="22"/>
                <w:szCs w:val="22"/>
                <w:lang w:val="en-US"/>
              </w:rPr>
              <w:t xml:space="preserve">Source: literature, National surveillance system, as per defined standard </w:t>
            </w:r>
            <w:proofErr w:type="gramStart"/>
            <w:r w:rsidRPr="00F01F3A">
              <w:rPr>
                <w:rFonts w:ascii="Calibri" w:hAnsi="Calibri"/>
                <w:i/>
                <w:sz w:val="22"/>
                <w:szCs w:val="22"/>
                <w:lang w:val="en-US"/>
              </w:rPr>
              <w:t>definitions :</w:t>
            </w:r>
            <w:proofErr w:type="gramEnd"/>
            <w:r w:rsidRPr="00F01F3A">
              <w:rPr>
                <w:rFonts w:ascii="Calibri" w:hAnsi="Calibri"/>
                <w:i/>
                <w:sz w:val="22"/>
                <w:szCs w:val="22"/>
                <w:lang w:val="en-US"/>
              </w:rPr>
              <w:t xml:space="preserve"> for example – no contact for more than 30 days.</w:t>
            </w:r>
          </w:p>
        </w:tc>
      </w:tr>
      <w:tr w:rsidR="008F4180" w:rsidRPr="00F01F3A" w14:paraId="4C0B6150" w14:textId="77777777" w:rsidTr="00B4448C">
        <w:tc>
          <w:tcPr>
            <w:tcW w:w="1778" w:type="dxa"/>
          </w:tcPr>
          <w:p w14:paraId="354F168C" w14:textId="77777777" w:rsidR="008F4180" w:rsidRPr="00F01F3A" w:rsidRDefault="008F4180" w:rsidP="00F35ACD">
            <w:pPr>
              <w:rPr>
                <w:rFonts w:ascii="Calibri" w:eastAsia="Calibri Light" w:hAnsi="Calibri" w:cs="Calibri Light"/>
                <w:sz w:val="22"/>
                <w:szCs w:val="22"/>
                <w:lang w:val="en-US"/>
              </w:rPr>
            </w:pPr>
            <w:r w:rsidRPr="00F01F3A">
              <w:rPr>
                <w:rFonts w:ascii="Calibri" w:eastAsia="Calibri Light" w:hAnsi="Calibri" w:cs="Calibri Light"/>
                <w:sz w:val="22"/>
                <w:szCs w:val="22"/>
                <w:lang w:val="en-US"/>
              </w:rPr>
              <w:t>Access</w:t>
            </w:r>
          </w:p>
        </w:tc>
        <w:tc>
          <w:tcPr>
            <w:tcW w:w="7572" w:type="dxa"/>
          </w:tcPr>
          <w:p w14:paraId="3620C044" w14:textId="77777777" w:rsidR="008F4180" w:rsidRPr="00F01F3A" w:rsidRDefault="008F4180" w:rsidP="00F35ACD">
            <w:pPr>
              <w:rPr>
                <w:rFonts w:ascii="Calibri" w:hAnsi="Calibri" w:cs="Calibri Light"/>
                <w:sz w:val="22"/>
                <w:szCs w:val="22"/>
                <w:lang w:val="en-US"/>
              </w:rPr>
            </w:pPr>
            <w:r w:rsidRPr="00F01F3A">
              <w:rPr>
                <w:rFonts w:ascii="Calibri" w:hAnsi="Calibri" w:cs="Calibri Light"/>
                <w:sz w:val="22"/>
                <w:szCs w:val="22"/>
                <w:lang w:val="en-US"/>
              </w:rPr>
              <w:t xml:space="preserve">Estimated increase in the population who will be able to access testing (for example, due to decentralized RDT testing). </w:t>
            </w:r>
          </w:p>
          <w:p w14:paraId="217CCE84" w14:textId="77777777" w:rsidR="008F4180" w:rsidRPr="00F01F3A" w:rsidRDefault="008F4180" w:rsidP="00F35ACD">
            <w:pPr>
              <w:rPr>
                <w:rFonts w:ascii="Calibri" w:eastAsia="Calibri" w:hAnsi="Calibri" w:cs="Calibri Light"/>
                <w:i/>
                <w:iCs/>
                <w:sz w:val="22"/>
                <w:szCs w:val="22"/>
                <w:lang w:val="en-US"/>
              </w:rPr>
            </w:pPr>
            <w:r w:rsidRPr="00F01F3A">
              <w:rPr>
                <w:rFonts w:ascii="Calibri" w:hAnsi="Calibri" w:cs="Calibri Light"/>
                <w:i/>
                <w:iCs/>
                <w:sz w:val="22"/>
                <w:szCs w:val="22"/>
                <w:lang w:val="en-US"/>
              </w:rPr>
              <w:t>Source:</w:t>
            </w:r>
            <w:r w:rsidRPr="00F01F3A">
              <w:rPr>
                <w:rFonts w:ascii="Calibri" w:eastAsia="Calibri" w:hAnsi="Calibri" w:cs="Calibri Light"/>
                <w:i/>
                <w:iCs/>
                <w:sz w:val="22"/>
                <w:szCs w:val="22"/>
                <w:lang w:val="en-US"/>
              </w:rPr>
              <w:t xml:space="preserve"> literature, to be varied in a sensitivity analysis</w:t>
            </w:r>
          </w:p>
        </w:tc>
      </w:tr>
      <w:tr w:rsidR="008F4180" w:rsidRPr="00F01F3A" w14:paraId="754A4599" w14:textId="77777777" w:rsidTr="00B4448C">
        <w:tc>
          <w:tcPr>
            <w:tcW w:w="1778" w:type="dxa"/>
          </w:tcPr>
          <w:p w14:paraId="6BA11F37" w14:textId="77777777" w:rsidR="008F4180" w:rsidRPr="00F01F3A" w:rsidRDefault="008F4180" w:rsidP="00F35ACD">
            <w:pPr>
              <w:rPr>
                <w:rFonts w:ascii="Calibri" w:eastAsia="Calibri Light" w:hAnsi="Calibri" w:cs="Calibri Light"/>
                <w:sz w:val="22"/>
                <w:szCs w:val="22"/>
                <w:lang w:val="en-US"/>
              </w:rPr>
            </w:pPr>
            <w:r w:rsidRPr="00F01F3A">
              <w:rPr>
                <w:rFonts w:ascii="Calibri" w:eastAsia="Calibri Light" w:hAnsi="Calibri" w:cs="Calibri Light"/>
                <w:sz w:val="22"/>
                <w:szCs w:val="22"/>
                <w:lang w:val="en-US"/>
              </w:rPr>
              <w:t>Error rates</w:t>
            </w:r>
          </w:p>
        </w:tc>
        <w:tc>
          <w:tcPr>
            <w:tcW w:w="7572" w:type="dxa"/>
          </w:tcPr>
          <w:p w14:paraId="1F376310" w14:textId="77777777" w:rsidR="008F4180" w:rsidRPr="00F01F3A" w:rsidRDefault="008F4180" w:rsidP="00F35ACD">
            <w:pPr>
              <w:rPr>
                <w:rFonts w:ascii="Calibri" w:hAnsi="Calibri" w:cs="Calibri Light"/>
                <w:sz w:val="22"/>
                <w:szCs w:val="22"/>
                <w:lang w:val="en-US"/>
              </w:rPr>
            </w:pPr>
            <w:r w:rsidRPr="00F01F3A">
              <w:rPr>
                <w:rFonts w:ascii="Calibri" w:hAnsi="Calibri" w:cs="Calibri Light"/>
                <w:sz w:val="22"/>
                <w:szCs w:val="22"/>
                <w:lang w:val="en-US"/>
              </w:rPr>
              <w:t>Proportion of test results that are expected to be invalid/indeterminate (and require a second test of that test type)</w:t>
            </w:r>
          </w:p>
          <w:p w14:paraId="2AE02DD0" w14:textId="77777777" w:rsidR="008F4180" w:rsidRPr="00F01F3A" w:rsidRDefault="008F4180" w:rsidP="00F35ACD">
            <w:pPr>
              <w:rPr>
                <w:rFonts w:ascii="Calibri" w:hAnsi="Calibri" w:cs="Calibri Light"/>
                <w:sz w:val="22"/>
                <w:szCs w:val="22"/>
                <w:lang w:val="en-US"/>
              </w:rPr>
            </w:pPr>
            <w:r w:rsidRPr="00F01F3A">
              <w:rPr>
                <w:rFonts w:ascii="Calibri" w:hAnsi="Calibri" w:cs="Calibri Light"/>
                <w:i/>
                <w:iCs/>
                <w:sz w:val="22"/>
                <w:szCs w:val="22"/>
                <w:lang w:val="en-US"/>
              </w:rPr>
              <w:t>Source: performance evaluation study, manufacturer specifications</w:t>
            </w:r>
          </w:p>
        </w:tc>
      </w:tr>
    </w:tbl>
    <w:p w14:paraId="4658C45D" w14:textId="77777777" w:rsidR="006B1B31" w:rsidRPr="00F01F3A" w:rsidRDefault="006B1B31" w:rsidP="006B1B31">
      <w:pPr>
        <w:rPr>
          <w:b/>
        </w:rPr>
      </w:pPr>
    </w:p>
    <w:p w14:paraId="3D5CF1E6" w14:textId="104F1EAE" w:rsidR="008F4180" w:rsidRPr="00F01F3A" w:rsidRDefault="008F4180" w:rsidP="006B1B31">
      <w:pPr>
        <w:rPr>
          <w:b/>
        </w:rPr>
      </w:pPr>
      <w:r w:rsidRPr="00F01F3A">
        <w:rPr>
          <w:b/>
        </w:rPr>
        <w:t>Cost analysis</w:t>
      </w:r>
    </w:p>
    <w:p w14:paraId="31B8CD03" w14:textId="77777777"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t xml:space="preserve">The fully loaded testing cost per individual tested for </w:t>
      </w:r>
      <w:proofErr w:type="spellStart"/>
      <w:proofErr w:type="gramStart"/>
      <w:r w:rsidRPr="00F01F3A">
        <w:rPr>
          <w:rFonts w:ascii="Calibri" w:hAnsi="Calibri" w:cs="Calibri Light"/>
          <w:i/>
          <w:iCs/>
          <w:sz w:val="22"/>
          <w:szCs w:val="22"/>
        </w:rPr>
        <w:t>T.cruzi</w:t>
      </w:r>
      <w:proofErr w:type="spellEnd"/>
      <w:proofErr w:type="gramEnd"/>
      <w:r w:rsidRPr="00F01F3A">
        <w:rPr>
          <w:rFonts w:ascii="Calibri" w:hAnsi="Calibri" w:cs="Calibri Light"/>
          <w:i/>
          <w:iCs/>
          <w:sz w:val="22"/>
          <w:szCs w:val="22"/>
        </w:rPr>
        <w:t xml:space="preserve"> </w:t>
      </w:r>
      <w:r w:rsidRPr="00F01F3A">
        <w:rPr>
          <w:rFonts w:ascii="Calibri" w:hAnsi="Calibri" w:cs="Calibri Light"/>
          <w:sz w:val="22"/>
          <w:szCs w:val="22"/>
        </w:rPr>
        <w:t xml:space="preserve">infection will be estimated for the intervention (the novel testing algorithms) and the standard of care. An ingredients-based approach will be used to identify and quantify all the inputs required to perform the respective test, as well as their estimated quantities and value. Costs will reflect both the </w:t>
      </w:r>
      <w:r w:rsidRPr="00F01F3A">
        <w:rPr>
          <w:rFonts w:ascii="Calibri" w:hAnsi="Calibri" w:cs="Calibri Light"/>
          <w:b/>
          <w:sz w:val="22"/>
          <w:szCs w:val="22"/>
        </w:rPr>
        <w:t>patient- and provider-perspective</w:t>
      </w:r>
      <w:r w:rsidRPr="00F01F3A">
        <w:rPr>
          <w:rFonts w:ascii="Calibri" w:hAnsi="Calibri" w:cs="Calibri Light"/>
          <w:sz w:val="22"/>
          <w:szCs w:val="22"/>
        </w:rPr>
        <w:t>. Costs will be estimated on a per test level, and on a per healthcare visit level for both the patient and the provider.</w:t>
      </w:r>
    </w:p>
    <w:p w14:paraId="199DB85F" w14:textId="102A1052" w:rsidR="008F4180" w:rsidRPr="00F01F3A" w:rsidRDefault="006B1B31" w:rsidP="006B1B31">
      <w:pPr>
        <w:tabs>
          <w:tab w:val="left" w:pos="1440"/>
        </w:tabs>
        <w:spacing w:before="60" w:after="120"/>
        <w:jc w:val="both"/>
        <w:rPr>
          <w:rFonts w:ascii="Calibri" w:hAnsi="Calibri" w:cs="Calibri Light"/>
          <w:color w:val="000000" w:themeColor="text1"/>
          <w:sz w:val="22"/>
          <w:szCs w:val="22"/>
        </w:rPr>
      </w:pPr>
      <w:r w:rsidRPr="00F01F3A">
        <w:rPr>
          <w:rFonts w:ascii="Calibri" w:hAnsi="Calibri" w:cs="Calibri Light"/>
          <w:b/>
          <w:i/>
          <w:color w:val="000000" w:themeColor="text1"/>
          <w:sz w:val="22"/>
          <w:szCs w:val="22"/>
        </w:rPr>
        <w:t xml:space="preserve">1) </w:t>
      </w:r>
      <w:r w:rsidR="008F4180" w:rsidRPr="00F01F3A">
        <w:rPr>
          <w:rFonts w:ascii="Calibri" w:hAnsi="Calibri" w:cs="Calibri Light"/>
          <w:b/>
          <w:i/>
          <w:color w:val="000000" w:themeColor="text1"/>
          <w:sz w:val="22"/>
          <w:szCs w:val="22"/>
        </w:rPr>
        <w:t>Test-level</w:t>
      </w:r>
      <w:r w:rsidR="008F4180" w:rsidRPr="00F01F3A">
        <w:rPr>
          <w:rFonts w:ascii="Calibri" w:hAnsi="Calibri" w:cs="Calibri Light"/>
          <w:color w:val="000000" w:themeColor="text1"/>
          <w:sz w:val="22"/>
          <w:szCs w:val="22"/>
        </w:rPr>
        <w:t xml:space="preserve">: This includes the cost of the test kit/reagents, equipment and consumables required to conduct a given test, cost to transport a sample, as well as the staff salary cost associated with time spent </w:t>
      </w:r>
      <w:r w:rsidR="008F4180" w:rsidRPr="00F01F3A">
        <w:rPr>
          <w:rFonts w:ascii="Calibri" w:hAnsi="Calibri" w:cs="Calibri Light"/>
          <w:color w:val="000000" w:themeColor="text1"/>
          <w:sz w:val="22"/>
          <w:szCs w:val="22"/>
        </w:rPr>
        <w:lastRenderedPageBreak/>
        <w:t xml:space="preserve">on sample collection, testing, and interpreting the test result by the relevant healthcare-worker cadre at different levels of care. Additional costs relating to training, quality assurance </w:t>
      </w:r>
      <w:proofErr w:type="spellStart"/>
      <w:r w:rsidR="008F4180" w:rsidRPr="00F01F3A">
        <w:rPr>
          <w:rFonts w:ascii="Calibri" w:hAnsi="Calibri" w:cs="Calibri Light"/>
          <w:color w:val="000000" w:themeColor="text1"/>
          <w:sz w:val="22"/>
          <w:szCs w:val="22"/>
        </w:rPr>
        <w:t>etc</w:t>
      </w:r>
      <w:proofErr w:type="spellEnd"/>
      <w:r w:rsidR="008F4180" w:rsidRPr="00F01F3A">
        <w:rPr>
          <w:rFonts w:ascii="Calibri" w:hAnsi="Calibri" w:cs="Calibri Light"/>
          <w:color w:val="000000" w:themeColor="text1"/>
          <w:sz w:val="22"/>
          <w:szCs w:val="22"/>
        </w:rPr>
        <w:t>, are detailed in Table 2 below and the accompanying workbook on data collection.</w:t>
      </w:r>
    </w:p>
    <w:p w14:paraId="52B6C48A" w14:textId="4F4F7900" w:rsidR="008F4180" w:rsidRPr="00F01F3A" w:rsidRDefault="006B1B31" w:rsidP="006B1B31">
      <w:pPr>
        <w:tabs>
          <w:tab w:val="left" w:pos="1440"/>
        </w:tabs>
        <w:spacing w:before="60" w:after="120"/>
        <w:jc w:val="both"/>
        <w:rPr>
          <w:rFonts w:ascii="Calibri" w:hAnsi="Calibri" w:cs="Calibri Light"/>
          <w:color w:val="000000" w:themeColor="text1"/>
          <w:sz w:val="22"/>
          <w:szCs w:val="22"/>
        </w:rPr>
      </w:pPr>
      <w:r w:rsidRPr="00F01F3A">
        <w:rPr>
          <w:rFonts w:ascii="Calibri" w:hAnsi="Calibri" w:cs="Calibri Light"/>
          <w:b/>
          <w:i/>
          <w:color w:val="000000" w:themeColor="text1"/>
          <w:sz w:val="22"/>
          <w:szCs w:val="22"/>
        </w:rPr>
        <w:t xml:space="preserve">2) </w:t>
      </w:r>
      <w:r w:rsidR="008F4180" w:rsidRPr="00F01F3A">
        <w:rPr>
          <w:rFonts w:ascii="Calibri" w:hAnsi="Calibri" w:cs="Calibri Light"/>
          <w:b/>
          <w:i/>
          <w:color w:val="000000" w:themeColor="text1"/>
          <w:sz w:val="22"/>
          <w:szCs w:val="22"/>
        </w:rPr>
        <w:t>Patient-level visit cost:</w:t>
      </w:r>
      <w:r w:rsidR="008F4180" w:rsidRPr="00F01F3A">
        <w:rPr>
          <w:rFonts w:ascii="Calibri" w:hAnsi="Calibri" w:cs="Calibri Light"/>
          <w:color w:val="000000" w:themeColor="text1"/>
          <w:sz w:val="22"/>
          <w:szCs w:val="22"/>
        </w:rPr>
        <w:t xml:space="preserve"> A patient-level visit cost will be assigned to the number of visits that it takes an individual to receive a diagnosis, by level of care accessed. This is the cost to the patient of visiting a healthcare </w:t>
      </w:r>
      <w:proofErr w:type="spellStart"/>
      <w:r w:rsidR="008F4180" w:rsidRPr="00F01F3A">
        <w:rPr>
          <w:rFonts w:ascii="Calibri" w:hAnsi="Calibri" w:cs="Calibri Light"/>
          <w:color w:val="000000" w:themeColor="text1"/>
          <w:sz w:val="22"/>
          <w:szCs w:val="22"/>
        </w:rPr>
        <w:t>centre</w:t>
      </w:r>
      <w:proofErr w:type="spellEnd"/>
      <w:r w:rsidR="008F4180" w:rsidRPr="00F01F3A">
        <w:rPr>
          <w:rFonts w:ascii="Calibri" w:hAnsi="Calibri" w:cs="Calibri Light"/>
          <w:color w:val="000000" w:themeColor="text1"/>
          <w:sz w:val="22"/>
          <w:szCs w:val="22"/>
        </w:rPr>
        <w:t xml:space="preserve"> and may include transportation, accommodation, food, and other non-medical out-of-pocket costs, as well as productivity loss costs associated with the time spent seeking care. The cost to the patient may differ depending on the level of the healthcare system that the patient accesses – for example, higher costs may be incurred to access high-complexity </w:t>
      </w:r>
      <w:proofErr w:type="spellStart"/>
      <w:r w:rsidR="008F4180" w:rsidRPr="00F01F3A">
        <w:rPr>
          <w:rFonts w:ascii="Calibri" w:hAnsi="Calibri" w:cs="Calibri Light"/>
          <w:color w:val="000000" w:themeColor="text1"/>
          <w:sz w:val="22"/>
          <w:szCs w:val="22"/>
        </w:rPr>
        <w:t>centres</w:t>
      </w:r>
      <w:proofErr w:type="spellEnd"/>
      <w:r w:rsidR="008F4180" w:rsidRPr="00F01F3A">
        <w:rPr>
          <w:rFonts w:ascii="Calibri" w:hAnsi="Calibri" w:cs="Calibri Light"/>
          <w:color w:val="000000" w:themeColor="text1"/>
          <w:sz w:val="22"/>
          <w:szCs w:val="22"/>
        </w:rPr>
        <w:t xml:space="preserve"> versus low-complexity </w:t>
      </w:r>
      <w:proofErr w:type="spellStart"/>
      <w:r w:rsidR="008F4180" w:rsidRPr="00F01F3A">
        <w:rPr>
          <w:rFonts w:ascii="Calibri" w:hAnsi="Calibri" w:cs="Calibri Light"/>
          <w:color w:val="000000" w:themeColor="text1"/>
          <w:sz w:val="22"/>
          <w:szCs w:val="22"/>
        </w:rPr>
        <w:t>centre</w:t>
      </w:r>
      <w:proofErr w:type="spellEnd"/>
      <w:r w:rsidR="008F4180" w:rsidRPr="00F01F3A">
        <w:rPr>
          <w:rFonts w:ascii="Calibri" w:hAnsi="Calibri" w:cs="Calibri Light"/>
          <w:color w:val="000000" w:themeColor="text1"/>
          <w:sz w:val="22"/>
          <w:szCs w:val="22"/>
        </w:rPr>
        <w:t xml:space="preserve">. These costs may be sourced from the literature or estimated as part of a separate study (see cost workbook for additional details). </w:t>
      </w:r>
    </w:p>
    <w:p w14:paraId="489ECC88" w14:textId="544FDA14" w:rsidR="008F4180" w:rsidRPr="00F01F3A" w:rsidRDefault="006B1B31" w:rsidP="006B1B31">
      <w:pPr>
        <w:tabs>
          <w:tab w:val="left" w:pos="1440"/>
        </w:tabs>
        <w:spacing w:before="60" w:after="120"/>
        <w:jc w:val="both"/>
        <w:rPr>
          <w:rFonts w:ascii="Calibri" w:hAnsi="Calibri" w:cs="Calibri Light"/>
          <w:sz w:val="22"/>
          <w:szCs w:val="22"/>
        </w:rPr>
      </w:pPr>
      <w:r w:rsidRPr="00F01F3A">
        <w:rPr>
          <w:rFonts w:ascii="Calibri" w:hAnsi="Calibri" w:cs="Calibri Light"/>
          <w:b/>
          <w:i/>
          <w:iCs/>
          <w:color w:val="000000" w:themeColor="text1"/>
          <w:sz w:val="22"/>
          <w:szCs w:val="22"/>
        </w:rPr>
        <w:t xml:space="preserve">3) </w:t>
      </w:r>
      <w:r w:rsidR="008F4180" w:rsidRPr="00F01F3A">
        <w:rPr>
          <w:rFonts w:ascii="Calibri" w:hAnsi="Calibri" w:cs="Calibri Light"/>
          <w:b/>
          <w:i/>
          <w:iCs/>
          <w:color w:val="000000" w:themeColor="text1"/>
          <w:sz w:val="22"/>
          <w:szCs w:val="22"/>
        </w:rPr>
        <w:t>Provider-level outpatient visit cost</w:t>
      </w:r>
      <w:r w:rsidR="008F4180" w:rsidRPr="00F01F3A">
        <w:rPr>
          <w:rFonts w:ascii="Calibri" w:hAnsi="Calibri" w:cs="Calibri Light"/>
          <w:color w:val="000000" w:themeColor="text1"/>
          <w:sz w:val="22"/>
          <w:szCs w:val="22"/>
        </w:rPr>
        <w:t>: An outpatient visit cost is the overhead cost borne by the healt</w:t>
      </w:r>
      <w:r w:rsidR="008F4180" w:rsidRPr="00F01F3A">
        <w:rPr>
          <w:rFonts w:ascii="Calibri" w:hAnsi="Calibri" w:cs="Calibri Light"/>
          <w:sz w:val="22"/>
          <w:szCs w:val="22"/>
        </w:rPr>
        <w:t xml:space="preserve">h care system associated with a patient visit. The cost is differentiated by the different levels of the healthcare system where the individual is seeking care and receiving testing: e.g. low complexity </w:t>
      </w:r>
      <w:proofErr w:type="spellStart"/>
      <w:r w:rsidR="008F4180" w:rsidRPr="00F01F3A">
        <w:rPr>
          <w:rFonts w:ascii="Calibri" w:hAnsi="Calibri" w:cs="Calibri Light"/>
          <w:sz w:val="22"/>
          <w:szCs w:val="22"/>
        </w:rPr>
        <w:t>centres</w:t>
      </w:r>
      <w:proofErr w:type="spellEnd"/>
      <w:r w:rsidR="008F4180" w:rsidRPr="00F01F3A">
        <w:rPr>
          <w:rFonts w:ascii="Calibri" w:hAnsi="Calibri" w:cs="Calibri Light"/>
          <w:sz w:val="22"/>
          <w:szCs w:val="22"/>
        </w:rPr>
        <w:t xml:space="preserve"> versus high complexity </w:t>
      </w:r>
      <w:proofErr w:type="spellStart"/>
      <w:r w:rsidR="008F4180" w:rsidRPr="00F01F3A">
        <w:rPr>
          <w:rFonts w:ascii="Calibri" w:hAnsi="Calibri" w:cs="Calibri Light"/>
          <w:sz w:val="22"/>
          <w:szCs w:val="22"/>
        </w:rPr>
        <w:t>centres</w:t>
      </w:r>
      <w:proofErr w:type="spellEnd"/>
      <w:r w:rsidR="008F4180" w:rsidRPr="00F01F3A">
        <w:rPr>
          <w:rFonts w:ascii="Calibri" w:hAnsi="Calibri" w:cs="Calibri Light"/>
          <w:sz w:val="22"/>
          <w:szCs w:val="22"/>
        </w:rPr>
        <w:t xml:space="preserve">. The cost includes overhead costs such as utilities, infrastructure/space costs, staff overhead costs etc. and can be collected as part of the study or estimated using the literature. </w:t>
      </w:r>
    </w:p>
    <w:p w14:paraId="0F19548D" w14:textId="77777777"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t xml:space="preserve">The cost collection workbook details the key input cost categories: staff, test consumables, test equipment, overhead costs, and transport, and visit costs to the patient and the provider. The per-test costs include all costs related to specimen collection, sample processing and analysis, data management and result delivery. Resource use will be determined through interviews with individuals involved in the implementation of the performance evaluation study in Setting X. All costs will be reported in YEAR USD and converted using standard market rates from the local currency in Setting X. All capital costs will be annuitized and discounted using the discount rate most appropriate for Setting X. </w:t>
      </w:r>
    </w:p>
    <w:p w14:paraId="42F1E1E4" w14:textId="77777777" w:rsidR="006B1B31" w:rsidRPr="00F01F3A" w:rsidRDefault="006B1B31" w:rsidP="006B1B31">
      <w:pPr>
        <w:rPr>
          <w:b/>
        </w:rPr>
      </w:pPr>
    </w:p>
    <w:p w14:paraId="59CD6237" w14:textId="1CDC1A83" w:rsidR="008F4180" w:rsidRPr="00F01F3A" w:rsidRDefault="008F4180" w:rsidP="006B1B31">
      <w:pPr>
        <w:rPr>
          <w:b/>
        </w:rPr>
      </w:pPr>
      <w:r w:rsidRPr="00F01F3A">
        <w:rPr>
          <w:b/>
        </w:rPr>
        <w:t>Cost-effectiveness analysis</w:t>
      </w:r>
    </w:p>
    <w:p w14:paraId="373DAC47" w14:textId="77777777"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t xml:space="preserve">Costs, as described above, will be assigned to resource outputs (number of tests by type and location of testing, and number of individual visits before diagnosis by location) from the key outcomes of the different diagnostic algorithms (the standard of care and the intervention). Effectiveness outcomes (as described above in section A) such as the number of true positive and true negative cases, as well as the number of positive individuals linked to further care/treatment will be used to calculate the </w:t>
      </w:r>
      <w:r w:rsidRPr="00F01F3A">
        <w:rPr>
          <w:rFonts w:ascii="Calibri" w:hAnsi="Calibri" w:cs="Calibri Light"/>
          <w:b/>
          <w:sz w:val="22"/>
          <w:szCs w:val="22"/>
        </w:rPr>
        <w:t>cost per correct diagnosis</w:t>
      </w:r>
      <w:r w:rsidRPr="00F01F3A">
        <w:rPr>
          <w:rFonts w:ascii="Calibri" w:hAnsi="Calibri" w:cs="Calibri Light"/>
          <w:sz w:val="22"/>
          <w:szCs w:val="22"/>
        </w:rPr>
        <w:t xml:space="preserve"> and the </w:t>
      </w:r>
      <w:r w:rsidRPr="00F01F3A">
        <w:rPr>
          <w:rFonts w:ascii="Calibri" w:hAnsi="Calibri" w:cs="Calibri Light"/>
          <w:b/>
          <w:sz w:val="22"/>
          <w:szCs w:val="22"/>
        </w:rPr>
        <w:t>cost per positive case linked to further care and treatment</w:t>
      </w:r>
      <w:r w:rsidRPr="00F01F3A">
        <w:rPr>
          <w:rFonts w:ascii="Calibri" w:hAnsi="Calibri" w:cs="Calibri Light"/>
          <w:sz w:val="22"/>
          <w:szCs w:val="22"/>
        </w:rPr>
        <w:t xml:space="preserve"> for the different algorithms. The costs and the outcomes for each algorithm can then be used to calculate the incremental cost-effectiveness ratios (ICER) for each diagnostic algorithm, which compares the additional cost of one algorithm relative to the next least costly algorithm, or the standard of care. The ICER will identify the most efficient algorithm or the one that provides the greatest value for money. This formula is depicted below for </w:t>
      </w:r>
      <w:proofErr w:type="spellStart"/>
      <w:r w:rsidRPr="00F01F3A">
        <w:rPr>
          <w:rFonts w:ascii="Calibri" w:hAnsi="Calibri" w:cs="Calibri Light"/>
          <w:sz w:val="22"/>
          <w:szCs w:val="22"/>
        </w:rPr>
        <w:t>Outcome</w:t>
      </w:r>
      <w:r w:rsidRPr="00F01F3A">
        <w:rPr>
          <w:rFonts w:ascii="Calibri" w:hAnsi="Calibri" w:cs="Calibri Light"/>
          <w:sz w:val="22"/>
          <w:szCs w:val="22"/>
          <w:vertAlign w:val="superscript"/>
        </w:rPr>
        <w:t>i</w:t>
      </w:r>
      <w:proofErr w:type="spellEnd"/>
      <w:r w:rsidRPr="00F01F3A">
        <w:rPr>
          <w:rFonts w:ascii="Calibri" w:hAnsi="Calibri" w:cs="Calibri Light"/>
          <w:sz w:val="22"/>
          <w:szCs w:val="22"/>
          <w:vertAlign w:val="superscript"/>
        </w:rPr>
        <w:t xml:space="preserve"> </w:t>
      </w:r>
      <w:r w:rsidRPr="00F01F3A">
        <w:rPr>
          <w:rFonts w:ascii="Calibri" w:hAnsi="Calibri" w:cs="Calibri Light"/>
          <w:sz w:val="22"/>
          <w:szCs w:val="22"/>
        </w:rPr>
        <w:t>- correct diagnosis, or a positive case linked to further care and treatment.</w:t>
      </w:r>
    </w:p>
    <w:p w14:paraId="5406E088" w14:textId="77777777" w:rsidR="008F4180" w:rsidRPr="00F01F3A" w:rsidRDefault="008F4180" w:rsidP="00F35ACD">
      <w:pPr>
        <w:jc w:val="both"/>
        <w:rPr>
          <w:rFonts w:ascii="Calibri" w:hAnsi="Calibri" w:cs="Calibri Light"/>
          <w:sz w:val="22"/>
          <w:szCs w:val="22"/>
        </w:rPr>
      </w:pPr>
      <m:oMathPara>
        <m:oMath>
          <m:r>
            <w:rPr>
              <w:rFonts w:ascii="Cambria Math" w:hAnsi="Cambria Math" w:cs="Calibri Light"/>
              <w:sz w:val="22"/>
              <w:szCs w:val="22"/>
            </w:rPr>
            <m:t>ICER=</m:t>
          </m:r>
          <m:f>
            <m:fPr>
              <m:ctrlPr>
                <w:rPr>
                  <w:rFonts w:ascii="Cambria Math" w:hAnsi="Cambria Math" w:cs="Calibri Light"/>
                  <w:i/>
                  <w:sz w:val="22"/>
                  <w:szCs w:val="22"/>
                </w:rPr>
              </m:ctrlPr>
            </m:fPr>
            <m:num>
              <m:sSubSup>
                <m:sSubSupPr>
                  <m:ctrlPr>
                    <w:rPr>
                      <w:rFonts w:ascii="Cambria Math" w:hAnsi="Cambria Math" w:cs="Calibri Light"/>
                      <w:i/>
                      <w:sz w:val="22"/>
                      <w:szCs w:val="22"/>
                    </w:rPr>
                  </m:ctrlPr>
                </m:sSubSupPr>
                <m:e>
                  <m:r>
                    <w:rPr>
                      <w:rFonts w:ascii="Cambria Math" w:hAnsi="Cambria Math" w:cs="Calibri Light"/>
                      <w:sz w:val="22"/>
                      <w:szCs w:val="22"/>
                    </w:rPr>
                    <m:t>Costs</m:t>
                  </m:r>
                </m:e>
                <m:sub>
                  <m:r>
                    <w:rPr>
                      <w:rFonts w:ascii="Cambria Math" w:hAnsi="Cambria Math" w:cs="Calibri Light"/>
                      <w:sz w:val="22"/>
                      <w:szCs w:val="22"/>
                    </w:rPr>
                    <m:t>ITV</m:t>
                  </m:r>
                </m:sub>
                <m:sup>
                  <m:r>
                    <w:rPr>
                      <w:rFonts w:ascii="Cambria Math" w:hAnsi="Cambria Math" w:cs="Calibri Light"/>
                      <w:sz w:val="22"/>
                      <w:szCs w:val="22"/>
                    </w:rPr>
                    <m:t>i</m:t>
                  </m:r>
                </m:sup>
              </m:sSubSup>
              <m:r>
                <w:rPr>
                  <w:rFonts w:ascii="Cambria Math" w:hAnsi="Cambria Math" w:cs="Calibri Light"/>
                  <w:sz w:val="22"/>
                  <w:szCs w:val="22"/>
                </w:rPr>
                <m:t>-</m:t>
              </m:r>
              <m:sSubSup>
                <m:sSubSupPr>
                  <m:ctrlPr>
                    <w:rPr>
                      <w:rFonts w:ascii="Cambria Math" w:hAnsi="Cambria Math" w:cs="Calibri Light"/>
                      <w:i/>
                      <w:sz w:val="22"/>
                      <w:szCs w:val="22"/>
                    </w:rPr>
                  </m:ctrlPr>
                </m:sSubSupPr>
                <m:e>
                  <m:r>
                    <w:rPr>
                      <w:rFonts w:ascii="Cambria Math" w:hAnsi="Cambria Math" w:cs="Calibri Light"/>
                      <w:sz w:val="22"/>
                      <w:szCs w:val="22"/>
                    </w:rPr>
                    <m:t>Costs</m:t>
                  </m:r>
                </m:e>
                <m:sub>
                  <m:r>
                    <w:rPr>
                      <w:rFonts w:ascii="Cambria Math" w:hAnsi="Cambria Math" w:cs="Calibri Light"/>
                      <w:sz w:val="22"/>
                      <w:szCs w:val="22"/>
                    </w:rPr>
                    <m:t>SOC</m:t>
                  </m:r>
                </m:sub>
                <m:sup>
                  <m:r>
                    <w:rPr>
                      <w:rFonts w:ascii="Cambria Math" w:hAnsi="Cambria Math" w:cs="Calibri Light"/>
                      <w:sz w:val="22"/>
                      <w:szCs w:val="22"/>
                    </w:rPr>
                    <m:t>i</m:t>
                  </m:r>
                </m:sup>
              </m:sSubSup>
            </m:num>
            <m:den>
              <m:sSubSup>
                <m:sSubSupPr>
                  <m:ctrlPr>
                    <w:rPr>
                      <w:rFonts w:ascii="Cambria Math" w:hAnsi="Cambria Math" w:cs="Calibri Light"/>
                      <w:i/>
                      <w:sz w:val="22"/>
                      <w:szCs w:val="22"/>
                    </w:rPr>
                  </m:ctrlPr>
                </m:sSubSupPr>
                <m:e>
                  <m:r>
                    <w:rPr>
                      <w:rFonts w:ascii="Cambria Math" w:hAnsi="Cambria Math" w:cs="Calibri Light"/>
                      <w:sz w:val="22"/>
                      <w:szCs w:val="22"/>
                    </w:rPr>
                    <m:t>Outcome</m:t>
                  </m:r>
                </m:e>
                <m:sub>
                  <m:r>
                    <w:rPr>
                      <w:rFonts w:ascii="Cambria Math" w:hAnsi="Cambria Math" w:cs="Calibri Light"/>
                      <w:sz w:val="22"/>
                      <w:szCs w:val="22"/>
                    </w:rPr>
                    <m:t>ITV</m:t>
                  </m:r>
                </m:sub>
                <m:sup>
                  <m:r>
                    <w:rPr>
                      <w:rFonts w:ascii="Cambria Math" w:hAnsi="Cambria Math" w:cs="Calibri Light"/>
                      <w:sz w:val="22"/>
                      <w:szCs w:val="22"/>
                    </w:rPr>
                    <m:t>i</m:t>
                  </m:r>
                </m:sup>
              </m:sSubSup>
              <m:r>
                <w:rPr>
                  <w:rFonts w:ascii="Cambria Math" w:hAnsi="Cambria Math" w:cs="Calibri Light"/>
                  <w:sz w:val="22"/>
                  <w:szCs w:val="22"/>
                </w:rPr>
                <m:t>-</m:t>
              </m:r>
              <m:sSubSup>
                <m:sSubSupPr>
                  <m:ctrlPr>
                    <w:rPr>
                      <w:rFonts w:ascii="Cambria Math" w:hAnsi="Cambria Math" w:cs="Calibri Light"/>
                      <w:i/>
                      <w:sz w:val="22"/>
                      <w:szCs w:val="22"/>
                    </w:rPr>
                  </m:ctrlPr>
                </m:sSubSupPr>
                <m:e>
                  <m:r>
                    <w:rPr>
                      <w:rFonts w:ascii="Cambria Math" w:hAnsi="Cambria Math" w:cs="Calibri Light"/>
                      <w:sz w:val="22"/>
                      <w:szCs w:val="22"/>
                    </w:rPr>
                    <m:t>Outcome</m:t>
                  </m:r>
                </m:e>
                <m:sub>
                  <m:r>
                    <w:rPr>
                      <w:rFonts w:ascii="Cambria Math" w:hAnsi="Cambria Math" w:cs="Calibri Light"/>
                      <w:sz w:val="22"/>
                      <w:szCs w:val="22"/>
                    </w:rPr>
                    <m:t>SOC</m:t>
                  </m:r>
                </m:sub>
                <m:sup>
                  <m:r>
                    <w:rPr>
                      <w:rFonts w:ascii="Cambria Math" w:hAnsi="Cambria Math" w:cs="Calibri Light"/>
                      <w:sz w:val="22"/>
                      <w:szCs w:val="22"/>
                    </w:rPr>
                    <m:t>i</m:t>
                  </m:r>
                </m:sup>
              </m:sSubSup>
            </m:den>
          </m:f>
        </m:oMath>
      </m:oMathPara>
    </w:p>
    <w:p w14:paraId="26E098D9" w14:textId="77777777" w:rsidR="008F4180" w:rsidRPr="00F01F3A" w:rsidRDefault="008F4180" w:rsidP="00F35ACD">
      <w:pPr>
        <w:jc w:val="both"/>
        <w:rPr>
          <w:rFonts w:ascii="Calibri" w:hAnsi="Calibri" w:cs="Calibri Light"/>
          <w:sz w:val="22"/>
          <w:szCs w:val="22"/>
        </w:rPr>
      </w:pPr>
    </w:p>
    <w:p w14:paraId="115495B3" w14:textId="77777777"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t>The</w:t>
      </w:r>
      <w:r w:rsidRPr="00F01F3A">
        <w:rPr>
          <w:rFonts w:ascii="Calibri" w:hAnsi="Calibri" w:cs="Calibri Light"/>
          <w:b/>
          <w:sz w:val="22"/>
          <w:szCs w:val="22"/>
        </w:rPr>
        <w:t xml:space="preserve"> time horizon</w:t>
      </w:r>
      <w:r w:rsidRPr="00F01F3A">
        <w:rPr>
          <w:rFonts w:ascii="Calibri" w:hAnsi="Calibri" w:cs="Calibri Light"/>
          <w:sz w:val="22"/>
          <w:szCs w:val="22"/>
        </w:rPr>
        <w:t xml:space="preserve"> is from the point where a person first seeks care to linkage to further care and treatment. No downstream costs and outcomes of treatment are included since the primary objective of this analysis is to assess the performance of alternative diagnostic algorithms and the efficacy of treatment is uncertain and the probability of a false-positive result commencing treatment is low/uncertain. However, the time </w:t>
      </w:r>
      <w:r w:rsidRPr="00F01F3A">
        <w:rPr>
          <w:rFonts w:ascii="Calibri" w:hAnsi="Calibri" w:cs="Calibri Light"/>
          <w:sz w:val="22"/>
          <w:szCs w:val="22"/>
        </w:rPr>
        <w:lastRenderedPageBreak/>
        <w:t xml:space="preserve">horizon can be extended to include treatment outcomes and costs in an extended analysis as described in Box 1.  </w:t>
      </w:r>
    </w:p>
    <w:p w14:paraId="128E1C10" w14:textId="77777777" w:rsidR="006B1B31" w:rsidRPr="00F01F3A" w:rsidRDefault="006B1B31" w:rsidP="00F35ACD">
      <w:pPr>
        <w:jc w:val="both"/>
        <w:rPr>
          <w:rFonts w:ascii="Calibri" w:hAnsi="Calibri" w:cs="Calibri Light"/>
          <w:b/>
          <w:color w:val="2E74B5" w:themeColor="accent5" w:themeShade="BF"/>
          <w:sz w:val="22"/>
          <w:szCs w:val="22"/>
        </w:rPr>
      </w:pPr>
    </w:p>
    <w:p w14:paraId="74FFB7D6" w14:textId="668189BE" w:rsidR="008F4180" w:rsidRPr="00F01F3A" w:rsidRDefault="008F4180" w:rsidP="00F35ACD">
      <w:pPr>
        <w:jc w:val="both"/>
        <w:rPr>
          <w:rFonts w:ascii="Calibri" w:hAnsi="Calibri" w:cs="Calibri Light"/>
          <w:b/>
          <w:bCs/>
          <w:color w:val="000000" w:themeColor="text1"/>
          <w:sz w:val="22"/>
          <w:szCs w:val="22"/>
        </w:rPr>
      </w:pPr>
      <w:r w:rsidRPr="00F01F3A">
        <w:rPr>
          <w:rFonts w:ascii="Calibri" w:hAnsi="Calibri" w:cs="Calibri Light"/>
          <w:b/>
          <w:color w:val="000000" w:themeColor="text1"/>
          <w:sz w:val="22"/>
          <w:szCs w:val="22"/>
        </w:rPr>
        <w:t xml:space="preserve">Sensitivity analyses </w:t>
      </w:r>
    </w:p>
    <w:p w14:paraId="113C7558" w14:textId="77777777"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t xml:space="preserve">A one-way sensitivity analysis can be conducted on key parameters that significantly influence which algorithm is considered more cost-effective. If appropriate, a probabilistic sensitivity analysis can be conducted to demonstrate the uncertainty surrounding the cost-effectiveness results by incorporating probability distributions for the key parameters mentioned above and running multiple simulations to generate a distribution of ICERs. This can be used to construct a Cost-Effectiveness-Acceptability-Curve for different values of the cost-effectiveness threshold. If outcomes are expressed as utilities (e.g. DALYs), cost effectiveness thresholds from the literature on the opportunity-cost based thresholds can be used. </w:t>
      </w:r>
    </w:p>
    <w:p w14:paraId="558D1529" w14:textId="77777777" w:rsidR="006B1B31" w:rsidRPr="00F01F3A" w:rsidRDefault="006B1B31" w:rsidP="006B1B31">
      <w:pPr>
        <w:rPr>
          <w:b/>
        </w:rPr>
      </w:pPr>
    </w:p>
    <w:p w14:paraId="576E7A53" w14:textId="52099B06" w:rsidR="008F4180" w:rsidRPr="00F01F3A" w:rsidRDefault="008F4180" w:rsidP="006B1B31">
      <w:pPr>
        <w:rPr>
          <w:b/>
        </w:rPr>
      </w:pPr>
      <w:r w:rsidRPr="00F01F3A">
        <w:rPr>
          <w:b/>
        </w:rPr>
        <w:t>Budget impact analysis</w:t>
      </w:r>
    </w:p>
    <w:p w14:paraId="44579553" w14:textId="77777777"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t xml:space="preserve">A BIA aims to assess the financial implications of implementing the new diagnostic approach (the intervention) compared to the standard of care. This analysis entails determining the total cost of testing the eligible care-seeking population under both scenarios: using the standard diagnostic procedure and employing the intervention algorithm. The BIA is calculated from the payer’s perspective (depending on the setting, this is likely to be the government body who is responsible for public sector healthcare budget). The costs involved include those associated with determining the test and provider visit costs, as described above. It excludes the patient visit costs as the perspective is the healthcare funder. Care must be taken to only include </w:t>
      </w:r>
      <w:r w:rsidRPr="00F01F3A">
        <w:rPr>
          <w:rFonts w:ascii="Calibri" w:hAnsi="Calibri" w:cs="Calibri Light"/>
          <w:i/>
          <w:iCs/>
          <w:sz w:val="22"/>
          <w:szCs w:val="22"/>
        </w:rPr>
        <w:t>un</w:t>
      </w:r>
      <w:r w:rsidRPr="00F01F3A">
        <w:rPr>
          <w:rFonts w:ascii="Calibri" w:hAnsi="Calibri" w:cs="Calibri Light"/>
          <w:sz w:val="22"/>
          <w:szCs w:val="22"/>
        </w:rPr>
        <w:t xml:space="preserve">discounted costs. By comparing the total costs between the standard of care and the intervention algorithm, the BIA will ascertain the change in budget required for adopting the new diagnostic approach. </w:t>
      </w:r>
    </w:p>
    <w:p w14:paraId="6F085C74" w14:textId="77777777"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t>To conduct this analysis, the following information is required:</w:t>
      </w:r>
    </w:p>
    <w:p w14:paraId="2ECFBD09" w14:textId="77777777" w:rsidR="008F4180" w:rsidRPr="00F01F3A" w:rsidRDefault="008F4180" w:rsidP="006B1B31">
      <w:pPr>
        <w:tabs>
          <w:tab w:val="left" w:pos="1440"/>
        </w:tabs>
        <w:spacing w:before="60" w:after="120"/>
        <w:jc w:val="both"/>
        <w:rPr>
          <w:rFonts w:ascii="Calibri" w:hAnsi="Calibri" w:cs="Calibri Light"/>
          <w:sz w:val="22"/>
          <w:szCs w:val="22"/>
        </w:rPr>
      </w:pPr>
      <w:r w:rsidRPr="00F01F3A">
        <w:rPr>
          <w:rFonts w:ascii="Calibri" w:hAnsi="Calibri" w:cs="Calibri Light"/>
          <w:b/>
          <w:sz w:val="22"/>
          <w:szCs w:val="22"/>
        </w:rPr>
        <w:t>Time horizon</w:t>
      </w:r>
      <w:r w:rsidRPr="00F01F3A">
        <w:rPr>
          <w:rFonts w:ascii="Calibri" w:hAnsi="Calibri" w:cs="Calibri Light"/>
          <w:sz w:val="22"/>
          <w:szCs w:val="22"/>
        </w:rPr>
        <w:t>: A time horizon of 1- 3 years is recommended.</w:t>
      </w:r>
    </w:p>
    <w:p w14:paraId="7293D583" w14:textId="77777777" w:rsidR="008F4180" w:rsidRPr="00F01F3A" w:rsidRDefault="008F4180" w:rsidP="006B1B31">
      <w:pPr>
        <w:tabs>
          <w:tab w:val="left" w:pos="1440"/>
        </w:tabs>
        <w:spacing w:before="60" w:after="120"/>
        <w:jc w:val="both"/>
        <w:rPr>
          <w:rFonts w:ascii="Calibri" w:hAnsi="Calibri" w:cs="Calibri Light"/>
          <w:sz w:val="22"/>
          <w:szCs w:val="22"/>
        </w:rPr>
      </w:pPr>
      <w:r w:rsidRPr="00F01F3A">
        <w:rPr>
          <w:rFonts w:ascii="Calibri" w:hAnsi="Calibri" w:cs="Calibri Light"/>
          <w:b/>
          <w:sz w:val="22"/>
          <w:szCs w:val="22"/>
        </w:rPr>
        <w:t>Eligible population</w:t>
      </w:r>
      <w:r w:rsidRPr="00F01F3A">
        <w:rPr>
          <w:rFonts w:ascii="Calibri" w:hAnsi="Calibri" w:cs="Calibri Light"/>
          <w:sz w:val="22"/>
          <w:szCs w:val="22"/>
        </w:rPr>
        <w:t>: It is necessary to estimate the</w:t>
      </w:r>
      <w:r w:rsidRPr="00F01F3A">
        <w:rPr>
          <w:rFonts w:ascii="Calibri" w:hAnsi="Calibri" w:cs="Calibri Light"/>
          <w:i/>
          <w:iCs/>
          <w:sz w:val="22"/>
          <w:szCs w:val="22"/>
        </w:rPr>
        <w:t xml:space="preserve"> annual</w:t>
      </w:r>
      <w:r w:rsidRPr="00F01F3A">
        <w:rPr>
          <w:rFonts w:ascii="Calibri" w:hAnsi="Calibri" w:cs="Calibri Light"/>
          <w:sz w:val="22"/>
          <w:szCs w:val="22"/>
        </w:rPr>
        <w:t xml:space="preserve"> care-seeking population in Setting X for which the payer is responsible (the population that is covered by the payer). For example, only those accessing care at public health facilities if the payer is a public health entity. Next, of those seeking care, estimate the eligible population for testing (those who meet the clinical criteria to be tested for CD; note this will differ by specific sub-populations, e.g. mandatory testing for pregnant women). If relevant, estimate the location (level of the health system) at which the eligible population first seeks care. </w:t>
      </w:r>
    </w:p>
    <w:p w14:paraId="2C72FB3A" w14:textId="77777777" w:rsidR="008F4180" w:rsidRPr="00F01F3A" w:rsidRDefault="008F4180" w:rsidP="006B1B31">
      <w:pPr>
        <w:tabs>
          <w:tab w:val="left" w:pos="1440"/>
        </w:tabs>
        <w:spacing w:before="60" w:after="120"/>
        <w:jc w:val="both"/>
        <w:rPr>
          <w:rFonts w:ascii="Calibri" w:hAnsi="Calibri" w:cs="Calibri Light"/>
          <w:sz w:val="22"/>
          <w:szCs w:val="22"/>
        </w:rPr>
      </w:pPr>
      <w:r w:rsidRPr="00F01F3A">
        <w:rPr>
          <w:rFonts w:ascii="Calibri" w:hAnsi="Calibri" w:cs="Calibri Light"/>
          <w:b/>
          <w:sz w:val="22"/>
          <w:szCs w:val="22"/>
        </w:rPr>
        <w:t>Number of tests required per eligible individual</w:t>
      </w:r>
      <w:r w:rsidRPr="00F01F3A">
        <w:rPr>
          <w:rFonts w:ascii="Calibri" w:hAnsi="Calibri" w:cs="Calibri Light"/>
          <w:sz w:val="22"/>
          <w:szCs w:val="22"/>
        </w:rPr>
        <w:t xml:space="preserve">. Using output from the cost-effectiveness </w:t>
      </w:r>
      <w:proofErr w:type="gramStart"/>
      <w:r w:rsidRPr="00F01F3A">
        <w:rPr>
          <w:rFonts w:ascii="Calibri" w:hAnsi="Calibri" w:cs="Calibri Light"/>
          <w:sz w:val="22"/>
          <w:szCs w:val="22"/>
        </w:rPr>
        <w:t>model,</w:t>
      </w:r>
      <w:proofErr w:type="gramEnd"/>
      <w:r w:rsidRPr="00F01F3A">
        <w:rPr>
          <w:rFonts w:ascii="Calibri" w:hAnsi="Calibri" w:cs="Calibri Light"/>
          <w:sz w:val="22"/>
          <w:szCs w:val="22"/>
        </w:rPr>
        <w:t xml:space="preserve"> </w:t>
      </w:r>
      <w:proofErr w:type="gramStart"/>
      <w:r w:rsidRPr="00F01F3A">
        <w:rPr>
          <w:rFonts w:ascii="Calibri" w:hAnsi="Calibri" w:cs="Calibri Light"/>
          <w:sz w:val="22"/>
          <w:szCs w:val="22"/>
        </w:rPr>
        <w:t>determine</w:t>
      </w:r>
      <w:proofErr w:type="gramEnd"/>
      <w:r w:rsidRPr="00F01F3A">
        <w:rPr>
          <w:rFonts w:ascii="Calibri" w:hAnsi="Calibri" w:cs="Calibri Light"/>
          <w:sz w:val="22"/>
          <w:szCs w:val="22"/>
        </w:rPr>
        <w:t xml:space="preserve"> the average number of tests required per person tested </w:t>
      </w:r>
      <w:proofErr w:type="gramStart"/>
      <w:r w:rsidRPr="00F01F3A">
        <w:rPr>
          <w:rFonts w:ascii="Calibri" w:hAnsi="Calibri" w:cs="Calibri Light"/>
          <w:sz w:val="22"/>
          <w:szCs w:val="22"/>
        </w:rPr>
        <w:t>taking into account</w:t>
      </w:r>
      <w:proofErr w:type="gramEnd"/>
      <w:r w:rsidRPr="00F01F3A">
        <w:rPr>
          <w:rFonts w:ascii="Calibri" w:hAnsi="Calibri" w:cs="Calibri Light"/>
          <w:sz w:val="22"/>
          <w:szCs w:val="22"/>
        </w:rPr>
        <w:t xml:space="preserve"> loss to follow-up, level of care at which testing occurs and the algorithm structure (for example, additional tests required if there is discordance).</w:t>
      </w:r>
    </w:p>
    <w:p w14:paraId="521CA4A1" w14:textId="77777777" w:rsidR="008F4180" w:rsidRPr="00F01F3A" w:rsidRDefault="008F4180" w:rsidP="006B1B31">
      <w:pPr>
        <w:tabs>
          <w:tab w:val="left" w:pos="1440"/>
        </w:tabs>
        <w:spacing w:before="60" w:after="120"/>
        <w:jc w:val="both"/>
        <w:rPr>
          <w:rFonts w:ascii="Calibri" w:hAnsi="Calibri" w:cs="Calibri Light"/>
          <w:sz w:val="22"/>
          <w:szCs w:val="22"/>
        </w:rPr>
      </w:pPr>
      <w:r w:rsidRPr="00F01F3A">
        <w:rPr>
          <w:rFonts w:ascii="Calibri" w:hAnsi="Calibri" w:cs="Calibri Light"/>
          <w:b/>
          <w:sz w:val="22"/>
          <w:szCs w:val="22"/>
        </w:rPr>
        <w:t>Uptake of the new intervention</w:t>
      </w:r>
      <w:r w:rsidRPr="00F01F3A">
        <w:rPr>
          <w:rFonts w:ascii="Calibri" w:hAnsi="Calibri" w:cs="Calibri Light"/>
          <w:sz w:val="22"/>
          <w:szCs w:val="22"/>
        </w:rPr>
        <w:t>: To determine what proportion will receive the new intervention, it is important to estimate the uptake of the new intervention, whether this is likely to (1) completely replace the current standard of care (</w:t>
      </w:r>
      <w:r w:rsidRPr="00F01F3A">
        <w:rPr>
          <w:rFonts w:ascii="Calibri" w:hAnsi="Calibri" w:cs="Calibri Light"/>
          <w:sz w:val="22"/>
          <w:szCs w:val="22"/>
          <w:u w:val="single"/>
        </w:rPr>
        <w:t>substitution</w:t>
      </w:r>
      <w:r w:rsidRPr="00F01F3A">
        <w:rPr>
          <w:rFonts w:ascii="Calibri" w:hAnsi="Calibri" w:cs="Calibri Light"/>
          <w:sz w:val="22"/>
          <w:szCs w:val="22"/>
        </w:rPr>
        <w:t xml:space="preserve">), or, (2) there will be a </w:t>
      </w:r>
      <w:r w:rsidRPr="00F01F3A">
        <w:rPr>
          <w:rFonts w:ascii="Calibri" w:hAnsi="Calibri" w:cs="Calibri Light"/>
          <w:sz w:val="22"/>
          <w:szCs w:val="22"/>
          <w:u w:val="single"/>
        </w:rPr>
        <w:t xml:space="preserve">combination </w:t>
      </w:r>
      <w:r w:rsidRPr="00F01F3A">
        <w:rPr>
          <w:rFonts w:ascii="Calibri" w:hAnsi="Calibri" w:cs="Calibri Light"/>
          <w:sz w:val="22"/>
          <w:szCs w:val="22"/>
        </w:rPr>
        <w:t xml:space="preserve">of both the standard of care and the new intervention (for example, standard of care remains for those first seeking care at high complexity </w:t>
      </w:r>
      <w:proofErr w:type="spellStart"/>
      <w:r w:rsidRPr="00F01F3A">
        <w:rPr>
          <w:rFonts w:ascii="Calibri" w:hAnsi="Calibri" w:cs="Calibri Light"/>
          <w:sz w:val="22"/>
          <w:szCs w:val="22"/>
        </w:rPr>
        <w:t>centres</w:t>
      </w:r>
      <w:proofErr w:type="spellEnd"/>
      <w:r w:rsidRPr="00F01F3A">
        <w:rPr>
          <w:rFonts w:ascii="Calibri" w:hAnsi="Calibri" w:cs="Calibri Light"/>
          <w:sz w:val="22"/>
          <w:szCs w:val="22"/>
        </w:rPr>
        <w:t xml:space="preserve">, and the intervention for those seeking care at low complexity </w:t>
      </w:r>
      <w:proofErr w:type="spellStart"/>
      <w:r w:rsidRPr="00F01F3A">
        <w:rPr>
          <w:rFonts w:ascii="Calibri" w:hAnsi="Calibri" w:cs="Calibri Light"/>
          <w:sz w:val="22"/>
          <w:szCs w:val="22"/>
        </w:rPr>
        <w:t>centres</w:t>
      </w:r>
      <w:proofErr w:type="spellEnd"/>
      <w:r w:rsidRPr="00F01F3A">
        <w:rPr>
          <w:rFonts w:ascii="Calibri" w:hAnsi="Calibri" w:cs="Calibri Light"/>
          <w:sz w:val="22"/>
          <w:szCs w:val="22"/>
        </w:rPr>
        <w:t>); or, 3) the new intervention would be used at all sites where there is currently no standard of care testing or increase access to testing to the eligible population (</w:t>
      </w:r>
      <w:r w:rsidRPr="00F01F3A">
        <w:rPr>
          <w:rFonts w:ascii="Calibri" w:hAnsi="Calibri" w:cs="Calibri Light"/>
          <w:sz w:val="22"/>
          <w:szCs w:val="22"/>
          <w:u w:val="single"/>
        </w:rPr>
        <w:t>expansion</w:t>
      </w:r>
      <w:r w:rsidRPr="00F01F3A">
        <w:rPr>
          <w:rFonts w:ascii="Calibri" w:hAnsi="Calibri" w:cs="Calibri Light"/>
          <w:sz w:val="22"/>
          <w:szCs w:val="22"/>
        </w:rPr>
        <w:t>).</w:t>
      </w:r>
    </w:p>
    <w:p w14:paraId="2FE4960C" w14:textId="77777777"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lastRenderedPageBreak/>
        <w:t xml:space="preserve">There are many dependencies associated with the BIA that rely on uncertain assumptions. A sensitivity analysis should explore these: for example, changes in exchange rates, inflation rates and the expected prices of the new testing technology over time, as well as the expected prices of the new testing technology may change depending on total volumes required for the different uptake scenarios. In addition, the sensitivity analysis should explore the impact of different assumptions regarding uptake of the new intervention. </w:t>
      </w:r>
    </w:p>
    <w:p w14:paraId="6F5D10DD" w14:textId="77777777" w:rsidR="008F4180" w:rsidRPr="00F01F3A" w:rsidRDefault="008F4180" w:rsidP="00F35ACD">
      <w:pPr>
        <w:jc w:val="both"/>
        <w:rPr>
          <w:rFonts w:ascii="Calibri" w:hAnsi="Calibri" w:cs="Calibri Light"/>
          <w:sz w:val="22"/>
          <w:szCs w:val="22"/>
        </w:rPr>
      </w:pPr>
      <w:r w:rsidRPr="00F01F3A">
        <w:rPr>
          <w:rFonts w:ascii="Calibri" w:hAnsi="Calibri" w:cs="Calibri Light"/>
          <w:sz w:val="22"/>
          <w:szCs w:val="22"/>
        </w:rPr>
        <w:t>This assessment will provide stakeholders, such as healthcare providers, policymakers, and payers, with valuable insights into the financial impact of implementing the new algorithm, aiding in decision-making regarding resource allocation and healthcare budget planning.</w:t>
      </w:r>
    </w:p>
    <w:p w14:paraId="605CEB90" w14:textId="77777777" w:rsidR="008F4180" w:rsidRPr="00F01F3A" w:rsidRDefault="008F4180" w:rsidP="00F35ACD">
      <w:pPr>
        <w:rPr>
          <w:rFonts w:ascii="Calibri" w:hAnsi="Calibri" w:cs="Calibri Light"/>
          <w:sz w:val="22"/>
          <w:szCs w:val="22"/>
        </w:rPr>
      </w:pPr>
    </w:p>
    <w:p w14:paraId="67C5E820" w14:textId="1D99B298" w:rsidR="008F4180" w:rsidRPr="00F01F3A" w:rsidRDefault="008F4180" w:rsidP="00F35ACD">
      <w:pPr>
        <w:rPr>
          <w:rFonts w:ascii="Calibri" w:hAnsi="Calibri" w:cs="Calibri Light"/>
          <w:b/>
          <w:bCs/>
          <w:sz w:val="22"/>
          <w:szCs w:val="22"/>
        </w:rPr>
      </w:pPr>
      <w:r w:rsidRPr="00F01F3A">
        <w:rPr>
          <w:rFonts w:ascii="Calibri" w:hAnsi="Calibri" w:cs="Calibri Light"/>
          <w:b/>
          <w:sz w:val="22"/>
          <w:szCs w:val="22"/>
        </w:rPr>
        <w:t>Acknowledgments</w:t>
      </w:r>
    </w:p>
    <w:p w14:paraId="2E66F449" w14:textId="77006F3A" w:rsidR="008F4180" w:rsidRPr="00F01F3A" w:rsidRDefault="008F4180" w:rsidP="00F35ACD">
      <w:pPr>
        <w:rPr>
          <w:rFonts w:ascii="Calibri" w:hAnsi="Calibri" w:cs="Calibri Light"/>
          <w:sz w:val="22"/>
          <w:szCs w:val="22"/>
        </w:rPr>
      </w:pPr>
      <w:r w:rsidRPr="00F01F3A">
        <w:rPr>
          <w:rFonts w:ascii="Calibri" w:hAnsi="Calibri" w:cs="Calibri Light"/>
          <w:sz w:val="22"/>
          <w:szCs w:val="22"/>
        </w:rPr>
        <w:t>FIND: Sarah Girdwood, Laura Bohorquez, Kyra Grantz, Shaukat Khan</w:t>
      </w:r>
    </w:p>
    <w:p w14:paraId="3EB65422" w14:textId="77777777" w:rsidR="008F4180" w:rsidRPr="00F01F3A" w:rsidRDefault="008F4180" w:rsidP="00F35ACD">
      <w:pPr>
        <w:rPr>
          <w:rFonts w:ascii="Calibri" w:hAnsi="Calibri" w:cs="Calibri Light"/>
          <w:sz w:val="22"/>
          <w:szCs w:val="22"/>
          <w:lang w:val="es-AR"/>
        </w:rPr>
      </w:pPr>
      <w:r w:rsidRPr="00F01F3A">
        <w:rPr>
          <w:rFonts w:ascii="Calibri" w:hAnsi="Calibri" w:cs="Calibri Light"/>
          <w:sz w:val="22"/>
          <w:szCs w:val="22"/>
          <w:lang w:val="es-AR"/>
        </w:rPr>
        <w:t>PAHO: Freddy Perez</w:t>
      </w:r>
    </w:p>
    <w:p w14:paraId="73C67E5B" w14:textId="77777777" w:rsidR="008F4180" w:rsidRPr="00F01F3A" w:rsidRDefault="008F4180" w:rsidP="00F35ACD">
      <w:pPr>
        <w:rPr>
          <w:rFonts w:ascii="Calibri" w:hAnsi="Calibri" w:cs="Calibri Light"/>
          <w:sz w:val="22"/>
          <w:szCs w:val="22"/>
          <w:lang w:val="es-AR"/>
        </w:rPr>
      </w:pPr>
      <w:r w:rsidRPr="00F01F3A">
        <w:rPr>
          <w:rFonts w:ascii="Calibri" w:hAnsi="Calibri" w:cs="Calibri Light"/>
          <w:sz w:val="22"/>
          <w:szCs w:val="22"/>
          <w:lang w:val="es-AR"/>
        </w:rPr>
        <w:t>RedARETS: Laura Lamfre, Santiago Hasdeu</w:t>
      </w:r>
    </w:p>
    <w:p w14:paraId="424E056A" w14:textId="59A847D4" w:rsidR="00274743" w:rsidRPr="00F01F3A" w:rsidRDefault="008F4180" w:rsidP="006B1B31">
      <w:pPr>
        <w:rPr>
          <w:rFonts w:ascii="Calibri" w:hAnsi="Calibri" w:cs="Calibri Light"/>
          <w:sz w:val="22"/>
          <w:szCs w:val="22"/>
          <w:lang w:val="es-AR"/>
        </w:rPr>
      </w:pPr>
      <w:r w:rsidRPr="00F01F3A">
        <w:rPr>
          <w:rFonts w:ascii="Calibri" w:hAnsi="Calibri" w:cs="Calibri Light"/>
          <w:sz w:val="22"/>
          <w:szCs w:val="22"/>
          <w:lang w:val="es-AR"/>
        </w:rPr>
        <w:t>LSHTM: Natalie el Kheir</w:t>
      </w:r>
    </w:p>
    <w:p w14:paraId="27D87505" w14:textId="16AADF09" w:rsidR="007C75D8" w:rsidRPr="00F01F3A" w:rsidRDefault="007C75D8" w:rsidP="006B1B31">
      <w:pPr>
        <w:rPr>
          <w:rFonts w:ascii="Calibri" w:hAnsi="Calibri" w:cs="Calibri Light"/>
          <w:sz w:val="22"/>
          <w:szCs w:val="22"/>
          <w:lang w:val="es-AR"/>
        </w:rPr>
      </w:pPr>
    </w:p>
    <w:p w14:paraId="6286ED5A" w14:textId="46693BF6" w:rsidR="0062178E" w:rsidRPr="00F01F3A" w:rsidRDefault="0062178E">
      <w:pPr>
        <w:rPr>
          <w:rFonts w:ascii="Calibri" w:hAnsi="Calibri" w:cs="Calibri Light"/>
          <w:b/>
          <w:sz w:val="22"/>
          <w:szCs w:val="22"/>
          <w:lang w:val="es-AR"/>
        </w:rPr>
      </w:pPr>
      <w:r w:rsidRPr="00F01F3A">
        <w:rPr>
          <w:rFonts w:ascii="Calibri" w:hAnsi="Calibri" w:cs="Calibri Light"/>
          <w:b/>
          <w:sz w:val="22"/>
          <w:szCs w:val="22"/>
          <w:lang w:val="es-AR"/>
        </w:rPr>
        <w:br w:type="page"/>
      </w:r>
    </w:p>
    <w:p w14:paraId="4E2E1592" w14:textId="2BCE9C1F" w:rsidR="0062178E" w:rsidRPr="00F01F3A" w:rsidRDefault="0062178E">
      <w:pPr>
        <w:rPr>
          <w:rFonts w:ascii="Calibri" w:hAnsi="Calibri" w:cs="Calibri Light"/>
          <w:b/>
          <w:sz w:val="22"/>
          <w:szCs w:val="22"/>
          <w:lang w:val="es-AR"/>
        </w:rPr>
      </w:pPr>
      <w:r w:rsidRPr="00F01F3A">
        <w:rPr>
          <w:rFonts w:ascii="Calibri" w:hAnsi="Calibri" w:cs="Calibri Light"/>
          <w:b/>
          <w:sz w:val="22"/>
          <w:szCs w:val="22"/>
          <w:lang w:val="es-AR"/>
        </w:rPr>
        <w:lastRenderedPageBreak/>
        <w:t xml:space="preserve">References </w:t>
      </w:r>
    </w:p>
    <w:p w14:paraId="30481705" w14:textId="77777777" w:rsidR="0062178E" w:rsidRPr="00F01F3A" w:rsidRDefault="0062178E">
      <w:pPr>
        <w:rPr>
          <w:rFonts w:ascii="Calibri" w:hAnsi="Calibri" w:cs="Calibri Light"/>
          <w:b/>
          <w:sz w:val="22"/>
          <w:szCs w:val="22"/>
          <w:lang w:val="es-AR"/>
        </w:rPr>
      </w:pPr>
    </w:p>
    <w:p w14:paraId="2733E9E2" w14:textId="4EC04FE8" w:rsidR="00C5444A" w:rsidRPr="00F01F3A" w:rsidRDefault="0062178E" w:rsidP="00C5444A">
      <w:pPr>
        <w:widowControl w:val="0"/>
        <w:autoSpaceDE w:val="0"/>
        <w:autoSpaceDN w:val="0"/>
        <w:adjustRightInd w:val="0"/>
        <w:ind w:left="640" w:hanging="640"/>
        <w:rPr>
          <w:rFonts w:ascii="Calibri" w:hAnsi="Calibri" w:cs="Calibri"/>
          <w:noProof/>
          <w:sz w:val="22"/>
        </w:rPr>
      </w:pPr>
      <w:r w:rsidRPr="00F01F3A">
        <w:rPr>
          <w:rFonts w:ascii="Calibri" w:hAnsi="Calibri" w:cs="Calibri Light"/>
          <w:sz w:val="22"/>
          <w:szCs w:val="22"/>
        </w:rPr>
        <w:fldChar w:fldCharType="begin" w:fldLock="1"/>
      </w:r>
      <w:r w:rsidRPr="00F01F3A">
        <w:rPr>
          <w:rFonts w:ascii="Calibri" w:hAnsi="Calibri" w:cs="Calibri Light"/>
          <w:sz w:val="22"/>
          <w:szCs w:val="22"/>
          <w:lang w:val="es-AR"/>
        </w:rPr>
        <w:instrText xml:space="preserve">ADDIN Mendeley Bibliography CSL_BIBLIOGRAPHY </w:instrText>
      </w:r>
      <w:r w:rsidRPr="00F01F3A">
        <w:rPr>
          <w:rFonts w:ascii="Calibri" w:hAnsi="Calibri" w:cs="Calibri Light"/>
          <w:sz w:val="22"/>
          <w:szCs w:val="22"/>
        </w:rPr>
        <w:fldChar w:fldCharType="separate"/>
      </w:r>
      <w:r w:rsidR="00C5444A" w:rsidRPr="00F01F3A">
        <w:rPr>
          <w:rFonts w:ascii="Calibri" w:hAnsi="Calibri" w:cs="Calibri"/>
          <w:noProof/>
          <w:sz w:val="22"/>
          <w:lang w:val="es-AR"/>
        </w:rPr>
        <w:t xml:space="preserve">1. </w:t>
      </w:r>
      <w:r w:rsidR="00C5444A" w:rsidRPr="00F01F3A">
        <w:rPr>
          <w:rFonts w:ascii="Calibri" w:hAnsi="Calibri" w:cs="Calibri"/>
          <w:noProof/>
          <w:sz w:val="22"/>
          <w:lang w:val="es-AR"/>
        </w:rPr>
        <w:tab/>
        <w:t xml:space="preserve">Zhou XH, McClish DK, Obuchowski NA. </w:t>
      </w:r>
      <w:r w:rsidR="00C5444A" w:rsidRPr="00F01F3A">
        <w:rPr>
          <w:rFonts w:ascii="Calibri" w:hAnsi="Calibri" w:cs="Calibri"/>
          <w:noProof/>
          <w:sz w:val="22"/>
        </w:rPr>
        <w:t xml:space="preserve">Statistical Methods in Diagnostic Medicine. John Wiley &amp; Sons; 2009. </w:t>
      </w:r>
    </w:p>
    <w:p w14:paraId="0DA0499D" w14:textId="77777777" w:rsidR="00C5444A" w:rsidRPr="00F01F3A" w:rsidRDefault="00C5444A" w:rsidP="00C5444A">
      <w:pPr>
        <w:widowControl w:val="0"/>
        <w:autoSpaceDE w:val="0"/>
        <w:autoSpaceDN w:val="0"/>
        <w:adjustRightInd w:val="0"/>
        <w:ind w:left="640" w:hanging="640"/>
        <w:rPr>
          <w:rFonts w:ascii="Calibri" w:hAnsi="Calibri" w:cs="Calibri"/>
          <w:noProof/>
          <w:sz w:val="22"/>
        </w:rPr>
      </w:pPr>
      <w:r w:rsidRPr="00F01F3A">
        <w:rPr>
          <w:rFonts w:ascii="Calibri" w:hAnsi="Calibri" w:cs="Calibri"/>
          <w:noProof/>
          <w:sz w:val="22"/>
        </w:rPr>
        <w:t xml:space="preserve">2. </w:t>
      </w:r>
      <w:r w:rsidRPr="00F01F3A">
        <w:rPr>
          <w:rFonts w:ascii="Calibri" w:hAnsi="Calibri" w:cs="Calibri"/>
          <w:noProof/>
          <w:sz w:val="22"/>
        </w:rPr>
        <w:tab/>
        <w:t xml:space="preserve">Rojas Panozo L, Rivera Nina S, Wehrendt DP, Casellas A, Pinto L, Mendez S, et al. Evaluation and validation of a PrintrLab-based LAMP assay to identify Trypanosoma  cruzi in newborns in Bolivia: a proof-of-concept study. The Lancet Microbe. 2024 Sep;5(9):100887. </w:t>
      </w:r>
    </w:p>
    <w:p w14:paraId="5934BC96" w14:textId="77777777" w:rsidR="00C5444A" w:rsidRPr="00F01F3A" w:rsidRDefault="00C5444A" w:rsidP="00C5444A">
      <w:pPr>
        <w:widowControl w:val="0"/>
        <w:autoSpaceDE w:val="0"/>
        <w:autoSpaceDN w:val="0"/>
        <w:adjustRightInd w:val="0"/>
        <w:ind w:left="640" w:hanging="640"/>
        <w:rPr>
          <w:rFonts w:ascii="Calibri" w:hAnsi="Calibri" w:cs="Calibri"/>
          <w:noProof/>
          <w:sz w:val="22"/>
          <w:lang w:val="es-AR"/>
        </w:rPr>
      </w:pPr>
      <w:r w:rsidRPr="00F01F3A">
        <w:rPr>
          <w:rFonts w:ascii="Calibri" w:hAnsi="Calibri" w:cs="Calibri"/>
          <w:noProof/>
          <w:sz w:val="22"/>
        </w:rPr>
        <w:t xml:space="preserve">3. </w:t>
      </w:r>
      <w:r w:rsidRPr="00F01F3A">
        <w:rPr>
          <w:rFonts w:ascii="Calibri" w:hAnsi="Calibri" w:cs="Calibri"/>
          <w:noProof/>
          <w:sz w:val="22"/>
        </w:rPr>
        <w:tab/>
        <w:t xml:space="preserve">Schijman AG, Bisio M, Orellana L, Sued M, Duffy T, Mejia Jaramillo AM, et al. International study to evaluate PCR methods for detection of Trypanosoma cruzi  DNA in blood samples from Chagas disease patients. </w:t>
      </w:r>
      <w:r w:rsidRPr="00F01F3A">
        <w:rPr>
          <w:rFonts w:ascii="Calibri" w:hAnsi="Calibri" w:cs="Calibri"/>
          <w:noProof/>
          <w:sz w:val="22"/>
          <w:lang w:val="es-AR"/>
        </w:rPr>
        <w:t xml:space="preserve">PLoS Negl Trop Dis. 2011 Jan;5(1):e931. </w:t>
      </w:r>
    </w:p>
    <w:p w14:paraId="5733BB4E" w14:textId="77777777" w:rsidR="00C5444A" w:rsidRPr="00F01F3A" w:rsidRDefault="00C5444A" w:rsidP="00C5444A">
      <w:pPr>
        <w:widowControl w:val="0"/>
        <w:autoSpaceDE w:val="0"/>
        <w:autoSpaceDN w:val="0"/>
        <w:adjustRightInd w:val="0"/>
        <w:ind w:left="640" w:hanging="640"/>
        <w:rPr>
          <w:rFonts w:ascii="Calibri" w:hAnsi="Calibri" w:cs="Calibri"/>
          <w:noProof/>
          <w:sz w:val="22"/>
        </w:rPr>
      </w:pPr>
      <w:r w:rsidRPr="00F01F3A">
        <w:rPr>
          <w:rFonts w:ascii="Calibri" w:hAnsi="Calibri" w:cs="Calibri"/>
          <w:noProof/>
          <w:sz w:val="22"/>
          <w:lang w:val="es-AR"/>
        </w:rPr>
        <w:t xml:space="preserve">4. </w:t>
      </w:r>
      <w:r w:rsidRPr="00F01F3A">
        <w:rPr>
          <w:rFonts w:ascii="Calibri" w:hAnsi="Calibri" w:cs="Calibri"/>
          <w:noProof/>
          <w:sz w:val="22"/>
          <w:lang w:val="es-AR"/>
        </w:rPr>
        <w:tab/>
        <w:t xml:space="preserve">Ramírez JC, Cura CI, da Cruz Moreira O, Lages-Silva E, Juiz N, Velázquez E, et al. </w:t>
      </w:r>
      <w:r w:rsidRPr="00F01F3A">
        <w:rPr>
          <w:rFonts w:ascii="Calibri" w:hAnsi="Calibri" w:cs="Calibri"/>
          <w:noProof/>
          <w:sz w:val="22"/>
        </w:rPr>
        <w:t xml:space="preserve">Analytical Validation of Quantitative Real-Time PCR Methods for Quantification of  Trypanosoma cruzi DNA in Blood Samples from Chagas Disease Patients. J Mol Diagn. 2015 Sep;17(5):605–15. </w:t>
      </w:r>
    </w:p>
    <w:p w14:paraId="76A57FFE" w14:textId="77777777" w:rsidR="00C5444A" w:rsidRPr="00F01F3A" w:rsidRDefault="00C5444A" w:rsidP="00C5444A">
      <w:pPr>
        <w:widowControl w:val="0"/>
        <w:autoSpaceDE w:val="0"/>
        <w:autoSpaceDN w:val="0"/>
        <w:adjustRightInd w:val="0"/>
        <w:ind w:left="640" w:hanging="640"/>
        <w:rPr>
          <w:rFonts w:ascii="Calibri" w:hAnsi="Calibri" w:cs="Calibri"/>
          <w:noProof/>
          <w:sz w:val="22"/>
          <w:lang w:val="es-AR"/>
        </w:rPr>
      </w:pPr>
      <w:r w:rsidRPr="00F01F3A">
        <w:rPr>
          <w:rFonts w:ascii="Calibri" w:hAnsi="Calibri" w:cs="Calibri"/>
          <w:noProof/>
          <w:sz w:val="22"/>
        </w:rPr>
        <w:t xml:space="preserve">5. </w:t>
      </w:r>
      <w:r w:rsidRPr="00F01F3A">
        <w:rPr>
          <w:rFonts w:ascii="Calibri" w:hAnsi="Calibri" w:cs="Calibri"/>
          <w:noProof/>
          <w:sz w:val="22"/>
        </w:rPr>
        <w:tab/>
        <w:t xml:space="preserve">Porrás AI, Yadon ZE, Altcheh J, Britto C, Chaves GC, Flevaud L, et al. Target Product Profile (TPP) for Chagas Disease Point-of-Care Diagnosis and  Assessment of Response to Treatment. </w:t>
      </w:r>
      <w:r w:rsidRPr="00F01F3A">
        <w:rPr>
          <w:rFonts w:ascii="Calibri" w:hAnsi="Calibri" w:cs="Calibri"/>
          <w:noProof/>
          <w:sz w:val="22"/>
          <w:lang w:val="es-AR"/>
        </w:rPr>
        <w:t xml:space="preserve">PLoS Negl Trop Dis. 2015 Jun;9(6):e0003697. </w:t>
      </w:r>
    </w:p>
    <w:p w14:paraId="462C1940" w14:textId="77777777" w:rsidR="00C5444A" w:rsidRPr="00F01F3A" w:rsidRDefault="00C5444A" w:rsidP="00C5444A">
      <w:pPr>
        <w:widowControl w:val="0"/>
        <w:autoSpaceDE w:val="0"/>
        <w:autoSpaceDN w:val="0"/>
        <w:adjustRightInd w:val="0"/>
        <w:ind w:left="640" w:hanging="640"/>
        <w:rPr>
          <w:rFonts w:ascii="Calibri" w:hAnsi="Calibri" w:cs="Calibri"/>
          <w:noProof/>
          <w:sz w:val="22"/>
          <w:lang w:val="es-AR"/>
        </w:rPr>
      </w:pPr>
      <w:r w:rsidRPr="00F01F3A">
        <w:rPr>
          <w:rFonts w:ascii="Calibri" w:hAnsi="Calibri" w:cs="Calibri"/>
          <w:noProof/>
          <w:sz w:val="22"/>
          <w:lang w:val="es-AR"/>
        </w:rPr>
        <w:t xml:space="preserve">6. </w:t>
      </w:r>
      <w:r w:rsidRPr="00F01F3A">
        <w:rPr>
          <w:rFonts w:ascii="Calibri" w:hAnsi="Calibri" w:cs="Calibri"/>
          <w:noProof/>
          <w:sz w:val="22"/>
          <w:lang w:val="es-AR"/>
        </w:rPr>
        <w:tab/>
        <w:t xml:space="preserve">Alonso-Padilla J, Abril M, Alarcón de Noya B, Almeida IC, Angheben A, Araujo Jorge T, et al. </w:t>
      </w:r>
      <w:r w:rsidRPr="00F01F3A">
        <w:rPr>
          <w:rFonts w:ascii="Calibri" w:hAnsi="Calibri" w:cs="Calibri"/>
          <w:noProof/>
          <w:sz w:val="22"/>
        </w:rPr>
        <w:t xml:space="preserve">Target product profile for a test for the early assessment of treatment efficacy  in Chagas disease patients: An expert consensus. </w:t>
      </w:r>
      <w:r w:rsidRPr="00F01F3A">
        <w:rPr>
          <w:rFonts w:ascii="Calibri" w:hAnsi="Calibri" w:cs="Calibri"/>
          <w:noProof/>
          <w:sz w:val="22"/>
          <w:lang w:val="es-AR"/>
        </w:rPr>
        <w:t xml:space="preserve">PLoS Negl Trop Dis. 2020 Apr;14(4):e0008035. </w:t>
      </w:r>
    </w:p>
    <w:p w14:paraId="24D18E55" w14:textId="77777777" w:rsidR="00C5444A" w:rsidRPr="00F01F3A" w:rsidRDefault="00C5444A" w:rsidP="00C5444A">
      <w:pPr>
        <w:widowControl w:val="0"/>
        <w:autoSpaceDE w:val="0"/>
        <w:autoSpaceDN w:val="0"/>
        <w:adjustRightInd w:val="0"/>
        <w:ind w:left="640" w:hanging="640"/>
        <w:rPr>
          <w:rFonts w:ascii="Calibri" w:hAnsi="Calibri" w:cs="Calibri"/>
          <w:noProof/>
          <w:sz w:val="22"/>
          <w:lang w:val="es-AR"/>
        </w:rPr>
      </w:pPr>
      <w:r w:rsidRPr="00F01F3A">
        <w:rPr>
          <w:rFonts w:ascii="Calibri" w:hAnsi="Calibri" w:cs="Calibri"/>
          <w:noProof/>
          <w:sz w:val="22"/>
          <w:lang w:val="es-AR"/>
        </w:rPr>
        <w:t xml:space="preserve">7. </w:t>
      </w:r>
      <w:r w:rsidRPr="00F01F3A">
        <w:rPr>
          <w:rFonts w:ascii="Calibri" w:hAnsi="Calibri" w:cs="Calibri"/>
          <w:noProof/>
          <w:sz w:val="22"/>
          <w:lang w:val="es-AR"/>
        </w:rPr>
        <w:tab/>
        <w:t xml:space="preserve">Sousa AS de, Vermeij D, Parra-Henao G, Lesmo V, Fernández EF, Aruni JJC, et al. </w:t>
      </w:r>
      <w:r w:rsidRPr="00F01F3A">
        <w:rPr>
          <w:rFonts w:ascii="Calibri" w:hAnsi="Calibri" w:cs="Calibri"/>
          <w:noProof/>
          <w:sz w:val="22"/>
        </w:rPr>
        <w:t xml:space="preserve">The CUIDA Chagas Project: towards the elimination of congenital transmission of Chagas disease in Bolivia, Brazil, Colombia, and Paraguay. </w:t>
      </w:r>
      <w:r w:rsidRPr="00F01F3A">
        <w:rPr>
          <w:rFonts w:ascii="Calibri" w:hAnsi="Calibri" w:cs="Calibri"/>
          <w:noProof/>
          <w:sz w:val="22"/>
          <w:lang w:val="es-AR"/>
        </w:rPr>
        <w:t xml:space="preserve">Rev Soc Bras Med Trop. 2022;55:e01712022. </w:t>
      </w:r>
    </w:p>
    <w:p w14:paraId="164E23CE" w14:textId="77777777" w:rsidR="00C5444A" w:rsidRPr="00F01F3A" w:rsidRDefault="00C5444A" w:rsidP="00C5444A">
      <w:pPr>
        <w:widowControl w:val="0"/>
        <w:autoSpaceDE w:val="0"/>
        <w:autoSpaceDN w:val="0"/>
        <w:adjustRightInd w:val="0"/>
        <w:ind w:left="640" w:hanging="640"/>
        <w:rPr>
          <w:rFonts w:ascii="Calibri" w:hAnsi="Calibri" w:cs="Calibri"/>
          <w:noProof/>
          <w:sz w:val="22"/>
        </w:rPr>
      </w:pPr>
      <w:r w:rsidRPr="00F01F3A">
        <w:rPr>
          <w:rFonts w:ascii="Calibri" w:hAnsi="Calibri" w:cs="Calibri"/>
          <w:noProof/>
          <w:sz w:val="22"/>
          <w:lang w:val="es-AR"/>
        </w:rPr>
        <w:t xml:space="preserve">8. </w:t>
      </w:r>
      <w:r w:rsidRPr="00F01F3A">
        <w:rPr>
          <w:rFonts w:ascii="Calibri" w:hAnsi="Calibri" w:cs="Calibri"/>
          <w:noProof/>
          <w:sz w:val="22"/>
          <w:lang w:val="es-AR"/>
        </w:rPr>
        <w:tab/>
        <w:t xml:space="preserve">Herazo R, Rey A, Galvão D, Camargo MM, Pinzón NJC, Sanchez ACR, et al. </w:t>
      </w:r>
      <w:r w:rsidRPr="00F01F3A">
        <w:rPr>
          <w:rFonts w:ascii="Calibri" w:hAnsi="Calibri" w:cs="Calibri"/>
          <w:noProof/>
          <w:sz w:val="22"/>
        </w:rPr>
        <w:t xml:space="preserve">Analysis of the costs incurred by patients with Chagas disease: The experience in  endemic municipalities in Colombia. Acta Trop. 2023 Sep;245:106963. </w:t>
      </w:r>
    </w:p>
    <w:p w14:paraId="2C1D6C3A" w14:textId="20CE99EC" w:rsidR="007C75D8" w:rsidRPr="0062178E" w:rsidRDefault="0062178E" w:rsidP="00C5444A">
      <w:pPr>
        <w:widowControl w:val="0"/>
        <w:autoSpaceDE w:val="0"/>
        <w:autoSpaceDN w:val="0"/>
        <w:adjustRightInd w:val="0"/>
        <w:ind w:left="640" w:hanging="640"/>
        <w:rPr>
          <w:rFonts w:ascii="Calibri" w:hAnsi="Calibri" w:cs="Calibri Light"/>
          <w:sz w:val="22"/>
          <w:szCs w:val="22"/>
        </w:rPr>
      </w:pPr>
      <w:r w:rsidRPr="00F01F3A">
        <w:rPr>
          <w:rFonts w:ascii="Calibri" w:hAnsi="Calibri" w:cs="Calibri Light"/>
          <w:sz w:val="22"/>
          <w:szCs w:val="22"/>
        </w:rPr>
        <w:fldChar w:fldCharType="end"/>
      </w:r>
    </w:p>
    <w:p w14:paraId="2FF1004C" w14:textId="77777777" w:rsidR="0062178E" w:rsidRPr="0062178E" w:rsidRDefault="0062178E">
      <w:pPr>
        <w:rPr>
          <w:rFonts w:ascii="Calibri" w:hAnsi="Calibri" w:cs="Calibri Light"/>
          <w:sz w:val="22"/>
          <w:szCs w:val="22"/>
        </w:rPr>
      </w:pPr>
    </w:p>
    <w:sectPr w:rsidR="0062178E" w:rsidRPr="0062178E" w:rsidSect="001A5E31">
      <w:headerReference w:type="default" r:id="rId9"/>
      <w:footerReference w:type="even" r:id="rId10"/>
      <w:footerReference w:type="default" r:id="rId11"/>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A9AA2" w14:textId="77777777" w:rsidR="007F4C45" w:rsidRDefault="007F4C45" w:rsidP="00301BE2">
      <w:r>
        <w:separator/>
      </w:r>
    </w:p>
  </w:endnote>
  <w:endnote w:type="continuationSeparator" w:id="0">
    <w:p w14:paraId="646AA3BA" w14:textId="77777777" w:rsidR="007F4C45" w:rsidRDefault="007F4C45" w:rsidP="00301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0809088"/>
      <w:docPartObj>
        <w:docPartGallery w:val="Page Numbers (Bottom of Page)"/>
        <w:docPartUnique/>
      </w:docPartObj>
    </w:sdtPr>
    <w:sdtEndPr>
      <w:rPr>
        <w:rStyle w:val="PageNumber"/>
      </w:rPr>
    </w:sdtEndPr>
    <w:sdtContent>
      <w:p w14:paraId="40091A2D" w14:textId="408C746D" w:rsidR="00CF6DAF" w:rsidRDefault="00CF6DAF" w:rsidP="00C544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0BBEEA" w14:textId="77777777" w:rsidR="00CF6DAF" w:rsidRDefault="00CF6DAF" w:rsidP="006217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1237966"/>
      <w:docPartObj>
        <w:docPartGallery w:val="Page Numbers (Bottom of Page)"/>
        <w:docPartUnique/>
      </w:docPartObj>
    </w:sdtPr>
    <w:sdtEndPr>
      <w:rPr>
        <w:rStyle w:val="PageNumber"/>
      </w:rPr>
    </w:sdtEndPr>
    <w:sdtContent>
      <w:p w14:paraId="27509292" w14:textId="23A35B71" w:rsidR="00CF6DAF" w:rsidRDefault="00CF6DAF" w:rsidP="00C544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6162F975" w14:textId="77777777" w:rsidR="00CF6DAF" w:rsidRDefault="00CF6DAF" w:rsidP="006217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1A9B2" w14:textId="77777777" w:rsidR="007F4C45" w:rsidRDefault="007F4C45" w:rsidP="00301BE2">
      <w:r>
        <w:separator/>
      </w:r>
    </w:p>
  </w:footnote>
  <w:footnote w:type="continuationSeparator" w:id="0">
    <w:p w14:paraId="0AA6C5BE" w14:textId="77777777" w:rsidR="007F4C45" w:rsidRDefault="007F4C45" w:rsidP="00301BE2">
      <w:r>
        <w:continuationSeparator/>
      </w:r>
    </w:p>
  </w:footnote>
  <w:footnote w:id="1">
    <w:p w14:paraId="364AA0D0" w14:textId="77777777" w:rsidR="00CF6DAF" w:rsidRPr="00BD6BC5" w:rsidRDefault="00CF6DAF" w:rsidP="008F4180">
      <w:pPr>
        <w:pStyle w:val="FootnoteText"/>
        <w:rPr>
          <w:rFonts w:cstheme="minorHAnsi"/>
          <w:sz w:val="16"/>
          <w:szCs w:val="16"/>
        </w:rPr>
      </w:pPr>
      <w:r w:rsidRPr="007C5D3A">
        <w:rPr>
          <w:rStyle w:val="FootnoteReference"/>
        </w:rPr>
        <w:footnoteRef/>
      </w:r>
      <w:r w:rsidRPr="00BD6BC5">
        <w:rPr>
          <w:rFonts w:cstheme="minorHAnsi"/>
          <w:sz w:val="16"/>
          <w:szCs w:val="16"/>
        </w:rPr>
        <w:t xml:space="preserve"> </w:t>
      </w:r>
      <w:r>
        <w:rPr>
          <w:rFonts w:cstheme="minorHAnsi"/>
          <w:sz w:val="16"/>
          <w:szCs w:val="16"/>
        </w:rPr>
        <w:t>T</w:t>
      </w:r>
      <w:r w:rsidRPr="00BD6BC5">
        <w:rPr>
          <w:rFonts w:eastAsia="Calibri" w:cstheme="minorHAnsi"/>
          <w:sz w:val="16"/>
          <w:szCs w:val="16"/>
          <w:lang w:bidi="en-US"/>
        </w:rPr>
        <w:t xml:space="preserve">he population </w:t>
      </w:r>
      <w:r>
        <w:rPr>
          <w:rFonts w:eastAsia="Calibri" w:cstheme="minorHAnsi"/>
          <w:sz w:val="16"/>
          <w:szCs w:val="16"/>
          <w:lang w:bidi="en-US"/>
        </w:rPr>
        <w:t>is as defined in the</w:t>
      </w:r>
      <w:r w:rsidRPr="00BD6BC5">
        <w:rPr>
          <w:rFonts w:eastAsia="Calibri" w:cstheme="minorHAnsi"/>
          <w:sz w:val="16"/>
          <w:szCs w:val="16"/>
          <w:lang w:bidi="en-US"/>
        </w:rPr>
        <w:t xml:space="preserve"> main study protocol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6905" w14:textId="42360AFA" w:rsidR="00CF6DAF" w:rsidRDefault="00CF6DAF">
    <w:pPr>
      <w:pStyle w:val="Header"/>
    </w:pPr>
  </w:p>
  <w:p w14:paraId="16269513" w14:textId="77777777" w:rsidR="00CF6DAF" w:rsidRDefault="00CF6DAF">
    <w:pPr>
      <w:pStyle w:val="Header"/>
    </w:pPr>
  </w:p>
  <w:p w14:paraId="6131AC7A" w14:textId="77777777" w:rsidR="00CF6DAF" w:rsidRDefault="00CF6DAF">
    <w:pPr>
      <w:pStyle w:val="Header"/>
    </w:pPr>
  </w:p>
  <w:p w14:paraId="49B2B576" w14:textId="77777777" w:rsidR="00CF6DAF" w:rsidRDefault="00CF6DAF">
    <w:pPr>
      <w:pStyle w:val="Header"/>
    </w:pPr>
  </w:p>
  <w:p w14:paraId="67E85458" w14:textId="77777777" w:rsidR="00CF6DAF" w:rsidRDefault="00CF6D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2171"/>
    <w:multiLevelType w:val="hybridMultilevel"/>
    <w:tmpl w:val="363061FE"/>
    <w:lvl w:ilvl="0" w:tplc="A0E86F8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926D1"/>
    <w:multiLevelType w:val="multilevel"/>
    <w:tmpl w:val="9514C64A"/>
    <w:lvl w:ilvl="0">
      <w:start w:val="1"/>
      <w:numFmt w:val="bullet"/>
      <w:lvlText w:val="o"/>
      <w:lvlJc w:val="left"/>
      <w:pPr>
        <w:ind w:left="720" w:hanging="360"/>
      </w:pPr>
      <w:rPr>
        <w:rFonts w:ascii="Courier New" w:hAnsi="Courier New" w:hint="default"/>
        <w:sz w:val="20"/>
      </w:rPr>
    </w:lvl>
    <w:lvl w:ilvl="1">
      <w:start w:val="1"/>
      <w:numFmt w:val="bullet"/>
      <w:lvlText w:val="o"/>
      <w:lvlJc w:val="left"/>
      <w:pPr>
        <w:ind w:left="108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7A206DB"/>
    <w:multiLevelType w:val="multilevel"/>
    <w:tmpl w:val="7F58B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72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52220"/>
    <w:multiLevelType w:val="multilevel"/>
    <w:tmpl w:val="AE2A10A0"/>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E6D06"/>
    <w:multiLevelType w:val="hybridMultilevel"/>
    <w:tmpl w:val="EF9A87D4"/>
    <w:lvl w:ilvl="0" w:tplc="A0E86F8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4C1F32"/>
    <w:multiLevelType w:val="hybridMultilevel"/>
    <w:tmpl w:val="B952FEE2"/>
    <w:lvl w:ilvl="0" w:tplc="A0E86F84">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35BD2"/>
    <w:multiLevelType w:val="hybridMultilevel"/>
    <w:tmpl w:val="D4CE7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D302B"/>
    <w:multiLevelType w:val="multilevel"/>
    <w:tmpl w:val="0576E4B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4B35F5"/>
    <w:multiLevelType w:val="hybridMultilevel"/>
    <w:tmpl w:val="99946096"/>
    <w:lvl w:ilvl="0" w:tplc="1696D258">
      <w:start w:val="3"/>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0F7236"/>
    <w:multiLevelType w:val="hybridMultilevel"/>
    <w:tmpl w:val="CC7AE47C"/>
    <w:lvl w:ilvl="0" w:tplc="1696D258">
      <w:start w:val="3"/>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957FB0"/>
    <w:multiLevelType w:val="hybridMultilevel"/>
    <w:tmpl w:val="69D22720"/>
    <w:lvl w:ilvl="0" w:tplc="A0E86F84">
      <w:start w:val="1"/>
      <w:numFmt w:val="bullet"/>
      <w:lvlText w:val="o"/>
      <w:lvlJc w:val="left"/>
      <w:pPr>
        <w:ind w:left="720" w:hanging="360"/>
      </w:pPr>
      <w:rPr>
        <w:rFonts w:ascii="Courier New" w:hAnsi="Courier New" w:hint="default"/>
      </w:rPr>
    </w:lvl>
    <w:lvl w:ilvl="1" w:tplc="57606514">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E551F2"/>
    <w:multiLevelType w:val="multilevel"/>
    <w:tmpl w:val="73F01DCA"/>
    <w:lvl w:ilvl="0">
      <w:start w:val="1"/>
      <w:numFmt w:val="bullet"/>
      <w:lvlText w:val="o"/>
      <w:lvlJc w:val="left"/>
      <w:pPr>
        <w:ind w:left="720" w:hanging="360"/>
      </w:pPr>
      <w:rPr>
        <w:rFonts w:ascii="Courier New" w:hAnsi="Courier New" w:hint="default"/>
        <w:sz w:val="20"/>
      </w:rPr>
    </w:lvl>
    <w:lvl w:ilvl="1">
      <w:start w:val="1"/>
      <w:numFmt w:val="bullet"/>
      <w:lvlText w:val="o"/>
      <w:lvlJc w:val="left"/>
      <w:pPr>
        <w:ind w:left="0" w:hanging="360"/>
      </w:pPr>
      <w:rPr>
        <w:rFonts w:ascii="Courier New" w:hAnsi="Courier New"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2" w15:restartNumberingAfterBreak="0">
    <w:nsid w:val="232153D6"/>
    <w:multiLevelType w:val="multilevel"/>
    <w:tmpl w:val="BF441970"/>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B03022"/>
    <w:multiLevelType w:val="hybridMultilevel"/>
    <w:tmpl w:val="CA9C7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DC339A"/>
    <w:multiLevelType w:val="hybridMultilevel"/>
    <w:tmpl w:val="E9D8A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B4D12"/>
    <w:multiLevelType w:val="multilevel"/>
    <w:tmpl w:val="060EA4DC"/>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191AAC"/>
    <w:multiLevelType w:val="multilevel"/>
    <w:tmpl w:val="838ACDC4"/>
    <w:lvl w:ilvl="0">
      <w:start w:val="1"/>
      <w:numFmt w:val="bullet"/>
      <w:lvlText w:val=""/>
      <w:lvlJc w:val="left"/>
      <w:pPr>
        <w:ind w:left="720" w:hanging="360"/>
      </w:pPr>
      <w:rPr>
        <w:rFonts w:ascii="Symbol" w:hAnsi="Symbol" w:hint="default"/>
        <w:sz w:val="20"/>
      </w:rPr>
    </w:lvl>
    <w:lvl w:ilvl="1">
      <w:start w:val="1"/>
      <w:numFmt w:val="bullet"/>
      <w:lvlText w:val=""/>
      <w:lvlJc w:val="left"/>
      <w:pPr>
        <w:ind w:left="36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BED535E"/>
    <w:multiLevelType w:val="multilevel"/>
    <w:tmpl w:val="93F4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CB134C"/>
    <w:multiLevelType w:val="multilevel"/>
    <w:tmpl w:val="7E4C8E2A"/>
    <w:lvl w:ilvl="0">
      <w:start w:val="1"/>
      <w:numFmt w:val="bullet"/>
      <w:lvlText w:val="o"/>
      <w:lvlJc w:val="left"/>
      <w:pPr>
        <w:ind w:left="720" w:hanging="360"/>
      </w:pPr>
      <w:rPr>
        <w:rFonts w:ascii="Courier New" w:hAnsi="Courier New" w:hint="default"/>
        <w:sz w:val="20"/>
      </w:rPr>
    </w:lvl>
    <w:lvl w:ilvl="1">
      <w:start w:val="1"/>
      <w:numFmt w:val="bullet"/>
      <w:lvlText w:val=""/>
      <w:lvlJc w:val="left"/>
      <w:pPr>
        <w:ind w:left="36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3656D08"/>
    <w:multiLevelType w:val="multilevel"/>
    <w:tmpl w:val="33A22CEA"/>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994323"/>
    <w:multiLevelType w:val="multilevel"/>
    <w:tmpl w:val="AC38548A"/>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D77843"/>
    <w:multiLevelType w:val="multilevel"/>
    <w:tmpl w:val="E2C8AA2A"/>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A67CB7"/>
    <w:multiLevelType w:val="multilevel"/>
    <w:tmpl w:val="99FCFC76"/>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5D71FD"/>
    <w:multiLevelType w:val="hybridMultilevel"/>
    <w:tmpl w:val="CE76FCD6"/>
    <w:lvl w:ilvl="0" w:tplc="4CAE342E">
      <w:start w:val="1"/>
      <w:numFmt w:val="decimal"/>
      <w:lvlText w:val="%1."/>
      <w:lvlJc w:val="left"/>
      <w:pPr>
        <w:ind w:left="720" w:hanging="360"/>
      </w:pPr>
    </w:lvl>
    <w:lvl w:ilvl="1" w:tplc="24B80A02">
      <w:start w:val="1"/>
      <w:numFmt w:val="lowerLetter"/>
      <w:lvlText w:val="%2."/>
      <w:lvlJc w:val="left"/>
      <w:pPr>
        <w:ind w:left="1440" w:hanging="360"/>
      </w:pPr>
    </w:lvl>
    <w:lvl w:ilvl="2" w:tplc="46F4726E">
      <w:start w:val="1"/>
      <w:numFmt w:val="lowerRoman"/>
      <w:lvlText w:val="%3."/>
      <w:lvlJc w:val="right"/>
      <w:pPr>
        <w:ind w:left="2160" w:hanging="180"/>
      </w:pPr>
    </w:lvl>
    <w:lvl w:ilvl="3" w:tplc="78503116">
      <w:start w:val="1"/>
      <w:numFmt w:val="decimal"/>
      <w:lvlText w:val="%4."/>
      <w:lvlJc w:val="left"/>
      <w:pPr>
        <w:ind w:left="2880" w:hanging="360"/>
      </w:pPr>
    </w:lvl>
    <w:lvl w:ilvl="4" w:tplc="805E25F8">
      <w:start w:val="1"/>
      <w:numFmt w:val="lowerLetter"/>
      <w:lvlText w:val="%5."/>
      <w:lvlJc w:val="left"/>
      <w:pPr>
        <w:ind w:left="3600" w:hanging="360"/>
      </w:pPr>
    </w:lvl>
    <w:lvl w:ilvl="5" w:tplc="ED5A3722">
      <w:start w:val="1"/>
      <w:numFmt w:val="lowerRoman"/>
      <w:lvlText w:val="%6."/>
      <w:lvlJc w:val="right"/>
      <w:pPr>
        <w:ind w:left="4320" w:hanging="180"/>
      </w:pPr>
    </w:lvl>
    <w:lvl w:ilvl="6" w:tplc="9CC6CA90">
      <w:start w:val="1"/>
      <w:numFmt w:val="decimal"/>
      <w:lvlText w:val="%7."/>
      <w:lvlJc w:val="left"/>
      <w:pPr>
        <w:ind w:left="5040" w:hanging="360"/>
      </w:pPr>
    </w:lvl>
    <w:lvl w:ilvl="7" w:tplc="A05468C8">
      <w:start w:val="1"/>
      <w:numFmt w:val="lowerLetter"/>
      <w:lvlText w:val="%8."/>
      <w:lvlJc w:val="left"/>
      <w:pPr>
        <w:ind w:left="5760" w:hanging="360"/>
      </w:pPr>
    </w:lvl>
    <w:lvl w:ilvl="8" w:tplc="41B8B71A">
      <w:start w:val="1"/>
      <w:numFmt w:val="lowerRoman"/>
      <w:lvlText w:val="%9."/>
      <w:lvlJc w:val="right"/>
      <w:pPr>
        <w:ind w:left="6480" w:hanging="180"/>
      </w:pPr>
    </w:lvl>
  </w:abstractNum>
  <w:abstractNum w:abstractNumId="24" w15:restartNumberingAfterBreak="0">
    <w:nsid w:val="441F0C55"/>
    <w:multiLevelType w:val="hybridMultilevel"/>
    <w:tmpl w:val="82C413CE"/>
    <w:lvl w:ilvl="0" w:tplc="34DC2974">
      <w:start w:val="1"/>
      <w:numFmt w:val="upperLetter"/>
      <w:lvlText w:val="%1."/>
      <w:lvlJc w:val="left"/>
      <w:pPr>
        <w:ind w:left="785" w:hanging="360"/>
      </w:pPr>
      <w:rPr>
        <w:rFonts w:hint="default"/>
        <w:b/>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7303D0A"/>
    <w:multiLevelType w:val="multilevel"/>
    <w:tmpl w:val="477CEC72"/>
    <w:lvl w:ilvl="0">
      <w:start w:val="1"/>
      <w:numFmt w:val="bullet"/>
      <w:lvlText w:val=""/>
      <w:lvlJc w:val="left"/>
      <w:pPr>
        <w:ind w:left="720" w:hanging="360"/>
      </w:pPr>
      <w:rPr>
        <w:rFonts w:ascii="Symbol" w:hAnsi="Symbol" w:hint="default"/>
        <w:sz w:val="20"/>
      </w:rPr>
    </w:lvl>
    <w:lvl w:ilvl="1">
      <w:start w:val="1"/>
      <w:numFmt w:val="bullet"/>
      <w:lvlText w:val="o"/>
      <w:lvlJc w:val="left"/>
      <w:pPr>
        <w:ind w:left="72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BBB0C90"/>
    <w:multiLevelType w:val="hybridMultilevel"/>
    <w:tmpl w:val="5CC6A152"/>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5D0C5A"/>
    <w:multiLevelType w:val="hybridMultilevel"/>
    <w:tmpl w:val="3A704CF0"/>
    <w:lvl w:ilvl="0" w:tplc="A0E86F84">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855D7F"/>
    <w:multiLevelType w:val="multilevel"/>
    <w:tmpl w:val="0D0AA61C"/>
    <w:lvl w:ilvl="0">
      <w:start w:val="1"/>
      <w:numFmt w:val="bullet"/>
      <w:lvlText w:val=""/>
      <w:lvlJc w:val="left"/>
      <w:pPr>
        <w:ind w:left="1080" w:hanging="360"/>
      </w:pPr>
      <w:rPr>
        <w:rFonts w:ascii="Wingdings" w:hAnsi="Wingdings" w:hint="default"/>
        <w:sz w:val="20"/>
      </w:rPr>
    </w:lvl>
    <w:lvl w:ilvl="1">
      <w:start w:val="1"/>
      <w:numFmt w:val="bullet"/>
      <w:lvlText w:val="o"/>
      <w:lvlJc w:val="left"/>
      <w:pPr>
        <w:ind w:left="36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F86047A"/>
    <w:multiLevelType w:val="hybridMultilevel"/>
    <w:tmpl w:val="ED542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4A28A8"/>
    <w:multiLevelType w:val="hybridMultilevel"/>
    <w:tmpl w:val="EC308C70"/>
    <w:lvl w:ilvl="0" w:tplc="A0E86F84">
      <w:start w:val="1"/>
      <w:numFmt w:val="bullet"/>
      <w:lvlText w:val="o"/>
      <w:lvlJc w:val="left"/>
      <w:pPr>
        <w:ind w:left="720" w:hanging="360"/>
      </w:pPr>
      <w:rPr>
        <w:rFonts w:ascii="Courier New" w:hAnsi="Courier New" w:hint="default"/>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1" w15:restartNumberingAfterBreak="0">
    <w:nsid w:val="588E12C6"/>
    <w:multiLevelType w:val="hybridMultilevel"/>
    <w:tmpl w:val="39A8300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5A0A750A"/>
    <w:multiLevelType w:val="hybridMultilevel"/>
    <w:tmpl w:val="D0F0255C"/>
    <w:lvl w:ilvl="0" w:tplc="1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F0C0E09"/>
    <w:multiLevelType w:val="multilevel"/>
    <w:tmpl w:val="3ABCCF74"/>
    <w:lvl w:ilvl="0">
      <w:start w:val="1"/>
      <w:numFmt w:val="bullet"/>
      <w:lvlText w:val=""/>
      <w:lvlJc w:val="left"/>
      <w:pPr>
        <w:ind w:left="720" w:hanging="360"/>
      </w:pPr>
      <w:rPr>
        <w:rFonts w:ascii="Symbol" w:hAnsi="Symbol" w:hint="default"/>
        <w:sz w:val="20"/>
      </w:rPr>
    </w:lvl>
    <w:lvl w:ilvl="1">
      <w:start w:val="1"/>
      <w:numFmt w:val="bullet"/>
      <w:lvlText w:val="o"/>
      <w:lvlJc w:val="left"/>
      <w:pPr>
        <w:ind w:left="0" w:hanging="360"/>
      </w:pPr>
      <w:rPr>
        <w:rFonts w:ascii="Courier New" w:hAnsi="Courier New"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4" w15:restartNumberingAfterBreak="0">
    <w:nsid w:val="64D45E51"/>
    <w:multiLevelType w:val="hybridMultilevel"/>
    <w:tmpl w:val="55702668"/>
    <w:lvl w:ilvl="0" w:tplc="ACE2DE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177541"/>
    <w:multiLevelType w:val="multilevel"/>
    <w:tmpl w:val="FA88E13E"/>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6E2D79"/>
    <w:multiLevelType w:val="hybridMultilevel"/>
    <w:tmpl w:val="A54614DC"/>
    <w:lvl w:ilvl="0" w:tplc="79CE5C90">
      <w:start w:val="1"/>
      <w:numFmt w:val="decimal"/>
      <w:lvlText w:val="%1."/>
      <w:lvlJc w:val="left"/>
      <w:pPr>
        <w:ind w:left="720" w:hanging="360"/>
      </w:pPr>
    </w:lvl>
    <w:lvl w:ilvl="1" w:tplc="9934E3C8">
      <w:start w:val="1"/>
      <w:numFmt w:val="lowerLetter"/>
      <w:lvlText w:val="%2."/>
      <w:lvlJc w:val="left"/>
      <w:pPr>
        <w:ind w:left="1440" w:hanging="360"/>
      </w:pPr>
    </w:lvl>
    <w:lvl w:ilvl="2" w:tplc="F48C5016">
      <w:start w:val="1"/>
      <w:numFmt w:val="lowerRoman"/>
      <w:lvlText w:val="%3."/>
      <w:lvlJc w:val="right"/>
      <w:pPr>
        <w:ind w:left="2160" w:hanging="180"/>
      </w:pPr>
    </w:lvl>
    <w:lvl w:ilvl="3" w:tplc="F6388C16">
      <w:start w:val="1"/>
      <w:numFmt w:val="decimal"/>
      <w:lvlText w:val="%4."/>
      <w:lvlJc w:val="left"/>
      <w:pPr>
        <w:ind w:left="2880" w:hanging="360"/>
      </w:pPr>
    </w:lvl>
    <w:lvl w:ilvl="4" w:tplc="92B0E88C">
      <w:start w:val="1"/>
      <w:numFmt w:val="lowerLetter"/>
      <w:lvlText w:val="%5."/>
      <w:lvlJc w:val="left"/>
      <w:pPr>
        <w:ind w:left="3600" w:hanging="360"/>
      </w:pPr>
    </w:lvl>
    <w:lvl w:ilvl="5" w:tplc="CBE8FF24">
      <w:start w:val="1"/>
      <w:numFmt w:val="lowerRoman"/>
      <w:lvlText w:val="%6."/>
      <w:lvlJc w:val="right"/>
      <w:pPr>
        <w:ind w:left="4320" w:hanging="180"/>
      </w:pPr>
    </w:lvl>
    <w:lvl w:ilvl="6" w:tplc="A9B2BD4A">
      <w:start w:val="1"/>
      <w:numFmt w:val="decimal"/>
      <w:lvlText w:val="%7."/>
      <w:lvlJc w:val="left"/>
      <w:pPr>
        <w:ind w:left="5040" w:hanging="360"/>
      </w:pPr>
    </w:lvl>
    <w:lvl w:ilvl="7" w:tplc="51C6941A">
      <w:start w:val="1"/>
      <w:numFmt w:val="lowerLetter"/>
      <w:lvlText w:val="%8."/>
      <w:lvlJc w:val="left"/>
      <w:pPr>
        <w:ind w:left="5760" w:hanging="360"/>
      </w:pPr>
    </w:lvl>
    <w:lvl w:ilvl="8" w:tplc="4FF01E6C">
      <w:start w:val="1"/>
      <w:numFmt w:val="lowerRoman"/>
      <w:lvlText w:val="%9."/>
      <w:lvlJc w:val="right"/>
      <w:pPr>
        <w:ind w:left="6480" w:hanging="180"/>
      </w:pPr>
    </w:lvl>
  </w:abstractNum>
  <w:abstractNum w:abstractNumId="37" w15:restartNumberingAfterBreak="0">
    <w:nsid w:val="6DEB1B0F"/>
    <w:multiLevelType w:val="multilevel"/>
    <w:tmpl w:val="811C7076"/>
    <w:lvl w:ilvl="0">
      <w:start w:val="1"/>
      <w:numFmt w:val="bullet"/>
      <w:lvlText w:val="o"/>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C63C61"/>
    <w:multiLevelType w:val="multilevel"/>
    <w:tmpl w:val="2AC65126"/>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341470"/>
    <w:multiLevelType w:val="hybridMultilevel"/>
    <w:tmpl w:val="B374FD02"/>
    <w:lvl w:ilvl="0" w:tplc="ACE2DE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937068"/>
    <w:multiLevelType w:val="multilevel"/>
    <w:tmpl w:val="A05EE6A0"/>
    <w:lvl w:ilvl="0">
      <w:start w:val="1"/>
      <w:numFmt w:val="bullet"/>
      <w:lvlText w:val=""/>
      <w:lvlJc w:val="left"/>
      <w:pPr>
        <w:ind w:left="717" w:hanging="360"/>
      </w:pPr>
      <w:rPr>
        <w:rFonts w:ascii="Symbol" w:hAnsi="Symbol" w:hint="default"/>
        <w:sz w:val="20"/>
      </w:rPr>
    </w:lvl>
    <w:lvl w:ilvl="1" w:tentative="1">
      <w:start w:val="1"/>
      <w:numFmt w:val="bullet"/>
      <w:lvlText w:val="o"/>
      <w:lvlJc w:val="left"/>
      <w:pPr>
        <w:tabs>
          <w:tab w:val="num" w:pos="1437"/>
        </w:tabs>
        <w:ind w:left="1437" w:hanging="360"/>
      </w:pPr>
      <w:rPr>
        <w:rFonts w:ascii="Courier New" w:hAnsi="Courier New" w:hint="default"/>
        <w:sz w:val="20"/>
      </w:rPr>
    </w:lvl>
    <w:lvl w:ilvl="2" w:tentative="1">
      <w:start w:val="1"/>
      <w:numFmt w:val="bullet"/>
      <w:lvlText w:val=""/>
      <w:lvlJc w:val="left"/>
      <w:pPr>
        <w:tabs>
          <w:tab w:val="num" w:pos="2157"/>
        </w:tabs>
        <w:ind w:left="2157" w:hanging="360"/>
      </w:pPr>
      <w:rPr>
        <w:rFonts w:ascii="Wingdings" w:hAnsi="Wingdings" w:hint="default"/>
        <w:sz w:val="20"/>
      </w:rPr>
    </w:lvl>
    <w:lvl w:ilvl="3" w:tentative="1">
      <w:start w:val="1"/>
      <w:numFmt w:val="bullet"/>
      <w:lvlText w:val=""/>
      <w:lvlJc w:val="left"/>
      <w:pPr>
        <w:tabs>
          <w:tab w:val="num" w:pos="2877"/>
        </w:tabs>
        <w:ind w:left="2877" w:hanging="360"/>
      </w:pPr>
      <w:rPr>
        <w:rFonts w:ascii="Wingdings" w:hAnsi="Wingdings" w:hint="default"/>
        <w:sz w:val="20"/>
      </w:rPr>
    </w:lvl>
    <w:lvl w:ilvl="4" w:tentative="1">
      <w:start w:val="1"/>
      <w:numFmt w:val="bullet"/>
      <w:lvlText w:val=""/>
      <w:lvlJc w:val="left"/>
      <w:pPr>
        <w:tabs>
          <w:tab w:val="num" w:pos="3597"/>
        </w:tabs>
        <w:ind w:left="3597" w:hanging="360"/>
      </w:pPr>
      <w:rPr>
        <w:rFonts w:ascii="Wingdings" w:hAnsi="Wingdings" w:hint="default"/>
        <w:sz w:val="20"/>
      </w:rPr>
    </w:lvl>
    <w:lvl w:ilvl="5" w:tentative="1">
      <w:start w:val="1"/>
      <w:numFmt w:val="bullet"/>
      <w:lvlText w:val=""/>
      <w:lvlJc w:val="left"/>
      <w:pPr>
        <w:tabs>
          <w:tab w:val="num" w:pos="4317"/>
        </w:tabs>
        <w:ind w:left="4317" w:hanging="360"/>
      </w:pPr>
      <w:rPr>
        <w:rFonts w:ascii="Wingdings" w:hAnsi="Wingdings" w:hint="default"/>
        <w:sz w:val="20"/>
      </w:rPr>
    </w:lvl>
    <w:lvl w:ilvl="6" w:tentative="1">
      <w:start w:val="1"/>
      <w:numFmt w:val="bullet"/>
      <w:lvlText w:val=""/>
      <w:lvlJc w:val="left"/>
      <w:pPr>
        <w:tabs>
          <w:tab w:val="num" w:pos="5037"/>
        </w:tabs>
        <w:ind w:left="5037" w:hanging="360"/>
      </w:pPr>
      <w:rPr>
        <w:rFonts w:ascii="Wingdings" w:hAnsi="Wingdings" w:hint="default"/>
        <w:sz w:val="20"/>
      </w:rPr>
    </w:lvl>
    <w:lvl w:ilvl="7" w:tentative="1">
      <w:start w:val="1"/>
      <w:numFmt w:val="bullet"/>
      <w:lvlText w:val=""/>
      <w:lvlJc w:val="left"/>
      <w:pPr>
        <w:tabs>
          <w:tab w:val="num" w:pos="5757"/>
        </w:tabs>
        <w:ind w:left="5757" w:hanging="360"/>
      </w:pPr>
      <w:rPr>
        <w:rFonts w:ascii="Wingdings" w:hAnsi="Wingdings" w:hint="default"/>
        <w:sz w:val="20"/>
      </w:rPr>
    </w:lvl>
    <w:lvl w:ilvl="8" w:tentative="1">
      <w:start w:val="1"/>
      <w:numFmt w:val="bullet"/>
      <w:lvlText w:val=""/>
      <w:lvlJc w:val="left"/>
      <w:pPr>
        <w:tabs>
          <w:tab w:val="num" w:pos="6477"/>
        </w:tabs>
        <w:ind w:left="6477" w:hanging="360"/>
      </w:pPr>
      <w:rPr>
        <w:rFonts w:ascii="Wingdings" w:hAnsi="Wingdings" w:hint="default"/>
        <w:sz w:val="20"/>
      </w:rPr>
    </w:lvl>
  </w:abstractNum>
  <w:abstractNum w:abstractNumId="41" w15:restartNumberingAfterBreak="0">
    <w:nsid w:val="7BDB4942"/>
    <w:multiLevelType w:val="hybridMultilevel"/>
    <w:tmpl w:val="185C09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F4B428A"/>
    <w:multiLevelType w:val="multilevel"/>
    <w:tmpl w:val="00922F16"/>
    <w:lvl w:ilvl="0">
      <w:start w:val="1"/>
      <w:numFmt w:val="bullet"/>
      <w:lvlText w:val="o"/>
      <w:lvlJc w:val="left"/>
      <w:pPr>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5765975">
    <w:abstractNumId w:val="41"/>
  </w:num>
  <w:num w:numId="2" w16cid:durableId="167058278">
    <w:abstractNumId w:val="14"/>
  </w:num>
  <w:num w:numId="3" w16cid:durableId="1030453660">
    <w:abstractNumId w:val="6"/>
  </w:num>
  <w:num w:numId="4" w16cid:durableId="937104667">
    <w:abstractNumId w:val="16"/>
  </w:num>
  <w:num w:numId="5" w16cid:durableId="1699238102">
    <w:abstractNumId w:val="17"/>
  </w:num>
  <w:num w:numId="6" w16cid:durableId="985941031">
    <w:abstractNumId w:val="4"/>
  </w:num>
  <w:num w:numId="7" w16cid:durableId="1300960772">
    <w:abstractNumId w:val="10"/>
  </w:num>
  <w:num w:numId="8" w16cid:durableId="1603299229">
    <w:abstractNumId w:val="2"/>
  </w:num>
  <w:num w:numId="9" w16cid:durableId="720666043">
    <w:abstractNumId w:val="30"/>
  </w:num>
  <w:num w:numId="10" w16cid:durableId="237372243">
    <w:abstractNumId w:val="1"/>
  </w:num>
  <w:num w:numId="11" w16cid:durableId="1265842427">
    <w:abstractNumId w:val="33"/>
  </w:num>
  <w:num w:numId="12" w16cid:durableId="388846039">
    <w:abstractNumId w:val="11"/>
  </w:num>
  <w:num w:numId="13" w16cid:durableId="1297681232">
    <w:abstractNumId w:val="28"/>
  </w:num>
  <w:num w:numId="14" w16cid:durableId="327171881">
    <w:abstractNumId w:val="13"/>
  </w:num>
  <w:num w:numId="15" w16cid:durableId="1527451218">
    <w:abstractNumId w:val="21"/>
  </w:num>
  <w:num w:numId="16" w16cid:durableId="541022440">
    <w:abstractNumId w:val="40"/>
  </w:num>
  <w:num w:numId="17" w16cid:durableId="38866039">
    <w:abstractNumId w:val="20"/>
  </w:num>
  <w:num w:numId="18" w16cid:durableId="1204249450">
    <w:abstractNumId w:val="38"/>
  </w:num>
  <w:num w:numId="19" w16cid:durableId="414861835">
    <w:abstractNumId w:val="15"/>
  </w:num>
  <w:num w:numId="20" w16cid:durableId="575091726">
    <w:abstractNumId w:val="7"/>
  </w:num>
  <w:num w:numId="21" w16cid:durableId="1755321132">
    <w:abstractNumId w:val="22"/>
  </w:num>
  <w:num w:numId="22" w16cid:durableId="1185052882">
    <w:abstractNumId w:val="12"/>
  </w:num>
  <w:num w:numId="23" w16cid:durableId="1088893504">
    <w:abstractNumId w:val="19"/>
  </w:num>
  <w:num w:numId="24" w16cid:durableId="1786849890">
    <w:abstractNumId w:val="3"/>
  </w:num>
  <w:num w:numId="25" w16cid:durableId="1457598156">
    <w:abstractNumId w:val="37"/>
  </w:num>
  <w:num w:numId="26" w16cid:durableId="754014090">
    <w:abstractNumId w:val="35"/>
  </w:num>
  <w:num w:numId="27" w16cid:durableId="1281032634">
    <w:abstractNumId w:val="25"/>
  </w:num>
  <w:num w:numId="28" w16cid:durableId="1355693884">
    <w:abstractNumId w:val="18"/>
  </w:num>
  <w:num w:numId="29" w16cid:durableId="1572930359">
    <w:abstractNumId w:val="27"/>
  </w:num>
  <w:num w:numId="30" w16cid:durableId="543255659">
    <w:abstractNumId w:val="42"/>
  </w:num>
  <w:num w:numId="31" w16cid:durableId="380322257">
    <w:abstractNumId w:val="0"/>
  </w:num>
  <w:num w:numId="32" w16cid:durableId="1121220987">
    <w:abstractNumId w:val="5"/>
  </w:num>
  <w:num w:numId="33" w16cid:durableId="1514226242">
    <w:abstractNumId w:val="34"/>
  </w:num>
  <w:num w:numId="34" w16cid:durableId="1437100297">
    <w:abstractNumId w:val="8"/>
  </w:num>
  <w:num w:numId="35" w16cid:durableId="618031118">
    <w:abstractNumId w:val="39"/>
  </w:num>
  <w:num w:numId="36" w16cid:durableId="653870907">
    <w:abstractNumId w:val="9"/>
  </w:num>
  <w:num w:numId="37" w16cid:durableId="1121535388">
    <w:abstractNumId w:val="26"/>
  </w:num>
  <w:num w:numId="38" w16cid:durableId="1211116627">
    <w:abstractNumId w:val="31"/>
  </w:num>
  <w:num w:numId="39" w16cid:durableId="944115221">
    <w:abstractNumId w:val="36"/>
  </w:num>
  <w:num w:numId="40" w16cid:durableId="415395100">
    <w:abstractNumId w:val="23"/>
  </w:num>
  <w:num w:numId="41" w16cid:durableId="32274908">
    <w:abstractNumId w:val="24"/>
  </w:num>
  <w:num w:numId="42" w16cid:durableId="521481282">
    <w:abstractNumId w:val="32"/>
  </w:num>
  <w:num w:numId="43" w16cid:durableId="324011578">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CD8"/>
    <w:rsid w:val="00013487"/>
    <w:rsid w:val="00055B4F"/>
    <w:rsid w:val="00093DF8"/>
    <w:rsid w:val="000E0F58"/>
    <w:rsid w:val="000F0244"/>
    <w:rsid w:val="001824E5"/>
    <w:rsid w:val="001A5E31"/>
    <w:rsid w:val="001A7BA6"/>
    <w:rsid w:val="001B31C6"/>
    <w:rsid w:val="001D3EB0"/>
    <w:rsid w:val="002325AA"/>
    <w:rsid w:val="00274743"/>
    <w:rsid w:val="00276CD8"/>
    <w:rsid w:val="00281E37"/>
    <w:rsid w:val="00301BE2"/>
    <w:rsid w:val="00313D30"/>
    <w:rsid w:val="00316DEC"/>
    <w:rsid w:val="003A4BFE"/>
    <w:rsid w:val="003A7EF7"/>
    <w:rsid w:val="003B54EA"/>
    <w:rsid w:val="003F1440"/>
    <w:rsid w:val="003F1C3C"/>
    <w:rsid w:val="00422AF1"/>
    <w:rsid w:val="00435EEB"/>
    <w:rsid w:val="00453C18"/>
    <w:rsid w:val="00472EE1"/>
    <w:rsid w:val="004F273F"/>
    <w:rsid w:val="00522D81"/>
    <w:rsid w:val="005374F4"/>
    <w:rsid w:val="0055312F"/>
    <w:rsid w:val="00584DC1"/>
    <w:rsid w:val="00585CC1"/>
    <w:rsid w:val="00591870"/>
    <w:rsid w:val="005A1D27"/>
    <w:rsid w:val="005A322F"/>
    <w:rsid w:val="0061625E"/>
    <w:rsid w:val="0062178E"/>
    <w:rsid w:val="00674EFE"/>
    <w:rsid w:val="00686955"/>
    <w:rsid w:val="006B1B31"/>
    <w:rsid w:val="006D2001"/>
    <w:rsid w:val="006E7743"/>
    <w:rsid w:val="007910DD"/>
    <w:rsid w:val="007B2282"/>
    <w:rsid w:val="007C5D3A"/>
    <w:rsid w:val="007C75D8"/>
    <w:rsid w:val="007D0F47"/>
    <w:rsid w:val="007F06CE"/>
    <w:rsid w:val="007F4C45"/>
    <w:rsid w:val="00801FC5"/>
    <w:rsid w:val="00834D48"/>
    <w:rsid w:val="008A21E4"/>
    <w:rsid w:val="008C3AA0"/>
    <w:rsid w:val="008D3C07"/>
    <w:rsid w:val="008F4180"/>
    <w:rsid w:val="00940217"/>
    <w:rsid w:val="009403EA"/>
    <w:rsid w:val="00962C11"/>
    <w:rsid w:val="00967682"/>
    <w:rsid w:val="0097285E"/>
    <w:rsid w:val="009A4F2B"/>
    <w:rsid w:val="009C12D9"/>
    <w:rsid w:val="009C2086"/>
    <w:rsid w:val="009C386D"/>
    <w:rsid w:val="009E3084"/>
    <w:rsid w:val="009E5D13"/>
    <w:rsid w:val="00A243DA"/>
    <w:rsid w:val="00A43E47"/>
    <w:rsid w:val="00A46182"/>
    <w:rsid w:val="00A569E9"/>
    <w:rsid w:val="00A61C85"/>
    <w:rsid w:val="00A8741C"/>
    <w:rsid w:val="00A93DC0"/>
    <w:rsid w:val="00A96360"/>
    <w:rsid w:val="00AA04D4"/>
    <w:rsid w:val="00AE2AD5"/>
    <w:rsid w:val="00AF06B0"/>
    <w:rsid w:val="00AF0C4B"/>
    <w:rsid w:val="00AF2849"/>
    <w:rsid w:val="00B050CF"/>
    <w:rsid w:val="00B1386B"/>
    <w:rsid w:val="00B3743B"/>
    <w:rsid w:val="00B4448C"/>
    <w:rsid w:val="00C5444A"/>
    <w:rsid w:val="00C62BE8"/>
    <w:rsid w:val="00CB75BD"/>
    <w:rsid w:val="00CC5D55"/>
    <w:rsid w:val="00CE3DAD"/>
    <w:rsid w:val="00CF6DAF"/>
    <w:rsid w:val="00D24E54"/>
    <w:rsid w:val="00D25DCA"/>
    <w:rsid w:val="00D27793"/>
    <w:rsid w:val="00D45DEE"/>
    <w:rsid w:val="00D81B51"/>
    <w:rsid w:val="00DC0DD3"/>
    <w:rsid w:val="00E12450"/>
    <w:rsid w:val="00E46C9B"/>
    <w:rsid w:val="00E56048"/>
    <w:rsid w:val="00E56888"/>
    <w:rsid w:val="00E756B0"/>
    <w:rsid w:val="00E94F14"/>
    <w:rsid w:val="00E97AB6"/>
    <w:rsid w:val="00EA75D7"/>
    <w:rsid w:val="00EB0608"/>
    <w:rsid w:val="00EB3763"/>
    <w:rsid w:val="00ED29DB"/>
    <w:rsid w:val="00F01F3A"/>
    <w:rsid w:val="00F15BA6"/>
    <w:rsid w:val="00F31A4A"/>
    <w:rsid w:val="00F35ACD"/>
    <w:rsid w:val="00F71846"/>
    <w:rsid w:val="00F73C3C"/>
    <w:rsid w:val="00F85D45"/>
    <w:rsid w:val="00F95301"/>
    <w:rsid w:val="00F97F81"/>
    <w:rsid w:val="00FC3097"/>
    <w:rsid w:val="00FC443B"/>
    <w:rsid w:val="00FC5CFA"/>
    <w:rsid w:val="00FF0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2EBC4D"/>
  <w15:chartTrackingRefBased/>
  <w15:docId w15:val="{48A159C8-37BF-D346-9995-A4EE3B1A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DC1"/>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GB"/>
      <w14:ligatures w14:val="standardContextual"/>
    </w:rPr>
  </w:style>
  <w:style w:type="paragraph" w:styleId="Heading2">
    <w:name w:val="heading 2"/>
    <w:basedOn w:val="Normal"/>
    <w:next w:val="Normal"/>
    <w:link w:val="Heading2Char"/>
    <w:uiPriority w:val="9"/>
    <w:unhideWhenUsed/>
    <w:qFormat/>
    <w:rsid w:val="00584DC1"/>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584DC1"/>
    <w:pPr>
      <w:keepNext/>
      <w:keepLines/>
      <w:spacing w:before="160" w:after="80"/>
      <w:outlineLvl w:val="2"/>
    </w:pPr>
    <w:rPr>
      <w:rFonts w:eastAsiaTheme="majorEastAsia" w:cstheme="majorBidi"/>
      <w:color w:val="2F5496"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584DC1"/>
    <w:pPr>
      <w:keepNext/>
      <w:keepLines/>
      <w:spacing w:before="80" w:after="40"/>
      <w:outlineLvl w:val="3"/>
    </w:pPr>
    <w:rPr>
      <w:rFonts w:eastAsiaTheme="majorEastAsia" w:cstheme="majorBidi"/>
      <w:i/>
      <w:iCs/>
      <w:color w:val="2F5496"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584DC1"/>
    <w:pPr>
      <w:keepNext/>
      <w:keepLines/>
      <w:spacing w:before="80" w:after="40"/>
      <w:outlineLvl w:val="4"/>
    </w:pPr>
    <w:rPr>
      <w:rFonts w:eastAsiaTheme="majorEastAsia" w:cstheme="majorBidi"/>
      <w:color w:val="2F5496"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584DC1"/>
    <w:pPr>
      <w:keepNext/>
      <w:keepLines/>
      <w:spacing w:before="40"/>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584DC1"/>
    <w:pPr>
      <w:keepNext/>
      <w:keepLines/>
      <w:spacing w:before="40"/>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584DC1"/>
    <w:pPr>
      <w:keepNext/>
      <w:keepLines/>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584DC1"/>
    <w:pPr>
      <w:keepNext/>
      <w:keepLines/>
      <w:outlineLvl w:val="8"/>
    </w:pPr>
    <w:rPr>
      <w:rFonts w:eastAsiaTheme="majorEastAsia"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301BE2"/>
  </w:style>
  <w:style w:type="paragraph" w:styleId="Header">
    <w:name w:val="header"/>
    <w:basedOn w:val="Normal"/>
    <w:link w:val="HeaderChar"/>
    <w:uiPriority w:val="99"/>
    <w:unhideWhenUsed/>
    <w:rsid w:val="00301BE2"/>
    <w:pPr>
      <w:tabs>
        <w:tab w:val="center" w:pos="4680"/>
        <w:tab w:val="right" w:pos="9360"/>
      </w:tabs>
    </w:pPr>
  </w:style>
  <w:style w:type="character" w:customStyle="1" w:styleId="HeaderChar">
    <w:name w:val="Header Char"/>
    <w:basedOn w:val="DefaultParagraphFont"/>
    <w:link w:val="Header"/>
    <w:uiPriority w:val="99"/>
    <w:rsid w:val="00301BE2"/>
  </w:style>
  <w:style w:type="paragraph" w:styleId="Footer">
    <w:name w:val="footer"/>
    <w:basedOn w:val="Normal"/>
    <w:link w:val="FooterChar"/>
    <w:uiPriority w:val="99"/>
    <w:unhideWhenUsed/>
    <w:rsid w:val="00301BE2"/>
    <w:pPr>
      <w:tabs>
        <w:tab w:val="center" w:pos="4680"/>
        <w:tab w:val="right" w:pos="9360"/>
      </w:tabs>
    </w:pPr>
  </w:style>
  <w:style w:type="character" w:customStyle="1" w:styleId="FooterChar">
    <w:name w:val="Footer Char"/>
    <w:basedOn w:val="DefaultParagraphFont"/>
    <w:link w:val="Footer"/>
    <w:uiPriority w:val="99"/>
    <w:rsid w:val="00301BE2"/>
  </w:style>
  <w:style w:type="paragraph" w:styleId="ListParagraph">
    <w:name w:val="List Paragraph"/>
    <w:basedOn w:val="Normal"/>
    <w:link w:val="ListParagraphChar"/>
    <w:uiPriority w:val="34"/>
    <w:qFormat/>
    <w:rsid w:val="00F95301"/>
    <w:pPr>
      <w:ind w:left="720"/>
      <w:contextualSpacing/>
    </w:pPr>
  </w:style>
  <w:style w:type="table" w:customStyle="1" w:styleId="Tablanormal11">
    <w:name w:val="Tabla normal 11"/>
    <w:basedOn w:val="TableNormal"/>
    <w:uiPriority w:val="41"/>
    <w:rsid w:val="00E46C9B"/>
    <w:rPr>
      <w:kern w:val="2"/>
      <w:sz w:val="22"/>
      <w:szCs w:val="22"/>
      <w:lang w:val="es-A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1Char">
    <w:name w:val="Heading 1 Char"/>
    <w:basedOn w:val="DefaultParagraphFont"/>
    <w:link w:val="Heading1"/>
    <w:uiPriority w:val="9"/>
    <w:rsid w:val="00584DC1"/>
    <w:rPr>
      <w:rFonts w:asciiTheme="majorHAnsi" w:eastAsiaTheme="majorEastAsia" w:hAnsiTheme="majorHAnsi" w:cstheme="majorBidi"/>
      <w:color w:val="2F5496" w:themeColor="accent1" w:themeShade="BF"/>
      <w:kern w:val="2"/>
      <w:sz w:val="40"/>
      <w:szCs w:val="40"/>
      <w:lang w:val="en-GB"/>
      <w14:ligatures w14:val="standardContextual"/>
    </w:rPr>
  </w:style>
  <w:style w:type="character" w:customStyle="1" w:styleId="Heading2Char">
    <w:name w:val="Heading 2 Char"/>
    <w:basedOn w:val="DefaultParagraphFont"/>
    <w:link w:val="Heading2"/>
    <w:uiPriority w:val="9"/>
    <w:rsid w:val="00584DC1"/>
    <w:rPr>
      <w:rFonts w:asciiTheme="majorHAnsi" w:eastAsiaTheme="majorEastAsia" w:hAnsiTheme="majorHAnsi" w:cstheme="majorBidi"/>
      <w:color w:val="2F5496" w:themeColor="accent1" w:themeShade="BF"/>
      <w:kern w:val="2"/>
      <w:sz w:val="32"/>
      <w:szCs w:val="32"/>
      <w:lang w:val="en-GB"/>
      <w14:ligatures w14:val="standardContextual"/>
    </w:rPr>
  </w:style>
  <w:style w:type="character" w:customStyle="1" w:styleId="Heading3Char">
    <w:name w:val="Heading 3 Char"/>
    <w:basedOn w:val="DefaultParagraphFont"/>
    <w:link w:val="Heading3"/>
    <w:uiPriority w:val="9"/>
    <w:semiHidden/>
    <w:rsid w:val="00584DC1"/>
    <w:rPr>
      <w:rFonts w:eastAsiaTheme="majorEastAsia" w:cstheme="majorBidi"/>
      <w:color w:val="2F5496" w:themeColor="accent1" w:themeShade="BF"/>
      <w:kern w:val="2"/>
      <w:sz w:val="28"/>
      <w:szCs w:val="28"/>
      <w:lang w:val="en-GB"/>
      <w14:ligatures w14:val="standardContextual"/>
    </w:rPr>
  </w:style>
  <w:style w:type="character" w:customStyle="1" w:styleId="Heading4Char">
    <w:name w:val="Heading 4 Char"/>
    <w:basedOn w:val="DefaultParagraphFont"/>
    <w:link w:val="Heading4"/>
    <w:uiPriority w:val="9"/>
    <w:semiHidden/>
    <w:rsid w:val="00584DC1"/>
    <w:rPr>
      <w:rFonts w:eastAsiaTheme="majorEastAsia" w:cstheme="majorBidi"/>
      <w:i/>
      <w:iCs/>
      <w:color w:val="2F5496" w:themeColor="accent1" w:themeShade="BF"/>
      <w:kern w:val="2"/>
      <w:lang w:val="en-GB"/>
      <w14:ligatures w14:val="standardContextual"/>
    </w:rPr>
  </w:style>
  <w:style w:type="character" w:customStyle="1" w:styleId="Heading5Char">
    <w:name w:val="Heading 5 Char"/>
    <w:basedOn w:val="DefaultParagraphFont"/>
    <w:link w:val="Heading5"/>
    <w:uiPriority w:val="9"/>
    <w:semiHidden/>
    <w:rsid w:val="00584DC1"/>
    <w:rPr>
      <w:rFonts w:eastAsiaTheme="majorEastAsia" w:cstheme="majorBidi"/>
      <w:color w:val="2F5496" w:themeColor="accent1" w:themeShade="BF"/>
      <w:kern w:val="2"/>
      <w:lang w:val="en-GB"/>
      <w14:ligatures w14:val="standardContextual"/>
    </w:rPr>
  </w:style>
  <w:style w:type="character" w:customStyle="1" w:styleId="Heading6Char">
    <w:name w:val="Heading 6 Char"/>
    <w:basedOn w:val="DefaultParagraphFont"/>
    <w:link w:val="Heading6"/>
    <w:uiPriority w:val="9"/>
    <w:semiHidden/>
    <w:rsid w:val="00584DC1"/>
    <w:rPr>
      <w:rFonts w:eastAsiaTheme="majorEastAsia" w:cstheme="majorBidi"/>
      <w:i/>
      <w:iCs/>
      <w:color w:val="595959" w:themeColor="text1" w:themeTint="A6"/>
      <w:kern w:val="2"/>
      <w:lang w:val="en-GB"/>
      <w14:ligatures w14:val="standardContextual"/>
    </w:rPr>
  </w:style>
  <w:style w:type="character" w:customStyle="1" w:styleId="Heading7Char">
    <w:name w:val="Heading 7 Char"/>
    <w:basedOn w:val="DefaultParagraphFont"/>
    <w:link w:val="Heading7"/>
    <w:uiPriority w:val="9"/>
    <w:semiHidden/>
    <w:rsid w:val="00584DC1"/>
    <w:rPr>
      <w:rFonts w:eastAsiaTheme="majorEastAsia" w:cstheme="majorBidi"/>
      <w:color w:val="595959" w:themeColor="text1" w:themeTint="A6"/>
      <w:kern w:val="2"/>
      <w:lang w:val="en-GB"/>
      <w14:ligatures w14:val="standardContextual"/>
    </w:rPr>
  </w:style>
  <w:style w:type="character" w:customStyle="1" w:styleId="Heading8Char">
    <w:name w:val="Heading 8 Char"/>
    <w:basedOn w:val="DefaultParagraphFont"/>
    <w:link w:val="Heading8"/>
    <w:uiPriority w:val="9"/>
    <w:semiHidden/>
    <w:rsid w:val="00584DC1"/>
    <w:rPr>
      <w:rFonts w:eastAsiaTheme="majorEastAsia" w:cstheme="majorBidi"/>
      <w:i/>
      <w:iCs/>
      <w:color w:val="272727" w:themeColor="text1" w:themeTint="D8"/>
      <w:kern w:val="2"/>
      <w:lang w:val="en-GB"/>
      <w14:ligatures w14:val="standardContextual"/>
    </w:rPr>
  </w:style>
  <w:style w:type="character" w:customStyle="1" w:styleId="Heading9Char">
    <w:name w:val="Heading 9 Char"/>
    <w:basedOn w:val="DefaultParagraphFont"/>
    <w:link w:val="Heading9"/>
    <w:uiPriority w:val="9"/>
    <w:semiHidden/>
    <w:rsid w:val="00584DC1"/>
    <w:rPr>
      <w:rFonts w:eastAsiaTheme="majorEastAsia" w:cstheme="majorBidi"/>
      <w:color w:val="272727" w:themeColor="text1" w:themeTint="D8"/>
      <w:kern w:val="2"/>
      <w:lang w:val="en-GB"/>
      <w14:ligatures w14:val="standardContextual"/>
    </w:rPr>
  </w:style>
  <w:style w:type="paragraph" w:styleId="Title">
    <w:name w:val="Title"/>
    <w:basedOn w:val="Normal"/>
    <w:next w:val="Normal"/>
    <w:link w:val="TitleChar"/>
    <w:uiPriority w:val="10"/>
    <w:qFormat/>
    <w:rsid w:val="00584DC1"/>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584DC1"/>
    <w:rPr>
      <w:rFonts w:asciiTheme="majorHAnsi" w:eastAsiaTheme="majorEastAsia" w:hAnsiTheme="majorHAnsi" w:cstheme="majorBidi"/>
      <w:spacing w:val="-10"/>
      <w:kern w:val="28"/>
      <w:sz w:val="56"/>
      <w:szCs w:val="56"/>
      <w:lang w:val="en-GB"/>
      <w14:ligatures w14:val="standardContextual"/>
    </w:rPr>
  </w:style>
  <w:style w:type="paragraph" w:styleId="Subtitle">
    <w:name w:val="Subtitle"/>
    <w:basedOn w:val="Normal"/>
    <w:next w:val="Normal"/>
    <w:link w:val="SubtitleChar"/>
    <w:uiPriority w:val="11"/>
    <w:qFormat/>
    <w:rsid w:val="00584DC1"/>
    <w:pPr>
      <w:numPr>
        <w:ilvl w:val="1"/>
      </w:numPr>
      <w:spacing w:after="160"/>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584DC1"/>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29"/>
    <w:qFormat/>
    <w:rsid w:val="00584DC1"/>
    <w:pPr>
      <w:spacing w:before="160" w:after="160"/>
      <w:jc w:val="center"/>
    </w:pPr>
    <w:rPr>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584DC1"/>
    <w:rPr>
      <w:i/>
      <w:iCs/>
      <w:color w:val="404040" w:themeColor="text1" w:themeTint="BF"/>
      <w:kern w:val="2"/>
      <w:lang w:val="en-GB"/>
      <w14:ligatures w14:val="standardContextual"/>
    </w:rPr>
  </w:style>
  <w:style w:type="character" w:styleId="IntenseEmphasis">
    <w:name w:val="Intense Emphasis"/>
    <w:basedOn w:val="DefaultParagraphFont"/>
    <w:uiPriority w:val="21"/>
    <w:qFormat/>
    <w:rsid w:val="00584DC1"/>
    <w:rPr>
      <w:i/>
      <w:iCs/>
      <w:color w:val="2F5496" w:themeColor="accent1" w:themeShade="BF"/>
    </w:rPr>
  </w:style>
  <w:style w:type="paragraph" w:styleId="IntenseQuote">
    <w:name w:val="Intense Quote"/>
    <w:basedOn w:val="Normal"/>
    <w:next w:val="Normal"/>
    <w:link w:val="IntenseQuoteChar"/>
    <w:uiPriority w:val="30"/>
    <w:qFormat/>
    <w:rsid w:val="00584D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584DC1"/>
    <w:rPr>
      <w:i/>
      <w:iCs/>
      <w:color w:val="2F5496" w:themeColor="accent1" w:themeShade="BF"/>
      <w:kern w:val="2"/>
      <w:lang w:val="en-GB"/>
      <w14:ligatures w14:val="standardContextual"/>
    </w:rPr>
  </w:style>
  <w:style w:type="character" w:styleId="IntenseReference">
    <w:name w:val="Intense Reference"/>
    <w:basedOn w:val="DefaultParagraphFont"/>
    <w:uiPriority w:val="32"/>
    <w:qFormat/>
    <w:rsid w:val="00584DC1"/>
    <w:rPr>
      <w:b/>
      <w:bCs/>
      <w:smallCaps/>
      <w:color w:val="2F5496" w:themeColor="accent1" w:themeShade="BF"/>
      <w:spacing w:val="5"/>
    </w:rPr>
  </w:style>
  <w:style w:type="paragraph" w:styleId="NormalWeb">
    <w:name w:val="Normal (Web)"/>
    <w:basedOn w:val="Normal"/>
    <w:uiPriority w:val="99"/>
    <w:unhideWhenUsed/>
    <w:rsid w:val="00584DC1"/>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584DC1"/>
    <w:rPr>
      <w:b/>
      <w:bCs/>
    </w:rPr>
  </w:style>
  <w:style w:type="character" w:customStyle="1" w:styleId="apple-converted-space">
    <w:name w:val="apple-converted-space"/>
    <w:basedOn w:val="DefaultParagraphFont"/>
    <w:rsid w:val="00584DC1"/>
  </w:style>
  <w:style w:type="table" w:styleId="TableGrid">
    <w:name w:val="Table Grid"/>
    <w:basedOn w:val="TableNormal"/>
    <w:uiPriority w:val="59"/>
    <w:rsid w:val="00584DC1"/>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4DC1"/>
    <w:rPr>
      <w:rFonts w:ascii="Times New Roman" w:eastAsiaTheme="minorEastAsia" w:hAnsi="Times New Roman" w:cs="Times New Roman"/>
      <w:kern w:val="2"/>
      <w:sz w:val="18"/>
      <w:szCs w:val="18"/>
      <w:lang w:val="es-AR"/>
      <w14:ligatures w14:val="standardContextual"/>
    </w:rPr>
  </w:style>
  <w:style w:type="character" w:customStyle="1" w:styleId="BalloonTextChar">
    <w:name w:val="Balloon Text Char"/>
    <w:basedOn w:val="DefaultParagraphFont"/>
    <w:link w:val="BalloonText"/>
    <w:uiPriority w:val="99"/>
    <w:semiHidden/>
    <w:rsid w:val="00584DC1"/>
    <w:rPr>
      <w:rFonts w:ascii="Times New Roman" w:eastAsiaTheme="minorEastAsia" w:hAnsi="Times New Roman" w:cs="Times New Roman"/>
      <w:kern w:val="2"/>
      <w:sz w:val="18"/>
      <w:szCs w:val="18"/>
      <w:lang w:val="es-AR"/>
      <w14:ligatures w14:val="standardContextual"/>
    </w:rPr>
  </w:style>
  <w:style w:type="character" w:styleId="CommentReference">
    <w:name w:val="annotation reference"/>
    <w:basedOn w:val="DefaultParagraphFont"/>
    <w:uiPriority w:val="99"/>
    <w:semiHidden/>
    <w:unhideWhenUsed/>
    <w:rsid w:val="00584DC1"/>
    <w:rPr>
      <w:sz w:val="16"/>
      <w:szCs w:val="16"/>
    </w:rPr>
  </w:style>
  <w:style w:type="paragraph" w:styleId="CommentText">
    <w:name w:val="annotation text"/>
    <w:basedOn w:val="Normal"/>
    <w:link w:val="CommentTextChar"/>
    <w:uiPriority w:val="99"/>
    <w:unhideWhenUsed/>
    <w:rsid w:val="00584DC1"/>
    <w:pPr>
      <w:spacing w:after="160"/>
    </w:pPr>
    <w:rPr>
      <w:rFonts w:eastAsiaTheme="minorEastAsia"/>
      <w:kern w:val="2"/>
      <w:sz w:val="20"/>
      <w:szCs w:val="20"/>
      <w:lang w:val="es-AR"/>
      <w14:ligatures w14:val="standardContextual"/>
    </w:rPr>
  </w:style>
  <w:style w:type="character" w:customStyle="1" w:styleId="CommentTextChar">
    <w:name w:val="Comment Text Char"/>
    <w:basedOn w:val="DefaultParagraphFont"/>
    <w:link w:val="CommentText"/>
    <w:uiPriority w:val="99"/>
    <w:rsid w:val="00584DC1"/>
    <w:rPr>
      <w:rFonts w:eastAsiaTheme="minorEastAsia"/>
      <w:kern w:val="2"/>
      <w:sz w:val="20"/>
      <w:szCs w:val="20"/>
      <w:lang w:val="es-AR"/>
      <w14:ligatures w14:val="standardContextual"/>
    </w:rPr>
  </w:style>
  <w:style w:type="paragraph" w:styleId="CommentSubject">
    <w:name w:val="annotation subject"/>
    <w:basedOn w:val="CommentText"/>
    <w:next w:val="CommentText"/>
    <w:link w:val="CommentSubjectChar"/>
    <w:uiPriority w:val="99"/>
    <w:semiHidden/>
    <w:unhideWhenUsed/>
    <w:rsid w:val="00584DC1"/>
    <w:rPr>
      <w:b/>
      <w:bCs/>
    </w:rPr>
  </w:style>
  <w:style w:type="character" w:customStyle="1" w:styleId="CommentSubjectChar">
    <w:name w:val="Comment Subject Char"/>
    <w:basedOn w:val="CommentTextChar"/>
    <w:link w:val="CommentSubject"/>
    <w:uiPriority w:val="99"/>
    <w:semiHidden/>
    <w:rsid w:val="00584DC1"/>
    <w:rPr>
      <w:rFonts w:eastAsiaTheme="minorEastAsia"/>
      <w:b/>
      <w:bCs/>
      <w:kern w:val="2"/>
      <w:sz w:val="20"/>
      <w:szCs w:val="20"/>
      <w:lang w:val="es-AR"/>
      <w14:ligatures w14:val="standardContextual"/>
    </w:rPr>
  </w:style>
  <w:style w:type="character" w:customStyle="1" w:styleId="ListParagraphChar">
    <w:name w:val="List Paragraph Char"/>
    <w:basedOn w:val="DefaultParagraphFont"/>
    <w:link w:val="ListParagraph"/>
    <w:uiPriority w:val="34"/>
    <w:locked/>
    <w:rsid w:val="00584DC1"/>
  </w:style>
  <w:style w:type="table" w:customStyle="1" w:styleId="Tablaconcuadrcula1">
    <w:name w:val="Tabla con cuadrícula1"/>
    <w:basedOn w:val="TableNormal"/>
    <w:next w:val="TableGrid"/>
    <w:uiPriority w:val="39"/>
    <w:rsid w:val="00584DC1"/>
    <w:rPr>
      <w:kern w:val="2"/>
      <w:sz w:val="22"/>
      <w:szCs w:val="22"/>
      <w:lang w:val="es-A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84DC1"/>
    <w:rPr>
      <w:kern w:val="2"/>
      <w:lang w:val="en-GB"/>
      <w14:ligatures w14:val="standardContextual"/>
    </w:rPr>
  </w:style>
  <w:style w:type="paragraph" w:styleId="FootnoteText">
    <w:name w:val="footnote text"/>
    <w:basedOn w:val="Normal"/>
    <w:link w:val="FootnoteTextChar"/>
    <w:rsid w:val="008F4180"/>
    <w:pPr>
      <w:tabs>
        <w:tab w:val="left" w:pos="1440"/>
      </w:tabs>
      <w:spacing w:before="60" w:after="120"/>
    </w:pPr>
    <w:rPr>
      <w:rFonts w:ascii="Arial" w:eastAsiaTheme="minorEastAsia" w:hAnsi="Arial"/>
      <w:bCs/>
      <w:color w:val="000000"/>
      <w:sz w:val="20"/>
      <w:szCs w:val="20"/>
      <w:lang w:val="en-GB" w:eastAsia="en-IN"/>
    </w:rPr>
  </w:style>
  <w:style w:type="character" w:customStyle="1" w:styleId="FootnoteTextChar">
    <w:name w:val="Footnote Text Char"/>
    <w:basedOn w:val="DefaultParagraphFont"/>
    <w:link w:val="FootnoteText"/>
    <w:rsid w:val="008F4180"/>
    <w:rPr>
      <w:rFonts w:ascii="Arial" w:eastAsiaTheme="minorEastAsia" w:hAnsi="Arial"/>
      <w:bCs/>
      <w:color w:val="000000"/>
      <w:sz w:val="20"/>
      <w:szCs w:val="20"/>
      <w:lang w:val="en-GB" w:eastAsia="en-IN"/>
    </w:rPr>
  </w:style>
  <w:style w:type="character" w:styleId="FootnoteReference">
    <w:name w:val="footnote reference"/>
    <w:basedOn w:val="DefaultParagraphFont"/>
    <w:rsid w:val="008F4180"/>
    <w:rPr>
      <w:rFonts w:cs="Times New Roman"/>
      <w:vertAlign w:val="superscript"/>
    </w:rPr>
  </w:style>
  <w:style w:type="character" w:customStyle="1" w:styleId="Instructional">
    <w:name w:val="Instructional"/>
    <w:basedOn w:val="DefaultParagraphFont"/>
    <w:uiPriority w:val="1"/>
    <w:qFormat/>
    <w:rsid w:val="008F4180"/>
    <w:rPr>
      <w:rFonts w:ascii="Arial" w:hAnsi="Arial"/>
      <w:i/>
      <w:color w:val="7F7F7F" w:themeColor="text1" w:themeTint="80"/>
      <w:sz w:val="20"/>
      <w:u w:val="none"/>
      <w:lang w:val="en-GB"/>
    </w:rPr>
  </w:style>
  <w:style w:type="table" w:styleId="GridTable4-Accent3">
    <w:name w:val="Grid Table 4 Accent 3"/>
    <w:basedOn w:val="TableNormal"/>
    <w:uiPriority w:val="49"/>
    <w:rsid w:val="00EB060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PageNumber">
    <w:name w:val="page number"/>
    <w:basedOn w:val="DefaultParagraphFont"/>
    <w:uiPriority w:val="99"/>
    <w:semiHidden/>
    <w:unhideWhenUsed/>
    <w:rsid w:val="0062178E"/>
  </w:style>
  <w:style w:type="character" w:styleId="EndnoteReference">
    <w:name w:val="endnote reference"/>
    <w:basedOn w:val="DefaultParagraphFont"/>
    <w:uiPriority w:val="99"/>
    <w:semiHidden/>
    <w:unhideWhenUsed/>
    <w:rsid w:val="007C5D3A"/>
    <w:rPr>
      <w:vertAlign w:val="superscript"/>
    </w:rPr>
  </w:style>
  <w:style w:type="character" w:styleId="PlaceholderText">
    <w:name w:val="Placeholder Text"/>
    <w:basedOn w:val="DefaultParagraphFont"/>
    <w:uiPriority w:val="99"/>
    <w:semiHidden/>
    <w:rsid w:val="007C5D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88944">
      <w:bodyDiv w:val="1"/>
      <w:marLeft w:val="0"/>
      <w:marRight w:val="0"/>
      <w:marTop w:val="0"/>
      <w:marBottom w:val="0"/>
      <w:divBdr>
        <w:top w:val="none" w:sz="0" w:space="0" w:color="auto"/>
        <w:left w:val="none" w:sz="0" w:space="0" w:color="auto"/>
        <w:bottom w:val="none" w:sz="0" w:space="0" w:color="auto"/>
        <w:right w:val="none" w:sz="0" w:space="0" w:color="auto"/>
      </w:divBdr>
    </w:div>
    <w:div w:id="163936965">
      <w:bodyDiv w:val="1"/>
      <w:marLeft w:val="0"/>
      <w:marRight w:val="0"/>
      <w:marTop w:val="0"/>
      <w:marBottom w:val="0"/>
      <w:divBdr>
        <w:top w:val="none" w:sz="0" w:space="0" w:color="auto"/>
        <w:left w:val="none" w:sz="0" w:space="0" w:color="auto"/>
        <w:bottom w:val="none" w:sz="0" w:space="0" w:color="auto"/>
        <w:right w:val="none" w:sz="0" w:space="0" w:color="auto"/>
      </w:divBdr>
    </w:div>
    <w:div w:id="197201899">
      <w:bodyDiv w:val="1"/>
      <w:marLeft w:val="0"/>
      <w:marRight w:val="0"/>
      <w:marTop w:val="0"/>
      <w:marBottom w:val="0"/>
      <w:divBdr>
        <w:top w:val="none" w:sz="0" w:space="0" w:color="auto"/>
        <w:left w:val="none" w:sz="0" w:space="0" w:color="auto"/>
        <w:bottom w:val="none" w:sz="0" w:space="0" w:color="auto"/>
        <w:right w:val="none" w:sz="0" w:space="0" w:color="auto"/>
      </w:divBdr>
    </w:div>
    <w:div w:id="369494791">
      <w:bodyDiv w:val="1"/>
      <w:marLeft w:val="0"/>
      <w:marRight w:val="0"/>
      <w:marTop w:val="0"/>
      <w:marBottom w:val="0"/>
      <w:divBdr>
        <w:top w:val="none" w:sz="0" w:space="0" w:color="auto"/>
        <w:left w:val="none" w:sz="0" w:space="0" w:color="auto"/>
        <w:bottom w:val="none" w:sz="0" w:space="0" w:color="auto"/>
        <w:right w:val="none" w:sz="0" w:space="0" w:color="auto"/>
      </w:divBdr>
    </w:div>
    <w:div w:id="944574840">
      <w:bodyDiv w:val="1"/>
      <w:marLeft w:val="0"/>
      <w:marRight w:val="0"/>
      <w:marTop w:val="0"/>
      <w:marBottom w:val="0"/>
      <w:divBdr>
        <w:top w:val="none" w:sz="0" w:space="0" w:color="auto"/>
        <w:left w:val="none" w:sz="0" w:space="0" w:color="auto"/>
        <w:bottom w:val="none" w:sz="0" w:space="0" w:color="auto"/>
        <w:right w:val="none" w:sz="0" w:space="0" w:color="auto"/>
      </w:divBdr>
    </w:div>
    <w:div w:id="1406875569">
      <w:bodyDiv w:val="1"/>
      <w:marLeft w:val="0"/>
      <w:marRight w:val="0"/>
      <w:marTop w:val="0"/>
      <w:marBottom w:val="0"/>
      <w:divBdr>
        <w:top w:val="none" w:sz="0" w:space="0" w:color="auto"/>
        <w:left w:val="none" w:sz="0" w:space="0" w:color="auto"/>
        <w:bottom w:val="none" w:sz="0" w:space="0" w:color="auto"/>
        <w:right w:val="none" w:sz="0" w:space="0" w:color="auto"/>
      </w:divBdr>
    </w:div>
    <w:div w:id="188968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99432203AFA7C488880DA518A1A95D4" ma:contentTypeVersion="17" ma:contentTypeDescription="Create a new document." ma:contentTypeScope="" ma:versionID="140e40e91a076f98dc91d25688a03b1b">
  <xsd:schema xmlns:xsd="http://www.w3.org/2001/XMLSchema" xmlns:xs="http://www.w3.org/2001/XMLSchema" xmlns:p="http://schemas.microsoft.com/office/2006/metadata/properties" xmlns:ns2="f5fb6b85-90b0-4cb4-9932-1ecb768c802c" xmlns:ns3="a2074a4b-280b-4d72-a053-55f74abdd19d" targetNamespace="http://schemas.microsoft.com/office/2006/metadata/properties" ma:root="true" ma:fieldsID="1a3f8a4a8f84d7e63d02947213570b42" ns2:_="" ns3:_="">
    <xsd:import namespace="f5fb6b85-90b0-4cb4-9932-1ecb768c802c"/>
    <xsd:import namespace="a2074a4b-280b-4d72-a053-55f74abdd19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fb6b85-90b0-4cb4-9932-1ecb768c802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74a4b-280b-4d72-a053-55f74abdd19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2f057dd-1430-4d9e-9749-86babc99fe23}" ma:internalName="TaxCatchAll" ma:showField="CatchAllData" ma:web="a2074a4b-280b-4d72-a053-55f74abdd19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fb6b85-90b0-4cb4-9932-1ecb768c802c">
      <Terms xmlns="http://schemas.microsoft.com/office/infopath/2007/PartnerControls"/>
    </lcf76f155ced4ddcb4097134ff3c332f>
    <TaxCatchAll xmlns="a2074a4b-280b-4d72-a053-55f74abdd19d" xsi:nil="true"/>
  </documentManagement>
</p:properties>
</file>

<file path=customXml/itemProps1.xml><?xml version="1.0" encoding="utf-8"?>
<ds:datastoreItem xmlns:ds="http://schemas.openxmlformats.org/officeDocument/2006/customXml" ds:itemID="{52B893C0-5DDC-2543-B8D1-114263698A33}">
  <ds:schemaRefs>
    <ds:schemaRef ds:uri="http://schemas.openxmlformats.org/officeDocument/2006/bibliography"/>
  </ds:schemaRefs>
</ds:datastoreItem>
</file>

<file path=customXml/itemProps2.xml><?xml version="1.0" encoding="utf-8"?>
<ds:datastoreItem xmlns:ds="http://schemas.openxmlformats.org/officeDocument/2006/customXml" ds:itemID="{FCD43AA3-D6E5-4D21-BA49-3F2DF996EFD4}"/>
</file>

<file path=customXml/itemProps3.xml><?xml version="1.0" encoding="utf-8"?>
<ds:datastoreItem xmlns:ds="http://schemas.openxmlformats.org/officeDocument/2006/customXml" ds:itemID="{6D6208B1-4DD7-4CDF-988F-7F1A0C9811C8}"/>
</file>

<file path=customXml/itemProps4.xml><?xml version="1.0" encoding="utf-8"?>
<ds:datastoreItem xmlns:ds="http://schemas.openxmlformats.org/officeDocument/2006/customXml" ds:itemID="{4705A274-7071-4306-9352-9A13E485E749}"/>
</file>

<file path=docProps/app.xml><?xml version="1.0" encoding="utf-8"?>
<Properties xmlns="http://schemas.openxmlformats.org/officeDocument/2006/extended-properties" xmlns:vt="http://schemas.openxmlformats.org/officeDocument/2006/docPropsVTypes">
  <Template>Normal.dotm</Template>
  <TotalTime>1</TotalTime>
  <Pages>16</Pages>
  <Words>10901</Words>
  <Characters>62140</Characters>
  <Application>Microsoft Office Word</Application>
  <DocSecurity>0</DocSecurity>
  <Lines>517</Lines>
  <Paragraphs>145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Bohorquez</dc:creator>
  <cp:keywords/>
  <dc:description/>
  <cp:lastModifiedBy>Gary Beardmore</cp:lastModifiedBy>
  <cp:revision>2</cp:revision>
  <dcterms:created xsi:type="dcterms:W3CDTF">2026-05-01T13:18:00Z</dcterms:created>
  <dcterms:modified xsi:type="dcterms:W3CDTF">2026-05-01T13:18:00Z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a1e7888b-fbc4-3cc3-8863-e7955c559913</vt:lpwstr>
  </property>
  <property fmtid="{D5CDD505-2E9C-101B-9397-08002B2CF9AE}" pid="24" name="Mendeley Citation Style_1">
    <vt:lpwstr>http://www.zotero.org/styles/vancouver</vt:lpwstr>
  </property>
  <property fmtid="{D5CDD505-2E9C-101B-9397-08002B2CF9AE}" pid="25" name="ContentTypeId">
    <vt:lpwstr>0x010100399432203AFA7C488880DA518A1A95D4</vt:lpwstr>
  </property>
</Properties>
</file>