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A8C2C" w14:textId="77777777" w:rsidR="003D37E7" w:rsidRPr="00795AF7" w:rsidRDefault="003D37E7" w:rsidP="003D37E7">
      <w:pPr>
        <w:pStyle w:val="Heading3"/>
        <w:rPr>
          <w:rFonts w:ascii="Arial" w:hAnsi="Arial" w:cs="Arial"/>
          <w:color w:val="000000" w:themeColor="text1"/>
          <w:sz w:val="22"/>
          <w:szCs w:val="22"/>
        </w:rPr>
      </w:pPr>
      <w:bookmarkStart w:id="0" w:name="X8823d0fe22f1310dab2bed743cbdc9bb954bff4"/>
      <w:r w:rsidRPr="00795AF7">
        <w:rPr>
          <w:rFonts w:ascii="Arial" w:hAnsi="Arial" w:cs="Arial"/>
          <w:color w:val="000000" w:themeColor="text1"/>
          <w:sz w:val="22"/>
          <w:szCs w:val="22"/>
        </w:rPr>
        <w:t>Supplementary Table S</w:t>
      </w:r>
      <w:r>
        <w:rPr>
          <w:rFonts w:ascii="Arial" w:hAnsi="Arial" w:cs="Arial"/>
          <w:color w:val="000000" w:themeColor="text1"/>
          <w:sz w:val="22"/>
          <w:szCs w:val="22"/>
        </w:rPr>
        <w:t>1</w:t>
      </w:r>
      <w:r w:rsidRPr="00795AF7">
        <w:rPr>
          <w:rFonts w:ascii="Arial" w:hAnsi="Arial" w:cs="Arial"/>
          <w:color w:val="000000" w:themeColor="text1"/>
          <w:sz w:val="22"/>
          <w:szCs w:val="22"/>
        </w:rPr>
        <w:t>: Univariate and multivariate Poisson regression of risk factors for mortality among measles cases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3D37E7" w:rsidRPr="00795AF7" w14:paraId="2C8506CD" w14:textId="77777777" w:rsidTr="00913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84" w:type="dxa"/>
          </w:tcPr>
          <w:p w14:paraId="20604A27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Variable</w:t>
            </w:r>
          </w:p>
        </w:tc>
        <w:tc>
          <w:tcPr>
            <w:tcW w:w="1584" w:type="dxa"/>
          </w:tcPr>
          <w:p w14:paraId="29098FA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Univariate RR [95% CI]</w:t>
            </w:r>
          </w:p>
        </w:tc>
        <w:tc>
          <w:tcPr>
            <w:tcW w:w="1584" w:type="dxa"/>
          </w:tcPr>
          <w:p w14:paraId="6ED929E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584" w:type="dxa"/>
          </w:tcPr>
          <w:p w14:paraId="1C293EC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Multivariate </w:t>
            </w:r>
            <w:proofErr w:type="spellStart"/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aRR</w:t>
            </w:r>
            <w:proofErr w:type="spellEnd"/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[95% CI]</w:t>
            </w:r>
          </w:p>
        </w:tc>
        <w:tc>
          <w:tcPr>
            <w:tcW w:w="1584" w:type="dxa"/>
          </w:tcPr>
          <w:p w14:paraId="755A83F3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3D37E7" w:rsidRPr="00795AF7" w14:paraId="01AC683A" w14:textId="77777777" w:rsidTr="00913DD6">
        <w:tc>
          <w:tcPr>
            <w:tcW w:w="1584" w:type="dxa"/>
          </w:tcPr>
          <w:p w14:paraId="0662B42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Age group</w:t>
            </w:r>
          </w:p>
        </w:tc>
        <w:tc>
          <w:tcPr>
            <w:tcW w:w="1584" w:type="dxa"/>
          </w:tcPr>
          <w:p w14:paraId="13A6E3B0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04799967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7FEBC50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128B363C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D37E7" w:rsidRPr="00795AF7" w14:paraId="5BEFC7C3" w14:textId="77777777" w:rsidTr="00913DD6">
        <w:tc>
          <w:tcPr>
            <w:tcW w:w="1584" w:type="dxa"/>
          </w:tcPr>
          <w:p w14:paraId="4E273709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&lt;1 year (ref.)</w:t>
            </w:r>
          </w:p>
        </w:tc>
        <w:tc>
          <w:tcPr>
            <w:tcW w:w="1584" w:type="dxa"/>
          </w:tcPr>
          <w:p w14:paraId="5177366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656FE27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1050CF0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0722C517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4BC675D3" w14:textId="77777777" w:rsidTr="00913DD6">
        <w:tc>
          <w:tcPr>
            <w:tcW w:w="1584" w:type="dxa"/>
          </w:tcPr>
          <w:p w14:paraId="18CF7DD3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1–4 years</w:t>
            </w:r>
          </w:p>
        </w:tc>
        <w:tc>
          <w:tcPr>
            <w:tcW w:w="1584" w:type="dxa"/>
          </w:tcPr>
          <w:p w14:paraId="6B1AD66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0.22 [0.09–0.55]</w:t>
            </w:r>
          </w:p>
        </w:tc>
        <w:tc>
          <w:tcPr>
            <w:tcW w:w="1584" w:type="dxa"/>
          </w:tcPr>
          <w:p w14:paraId="7FA0039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584" w:type="dxa"/>
          </w:tcPr>
          <w:p w14:paraId="38B666FC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0.22 [0.09–0.55]</w:t>
            </w:r>
          </w:p>
        </w:tc>
        <w:tc>
          <w:tcPr>
            <w:tcW w:w="1584" w:type="dxa"/>
          </w:tcPr>
          <w:p w14:paraId="4899B520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3D37E7" w:rsidRPr="00795AF7" w14:paraId="64E49987" w14:textId="77777777" w:rsidTr="00913DD6">
        <w:tc>
          <w:tcPr>
            <w:tcW w:w="1584" w:type="dxa"/>
          </w:tcPr>
          <w:p w14:paraId="17A2FA6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5+ years</w:t>
            </w:r>
          </w:p>
        </w:tc>
        <w:tc>
          <w:tcPr>
            <w:tcW w:w="1584" w:type="dxa"/>
          </w:tcPr>
          <w:p w14:paraId="626CA6E4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0.056 [0.01–0.22]</w:t>
            </w:r>
          </w:p>
        </w:tc>
        <w:tc>
          <w:tcPr>
            <w:tcW w:w="1584" w:type="dxa"/>
          </w:tcPr>
          <w:p w14:paraId="7D4B6D7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584" w:type="dxa"/>
          </w:tcPr>
          <w:p w14:paraId="51B44D7E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0.056 [0.01–0.22]</w:t>
            </w:r>
          </w:p>
        </w:tc>
        <w:tc>
          <w:tcPr>
            <w:tcW w:w="1584" w:type="dxa"/>
          </w:tcPr>
          <w:p w14:paraId="0D0DC8FF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3D37E7" w:rsidRPr="00795AF7" w14:paraId="5AF42C5E" w14:textId="77777777" w:rsidTr="00913DD6">
        <w:tc>
          <w:tcPr>
            <w:tcW w:w="1584" w:type="dxa"/>
          </w:tcPr>
          <w:p w14:paraId="30E2C768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1584" w:type="dxa"/>
          </w:tcPr>
          <w:p w14:paraId="0708A1D3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7134C23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100C8CE8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C866597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D37E7" w:rsidRPr="00795AF7" w14:paraId="3EA717E9" w14:textId="77777777" w:rsidTr="00913DD6">
        <w:tc>
          <w:tcPr>
            <w:tcW w:w="1584" w:type="dxa"/>
          </w:tcPr>
          <w:p w14:paraId="6456FC2C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 (ref.)</w:t>
            </w:r>
          </w:p>
        </w:tc>
        <w:tc>
          <w:tcPr>
            <w:tcW w:w="1584" w:type="dxa"/>
          </w:tcPr>
          <w:p w14:paraId="7814FEA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5879F7E7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5A282B6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52165AD2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5C08683E" w14:textId="77777777" w:rsidTr="00913DD6">
        <w:tc>
          <w:tcPr>
            <w:tcW w:w="1584" w:type="dxa"/>
          </w:tcPr>
          <w:p w14:paraId="2B4D158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584" w:type="dxa"/>
          </w:tcPr>
          <w:p w14:paraId="473F5AEB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1.34 [0.53–3.37]</w:t>
            </w:r>
          </w:p>
        </w:tc>
        <w:tc>
          <w:tcPr>
            <w:tcW w:w="1584" w:type="dxa"/>
          </w:tcPr>
          <w:p w14:paraId="648FCDC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0.54</w:t>
            </w:r>
          </w:p>
        </w:tc>
        <w:tc>
          <w:tcPr>
            <w:tcW w:w="1584" w:type="dxa"/>
          </w:tcPr>
          <w:p w14:paraId="7BD60E0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5DE602DB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361A5514" w14:textId="77777777" w:rsidTr="00913DD6">
        <w:tc>
          <w:tcPr>
            <w:tcW w:w="1584" w:type="dxa"/>
          </w:tcPr>
          <w:p w14:paraId="499406D0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EPI vaccinated</w:t>
            </w:r>
          </w:p>
        </w:tc>
        <w:tc>
          <w:tcPr>
            <w:tcW w:w="1584" w:type="dxa"/>
          </w:tcPr>
          <w:p w14:paraId="4ED62FCE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09F4CE4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0F9B18FF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C1AAAE1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D37E7" w:rsidRPr="00795AF7" w14:paraId="51D074C9" w14:textId="77777777" w:rsidTr="00913DD6">
        <w:tc>
          <w:tcPr>
            <w:tcW w:w="1584" w:type="dxa"/>
          </w:tcPr>
          <w:p w14:paraId="2B3EA3D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No (ref.)</w:t>
            </w:r>
          </w:p>
        </w:tc>
        <w:tc>
          <w:tcPr>
            <w:tcW w:w="1584" w:type="dxa"/>
          </w:tcPr>
          <w:p w14:paraId="1D20B5E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0AEEC18D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0483E9E9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53B13F2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67727306" w14:textId="77777777" w:rsidTr="00913DD6">
        <w:tc>
          <w:tcPr>
            <w:tcW w:w="1584" w:type="dxa"/>
          </w:tcPr>
          <w:p w14:paraId="451D3702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584" w:type="dxa"/>
          </w:tcPr>
          <w:p w14:paraId="0CD4287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0.63 [0.32–1.26]</w:t>
            </w:r>
          </w:p>
        </w:tc>
        <w:tc>
          <w:tcPr>
            <w:tcW w:w="1584" w:type="dxa"/>
          </w:tcPr>
          <w:p w14:paraId="4220FD73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584" w:type="dxa"/>
          </w:tcPr>
          <w:p w14:paraId="06A802AB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767AFE1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5DBA5BAB" w14:textId="77777777" w:rsidTr="00913DD6">
        <w:tc>
          <w:tcPr>
            <w:tcW w:w="1584" w:type="dxa"/>
          </w:tcPr>
          <w:p w14:paraId="2CB38FB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Other cases in HH</w:t>
            </w:r>
          </w:p>
        </w:tc>
        <w:tc>
          <w:tcPr>
            <w:tcW w:w="1584" w:type="dxa"/>
          </w:tcPr>
          <w:p w14:paraId="7F9D0D7C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71B3C1E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7ADE1E4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363D0374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D37E7" w:rsidRPr="00795AF7" w14:paraId="1C3F24AE" w14:textId="77777777" w:rsidTr="00913DD6">
        <w:tc>
          <w:tcPr>
            <w:tcW w:w="1584" w:type="dxa"/>
          </w:tcPr>
          <w:p w14:paraId="515BA9D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No (ref.)</w:t>
            </w:r>
          </w:p>
        </w:tc>
        <w:tc>
          <w:tcPr>
            <w:tcW w:w="1584" w:type="dxa"/>
          </w:tcPr>
          <w:p w14:paraId="448FFE44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631A4A0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0296A16C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67BB6C8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25F2EF77" w14:textId="77777777" w:rsidTr="00913DD6">
        <w:tc>
          <w:tcPr>
            <w:tcW w:w="1584" w:type="dxa"/>
          </w:tcPr>
          <w:p w14:paraId="3D6EE314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584" w:type="dxa"/>
          </w:tcPr>
          <w:p w14:paraId="620A5520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0.66 [0.06–6.92]</w:t>
            </w:r>
          </w:p>
        </w:tc>
        <w:tc>
          <w:tcPr>
            <w:tcW w:w="1584" w:type="dxa"/>
          </w:tcPr>
          <w:p w14:paraId="417084D1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0.73</w:t>
            </w:r>
          </w:p>
        </w:tc>
        <w:tc>
          <w:tcPr>
            <w:tcW w:w="1584" w:type="dxa"/>
          </w:tcPr>
          <w:p w14:paraId="14A417C0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762FE1B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6AA67C36" w14:textId="77777777" w:rsidTr="00913DD6">
        <w:tc>
          <w:tcPr>
            <w:tcW w:w="1584" w:type="dxa"/>
          </w:tcPr>
          <w:p w14:paraId="73D974BB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Sought care</w:t>
            </w:r>
          </w:p>
        </w:tc>
        <w:tc>
          <w:tcPr>
            <w:tcW w:w="1584" w:type="dxa"/>
          </w:tcPr>
          <w:p w14:paraId="7860153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191B5679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8D111EF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84" w:type="dxa"/>
          </w:tcPr>
          <w:p w14:paraId="17A9DD96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D37E7" w:rsidRPr="00795AF7" w14:paraId="6D42B146" w14:textId="77777777" w:rsidTr="00913DD6">
        <w:tc>
          <w:tcPr>
            <w:tcW w:w="1584" w:type="dxa"/>
          </w:tcPr>
          <w:p w14:paraId="0FF810B7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No (ref.)</w:t>
            </w:r>
          </w:p>
        </w:tc>
        <w:tc>
          <w:tcPr>
            <w:tcW w:w="1584" w:type="dxa"/>
          </w:tcPr>
          <w:p w14:paraId="3AA601F1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0DA53CA4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17141B00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795C840C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  <w:tr w:rsidR="003D37E7" w:rsidRPr="00795AF7" w14:paraId="1C8D4960" w14:textId="77777777" w:rsidTr="00913DD6">
        <w:tc>
          <w:tcPr>
            <w:tcW w:w="1584" w:type="dxa"/>
          </w:tcPr>
          <w:p w14:paraId="3297C071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584" w:type="dxa"/>
          </w:tcPr>
          <w:p w14:paraId="02BE8C31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3.37 [0.51–22.3]</w:t>
            </w:r>
          </w:p>
        </w:tc>
        <w:tc>
          <w:tcPr>
            <w:tcW w:w="1584" w:type="dxa"/>
          </w:tcPr>
          <w:p w14:paraId="6314DECF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584" w:type="dxa"/>
          </w:tcPr>
          <w:p w14:paraId="32B48F15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584" w:type="dxa"/>
          </w:tcPr>
          <w:p w14:paraId="53E1E7FA" w14:textId="77777777" w:rsidR="003D37E7" w:rsidRPr="00795AF7" w:rsidRDefault="003D37E7" w:rsidP="00913DD6">
            <w:pPr>
              <w:pStyle w:val="Compac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AF7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</w:p>
        </w:tc>
      </w:tr>
    </w:tbl>
    <w:p w14:paraId="73449C66" w14:textId="77777777" w:rsidR="003D37E7" w:rsidRPr="00795AF7" w:rsidRDefault="003D37E7" w:rsidP="003D37E7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  <w:r w:rsidRPr="00795AF7">
        <w:rPr>
          <w:rFonts w:ascii="Arial" w:hAnsi="Arial" w:cs="Arial"/>
          <w:color w:val="000000" w:themeColor="text1"/>
          <w:sz w:val="22"/>
          <w:szCs w:val="22"/>
        </w:rPr>
        <w:t xml:space="preserve">RR: risk ratio; </w:t>
      </w:r>
      <w:proofErr w:type="spellStart"/>
      <w:r w:rsidRPr="00795AF7">
        <w:rPr>
          <w:rFonts w:ascii="Arial" w:hAnsi="Arial" w:cs="Arial"/>
          <w:color w:val="000000" w:themeColor="text1"/>
          <w:sz w:val="22"/>
          <w:szCs w:val="22"/>
        </w:rPr>
        <w:t>aRR</w:t>
      </w:r>
      <w:proofErr w:type="spellEnd"/>
      <w:r w:rsidRPr="00795AF7">
        <w:rPr>
          <w:rFonts w:ascii="Arial" w:hAnsi="Arial" w:cs="Arial"/>
          <w:color w:val="000000" w:themeColor="text1"/>
          <w:sz w:val="22"/>
          <w:szCs w:val="22"/>
        </w:rPr>
        <w:t>: adjusted risk ratio; HH: household.</w:t>
      </w:r>
    </w:p>
    <w:bookmarkEnd w:id="0"/>
    <w:p w14:paraId="2A30DB8F" w14:textId="77777777" w:rsidR="003D37E7" w:rsidRPr="00795AF7" w:rsidRDefault="003D37E7" w:rsidP="003D37E7">
      <w:pPr>
        <w:pStyle w:val="Heading3"/>
        <w:rPr>
          <w:rFonts w:ascii="Arial" w:hAnsi="Arial" w:cs="Arial"/>
          <w:color w:val="000000" w:themeColor="text1"/>
          <w:sz w:val="22"/>
          <w:szCs w:val="22"/>
        </w:rPr>
      </w:pPr>
    </w:p>
    <w:p w14:paraId="3D96D48B" w14:textId="77777777" w:rsidR="00CC2D4C" w:rsidRDefault="00CC2D4C"/>
    <w:sectPr w:rsidR="00CC2D4C" w:rsidSect="003D37E7">
      <w:headerReference w:type="default" r:id="rId4"/>
      <w:footerReference w:type="default" r:id="rId5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2057" w14:textId="77777777" w:rsidR="003D37E7" w:rsidRDefault="003D37E7">
    <w:pPr>
      <w:pStyle w:val="Footer"/>
      <w:jc w:val="right"/>
    </w:pPr>
  </w:p>
  <w:p w14:paraId="5CB98804" w14:textId="77777777" w:rsidR="003D37E7" w:rsidRDefault="003D37E7" w:rsidP="009C7BE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C302" w14:textId="77777777" w:rsidR="003D37E7" w:rsidRDefault="003D37E7" w:rsidP="009C7BE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4"/>
  <w:doNotDisplayPageBoundaries/>
  <w:proofState w:spelling="clean" w:grammar="clean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7E7"/>
    <w:rsid w:val="001C742B"/>
    <w:rsid w:val="002C3C08"/>
    <w:rsid w:val="0037536D"/>
    <w:rsid w:val="003D37E7"/>
    <w:rsid w:val="006C638A"/>
    <w:rsid w:val="007811A9"/>
    <w:rsid w:val="0084539D"/>
    <w:rsid w:val="00AA0E5E"/>
    <w:rsid w:val="00CC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1B9BE9"/>
  <w15:chartTrackingRefBased/>
  <w15:docId w15:val="{929B39CB-999C-484C-8356-0B090D90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7E7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7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7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37E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7E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7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7E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7E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7E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7E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7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37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7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7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7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3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7E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3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7E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3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7E7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37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7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7E7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BodyText"/>
    <w:qFormat/>
    <w:rsid w:val="003D37E7"/>
    <w:pPr>
      <w:spacing w:before="36" w:after="36"/>
    </w:pPr>
  </w:style>
  <w:style w:type="paragraph" w:styleId="BodyText">
    <w:name w:val="Body Text"/>
    <w:basedOn w:val="Normal"/>
    <w:link w:val="BodyTextChar"/>
    <w:qFormat/>
    <w:rsid w:val="003D37E7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3D37E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37E7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D37E7"/>
    <w:rPr>
      <w:kern w:val="0"/>
      <w:sz w:val="22"/>
      <w:szCs w:val="22"/>
      <w14:ligatures w14:val="none"/>
    </w:rPr>
  </w:style>
  <w:style w:type="table" w:customStyle="1" w:styleId="Table">
    <w:name w:val="Table"/>
    <w:semiHidden/>
    <w:unhideWhenUsed/>
    <w:qFormat/>
    <w:rsid w:val="003D37E7"/>
    <w:pPr>
      <w:spacing w:after="200" w:line="240" w:lineRule="auto"/>
    </w:pPr>
    <w:rPr>
      <w:kern w:val="0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Polonsky</dc:creator>
  <cp:keywords/>
  <dc:description/>
  <cp:lastModifiedBy>Jonathan Polonsky</cp:lastModifiedBy>
  <cp:revision>1</cp:revision>
  <dcterms:created xsi:type="dcterms:W3CDTF">2026-04-09T09:28:00Z</dcterms:created>
  <dcterms:modified xsi:type="dcterms:W3CDTF">2026-04-09T09:29:00Z</dcterms:modified>
</cp:coreProperties>
</file>