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198B" w14:textId="1C0E6FAB" w:rsidR="005C2CD2" w:rsidRPr="003E2940" w:rsidRDefault="005C2CD2" w:rsidP="005C2CD2">
      <w:pPr>
        <w:pStyle w:val="Bibliography"/>
        <w:spacing w:line="360" w:lineRule="auto"/>
        <w:rPr>
          <w:rFonts w:ascii="Times New Roman" w:hAnsi="Times New Roman" w:cs="Times New Roman"/>
          <w:b/>
          <w:bCs/>
          <w:sz w:val="24"/>
          <w:szCs w:val="24"/>
          <w:u w:val="single"/>
        </w:rPr>
      </w:pPr>
      <w:r w:rsidRPr="003E2940">
        <w:rPr>
          <w:rFonts w:ascii="Times New Roman" w:hAnsi="Times New Roman" w:cs="Times New Roman"/>
          <w:b/>
          <w:bCs/>
          <w:sz w:val="24"/>
          <w:szCs w:val="24"/>
          <w:u w:val="single"/>
        </w:rPr>
        <w:t>Supplementary File</w:t>
      </w:r>
      <w:r w:rsidR="007901D7" w:rsidRPr="003E2940">
        <w:rPr>
          <w:rFonts w:ascii="Times New Roman" w:hAnsi="Times New Roman" w:cs="Times New Roman"/>
          <w:b/>
          <w:bCs/>
          <w:sz w:val="24"/>
          <w:szCs w:val="24"/>
          <w:u w:val="single"/>
        </w:rPr>
        <w:t xml:space="preserve"> – 1 </w:t>
      </w:r>
    </w:p>
    <w:p w14:paraId="2C1F656C" w14:textId="77777777" w:rsidR="007901D7" w:rsidRPr="003E2940" w:rsidRDefault="007901D7" w:rsidP="007901D7"/>
    <w:p w14:paraId="663A0F8F" w14:textId="72B347E5" w:rsidR="005C2CD2" w:rsidRPr="003E2940" w:rsidRDefault="005C2CD2" w:rsidP="005C2CD2">
      <w:pPr>
        <w:pStyle w:val="Bibliography"/>
        <w:spacing w:line="360" w:lineRule="auto"/>
        <w:rPr>
          <w:rFonts w:ascii="Times New Roman" w:hAnsi="Times New Roman" w:cs="Times New Roman"/>
          <w:b/>
          <w:bCs/>
          <w:sz w:val="24"/>
          <w:szCs w:val="24"/>
        </w:rPr>
      </w:pPr>
      <w:r w:rsidRPr="003E2940">
        <w:rPr>
          <w:rFonts w:ascii="Times New Roman" w:hAnsi="Times New Roman" w:cs="Times New Roman"/>
          <w:b/>
          <w:bCs/>
          <w:sz w:val="24"/>
          <w:szCs w:val="24"/>
        </w:rPr>
        <w:t>List of Tables:</w:t>
      </w:r>
    </w:p>
    <w:tbl>
      <w:tblPr>
        <w:tblStyle w:val="TableGrid"/>
        <w:tblW w:w="0" w:type="auto"/>
        <w:tblLook w:val="04A0" w:firstRow="1" w:lastRow="0" w:firstColumn="1" w:lastColumn="0" w:noHBand="0" w:noVBand="1"/>
      </w:tblPr>
      <w:tblGrid>
        <w:gridCol w:w="1271"/>
        <w:gridCol w:w="7745"/>
      </w:tblGrid>
      <w:tr w:rsidR="006924B4" w:rsidRPr="003E2940" w14:paraId="422F04A9" w14:textId="77777777" w:rsidTr="00865BC7">
        <w:tc>
          <w:tcPr>
            <w:tcW w:w="1271" w:type="dxa"/>
            <w:vAlign w:val="center"/>
          </w:tcPr>
          <w:p w14:paraId="1FA7E243" w14:textId="0A1B5C70" w:rsidR="006924B4" w:rsidRPr="003E2940" w:rsidRDefault="006924B4"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Pr="003E2940">
              <w:rPr>
                <w:rFonts w:ascii="Times New Roman" w:hAnsi="Times New Roman" w:cs="Times New Roman"/>
                <w:sz w:val="24"/>
                <w:szCs w:val="24"/>
              </w:rPr>
              <w:t>1</w:t>
            </w:r>
          </w:p>
        </w:tc>
        <w:tc>
          <w:tcPr>
            <w:tcW w:w="7745" w:type="dxa"/>
            <w:vAlign w:val="center"/>
          </w:tcPr>
          <w:p w14:paraId="069FF963" w14:textId="20FB67FB" w:rsidR="006924B4" w:rsidRPr="003E2940" w:rsidRDefault="006924B4" w:rsidP="00E43DB0">
            <w:pPr>
              <w:rPr>
                <w:rFonts w:ascii="Times New Roman" w:hAnsi="Times New Roman" w:cs="Times New Roman"/>
                <w:color w:val="000000" w:themeColor="text1"/>
                <w:sz w:val="24"/>
                <w:szCs w:val="24"/>
              </w:rPr>
            </w:pPr>
            <w:r w:rsidRPr="003E2940">
              <w:rPr>
                <w:rFonts w:ascii="Times New Roman" w:hAnsi="Times New Roman" w:cs="Times New Roman"/>
                <w:color w:val="000000" w:themeColor="text1"/>
                <w:sz w:val="24"/>
                <w:szCs w:val="24"/>
              </w:rPr>
              <w:t xml:space="preserve">Distribution of search strategies developed for each database </w:t>
            </w:r>
          </w:p>
        </w:tc>
      </w:tr>
      <w:tr w:rsidR="001509BD" w:rsidRPr="003E2940" w14:paraId="6FFE8891" w14:textId="77777777" w:rsidTr="00865BC7">
        <w:tc>
          <w:tcPr>
            <w:tcW w:w="1271" w:type="dxa"/>
            <w:vAlign w:val="center"/>
          </w:tcPr>
          <w:p w14:paraId="25F38645" w14:textId="56B5E70A"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006924B4" w:rsidRPr="003E2940">
              <w:rPr>
                <w:rFonts w:ascii="Times New Roman" w:hAnsi="Times New Roman" w:cs="Times New Roman"/>
                <w:sz w:val="24"/>
                <w:szCs w:val="24"/>
              </w:rPr>
              <w:t>2</w:t>
            </w:r>
          </w:p>
        </w:tc>
        <w:tc>
          <w:tcPr>
            <w:tcW w:w="7745" w:type="dxa"/>
            <w:vAlign w:val="center"/>
          </w:tcPr>
          <w:p w14:paraId="0A72C50F" w14:textId="77777777"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Distribution of Co-infection cases with Leptospirosis</w:t>
            </w:r>
          </w:p>
        </w:tc>
      </w:tr>
      <w:tr w:rsidR="00DC2333" w:rsidRPr="003E2940" w14:paraId="174C228C" w14:textId="77777777" w:rsidTr="00865BC7">
        <w:tc>
          <w:tcPr>
            <w:tcW w:w="1271" w:type="dxa"/>
            <w:vAlign w:val="center"/>
          </w:tcPr>
          <w:p w14:paraId="0D6B60EE" w14:textId="1B6D46DF" w:rsidR="00DC2333" w:rsidRPr="003E2940" w:rsidRDefault="00DC2333"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Pr="003E2940">
              <w:rPr>
                <w:rFonts w:ascii="Times New Roman" w:hAnsi="Times New Roman" w:cs="Times New Roman"/>
                <w:sz w:val="24"/>
                <w:szCs w:val="24"/>
              </w:rPr>
              <w:t>3</w:t>
            </w:r>
          </w:p>
        </w:tc>
        <w:tc>
          <w:tcPr>
            <w:tcW w:w="7745" w:type="dxa"/>
            <w:vAlign w:val="center"/>
          </w:tcPr>
          <w:p w14:paraId="6B723445" w14:textId="3C952300" w:rsidR="00DC2333" w:rsidRPr="003E2940" w:rsidRDefault="00DC2333" w:rsidP="00DC2333">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Table 3: Distribution of studies reporting leptospirosis coinfection cases confirmed by non-serological tests</w:t>
            </w:r>
          </w:p>
        </w:tc>
      </w:tr>
      <w:tr w:rsidR="001F6CBB" w:rsidRPr="003E2940" w14:paraId="73DD8C95" w14:textId="77777777" w:rsidTr="00865BC7">
        <w:tc>
          <w:tcPr>
            <w:tcW w:w="1271" w:type="dxa"/>
            <w:vAlign w:val="center"/>
          </w:tcPr>
          <w:p w14:paraId="6D6A893B" w14:textId="4A44A37D" w:rsidR="001F6CBB" w:rsidRPr="003E2940" w:rsidRDefault="007B795B"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lang w:val="en-IN"/>
              </w:rPr>
              <w:t xml:space="preserve">Table </w:t>
            </w:r>
            <w:r w:rsidR="00865BC7">
              <w:rPr>
                <w:rFonts w:ascii="Times New Roman" w:hAnsi="Times New Roman" w:cs="Times New Roman"/>
                <w:sz w:val="24"/>
                <w:szCs w:val="24"/>
                <w:lang w:val="en-IN"/>
              </w:rPr>
              <w:t>S</w:t>
            </w:r>
            <w:r w:rsidRPr="003E2940">
              <w:rPr>
                <w:rFonts w:ascii="Times New Roman" w:hAnsi="Times New Roman" w:cs="Times New Roman"/>
                <w:sz w:val="24"/>
                <w:szCs w:val="24"/>
                <w:lang w:val="en-IN"/>
              </w:rPr>
              <w:t>4</w:t>
            </w:r>
          </w:p>
        </w:tc>
        <w:tc>
          <w:tcPr>
            <w:tcW w:w="7745" w:type="dxa"/>
            <w:vAlign w:val="center"/>
          </w:tcPr>
          <w:p w14:paraId="2B1F8928" w14:textId="6126C028" w:rsidR="001F6CBB" w:rsidRPr="003E2940" w:rsidRDefault="001F6CBB" w:rsidP="00E43DB0">
            <w:r w:rsidRPr="003E2940">
              <w:rPr>
                <w:rFonts w:ascii="Times New Roman" w:hAnsi="Times New Roman" w:cs="Times New Roman"/>
                <w:sz w:val="24"/>
                <w:szCs w:val="24"/>
                <w:lang w:val="en-IN"/>
              </w:rPr>
              <w:t xml:space="preserve">Distribution of diagnostic </w:t>
            </w:r>
            <w:r w:rsidR="007B795B" w:rsidRPr="003E2940">
              <w:rPr>
                <w:rFonts w:ascii="Times New Roman" w:hAnsi="Times New Roman" w:cs="Times New Roman"/>
                <w:sz w:val="24"/>
                <w:szCs w:val="24"/>
                <w:lang w:val="en-IN"/>
              </w:rPr>
              <w:t>assays</w:t>
            </w:r>
            <w:r w:rsidRPr="003E2940">
              <w:rPr>
                <w:rFonts w:ascii="Times New Roman" w:hAnsi="Times New Roman" w:cs="Times New Roman"/>
                <w:sz w:val="24"/>
                <w:szCs w:val="24"/>
                <w:lang w:val="en-IN"/>
              </w:rPr>
              <w:t xml:space="preserve"> used for the targeted pathogens</w:t>
            </w:r>
          </w:p>
        </w:tc>
      </w:tr>
      <w:tr w:rsidR="001F6CBB" w:rsidRPr="003E2940" w14:paraId="0E329D27" w14:textId="77777777" w:rsidTr="00865BC7">
        <w:tc>
          <w:tcPr>
            <w:tcW w:w="1271" w:type="dxa"/>
            <w:vAlign w:val="center"/>
          </w:tcPr>
          <w:p w14:paraId="07F4A722" w14:textId="4640E161" w:rsidR="001F6CBB" w:rsidRPr="003E2940" w:rsidRDefault="007B795B"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Pr="003E2940">
              <w:rPr>
                <w:rFonts w:ascii="Times New Roman" w:hAnsi="Times New Roman" w:cs="Times New Roman"/>
                <w:sz w:val="24"/>
                <w:szCs w:val="24"/>
              </w:rPr>
              <w:t>5</w:t>
            </w:r>
          </w:p>
        </w:tc>
        <w:tc>
          <w:tcPr>
            <w:tcW w:w="7745" w:type="dxa"/>
            <w:vAlign w:val="center"/>
          </w:tcPr>
          <w:p w14:paraId="4FBC8477" w14:textId="75B42B0D" w:rsidR="001F6CBB" w:rsidRPr="003E2940" w:rsidRDefault="001F6CBB" w:rsidP="00DC2333">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Distribution of studies with targeted pathogens vs detected pathogens</w:t>
            </w:r>
          </w:p>
        </w:tc>
      </w:tr>
      <w:tr w:rsidR="001509BD" w:rsidRPr="003E2940" w14:paraId="020963CE" w14:textId="77777777" w:rsidTr="00865BC7">
        <w:tc>
          <w:tcPr>
            <w:tcW w:w="1271" w:type="dxa"/>
            <w:vAlign w:val="center"/>
          </w:tcPr>
          <w:p w14:paraId="12CA24C1" w14:textId="42132074"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007B795B" w:rsidRPr="003E2940">
              <w:rPr>
                <w:rFonts w:ascii="Times New Roman" w:hAnsi="Times New Roman" w:cs="Times New Roman"/>
                <w:sz w:val="24"/>
                <w:szCs w:val="24"/>
              </w:rPr>
              <w:t>6</w:t>
            </w:r>
          </w:p>
        </w:tc>
        <w:tc>
          <w:tcPr>
            <w:tcW w:w="7745" w:type="dxa"/>
            <w:vAlign w:val="center"/>
          </w:tcPr>
          <w:p w14:paraId="6FF0C02D" w14:textId="77777777"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Clinical symptoms in patients with leptospirosis co-infection</w:t>
            </w:r>
          </w:p>
        </w:tc>
      </w:tr>
      <w:tr w:rsidR="001509BD" w:rsidRPr="003E2940" w14:paraId="7892EEBF" w14:textId="77777777" w:rsidTr="00865BC7">
        <w:tc>
          <w:tcPr>
            <w:tcW w:w="1271" w:type="dxa"/>
            <w:vAlign w:val="center"/>
          </w:tcPr>
          <w:p w14:paraId="3D468737" w14:textId="72D0D04A"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007B795B" w:rsidRPr="003E2940">
              <w:rPr>
                <w:rFonts w:ascii="Times New Roman" w:hAnsi="Times New Roman" w:cs="Times New Roman"/>
                <w:sz w:val="24"/>
                <w:szCs w:val="24"/>
              </w:rPr>
              <w:t>7</w:t>
            </w:r>
          </w:p>
        </w:tc>
        <w:tc>
          <w:tcPr>
            <w:tcW w:w="7745" w:type="dxa"/>
            <w:vAlign w:val="center"/>
          </w:tcPr>
          <w:p w14:paraId="55BE175B" w14:textId="77777777"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Physical examination findings in patients with leptospirosis co-infection</w:t>
            </w:r>
          </w:p>
        </w:tc>
      </w:tr>
      <w:tr w:rsidR="001509BD" w:rsidRPr="003E2940" w14:paraId="123790CF" w14:textId="77777777" w:rsidTr="00865BC7">
        <w:tc>
          <w:tcPr>
            <w:tcW w:w="1271" w:type="dxa"/>
            <w:vAlign w:val="center"/>
          </w:tcPr>
          <w:p w14:paraId="37DE1CC8" w14:textId="4FD39208"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007B795B" w:rsidRPr="003E2940">
              <w:rPr>
                <w:rFonts w:ascii="Times New Roman" w:hAnsi="Times New Roman" w:cs="Times New Roman"/>
                <w:sz w:val="24"/>
                <w:szCs w:val="24"/>
              </w:rPr>
              <w:t>8</w:t>
            </w:r>
          </w:p>
        </w:tc>
        <w:tc>
          <w:tcPr>
            <w:tcW w:w="7745" w:type="dxa"/>
            <w:vAlign w:val="center"/>
          </w:tcPr>
          <w:p w14:paraId="5F03072F" w14:textId="77777777"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Laboratory parameters in leptospirosis co-infection</w:t>
            </w:r>
          </w:p>
        </w:tc>
      </w:tr>
      <w:tr w:rsidR="001509BD" w:rsidRPr="003E2940" w14:paraId="5E6CC42F" w14:textId="77777777" w:rsidTr="00865BC7">
        <w:tc>
          <w:tcPr>
            <w:tcW w:w="1271" w:type="dxa"/>
            <w:vAlign w:val="center"/>
          </w:tcPr>
          <w:p w14:paraId="78BB1CE7" w14:textId="02960D29"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007B795B" w:rsidRPr="003E2940">
              <w:rPr>
                <w:rFonts w:ascii="Times New Roman" w:hAnsi="Times New Roman" w:cs="Times New Roman"/>
                <w:sz w:val="24"/>
                <w:szCs w:val="24"/>
              </w:rPr>
              <w:t>9</w:t>
            </w:r>
          </w:p>
        </w:tc>
        <w:tc>
          <w:tcPr>
            <w:tcW w:w="7745" w:type="dxa"/>
            <w:vAlign w:val="center"/>
          </w:tcPr>
          <w:p w14:paraId="3D50C39A" w14:textId="77777777"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Critical care support utilization during hospitalization in leptospirosis co-infection</w:t>
            </w:r>
          </w:p>
        </w:tc>
      </w:tr>
      <w:tr w:rsidR="005C2CD2" w:rsidRPr="003E2940" w14:paraId="2B5299E8" w14:textId="77777777" w:rsidTr="00865BC7">
        <w:tc>
          <w:tcPr>
            <w:tcW w:w="1271" w:type="dxa"/>
            <w:vAlign w:val="center"/>
          </w:tcPr>
          <w:p w14:paraId="0DAF25BB" w14:textId="51837F9D"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 xml:space="preserve">Table </w:t>
            </w:r>
            <w:r w:rsidR="00865BC7">
              <w:rPr>
                <w:rFonts w:ascii="Times New Roman" w:hAnsi="Times New Roman" w:cs="Times New Roman"/>
                <w:sz w:val="24"/>
                <w:szCs w:val="24"/>
              </w:rPr>
              <w:t>S</w:t>
            </w:r>
            <w:r w:rsidR="007B795B" w:rsidRPr="003E2940">
              <w:rPr>
                <w:rFonts w:ascii="Times New Roman" w:hAnsi="Times New Roman" w:cs="Times New Roman"/>
                <w:sz w:val="24"/>
                <w:szCs w:val="24"/>
              </w:rPr>
              <w:t>10</w:t>
            </w:r>
          </w:p>
        </w:tc>
        <w:tc>
          <w:tcPr>
            <w:tcW w:w="7745" w:type="dxa"/>
            <w:vAlign w:val="center"/>
          </w:tcPr>
          <w:p w14:paraId="13472491" w14:textId="77777777" w:rsidR="005C2CD2" w:rsidRPr="003E2940" w:rsidRDefault="005C2CD2" w:rsidP="00DA401F">
            <w:pPr>
              <w:spacing w:before="240" w:line="480" w:lineRule="auto"/>
              <w:rPr>
                <w:rFonts w:ascii="Times New Roman" w:hAnsi="Times New Roman" w:cs="Times New Roman"/>
                <w:sz w:val="24"/>
                <w:szCs w:val="24"/>
              </w:rPr>
            </w:pPr>
            <w:r w:rsidRPr="003E2940">
              <w:rPr>
                <w:rFonts w:ascii="Times New Roman" w:hAnsi="Times New Roman" w:cs="Times New Roman"/>
                <w:sz w:val="24"/>
                <w:szCs w:val="24"/>
              </w:rPr>
              <w:t>Antibiotic administered in patients with leptospirosis co-infection</w:t>
            </w:r>
          </w:p>
        </w:tc>
      </w:tr>
    </w:tbl>
    <w:p w14:paraId="5DA1DEF7" w14:textId="77777777" w:rsidR="005C2CD2" w:rsidRPr="003E2940" w:rsidRDefault="005C2CD2" w:rsidP="00F459C9">
      <w:pPr>
        <w:rPr>
          <w:rFonts w:ascii="Times New Roman" w:hAnsi="Times New Roman" w:cs="Times New Roman"/>
          <w:b/>
          <w:bCs/>
          <w:sz w:val="24"/>
          <w:szCs w:val="24"/>
        </w:rPr>
      </w:pPr>
    </w:p>
    <w:p w14:paraId="260A4D18" w14:textId="77777777" w:rsidR="00EF357B" w:rsidRPr="003E2940" w:rsidRDefault="005C2CD2">
      <w:pPr>
        <w:rPr>
          <w:rFonts w:ascii="Times New Roman" w:hAnsi="Times New Roman" w:cs="Times New Roman"/>
          <w:b/>
          <w:bCs/>
          <w:sz w:val="24"/>
          <w:szCs w:val="24"/>
        </w:rPr>
      </w:pPr>
      <w:r w:rsidRPr="003E2940">
        <w:rPr>
          <w:rFonts w:ascii="Times New Roman" w:hAnsi="Times New Roman" w:cs="Times New Roman"/>
          <w:b/>
          <w:bCs/>
          <w:sz w:val="24"/>
          <w:szCs w:val="24"/>
        </w:rPr>
        <w:br w:type="page"/>
      </w:r>
    </w:p>
    <w:tbl>
      <w:tblPr>
        <w:tblpPr w:leftFromText="180" w:rightFromText="180" w:horzAnchor="margin" w:tblpY="710"/>
        <w:tblW w:w="9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4"/>
        <w:gridCol w:w="6721"/>
        <w:gridCol w:w="1718"/>
      </w:tblGrid>
      <w:tr w:rsidR="006924B4" w:rsidRPr="003E2940" w14:paraId="303B55C3" w14:textId="77777777" w:rsidTr="00E43DB0">
        <w:trPr>
          <w:trHeight w:val="624"/>
        </w:trPr>
        <w:tc>
          <w:tcPr>
            <w:tcW w:w="1354" w:type="dxa"/>
            <w:noWrap/>
            <w:vAlign w:val="center"/>
            <w:hideMark/>
          </w:tcPr>
          <w:p w14:paraId="743C68C8" w14:textId="77777777" w:rsidR="00EF357B" w:rsidRPr="003E2940" w:rsidRDefault="00EF357B" w:rsidP="006924B4">
            <w:pPr>
              <w:spacing w:after="0" w:line="240" w:lineRule="auto"/>
              <w:jc w:val="center"/>
              <w:rPr>
                <w:rFonts w:ascii="Times New Roman" w:eastAsia="Times New Roman" w:hAnsi="Times New Roman" w:cs="Times New Roman"/>
                <w:b/>
                <w:bCs/>
                <w:kern w:val="0"/>
                <w:lang w:val="en-IN" w:eastAsia="en-IN"/>
                <w14:ligatures w14:val="none"/>
              </w:rPr>
            </w:pPr>
            <w:r w:rsidRPr="003E2940">
              <w:rPr>
                <w:rFonts w:ascii="Times New Roman" w:eastAsia="Times New Roman" w:hAnsi="Times New Roman" w:cs="Times New Roman"/>
                <w:b/>
                <w:bCs/>
                <w:kern w:val="0"/>
                <w:lang w:val="en-IN" w:eastAsia="en-IN"/>
                <w14:ligatures w14:val="none"/>
              </w:rPr>
              <w:lastRenderedPageBreak/>
              <w:t>Database</w:t>
            </w:r>
          </w:p>
        </w:tc>
        <w:tc>
          <w:tcPr>
            <w:tcW w:w="6721" w:type="dxa"/>
            <w:vAlign w:val="center"/>
            <w:hideMark/>
          </w:tcPr>
          <w:p w14:paraId="4C8CC368" w14:textId="77777777" w:rsidR="00EF357B" w:rsidRPr="003E2940" w:rsidRDefault="00EF357B" w:rsidP="006924B4">
            <w:pPr>
              <w:spacing w:after="0" w:line="240" w:lineRule="auto"/>
              <w:jc w:val="center"/>
              <w:rPr>
                <w:rFonts w:ascii="Times New Roman" w:eastAsia="Times New Roman" w:hAnsi="Times New Roman" w:cs="Times New Roman"/>
                <w:b/>
                <w:bCs/>
                <w:kern w:val="0"/>
                <w:lang w:val="en-IN" w:eastAsia="en-IN"/>
                <w14:ligatures w14:val="none"/>
              </w:rPr>
            </w:pPr>
            <w:r w:rsidRPr="003E2940">
              <w:rPr>
                <w:rFonts w:ascii="Times New Roman" w:eastAsia="Times New Roman" w:hAnsi="Times New Roman" w:cs="Times New Roman"/>
                <w:b/>
                <w:bCs/>
                <w:kern w:val="0"/>
                <w:lang w:val="en-IN" w:eastAsia="en-IN"/>
                <w14:ligatures w14:val="none"/>
              </w:rPr>
              <w:t>Search strategies</w:t>
            </w:r>
          </w:p>
        </w:tc>
        <w:tc>
          <w:tcPr>
            <w:tcW w:w="1718" w:type="dxa"/>
            <w:vAlign w:val="center"/>
            <w:hideMark/>
          </w:tcPr>
          <w:p w14:paraId="4F314545" w14:textId="77777777" w:rsidR="00EF357B" w:rsidRPr="003E2940" w:rsidRDefault="00EF357B" w:rsidP="006924B4">
            <w:pPr>
              <w:spacing w:after="0" w:line="240" w:lineRule="auto"/>
              <w:jc w:val="center"/>
              <w:rPr>
                <w:rFonts w:ascii="Times New Roman" w:eastAsia="Times New Roman" w:hAnsi="Times New Roman" w:cs="Times New Roman"/>
                <w:b/>
                <w:bCs/>
                <w:kern w:val="0"/>
                <w:lang w:val="en-IN" w:eastAsia="en-IN"/>
                <w14:ligatures w14:val="none"/>
              </w:rPr>
            </w:pPr>
            <w:r w:rsidRPr="003E2940">
              <w:rPr>
                <w:rFonts w:ascii="Times New Roman" w:eastAsia="Times New Roman" w:hAnsi="Times New Roman" w:cs="Times New Roman"/>
                <w:b/>
                <w:bCs/>
                <w:kern w:val="0"/>
                <w:lang w:val="en-IN" w:eastAsia="en-IN"/>
                <w14:ligatures w14:val="none"/>
              </w:rPr>
              <w:t>No. of articles included (2010-2024)</w:t>
            </w:r>
          </w:p>
        </w:tc>
      </w:tr>
      <w:tr w:rsidR="006924B4" w:rsidRPr="003E2940" w14:paraId="25BE25A2" w14:textId="77777777" w:rsidTr="00E43DB0">
        <w:trPr>
          <w:trHeight w:val="624"/>
        </w:trPr>
        <w:tc>
          <w:tcPr>
            <w:tcW w:w="1354" w:type="dxa"/>
            <w:noWrap/>
            <w:vAlign w:val="center"/>
            <w:hideMark/>
          </w:tcPr>
          <w:p w14:paraId="6F55F0AE" w14:textId="77777777"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PUBMED</w:t>
            </w:r>
          </w:p>
        </w:tc>
        <w:tc>
          <w:tcPr>
            <w:tcW w:w="6721" w:type="dxa"/>
            <w:noWrap/>
            <w:vAlign w:val="center"/>
            <w:hideMark/>
          </w:tcPr>
          <w:p w14:paraId="4EFF310E" w14:textId="3C183C0F"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w:t>
            </w:r>
            <w:r w:rsidR="008C7B0F" w:rsidRPr="003E2940">
              <w:rPr>
                <w:rFonts w:ascii="Times New Roman" w:eastAsia="Times New Roman" w:hAnsi="Times New Roman" w:cs="Times New Roman"/>
                <w:color w:val="000000"/>
                <w:kern w:val="0"/>
                <w:lang w:eastAsia="en-IN"/>
                <w14:ligatures w14:val="none"/>
              </w:rPr>
              <w:t>I</w:t>
            </w:r>
            <w:r w:rsidRPr="003E2940">
              <w:rPr>
                <w:rFonts w:ascii="Times New Roman" w:eastAsia="Times New Roman" w:hAnsi="Times New Roman" w:cs="Times New Roman"/>
                <w:color w:val="000000"/>
                <w:kern w:val="0"/>
                <w:lang w:eastAsia="en-IN"/>
                <w14:ligatures w14:val="none"/>
              </w:rPr>
              <w:t>ndia) AND (leptospirosis)) OR (leptospiral infection)) OR (leptospira)) AND (co-infections)</w:t>
            </w:r>
          </w:p>
        </w:tc>
        <w:tc>
          <w:tcPr>
            <w:tcW w:w="1718" w:type="dxa"/>
            <w:noWrap/>
            <w:vAlign w:val="center"/>
            <w:hideMark/>
          </w:tcPr>
          <w:p w14:paraId="2F09CB04" w14:textId="77777777" w:rsidR="00EF357B" w:rsidRPr="003E2940" w:rsidRDefault="00EF357B" w:rsidP="00E43DB0">
            <w:pPr>
              <w:spacing w:after="0" w:line="240" w:lineRule="auto"/>
              <w:jc w:val="center"/>
              <w:rPr>
                <w:rFonts w:ascii="Times New Roman" w:eastAsia="Times New Roman" w:hAnsi="Times New Roman" w:cs="Times New Roman"/>
                <w:kern w:val="0"/>
                <w:lang w:val="en-IN" w:eastAsia="en-IN"/>
                <w14:ligatures w14:val="none"/>
              </w:rPr>
            </w:pPr>
            <w:r w:rsidRPr="003E2940">
              <w:rPr>
                <w:rFonts w:ascii="Times New Roman" w:eastAsia="Times New Roman" w:hAnsi="Times New Roman" w:cs="Times New Roman"/>
                <w:kern w:val="0"/>
                <w:lang w:val="en-IN" w:eastAsia="en-IN"/>
                <w14:ligatures w14:val="none"/>
              </w:rPr>
              <w:t>154</w:t>
            </w:r>
          </w:p>
        </w:tc>
      </w:tr>
      <w:tr w:rsidR="006924B4" w:rsidRPr="003E2940" w14:paraId="0D895D92" w14:textId="77777777" w:rsidTr="00E43DB0">
        <w:trPr>
          <w:trHeight w:val="624"/>
        </w:trPr>
        <w:tc>
          <w:tcPr>
            <w:tcW w:w="1354" w:type="dxa"/>
            <w:noWrap/>
            <w:vAlign w:val="center"/>
            <w:hideMark/>
          </w:tcPr>
          <w:p w14:paraId="0AB66EC7" w14:textId="77777777"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SCOPUS</w:t>
            </w:r>
          </w:p>
        </w:tc>
        <w:tc>
          <w:tcPr>
            <w:tcW w:w="6721" w:type="dxa"/>
            <w:noWrap/>
            <w:vAlign w:val="center"/>
            <w:hideMark/>
          </w:tcPr>
          <w:p w14:paraId="13C4813E" w14:textId="29F3D31A"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w:t>
            </w:r>
            <w:r w:rsidR="008C7B0F" w:rsidRPr="003E2940">
              <w:rPr>
                <w:rFonts w:ascii="Times New Roman" w:eastAsia="Times New Roman" w:hAnsi="Times New Roman" w:cs="Times New Roman"/>
                <w:color w:val="000000"/>
                <w:kern w:val="0"/>
                <w:lang w:eastAsia="en-IN"/>
                <w14:ligatures w14:val="none"/>
              </w:rPr>
              <w:t>I</w:t>
            </w:r>
            <w:r w:rsidRPr="003E2940">
              <w:rPr>
                <w:rFonts w:ascii="Times New Roman" w:eastAsia="Times New Roman" w:hAnsi="Times New Roman" w:cs="Times New Roman"/>
                <w:color w:val="000000"/>
                <w:kern w:val="0"/>
                <w:lang w:eastAsia="en-IN"/>
                <w14:ligatures w14:val="none"/>
              </w:rPr>
              <w:t>ndia) AND (leptospirosis) OR (leptospiral AND infection) OR (leptospira) AND (co-infection) OR (coinfection))</w:t>
            </w:r>
          </w:p>
        </w:tc>
        <w:tc>
          <w:tcPr>
            <w:tcW w:w="1718" w:type="dxa"/>
            <w:noWrap/>
            <w:vAlign w:val="center"/>
            <w:hideMark/>
          </w:tcPr>
          <w:p w14:paraId="749EDCCB" w14:textId="77777777" w:rsidR="00EF357B" w:rsidRPr="003E2940" w:rsidRDefault="00EF357B" w:rsidP="00E43DB0">
            <w:pPr>
              <w:spacing w:after="0" w:line="240" w:lineRule="auto"/>
              <w:jc w:val="center"/>
              <w:rPr>
                <w:rFonts w:ascii="Times New Roman" w:eastAsia="Times New Roman" w:hAnsi="Times New Roman" w:cs="Times New Roman"/>
                <w:kern w:val="0"/>
                <w:lang w:val="en-IN" w:eastAsia="en-IN"/>
                <w14:ligatures w14:val="none"/>
              </w:rPr>
            </w:pPr>
            <w:r w:rsidRPr="003E2940">
              <w:rPr>
                <w:rFonts w:ascii="Times New Roman" w:eastAsia="Times New Roman" w:hAnsi="Times New Roman" w:cs="Times New Roman"/>
                <w:kern w:val="0"/>
                <w:lang w:val="en-IN" w:eastAsia="en-IN"/>
                <w14:ligatures w14:val="none"/>
              </w:rPr>
              <w:t>45</w:t>
            </w:r>
          </w:p>
        </w:tc>
      </w:tr>
      <w:tr w:rsidR="006924B4" w:rsidRPr="003E2940" w14:paraId="276F9A2B" w14:textId="77777777" w:rsidTr="00E43DB0">
        <w:trPr>
          <w:trHeight w:val="624"/>
        </w:trPr>
        <w:tc>
          <w:tcPr>
            <w:tcW w:w="1354" w:type="dxa"/>
            <w:noWrap/>
            <w:vAlign w:val="center"/>
            <w:hideMark/>
          </w:tcPr>
          <w:p w14:paraId="69D76D66" w14:textId="77777777"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EMBASE</w:t>
            </w:r>
          </w:p>
        </w:tc>
        <w:tc>
          <w:tcPr>
            <w:tcW w:w="6721" w:type="dxa"/>
            <w:noWrap/>
            <w:vAlign w:val="center"/>
            <w:hideMark/>
          </w:tcPr>
          <w:p w14:paraId="088CC736" w14:textId="49EEA75C"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w:t>
            </w:r>
            <w:r w:rsidR="008C7B0F" w:rsidRPr="003E2940">
              <w:rPr>
                <w:rFonts w:ascii="Times New Roman" w:eastAsia="Times New Roman" w:hAnsi="Times New Roman" w:cs="Times New Roman"/>
                <w:color w:val="000000"/>
                <w:kern w:val="0"/>
                <w:lang w:eastAsia="en-IN"/>
                <w14:ligatures w14:val="none"/>
              </w:rPr>
              <w:t>I</w:t>
            </w:r>
            <w:r w:rsidRPr="003E2940">
              <w:rPr>
                <w:rFonts w:ascii="Times New Roman" w:eastAsia="Times New Roman" w:hAnsi="Times New Roman" w:cs="Times New Roman"/>
                <w:color w:val="000000"/>
                <w:kern w:val="0"/>
                <w:lang w:eastAsia="en-IN"/>
                <w14:ligatures w14:val="none"/>
              </w:rPr>
              <w:t xml:space="preserve">ndia'/exp OR </w:t>
            </w:r>
            <w:r w:rsidR="008C7B0F" w:rsidRPr="003E2940">
              <w:rPr>
                <w:rFonts w:ascii="Times New Roman" w:eastAsia="Times New Roman" w:hAnsi="Times New Roman" w:cs="Times New Roman"/>
                <w:color w:val="000000"/>
                <w:kern w:val="0"/>
                <w:lang w:eastAsia="en-IN"/>
                <w14:ligatures w14:val="none"/>
              </w:rPr>
              <w:t>I</w:t>
            </w:r>
            <w:r w:rsidRPr="003E2940">
              <w:rPr>
                <w:rFonts w:ascii="Times New Roman" w:eastAsia="Times New Roman" w:hAnsi="Times New Roman" w:cs="Times New Roman"/>
                <w:color w:val="000000"/>
                <w:kern w:val="0"/>
                <w:lang w:eastAsia="en-IN"/>
                <w14:ligatures w14:val="none"/>
              </w:rPr>
              <w:t>ndia) AND leptospirosis OR (leptospiral AND infection)) AND coinfection</w:t>
            </w:r>
          </w:p>
        </w:tc>
        <w:tc>
          <w:tcPr>
            <w:tcW w:w="1718" w:type="dxa"/>
            <w:noWrap/>
            <w:vAlign w:val="center"/>
            <w:hideMark/>
          </w:tcPr>
          <w:p w14:paraId="1BC31E56" w14:textId="77777777" w:rsidR="00EF357B" w:rsidRPr="003E2940" w:rsidRDefault="00EF357B" w:rsidP="00E43DB0">
            <w:pPr>
              <w:spacing w:after="0" w:line="240" w:lineRule="auto"/>
              <w:jc w:val="center"/>
              <w:rPr>
                <w:rFonts w:ascii="Times New Roman" w:eastAsia="Times New Roman" w:hAnsi="Times New Roman" w:cs="Times New Roman"/>
                <w:kern w:val="0"/>
                <w:lang w:val="en-IN" w:eastAsia="en-IN"/>
                <w14:ligatures w14:val="none"/>
              </w:rPr>
            </w:pPr>
            <w:r w:rsidRPr="003E2940">
              <w:rPr>
                <w:rFonts w:ascii="Times New Roman" w:eastAsia="Times New Roman" w:hAnsi="Times New Roman" w:cs="Times New Roman"/>
                <w:kern w:val="0"/>
                <w:lang w:val="en-IN" w:eastAsia="en-IN"/>
                <w14:ligatures w14:val="none"/>
              </w:rPr>
              <w:t>104</w:t>
            </w:r>
          </w:p>
        </w:tc>
      </w:tr>
      <w:tr w:rsidR="006924B4" w:rsidRPr="003E2940" w14:paraId="0D7788AD" w14:textId="77777777" w:rsidTr="00E43DB0">
        <w:trPr>
          <w:trHeight w:val="624"/>
        </w:trPr>
        <w:tc>
          <w:tcPr>
            <w:tcW w:w="1354" w:type="dxa"/>
            <w:noWrap/>
            <w:vAlign w:val="center"/>
            <w:hideMark/>
          </w:tcPr>
          <w:p w14:paraId="7F7A1DB0" w14:textId="77777777"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WEB OF SCIENCE</w:t>
            </w:r>
          </w:p>
        </w:tc>
        <w:tc>
          <w:tcPr>
            <w:tcW w:w="6721" w:type="dxa"/>
            <w:noWrap/>
            <w:vAlign w:val="center"/>
            <w:hideMark/>
          </w:tcPr>
          <w:p w14:paraId="0AD1E060" w14:textId="77777777" w:rsidR="00EF357B" w:rsidRPr="003E2940" w:rsidRDefault="00EF357B" w:rsidP="006924B4">
            <w:pPr>
              <w:spacing w:after="0" w:line="240" w:lineRule="auto"/>
              <w:rPr>
                <w:rFonts w:ascii="Times New Roman" w:eastAsia="Times New Roman" w:hAnsi="Times New Roman" w:cs="Times New Roman"/>
                <w:color w:val="000000"/>
                <w:kern w:val="0"/>
                <w:lang w:val="en-IN" w:eastAsia="en-IN"/>
                <w14:ligatures w14:val="none"/>
              </w:rPr>
            </w:pPr>
            <w:r w:rsidRPr="003E2940">
              <w:rPr>
                <w:rFonts w:ascii="Times New Roman" w:eastAsia="Times New Roman" w:hAnsi="Times New Roman" w:cs="Times New Roman"/>
                <w:color w:val="000000"/>
                <w:kern w:val="0"/>
                <w:lang w:eastAsia="en-IN"/>
                <w14:ligatures w14:val="none"/>
              </w:rPr>
              <w:t>India (All Fields) and leptospirosis (All Fields) or leptospiral infection (All Fields) and co-infections (All Fields)</w:t>
            </w:r>
          </w:p>
        </w:tc>
        <w:tc>
          <w:tcPr>
            <w:tcW w:w="1718" w:type="dxa"/>
            <w:noWrap/>
            <w:vAlign w:val="center"/>
            <w:hideMark/>
          </w:tcPr>
          <w:p w14:paraId="30998B08" w14:textId="77777777" w:rsidR="00EF357B" w:rsidRPr="003E2940" w:rsidRDefault="00EF357B" w:rsidP="00E43DB0">
            <w:pPr>
              <w:spacing w:after="0" w:line="240" w:lineRule="auto"/>
              <w:jc w:val="center"/>
              <w:rPr>
                <w:rFonts w:ascii="Times New Roman" w:eastAsia="Times New Roman" w:hAnsi="Times New Roman" w:cs="Times New Roman"/>
                <w:kern w:val="0"/>
                <w:lang w:val="en-IN" w:eastAsia="en-IN"/>
                <w14:ligatures w14:val="none"/>
              </w:rPr>
            </w:pPr>
            <w:r w:rsidRPr="003E2940">
              <w:rPr>
                <w:rFonts w:ascii="Times New Roman" w:eastAsia="Times New Roman" w:hAnsi="Times New Roman" w:cs="Times New Roman"/>
                <w:kern w:val="0"/>
                <w:lang w:val="en-IN" w:eastAsia="en-IN"/>
                <w14:ligatures w14:val="none"/>
              </w:rPr>
              <w:t>631</w:t>
            </w:r>
          </w:p>
        </w:tc>
      </w:tr>
      <w:tr w:rsidR="006924B4" w:rsidRPr="003E2940" w14:paraId="67C4C080" w14:textId="77777777" w:rsidTr="00E43DB0">
        <w:trPr>
          <w:trHeight w:val="624"/>
        </w:trPr>
        <w:tc>
          <w:tcPr>
            <w:tcW w:w="1354" w:type="dxa"/>
            <w:noWrap/>
            <w:vAlign w:val="center"/>
            <w:hideMark/>
          </w:tcPr>
          <w:p w14:paraId="3DC3155D" w14:textId="6DDB1FF3" w:rsidR="00EF357B" w:rsidRPr="003E2940" w:rsidRDefault="00EF357B" w:rsidP="006924B4">
            <w:pPr>
              <w:spacing w:after="0" w:line="240" w:lineRule="auto"/>
              <w:rPr>
                <w:rFonts w:ascii="Times New Roman" w:eastAsia="Times New Roman" w:hAnsi="Times New Roman" w:cs="Times New Roman"/>
                <w:kern w:val="0"/>
                <w:lang w:val="en-IN" w:eastAsia="en-IN"/>
                <w14:ligatures w14:val="none"/>
              </w:rPr>
            </w:pPr>
          </w:p>
        </w:tc>
        <w:tc>
          <w:tcPr>
            <w:tcW w:w="6721" w:type="dxa"/>
            <w:noWrap/>
            <w:vAlign w:val="center"/>
            <w:hideMark/>
          </w:tcPr>
          <w:p w14:paraId="00175353" w14:textId="243C934C" w:rsidR="00EF357B" w:rsidRPr="003E2940" w:rsidRDefault="00EF357B" w:rsidP="006924B4">
            <w:pPr>
              <w:spacing w:after="0" w:line="240" w:lineRule="auto"/>
              <w:rPr>
                <w:rFonts w:ascii="Times New Roman" w:eastAsia="Times New Roman" w:hAnsi="Times New Roman" w:cs="Times New Roman"/>
                <w:kern w:val="0"/>
                <w:lang w:val="en-IN" w:eastAsia="en-IN"/>
                <w14:ligatures w14:val="none"/>
              </w:rPr>
            </w:pPr>
            <w:r w:rsidRPr="003E2940">
              <w:rPr>
                <w:rFonts w:ascii="Times New Roman" w:eastAsia="Times New Roman" w:hAnsi="Times New Roman" w:cs="Times New Roman"/>
                <w:kern w:val="0"/>
                <w:lang w:val="en-IN" w:eastAsia="en-IN"/>
                <w14:ligatures w14:val="none"/>
              </w:rPr>
              <w:t>Total articles retrieved</w:t>
            </w:r>
          </w:p>
        </w:tc>
        <w:tc>
          <w:tcPr>
            <w:tcW w:w="1718" w:type="dxa"/>
            <w:noWrap/>
            <w:vAlign w:val="center"/>
            <w:hideMark/>
          </w:tcPr>
          <w:p w14:paraId="19E45605" w14:textId="77777777" w:rsidR="00EF357B" w:rsidRPr="003E2940" w:rsidRDefault="00EF357B" w:rsidP="00E43DB0">
            <w:pPr>
              <w:spacing w:after="0" w:line="240" w:lineRule="auto"/>
              <w:jc w:val="center"/>
              <w:rPr>
                <w:rFonts w:ascii="Times New Roman" w:eastAsia="Times New Roman" w:hAnsi="Times New Roman" w:cs="Times New Roman"/>
                <w:kern w:val="0"/>
                <w:lang w:val="en-IN" w:eastAsia="en-IN"/>
                <w14:ligatures w14:val="none"/>
              </w:rPr>
            </w:pPr>
            <w:r w:rsidRPr="003E2940">
              <w:rPr>
                <w:rFonts w:ascii="Times New Roman" w:eastAsia="Times New Roman" w:hAnsi="Times New Roman" w:cs="Times New Roman"/>
                <w:kern w:val="0"/>
                <w:lang w:val="en-IN" w:eastAsia="en-IN"/>
                <w14:ligatures w14:val="none"/>
              </w:rPr>
              <w:t>934</w:t>
            </w:r>
          </w:p>
        </w:tc>
      </w:tr>
    </w:tbl>
    <w:p w14:paraId="74FB72DB" w14:textId="7F2C11B7" w:rsidR="00EF357B" w:rsidRPr="003E2940" w:rsidRDefault="006924B4">
      <w:pPr>
        <w:rPr>
          <w:rFonts w:ascii="Times New Roman" w:hAnsi="Times New Roman" w:cs="Times New Roman"/>
          <w:b/>
          <w:bCs/>
          <w:color w:val="000000" w:themeColor="text1"/>
          <w:sz w:val="24"/>
          <w:szCs w:val="24"/>
        </w:rPr>
      </w:pPr>
      <w:r w:rsidRPr="003E2940">
        <w:rPr>
          <w:rFonts w:ascii="Times New Roman" w:hAnsi="Times New Roman" w:cs="Times New Roman"/>
          <w:b/>
          <w:bCs/>
          <w:color w:val="000000" w:themeColor="text1"/>
          <w:sz w:val="24"/>
          <w:szCs w:val="24"/>
        </w:rPr>
        <w:t xml:space="preserve">Table </w:t>
      </w:r>
      <w:r w:rsidR="00865BC7">
        <w:rPr>
          <w:rFonts w:ascii="Times New Roman" w:hAnsi="Times New Roman" w:cs="Times New Roman"/>
          <w:b/>
          <w:bCs/>
          <w:color w:val="000000" w:themeColor="text1"/>
          <w:sz w:val="24"/>
          <w:szCs w:val="24"/>
        </w:rPr>
        <w:t>S</w:t>
      </w:r>
      <w:r w:rsidRPr="003E2940">
        <w:rPr>
          <w:rFonts w:ascii="Times New Roman" w:hAnsi="Times New Roman" w:cs="Times New Roman"/>
          <w:b/>
          <w:bCs/>
          <w:color w:val="000000" w:themeColor="text1"/>
          <w:sz w:val="24"/>
          <w:szCs w:val="24"/>
        </w:rPr>
        <w:t xml:space="preserve">1: Distribution of search strategies developed for each database </w:t>
      </w:r>
    </w:p>
    <w:p w14:paraId="61558C15" w14:textId="12AF9533" w:rsidR="00EF357B" w:rsidRPr="003E2940" w:rsidRDefault="00EF357B">
      <w:pPr>
        <w:rPr>
          <w:rFonts w:ascii="Times New Roman" w:hAnsi="Times New Roman" w:cs="Times New Roman"/>
          <w:b/>
          <w:bCs/>
          <w:sz w:val="24"/>
          <w:szCs w:val="24"/>
        </w:rPr>
      </w:pPr>
      <w:r w:rsidRPr="003E2940">
        <w:rPr>
          <w:rFonts w:ascii="Times New Roman" w:hAnsi="Times New Roman" w:cs="Times New Roman"/>
          <w:b/>
          <w:bCs/>
          <w:sz w:val="24"/>
          <w:szCs w:val="24"/>
        </w:rPr>
        <w:br w:type="page"/>
      </w:r>
    </w:p>
    <w:p w14:paraId="6E4FFFA8" w14:textId="77777777" w:rsidR="005C2CD2" w:rsidRPr="003E2940" w:rsidRDefault="005C2CD2">
      <w:pPr>
        <w:rPr>
          <w:rFonts w:ascii="Times New Roman" w:hAnsi="Times New Roman" w:cs="Times New Roman"/>
          <w:b/>
          <w:bCs/>
          <w:sz w:val="24"/>
          <w:szCs w:val="24"/>
        </w:rPr>
      </w:pPr>
    </w:p>
    <w:p w14:paraId="2394E1BA" w14:textId="58B09CBC" w:rsidR="00701F31" w:rsidRPr="003E2940" w:rsidRDefault="00F459C9" w:rsidP="00E36EC3">
      <w:pPr>
        <w:rPr>
          <w:rFonts w:ascii="Times New Roman" w:hAnsi="Times New Roman" w:cs="Times New Roman"/>
          <w:b/>
          <w:bCs/>
          <w:sz w:val="24"/>
          <w:szCs w:val="24"/>
        </w:rPr>
      </w:pPr>
      <w:r w:rsidRPr="003E2940">
        <w:rPr>
          <w:rFonts w:ascii="Times New Roman" w:hAnsi="Times New Roman" w:cs="Times New Roman"/>
          <w:b/>
          <w:bCs/>
          <w:sz w:val="24"/>
          <w:szCs w:val="24"/>
        </w:rPr>
        <w:t xml:space="preserve">Table </w:t>
      </w:r>
      <w:r w:rsidR="00865BC7">
        <w:rPr>
          <w:rFonts w:ascii="Times New Roman" w:hAnsi="Times New Roman" w:cs="Times New Roman"/>
          <w:b/>
          <w:bCs/>
          <w:sz w:val="24"/>
          <w:szCs w:val="24"/>
        </w:rPr>
        <w:t>S</w:t>
      </w:r>
      <w:r w:rsidR="00683A04" w:rsidRPr="003E2940">
        <w:rPr>
          <w:rFonts w:ascii="Times New Roman" w:hAnsi="Times New Roman" w:cs="Times New Roman"/>
          <w:b/>
          <w:bCs/>
          <w:sz w:val="24"/>
          <w:szCs w:val="24"/>
        </w:rPr>
        <w:t>2</w:t>
      </w:r>
      <w:r w:rsidRPr="003E2940">
        <w:rPr>
          <w:rFonts w:ascii="Times New Roman" w:hAnsi="Times New Roman" w:cs="Times New Roman"/>
          <w:b/>
          <w:bCs/>
          <w:sz w:val="24"/>
          <w:szCs w:val="24"/>
        </w:rPr>
        <w:t>: Distribution of Co-infection cases with Leptospirosis</w:t>
      </w:r>
    </w:p>
    <w:tbl>
      <w:tblPr>
        <w:tblW w:w="10343" w:type="dxa"/>
        <w:jc w:val="center"/>
        <w:tblLayout w:type="fixed"/>
        <w:tblLook w:val="04A0" w:firstRow="1" w:lastRow="0" w:firstColumn="1" w:lastColumn="0" w:noHBand="0" w:noVBand="1"/>
      </w:tblPr>
      <w:tblGrid>
        <w:gridCol w:w="1838"/>
        <w:gridCol w:w="1418"/>
        <w:gridCol w:w="1276"/>
        <w:gridCol w:w="1275"/>
        <w:gridCol w:w="1134"/>
        <w:gridCol w:w="1276"/>
        <w:gridCol w:w="2126"/>
      </w:tblGrid>
      <w:tr w:rsidR="00701F31" w:rsidRPr="003E2940" w14:paraId="4CE7A7E6" w14:textId="77777777" w:rsidTr="0085033A">
        <w:trPr>
          <w:trHeight w:val="52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B73733D"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Author/Year (reference number)</w:t>
            </w:r>
          </w:p>
        </w:tc>
        <w:tc>
          <w:tcPr>
            <w:tcW w:w="1418" w:type="dxa"/>
            <w:tcBorders>
              <w:top w:val="single" w:sz="4" w:space="0" w:color="auto"/>
              <w:left w:val="nil"/>
              <w:bottom w:val="single" w:sz="4" w:space="0" w:color="auto"/>
              <w:right w:val="single" w:sz="4" w:space="0" w:color="auto"/>
            </w:tcBorders>
            <w:vAlign w:val="center"/>
            <w:hideMark/>
          </w:tcPr>
          <w:p w14:paraId="5718B6C3"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Location of the study</w:t>
            </w:r>
          </w:p>
        </w:tc>
        <w:tc>
          <w:tcPr>
            <w:tcW w:w="1276" w:type="dxa"/>
            <w:tcBorders>
              <w:top w:val="single" w:sz="4" w:space="0" w:color="auto"/>
              <w:left w:val="nil"/>
              <w:bottom w:val="single" w:sz="4" w:space="0" w:color="auto"/>
              <w:right w:val="single" w:sz="4" w:space="0" w:color="auto"/>
            </w:tcBorders>
            <w:vAlign w:val="center"/>
            <w:hideMark/>
          </w:tcPr>
          <w:p w14:paraId="6A283B3E"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Leptospirosis positive cases (n=1553)</w:t>
            </w:r>
          </w:p>
        </w:tc>
        <w:tc>
          <w:tcPr>
            <w:tcW w:w="1275" w:type="dxa"/>
            <w:tcBorders>
              <w:top w:val="single" w:sz="4" w:space="0" w:color="auto"/>
              <w:left w:val="nil"/>
              <w:bottom w:val="single" w:sz="4" w:space="0" w:color="auto"/>
              <w:right w:val="single" w:sz="4" w:space="0" w:color="auto"/>
            </w:tcBorders>
            <w:vAlign w:val="center"/>
          </w:tcPr>
          <w:p w14:paraId="2475A2A6"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Diagnosis of Leptospirosis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ED8E13"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Total no. of patients with co-infections (n=236)</w:t>
            </w:r>
          </w:p>
        </w:tc>
        <w:tc>
          <w:tcPr>
            <w:tcW w:w="1276" w:type="dxa"/>
            <w:tcBorders>
              <w:top w:val="single" w:sz="4" w:space="0" w:color="auto"/>
              <w:left w:val="nil"/>
              <w:bottom w:val="single" w:sz="4" w:space="0" w:color="auto"/>
              <w:right w:val="single" w:sz="4" w:space="0" w:color="auto"/>
            </w:tcBorders>
            <w:noWrap/>
            <w:vAlign w:val="center"/>
            <w:hideMark/>
          </w:tcPr>
          <w:p w14:paraId="67704B96"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Co-infections</w:t>
            </w:r>
          </w:p>
        </w:tc>
        <w:tc>
          <w:tcPr>
            <w:tcW w:w="2126" w:type="dxa"/>
            <w:tcBorders>
              <w:top w:val="single" w:sz="4" w:space="0" w:color="auto"/>
              <w:left w:val="nil"/>
              <w:bottom w:val="single" w:sz="4" w:space="0" w:color="auto"/>
              <w:right w:val="single" w:sz="4" w:space="0" w:color="auto"/>
            </w:tcBorders>
            <w:vAlign w:val="center"/>
          </w:tcPr>
          <w:p w14:paraId="5A10ADC8" w14:textId="77777777" w:rsidR="00701F31" w:rsidRPr="003E2940" w:rsidRDefault="00701F31" w:rsidP="002672C1">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Diagnosis of Co-infections</w:t>
            </w:r>
          </w:p>
        </w:tc>
      </w:tr>
      <w:tr w:rsidR="00171FFB" w:rsidRPr="003E2940" w14:paraId="344C2FFA" w14:textId="77777777" w:rsidTr="0085033A">
        <w:trPr>
          <w:trHeight w:val="299"/>
          <w:jc w:val="center"/>
        </w:trPr>
        <w:tc>
          <w:tcPr>
            <w:tcW w:w="10343" w:type="dxa"/>
            <w:gridSpan w:val="7"/>
            <w:tcBorders>
              <w:top w:val="single" w:sz="4" w:space="0" w:color="auto"/>
              <w:left w:val="single" w:sz="4" w:space="0" w:color="auto"/>
              <w:bottom w:val="single" w:sz="4" w:space="0" w:color="auto"/>
              <w:right w:val="single" w:sz="4" w:space="0" w:color="auto"/>
            </w:tcBorders>
            <w:vAlign w:val="center"/>
          </w:tcPr>
          <w:p w14:paraId="307C86CD" w14:textId="7184940E" w:rsidR="00171FFB" w:rsidRPr="003E2940" w:rsidRDefault="00171FFB"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Observational studies</w:t>
            </w:r>
          </w:p>
        </w:tc>
      </w:tr>
      <w:tr w:rsidR="00012E24" w:rsidRPr="003E2940" w14:paraId="26AB4890" w14:textId="77777777" w:rsidTr="0085033A">
        <w:trPr>
          <w:trHeight w:val="299"/>
          <w:jc w:val="center"/>
        </w:trPr>
        <w:tc>
          <w:tcPr>
            <w:tcW w:w="1838" w:type="dxa"/>
            <w:tcBorders>
              <w:top w:val="single" w:sz="4" w:space="0" w:color="auto"/>
              <w:left w:val="single" w:sz="4" w:space="0" w:color="auto"/>
              <w:bottom w:val="single" w:sz="4" w:space="0" w:color="auto"/>
              <w:right w:val="single" w:sz="4" w:space="0" w:color="auto"/>
            </w:tcBorders>
            <w:vAlign w:val="center"/>
          </w:tcPr>
          <w:p w14:paraId="76C2A9C7" w14:textId="63041EFC"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Kumar A,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{"citationID":"qPlnKB5p","properties":{"formattedCitation":"(33)","plainCitation":"(33)","dontUpdate":true,"noteIndex":0},"citationItems":[{"id":166,"uris":["http://zotero.org/users/14157373/items/SAAR5MYG"],"itemData":{"id":166,"type":"article-journal","abstract":"Background: Concurrent epidemics of both dengue fever and leptospirosis are known to occur in the tropics; however, it is unclear whether coinfection is associated with different clinical manifestations and outcomes. Materials and Methods: Medical records for patients with serological evidence of leptospirosis, dengue, and coinfection from January 2007 to December 2008 were abstracted using a standardized abstraction form. The patients' demographic data, underlying diseases, clinical manifestations, laboratory data, and disease outcomes were retrospectively analyzed. Results: The frequency of leptospirosis was 15.8% (287/1814), while that of dengue was 14.8% (239/1610) and coinfection was seen in 1.3% (17/1309). Highest mortality of 29.6% (5/17) was seen in coinfected cases, followed by leptospirosis (14.6%) and dengue (3.7%). Conclusion: In the tropics, leptospirosis and dengue can coexist and increased awareness of coinfection, and an enhanced ability to diagnose it early in illness, will help guide the appropriate use antibiotics and supportive measures to reduce mortality.","container-title":"Annals of Tropical Medicine and Public Health","DOI":"10.4103/1755-6783.102012","journalAbbreviation":"Annals of Tropical Medicine and Public Health","page":"286-290","source":"ResearchGate","title":"Serological evidence of leptospirosis and dengue coinfection in an endemic region in South India","volume":"5","author":[{"family":"Kumar","given":"Anil"},{"family":"Balachandran","given":"Vinodh"},{"family":"Dominic","given":"Arya"},{"family":"Dinesh","given":"Kavitha"},{"family":"Karim","given":"Sofwah"},{"family":"Rao","given":"Ganapathi"}],"issued":{"date-parts":[["2012",7,6]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(26)</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4F8278A" w14:textId="3025833D"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Kochi, Kerala</w:t>
            </w:r>
          </w:p>
        </w:tc>
        <w:tc>
          <w:tcPr>
            <w:tcW w:w="1276" w:type="dxa"/>
            <w:tcBorders>
              <w:top w:val="single" w:sz="4" w:space="0" w:color="auto"/>
              <w:left w:val="nil"/>
              <w:bottom w:val="single" w:sz="4" w:space="0" w:color="auto"/>
              <w:right w:val="single" w:sz="4" w:space="0" w:color="auto"/>
            </w:tcBorders>
            <w:vAlign w:val="center"/>
          </w:tcPr>
          <w:p w14:paraId="5F119081" w14:textId="2A287EE6"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287</w:t>
            </w:r>
          </w:p>
        </w:tc>
        <w:tc>
          <w:tcPr>
            <w:tcW w:w="1275" w:type="dxa"/>
            <w:tcBorders>
              <w:top w:val="single" w:sz="4" w:space="0" w:color="auto"/>
              <w:left w:val="nil"/>
              <w:bottom w:val="single" w:sz="4" w:space="0" w:color="auto"/>
              <w:right w:val="single" w:sz="4" w:space="0" w:color="auto"/>
            </w:tcBorders>
            <w:vAlign w:val="center"/>
          </w:tcPr>
          <w:p w14:paraId="6E98F8D2"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IgM ELISA, </w:t>
            </w:r>
          </w:p>
          <w:p w14:paraId="3FE1879E" w14:textId="7D8E8420"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single" w:sz="4" w:space="0" w:color="auto"/>
              <w:left w:val="single" w:sz="4" w:space="0" w:color="auto"/>
              <w:bottom w:val="single" w:sz="4" w:space="0" w:color="auto"/>
              <w:right w:val="single" w:sz="4" w:space="0" w:color="auto"/>
            </w:tcBorders>
            <w:vAlign w:val="center"/>
          </w:tcPr>
          <w:p w14:paraId="4A1CA1AC" w14:textId="5F6FB8EF"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1276" w:type="dxa"/>
            <w:tcBorders>
              <w:top w:val="single" w:sz="4" w:space="0" w:color="auto"/>
              <w:left w:val="nil"/>
              <w:bottom w:val="single" w:sz="4" w:space="0" w:color="auto"/>
              <w:right w:val="single" w:sz="4" w:space="0" w:color="auto"/>
            </w:tcBorders>
            <w:noWrap/>
            <w:vAlign w:val="center"/>
          </w:tcPr>
          <w:p w14:paraId="47732531" w14:textId="5C1685A9"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27669D3F" w14:textId="7B594F66"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tc>
      </w:tr>
      <w:tr w:rsidR="00012E24" w:rsidRPr="003E2940" w14:paraId="05EEA7E9"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6CD264" w14:textId="7976F110"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Ananthi B,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{"citationID":"rXMfWtyV","properties":{"formattedCitation":"(41)","plainCitation":"(41)","noteIndex":0},"citationItems":[{"id":465,"uris":["http://zotero.org/users/14157373/items/VJ9BCDHR"],"itemData":{"id":465,"type":"article-journal","abstract":"BACKGROUND: Concomitant infection of leptospirosis with dengue has been reported in places where these diseases are endemic and leptospirosis may be overlooked in such cases. Recognition of leptospirosis is especially important since antimicrobial agents can reduce its severity and duration. Failure to identify leptospirosis in these patients will result in high mortality rate for this infection. Hence this study was conducted to have a detailed knowledge and awareness about the concomitant infection of leptospirosis with dengue. MATERIALS AND METHODS: Patients admitted to the medical ward of Government General Hospital, Chennai with fever of ≥ 5days and of the age group twelve years and above were evaluated for leptospirosis by doing the screening test MSAT (Macroscopic Slide Agglutination Test). All patients who tested positive for MSAT were further confirmed by MAT (Microscopic Agglutination Test). Those patients who tested positive for leptospirosis were investigated for concomitant infection with dengue utilising IgM ELISA. Patients positive for both leptospirosis and dengue were taken up for the study and were evaluated for relevant clinical features and laboratory profile. RESULTS: 143 patients were found to be positive for leptospirosis and among them 4 (2.8%) patients were positive for the concomitant dengue infection. In the four concomitant infection patients, two were males and two were females, all in the age group of 20 to 30 years. Fever and myalgia were the predominant symptoms in these patients. Thrombocytopenia was seen in 3 (75%) patients. With fluid resuscitation, platelet transfusion, appropriate drug and supportive therapy all the four patients recovered. No mortality was observed in this study. CONCLUSION: Increased awareness of concomitant infection and an enhanced ability to diagnose it early in illness is necessary so that appropriate treatment and supportive measures can be given to reduce the morbidity and mortality. Leptospiral illness may be a significant component in patients with concomitant infections and hence it is essential to evaluate for leptospirosis in all","container-title":"Journal of Evolution of Medical and Dental Sciences","DOI":"10.14260/jemds/2014/2063","ISSN":"22784748, 22784802","issue":"8","journalAbbreviation":"jemds","page":"1823-1827","source":"Semantic Scholar","title":"CONCOMITANT INFECTION OF LEPTOSPIROSIS WITH DENGUE AT A TERTIARY CARE HOSPITAL IN CHENNAI","volume":"3","author":[{"family":"B","given":"Ananthi"},{"family":"G","given":"Sumathi"}],"issued":{"date-parts":[["2014",2,18]]}}}],"schema":"https://github.com/citation-style-language/schema/raw/master/csl-citation.json"}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(27)</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630AE839"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Chennai, </w:t>
            </w:r>
          </w:p>
          <w:p w14:paraId="0AD01169" w14:textId="347BC4D3"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Tamil Nadu</w:t>
            </w:r>
          </w:p>
        </w:tc>
        <w:tc>
          <w:tcPr>
            <w:tcW w:w="1276" w:type="dxa"/>
            <w:tcBorders>
              <w:top w:val="single" w:sz="4" w:space="0" w:color="auto"/>
              <w:left w:val="nil"/>
              <w:bottom w:val="single" w:sz="4" w:space="0" w:color="auto"/>
              <w:right w:val="single" w:sz="4" w:space="0" w:color="auto"/>
            </w:tcBorders>
            <w:vAlign w:val="center"/>
          </w:tcPr>
          <w:p w14:paraId="6B389CC5" w14:textId="0B3A9EA2"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143</w:t>
            </w:r>
          </w:p>
        </w:tc>
        <w:tc>
          <w:tcPr>
            <w:tcW w:w="1275" w:type="dxa"/>
            <w:tcBorders>
              <w:top w:val="single" w:sz="4" w:space="0" w:color="auto"/>
              <w:left w:val="nil"/>
              <w:bottom w:val="single" w:sz="4" w:space="0" w:color="auto"/>
              <w:right w:val="single" w:sz="4" w:space="0" w:color="auto"/>
            </w:tcBorders>
            <w:vAlign w:val="center"/>
          </w:tcPr>
          <w:p w14:paraId="75E3112C" w14:textId="62E4675E"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single" w:sz="4" w:space="0" w:color="auto"/>
              <w:left w:val="single" w:sz="4" w:space="0" w:color="auto"/>
              <w:bottom w:val="single" w:sz="4" w:space="0" w:color="auto"/>
              <w:right w:val="single" w:sz="4" w:space="0" w:color="auto"/>
            </w:tcBorders>
            <w:vAlign w:val="center"/>
          </w:tcPr>
          <w:p w14:paraId="2316BC7F" w14:textId="6F5E7C07"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1276" w:type="dxa"/>
            <w:tcBorders>
              <w:top w:val="single" w:sz="4" w:space="0" w:color="auto"/>
              <w:left w:val="nil"/>
              <w:bottom w:val="single" w:sz="4" w:space="0" w:color="auto"/>
              <w:right w:val="single" w:sz="4" w:space="0" w:color="auto"/>
            </w:tcBorders>
            <w:noWrap/>
            <w:vAlign w:val="center"/>
          </w:tcPr>
          <w:p w14:paraId="3A4A2330" w14:textId="16C9148D"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4934B41D" w14:textId="67B15E2F"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tc>
      </w:tr>
      <w:tr w:rsidR="00012E24" w:rsidRPr="003E2940" w14:paraId="4EFE8325"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5C707BDE" w14:textId="3E80B693"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Dhanashree, B., 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{"citationID":"AstP8dOY","properties":{"formattedCitation":"(46)","plainCitation":"(46)","noteIndex":0},"citationItems":[{"id":492,"uris":["http://zotero.org/users/14157373/items/LINC8L4F"],"itemData":{"id":492,"type":"article-journal","abstract":"INTRODUCTION: Presentation of febrile illness with nonspecific features, overlapping manifestations of dengue and leptospirosis, limited laboratory diagnostic tests, make the clinical diagnosis of pyrexia a challenge. The present study aimed to determine the prevalence of Leptospira and dengue IgM co-infection among acute febrile illness patients.\nMETHODS: This is a retrospective hospital-based study which included patient data collected from June 2016 to May 2017. Inpatients' samples (n=2139) were tested for dengue and/or Leptospira IgM at the Microbiology Laboratory. Data like duration of fever, platelet count, hemoglobin, white blood cell count, erythrocyte sedimentation rate, results of liver and renal function tests, mode of treatment, were collected from medical records of laboratory-confirmed co-infection cases.\nRESULTS: Among 1612 serum samples tested for dengue IgM by ELISA, 382 (23.7%) were positive, 17 equivocal and 1213 were negative. Of the 811 Leptospira IgM ELISA done, 119 (14.7%) were positive, 17 equivocal and 675 negative. Two hundred eighty-four samples were tested for both infections and nine (3.2%) were positive for both and 275 were negative. These nine patients positive for dual infections showed elevated transaminases, alkaline phosphatase, serum bilirubin, creatinine, and blood urea, thrombocytopenia and leukocytosis. They received effective antibiotics along with supportive treatment and were cured of the infection.\nCONCLUSIONS: The study emphasizes the possibility of leptospirosis and dengue co-infection (3.2%) and need for confirmation by a highly specific test like PCR. If co-infection is suspected, treatment with specific antibiotics for leptospirosis and supportive treatment for dengue is mandatory, with due attention to complexity of organ involvement.","container-title":"Germs","DOI":"10.18683/germs.2021.1253","ISSN":"2248-2997","issue":"2","journalAbbreviation":"Germs","language":"eng","note":"PMID: 34422688\nPMCID: PMC8373406","page":"155-162","source":"PubMed","title":"Seropositivity for dengue and Leptospira IgM among patients with acute febrile illness: an indicator of co-infection?","title-short":"Seropositivity for dengue and Leptospira IgM among patients with acute febrile illness","volume":"11","author":[{"family":"Dhanashree","given":"Biranthabail"},{"family":"Shenoy","given":"Shalini"}],"issued":{"date-parts":[["2021",6]]}}}],"schema":"https://github.com/citation-style-language/schema/raw/master/csl-citation.json"}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(19)</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single" w:sz="4" w:space="0" w:color="auto"/>
              <w:left w:val="nil"/>
              <w:bottom w:val="single" w:sz="4" w:space="0" w:color="auto"/>
              <w:right w:val="single" w:sz="4" w:space="0" w:color="auto"/>
            </w:tcBorders>
            <w:vAlign w:val="center"/>
          </w:tcPr>
          <w:p w14:paraId="624CCA7D" w14:textId="6AE8FA85"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1276" w:type="dxa"/>
            <w:tcBorders>
              <w:top w:val="single" w:sz="4" w:space="0" w:color="auto"/>
              <w:left w:val="nil"/>
              <w:bottom w:val="single" w:sz="4" w:space="0" w:color="auto"/>
              <w:right w:val="single" w:sz="4" w:space="0" w:color="auto"/>
            </w:tcBorders>
            <w:vAlign w:val="center"/>
          </w:tcPr>
          <w:p w14:paraId="37010B42" w14:textId="06DFA759"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119</w:t>
            </w:r>
          </w:p>
        </w:tc>
        <w:tc>
          <w:tcPr>
            <w:tcW w:w="1275" w:type="dxa"/>
            <w:tcBorders>
              <w:top w:val="single" w:sz="4" w:space="0" w:color="auto"/>
              <w:left w:val="nil"/>
              <w:bottom w:val="single" w:sz="4" w:space="0" w:color="auto"/>
              <w:right w:val="single" w:sz="4" w:space="0" w:color="auto"/>
            </w:tcBorders>
            <w:vAlign w:val="center"/>
          </w:tcPr>
          <w:p w14:paraId="3E19A164" w14:textId="4D23AB84"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78515EEE" w14:textId="6C77CAE8"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1276" w:type="dxa"/>
            <w:tcBorders>
              <w:top w:val="single" w:sz="4" w:space="0" w:color="auto"/>
              <w:left w:val="nil"/>
              <w:bottom w:val="single" w:sz="4" w:space="0" w:color="auto"/>
              <w:right w:val="single" w:sz="4" w:space="0" w:color="auto"/>
            </w:tcBorders>
            <w:noWrap/>
            <w:vAlign w:val="center"/>
          </w:tcPr>
          <w:p w14:paraId="64B3B5FD" w14:textId="4AB00BF5"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5D59898B" w14:textId="7EB1F3AE"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tc>
      </w:tr>
      <w:tr w:rsidR="00012E24" w:rsidRPr="003E2940" w14:paraId="22214653"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2AA890E5" w14:textId="4B1A0D01"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Sachu A., 2018 (4)</w:t>
            </w:r>
          </w:p>
        </w:tc>
        <w:tc>
          <w:tcPr>
            <w:tcW w:w="1418" w:type="dxa"/>
            <w:tcBorders>
              <w:top w:val="single" w:sz="4" w:space="0" w:color="auto"/>
              <w:left w:val="nil"/>
              <w:bottom w:val="single" w:sz="4" w:space="0" w:color="auto"/>
              <w:right w:val="single" w:sz="4" w:space="0" w:color="auto"/>
            </w:tcBorders>
            <w:vAlign w:val="center"/>
          </w:tcPr>
          <w:p w14:paraId="1FCB7257" w14:textId="4171AB44"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Alappuzha, Kerala</w:t>
            </w:r>
          </w:p>
        </w:tc>
        <w:tc>
          <w:tcPr>
            <w:tcW w:w="1276" w:type="dxa"/>
            <w:tcBorders>
              <w:top w:val="single" w:sz="4" w:space="0" w:color="auto"/>
              <w:left w:val="nil"/>
              <w:bottom w:val="single" w:sz="4" w:space="0" w:color="auto"/>
              <w:right w:val="single" w:sz="4" w:space="0" w:color="auto"/>
            </w:tcBorders>
            <w:vAlign w:val="center"/>
          </w:tcPr>
          <w:p w14:paraId="5AEE4294" w14:textId="40C4299E"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193</w:t>
            </w:r>
          </w:p>
        </w:tc>
        <w:tc>
          <w:tcPr>
            <w:tcW w:w="1275" w:type="dxa"/>
            <w:tcBorders>
              <w:top w:val="single" w:sz="4" w:space="0" w:color="auto"/>
              <w:left w:val="nil"/>
              <w:bottom w:val="single" w:sz="4" w:space="0" w:color="auto"/>
              <w:right w:val="single" w:sz="4" w:space="0" w:color="auto"/>
            </w:tcBorders>
            <w:vAlign w:val="center"/>
          </w:tcPr>
          <w:p w14:paraId="017D12D8" w14:textId="407D6B0A"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36488B3D" w14:textId="268033E7"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33</w:t>
            </w:r>
          </w:p>
        </w:tc>
        <w:tc>
          <w:tcPr>
            <w:tcW w:w="1276" w:type="dxa"/>
            <w:tcBorders>
              <w:top w:val="single" w:sz="4" w:space="0" w:color="auto"/>
              <w:left w:val="nil"/>
              <w:bottom w:val="single" w:sz="4" w:space="0" w:color="auto"/>
              <w:right w:val="single" w:sz="4" w:space="0" w:color="auto"/>
            </w:tcBorders>
            <w:noWrap/>
            <w:vAlign w:val="center"/>
          </w:tcPr>
          <w:p w14:paraId="1812616E" w14:textId="1F53F385"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143075BB" w14:textId="69B003BD"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tc>
      </w:tr>
      <w:tr w:rsidR="00012E24" w:rsidRPr="003E2940" w14:paraId="10D4D050"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44A6F8F0" w14:textId="4AE01FC7"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Chaudhry R, 2017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{"citationID":"L9lUcPaV","properties":{"formattedCitation":"(65)","plainCitation":"(65)","noteIndex":0},"citationItems":[{"id":627,"uris":["http://zotero.org/users/14157373/items/F2DA9J4E"],"itemData":{"id":627,"type":"article-journal","abstract":"Leptospirosis has been recognised as an emerging global public health problem. The aim of our study was to explore the epidemiological and clinical pattern of disease occurrence in suspected cases and to search for any existing co-infections. Ours was a retrospective study in patients with acute febrile illness in north India over a period of three years (April 2011 to June 2014). Serological diagnosis of leptospirosis was made using the PanBio IgM ELISA kit. Using modified Faine’s criteria, presumptive and possible diagnosis was made in 57% and 34% cases, respectively. Most of the affected population was resident in north and central India. Nineteen patients showed co-infection with other common pathogens prevailing locally. There is a need to increase awareness and understand the local sero-epidemiological pattern of leptospirosis so that timely preventive and curative action may be taken by healthcare authorities.","container-title":"Tropical Doctor","DOI":"10.1177/0049475516687431","ISSN":"0049-4755","issue":"2","journalAbbreviation":"Trop Doct","language":"EN","note":"publisher: SAGE Publications","page":"128-132","source":"SAGE Journals","title":"Varied presentations of leptospirosis: experience from a tertiary care hospital in north India","title-short":"Varied presentations of leptospirosis","volume":"47","author":[{"family":"Chaudhry","given":"Rama"},{"family":"Saigal","given":"Karnika"},{"family":"Bahadur","given":"Tej"},{"family":"Kant","given":"Kamla"},{"family":"Chourasia","given":"Bishwanath"},{"family":"Gupta","given":"Nitin"}],"issued":{"date-parts":[["2017",4,1]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(28)</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54A8EC06" w14:textId="1330040A"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New Delhi, India</w:t>
            </w:r>
          </w:p>
        </w:tc>
        <w:tc>
          <w:tcPr>
            <w:tcW w:w="1276" w:type="dxa"/>
            <w:tcBorders>
              <w:top w:val="single" w:sz="4" w:space="0" w:color="auto"/>
              <w:left w:val="nil"/>
              <w:bottom w:val="single" w:sz="4" w:space="0" w:color="auto"/>
              <w:right w:val="single" w:sz="4" w:space="0" w:color="auto"/>
            </w:tcBorders>
            <w:vAlign w:val="center"/>
          </w:tcPr>
          <w:p w14:paraId="6F737E0A" w14:textId="3417B8F1"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144</w:t>
            </w:r>
          </w:p>
        </w:tc>
        <w:tc>
          <w:tcPr>
            <w:tcW w:w="1275" w:type="dxa"/>
            <w:tcBorders>
              <w:top w:val="single" w:sz="4" w:space="0" w:color="auto"/>
              <w:left w:val="nil"/>
              <w:bottom w:val="single" w:sz="4" w:space="0" w:color="auto"/>
              <w:right w:val="single" w:sz="4" w:space="0" w:color="auto"/>
            </w:tcBorders>
            <w:vAlign w:val="center"/>
          </w:tcPr>
          <w:p w14:paraId="3CB739FF" w14:textId="0D1ED011"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5C38C8EC" w14:textId="7220DFD5"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19</w:t>
            </w:r>
          </w:p>
        </w:tc>
        <w:tc>
          <w:tcPr>
            <w:tcW w:w="1276" w:type="dxa"/>
            <w:tcBorders>
              <w:top w:val="single" w:sz="4" w:space="0" w:color="auto"/>
              <w:left w:val="nil"/>
              <w:bottom w:val="single" w:sz="4" w:space="0" w:color="auto"/>
              <w:right w:val="single" w:sz="4" w:space="0" w:color="auto"/>
            </w:tcBorders>
            <w:noWrap/>
            <w:vAlign w:val="center"/>
          </w:tcPr>
          <w:p w14:paraId="7237EF67"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66E83A87"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p>
          <w:p w14:paraId="761A2D79"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654F7264"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980E50C" w14:textId="33E454D9"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tc>
        <w:tc>
          <w:tcPr>
            <w:tcW w:w="2126" w:type="dxa"/>
            <w:tcBorders>
              <w:top w:val="single" w:sz="4" w:space="0" w:color="auto"/>
              <w:left w:val="nil"/>
              <w:bottom w:val="single" w:sz="4" w:space="0" w:color="auto"/>
              <w:right w:val="single" w:sz="4" w:space="0" w:color="auto"/>
            </w:tcBorders>
            <w:vAlign w:val="center"/>
          </w:tcPr>
          <w:p w14:paraId="5997DF99"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ICT, QBC assay</w:t>
            </w:r>
          </w:p>
          <w:p w14:paraId="3269D776" w14:textId="38D167BE" w:rsidR="00012E24"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012E24" w:rsidRPr="003E2940">
              <w:rPr>
                <w:rFonts w:ascii="Times New Roman" w:eastAsia="Times New Roman" w:hAnsi="Times New Roman" w:cs="Times New Roman"/>
                <w:kern w:val="0"/>
                <w:sz w:val="18"/>
                <w:szCs w:val="18"/>
                <w:lang w:eastAsia="en-IN"/>
                <w14:ligatures w14:val="none"/>
              </w:rPr>
              <w:t>IgM ELISA</w:t>
            </w:r>
          </w:p>
          <w:p w14:paraId="217B8C68" w14:textId="270A7508" w:rsidR="00012E24" w:rsidRPr="003E2940" w:rsidRDefault="00F5729C"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012E24" w:rsidRPr="003E2940">
              <w:rPr>
                <w:rFonts w:ascii="Times New Roman" w:eastAsia="Times New Roman" w:hAnsi="Times New Roman" w:cs="Times New Roman"/>
                <w:kern w:val="0"/>
                <w:sz w:val="18"/>
                <w:szCs w:val="18"/>
                <w:lang w:eastAsia="en-IN"/>
                <w14:ligatures w14:val="none"/>
              </w:rPr>
              <w:t>IgM ELISA</w:t>
            </w:r>
          </w:p>
          <w:p w14:paraId="30DFB2A2" w14:textId="1BC630A6" w:rsidR="00012E24" w:rsidRPr="003E2940" w:rsidRDefault="00012E24" w:rsidP="00012E24">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tc>
      </w:tr>
      <w:tr w:rsidR="00012E24" w:rsidRPr="003E2940" w14:paraId="34ED0C9B"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3A04F19" w14:textId="3C1E884A"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Ravindar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{"citationID":"NiLVcRFr","properties":{"formattedCitation":"(68)","plainCitation":"(68)","noteIndex":0},"citationItems":[{"id":150,"uris":["http://zotero.org/users/14157373/items/5BVDY2Y5"],"itemData":{"id":150,"type":"webpage","title":"Co-infection of dengue and leptospirosis in patients presenting to a tertiary care hospital with acute febrile illness: A cross-sectional study - Record details - Embase","URL":"https://www.embase.com/records?subaction=viewrecord&amp;rid=1&amp;page=1&amp;id=L622392197","accessed":{"date-parts":[["2024",5,24]]}}}],"schema":"https://github.com/citation-style-language/schema/raw/master/csl-citation.json"}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(29)</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7A5F4C39" w14:textId="77777777"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Chennai, </w:t>
            </w:r>
          </w:p>
          <w:p w14:paraId="2807493A" w14:textId="34FC306D"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Tamil Nadu</w:t>
            </w:r>
          </w:p>
        </w:tc>
        <w:tc>
          <w:tcPr>
            <w:tcW w:w="1276" w:type="dxa"/>
            <w:tcBorders>
              <w:top w:val="single" w:sz="4" w:space="0" w:color="auto"/>
              <w:left w:val="nil"/>
              <w:bottom w:val="single" w:sz="4" w:space="0" w:color="auto"/>
              <w:right w:val="single" w:sz="4" w:space="0" w:color="auto"/>
            </w:tcBorders>
            <w:vAlign w:val="center"/>
          </w:tcPr>
          <w:p w14:paraId="3A90F310" w14:textId="49DA9A0B"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18</w:t>
            </w:r>
          </w:p>
        </w:tc>
        <w:tc>
          <w:tcPr>
            <w:tcW w:w="1275" w:type="dxa"/>
            <w:tcBorders>
              <w:top w:val="single" w:sz="4" w:space="0" w:color="auto"/>
              <w:left w:val="nil"/>
              <w:bottom w:val="single" w:sz="4" w:space="0" w:color="auto"/>
              <w:right w:val="single" w:sz="4" w:space="0" w:color="auto"/>
            </w:tcBorders>
            <w:vAlign w:val="center"/>
          </w:tcPr>
          <w:p w14:paraId="65C9811B" w14:textId="625466AB"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PCR</w:t>
            </w:r>
          </w:p>
        </w:tc>
        <w:tc>
          <w:tcPr>
            <w:tcW w:w="1134" w:type="dxa"/>
            <w:tcBorders>
              <w:top w:val="single" w:sz="4" w:space="0" w:color="auto"/>
              <w:left w:val="single" w:sz="4" w:space="0" w:color="auto"/>
              <w:bottom w:val="single" w:sz="4" w:space="0" w:color="auto"/>
              <w:right w:val="single" w:sz="4" w:space="0" w:color="auto"/>
            </w:tcBorders>
            <w:vAlign w:val="center"/>
          </w:tcPr>
          <w:p w14:paraId="7E6ACFE8" w14:textId="5AF3A3AF"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1276" w:type="dxa"/>
            <w:tcBorders>
              <w:top w:val="single" w:sz="4" w:space="0" w:color="auto"/>
              <w:left w:val="nil"/>
              <w:bottom w:val="single" w:sz="4" w:space="0" w:color="auto"/>
              <w:right w:val="single" w:sz="4" w:space="0" w:color="auto"/>
            </w:tcBorders>
            <w:noWrap/>
            <w:vAlign w:val="center"/>
          </w:tcPr>
          <w:p w14:paraId="62B6F516" w14:textId="4FDB4A30"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1FE525EF" w14:textId="716536E6"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IgM ELISA, NS1Ag, </w:t>
            </w:r>
            <w:r w:rsidR="00171FFB" w:rsidRPr="003E2940">
              <w:rPr>
                <w:rFonts w:ascii="Times New Roman" w:eastAsia="Times New Roman" w:hAnsi="Times New Roman" w:cs="Times New Roman"/>
                <w:kern w:val="0"/>
                <w:sz w:val="18"/>
                <w:szCs w:val="18"/>
                <w:lang w:eastAsia="en-IN"/>
                <w14:ligatures w14:val="none"/>
              </w:rPr>
              <w:t>Dengue RT-</w:t>
            </w:r>
            <w:r w:rsidRPr="003E2940">
              <w:rPr>
                <w:rFonts w:ascii="Times New Roman" w:eastAsia="Times New Roman" w:hAnsi="Times New Roman" w:cs="Times New Roman"/>
                <w:kern w:val="0"/>
                <w:sz w:val="18"/>
                <w:szCs w:val="18"/>
                <w:lang w:eastAsia="en-IN"/>
                <w14:ligatures w14:val="none"/>
              </w:rPr>
              <w:t>PCR</w:t>
            </w:r>
          </w:p>
        </w:tc>
      </w:tr>
      <w:tr w:rsidR="00012E24" w:rsidRPr="003E2940" w14:paraId="67C045BF"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423FCB22" w14:textId="7ADF8FFA"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Chaudhry R,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{"citationID":"mOr0oHKr","properties":{"formattedCitation":"(25)","plainCitation":"(25)","noteIndex":0},"citationItems":[{"id":633,"uris":["http://zotero.org/users/14157373/items/UX72RWAI"],"itemData":{"id":633,"type":"article-journal","abstract":"Background &amp; objectives:\nLeptospirosis, a spirochetal zoonosis, is underreported from the northern States of India. This study reports results of a 10-year retrospective sero-epidemiological survey of leptospirosis conducted in a tertiary care hospital in New Delhi, India.\n\nMethod:\nA total of 1453 patients clinically suspected for leptospirosis were included and investigated initially by IgM ELISA. A proportion of these were subjected to culture, microscopic agglutination test (MAT) and polymerase chain reaction (PCR).\n\nResults:\nOf the 1453 patients, 391 (26.90%) were positive serologically by IgM ELISA. Seropositive and seronegative patients revealed no significant difference in clinical features and laboratory parameters. Amongst the IgM seropositive cases, culture for leptospires was positive in 5 of 192 (2.6%), MAT in 50 of 138 (36.23%), PCR from blood and urine in 10 of 115 (8.7%) and 10 of 38 (26.31%) cases, respectively. In Leptospira spp. positive patients co-infections with viral hepatitis E, malaria and dengue fever were diagnosed in 27 cases.\n\nInterpretation &amp; conclusions:\nThe overall seropositivity for leptospirosis was 26.9 per cent in our study. A decreasing trend in seropositivity was observed in recent years. Co-infections with malaria, dengue, hepatitis A and E were also seen. Since leptospirosis is a treatable disease, correct and rapid diagnosis may help in effective management of patients.","container-title":"The Indian Journal of Medical Research","ISSN":"0971-5916","issue":"4","journalAbbreviation":"Indian J Med Res","note":"PMID: 23703348\nPMCID: PMC3724261","page":"785-790","source":"PubMed Central","title":"Serological &amp; molecular approaches for diagnosis of leptospirosis in a tertiary care hospital in north India: A 10-year study","title-short":"Serological &amp; molecular approaches for diagnosis of leptospirosis in a tertiary care hospital in north India","volume":"137","author":[{"family":"Chaudhry","given":"R."},{"family":"Das","given":"A."},{"family":"Premlatha","given":"M.M."},{"family":"Choudhary","given":"A."},{"family":"Chourasia","given":"B.K."},{"family":"Chandel","given":"D.S."},{"family":"Dey","given":"A.B."}],"issued":{"date-parts":[["2013",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(30)</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460A188" w14:textId="6DA36659"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New Delhi</w:t>
            </w:r>
          </w:p>
        </w:tc>
        <w:tc>
          <w:tcPr>
            <w:tcW w:w="1276" w:type="dxa"/>
            <w:tcBorders>
              <w:top w:val="single" w:sz="4" w:space="0" w:color="auto"/>
              <w:left w:val="nil"/>
              <w:bottom w:val="single" w:sz="4" w:space="0" w:color="auto"/>
              <w:right w:val="single" w:sz="4" w:space="0" w:color="auto"/>
            </w:tcBorders>
            <w:vAlign w:val="center"/>
          </w:tcPr>
          <w:p w14:paraId="2A21B181" w14:textId="309A6057"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414</w:t>
            </w:r>
          </w:p>
        </w:tc>
        <w:tc>
          <w:tcPr>
            <w:tcW w:w="1275" w:type="dxa"/>
            <w:tcBorders>
              <w:top w:val="single" w:sz="4" w:space="0" w:color="auto"/>
              <w:left w:val="nil"/>
              <w:bottom w:val="single" w:sz="4" w:space="0" w:color="auto"/>
              <w:right w:val="single" w:sz="4" w:space="0" w:color="auto"/>
            </w:tcBorders>
            <w:vAlign w:val="center"/>
          </w:tcPr>
          <w:p w14:paraId="69A36632" w14:textId="2D6EB4C3"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PCR, MAT</w:t>
            </w:r>
          </w:p>
        </w:tc>
        <w:tc>
          <w:tcPr>
            <w:tcW w:w="1134" w:type="dxa"/>
            <w:tcBorders>
              <w:top w:val="single" w:sz="4" w:space="0" w:color="auto"/>
              <w:left w:val="single" w:sz="4" w:space="0" w:color="auto"/>
              <w:bottom w:val="single" w:sz="4" w:space="0" w:color="auto"/>
              <w:right w:val="single" w:sz="4" w:space="0" w:color="auto"/>
            </w:tcBorders>
            <w:vAlign w:val="center"/>
          </w:tcPr>
          <w:p w14:paraId="3C947F2E" w14:textId="0B195770"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27</w:t>
            </w:r>
          </w:p>
        </w:tc>
        <w:tc>
          <w:tcPr>
            <w:tcW w:w="1276" w:type="dxa"/>
            <w:tcBorders>
              <w:top w:val="single" w:sz="4" w:space="0" w:color="auto"/>
              <w:left w:val="nil"/>
              <w:bottom w:val="single" w:sz="4" w:space="0" w:color="auto"/>
              <w:right w:val="single" w:sz="4" w:space="0" w:color="auto"/>
            </w:tcBorders>
            <w:noWrap/>
            <w:vAlign w:val="center"/>
          </w:tcPr>
          <w:p w14:paraId="663C18CF"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2A90B516"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p>
          <w:p w14:paraId="0C7FD873"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27DFDA95" w14:textId="1F9F63E2"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w:t>
            </w:r>
          </w:p>
        </w:tc>
        <w:tc>
          <w:tcPr>
            <w:tcW w:w="2126" w:type="dxa"/>
            <w:tcBorders>
              <w:top w:val="single" w:sz="4" w:space="0" w:color="auto"/>
              <w:left w:val="nil"/>
              <w:bottom w:val="single" w:sz="4" w:space="0" w:color="auto"/>
              <w:right w:val="single" w:sz="4" w:space="0" w:color="auto"/>
            </w:tcBorders>
            <w:vAlign w:val="center"/>
          </w:tcPr>
          <w:p w14:paraId="40C7A01B" w14:textId="77777777"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ICT, QBC assay</w:t>
            </w:r>
          </w:p>
          <w:p w14:paraId="4555FED4" w14:textId="2B19D5E0" w:rsidR="00012E24" w:rsidRPr="003E2940" w:rsidRDefault="00F5729C"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012E24" w:rsidRPr="003E2940">
              <w:rPr>
                <w:rFonts w:ascii="Times New Roman" w:eastAsia="Times New Roman" w:hAnsi="Times New Roman" w:cs="Times New Roman"/>
                <w:kern w:val="0"/>
                <w:sz w:val="18"/>
                <w:szCs w:val="18"/>
                <w:lang w:eastAsia="en-IN"/>
                <w14:ligatures w14:val="none"/>
              </w:rPr>
              <w:t>IgM ELISA</w:t>
            </w:r>
          </w:p>
          <w:p w14:paraId="51D15BEC" w14:textId="0EC203E3" w:rsidR="00012E24" w:rsidRPr="003E2940" w:rsidRDefault="00F5729C"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Anti- HEV </w:t>
            </w:r>
            <w:r w:rsidR="00012E24" w:rsidRPr="003E2940">
              <w:rPr>
                <w:rFonts w:ascii="Times New Roman" w:eastAsia="Times New Roman" w:hAnsi="Times New Roman" w:cs="Times New Roman"/>
                <w:kern w:val="0"/>
                <w:sz w:val="18"/>
                <w:szCs w:val="18"/>
                <w:lang w:eastAsia="en-IN"/>
                <w14:ligatures w14:val="none"/>
              </w:rPr>
              <w:t>IgM ELISA</w:t>
            </w:r>
          </w:p>
        </w:tc>
      </w:tr>
      <w:tr w:rsidR="00012E24" w:rsidRPr="003E2940" w14:paraId="03ADED52"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0379EE2B" w14:textId="2784A2F9"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Husain U,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{"citationID":"nXprZLtO","properties":{"formattedCitation":"(66)","plainCitation":"(66)","noteIndex":0},"citationItems":[{"id":134,"uris":["http://zotero.org/users/14157373/items/98PLWTBA"],"itemData":{"id":134,"type":"article-journal","abstract":"The diagnosis of Scrub Typhus is now improving with the availability of an array of serological tests at the majority of diagnostic centres and of molecular tests at advanced laboratories. Our study focuses on evaluating the spectrum of Scrub Typhus and its coinfection with Leptospirosis in patients presenting with acute febrile illness. A total of 1743 blood samples were collected from both In and Out Patient Department (OPD) patients and analyzed for anti Orientia tsutsugamushi and anti-Leptospira IgM antibodies. Our study showed the presence of Scrub Typhus IgM antibodies in 20.7% of all the cases of acute febrile illness. We also found an interesting correlation of Scrub Typhus with Leptospirosis owing to the presence of co-infection in 8.4% of Scrub Typhus cases paving a way for future research in this regard.","container-title":"Tropical Doctor","DOI":"10.1177/00494755221077744","ISSN":"1758-1133","issue":"2","journalAbbreviation":"Trop Doct","language":"eng","note":"PMID: 35164614","page":"302-303","source":"PubMed","title":"Scrub Typhus and its co-infection with Leptospirosis at a tertiary care hospital in Uttar Pradesh","volume":"52","author":[{"family":"Husain","given":"Uneza"},{"family":"Kalyan","given":"Raj Kumar"},{"family":"Jahan","given":"Asmat"},{"family":"Gupta","given":"Kamlesh Kumar"},{"family":"Verma","given":"Sanjeev Kumar"}],"issued":{"date-parts":[["2022",4]]}}}],"schema":"https://github.com/citation-style-language/schema/raw/master/csl-citation.json"}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(37)</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66CEE1F" w14:textId="77777777"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Lucknow, </w:t>
            </w:r>
          </w:p>
          <w:p w14:paraId="77B29327" w14:textId="3BF7CF90"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Uttar Pradesh</w:t>
            </w:r>
          </w:p>
        </w:tc>
        <w:tc>
          <w:tcPr>
            <w:tcW w:w="1276" w:type="dxa"/>
            <w:tcBorders>
              <w:top w:val="single" w:sz="4" w:space="0" w:color="auto"/>
              <w:left w:val="nil"/>
              <w:bottom w:val="single" w:sz="4" w:space="0" w:color="auto"/>
              <w:right w:val="single" w:sz="4" w:space="0" w:color="auto"/>
            </w:tcBorders>
            <w:vAlign w:val="center"/>
          </w:tcPr>
          <w:p w14:paraId="18C42D77" w14:textId="2CE298E9"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23</w:t>
            </w:r>
          </w:p>
        </w:tc>
        <w:tc>
          <w:tcPr>
            <w:tcW w:w="1275" w:type="dxa"/>
            <w:tcBorders>
              <w:top w:val="single" w:sz="4" w:space="0" w:color="auto"/>
              <w:left w:val="nil"/>
              <w:bottom w:val="single" w:sz="4" w:space="0" w:color="auto"/>
              <w:right w:val="single" w:sz="4" w:space="0" w:color="auto"/>
            </w:tcBorders>
            <w:vAlign w:val="center"/>
          </w:tcPr>
          <w:p w14:paraId="3910F018" w14:textId="0C10F512"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59D79598" w14:textId="01965F87" w:rsidR="00012E24" w:rsidRPr="003E2940" w:rsidRDefault="00012E24" w:rsidP="00012E24">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23</w:t>
            </w:r>
          </w:p>
        </w:tc>
        <w:tc>
          <w:tcPr>
            <w:tcW w:w="1276" w:type="dxa"/>
            <w:tcBorders>
              <w:top w:val="single" w:sz="4" w:space="0" w:color="auto"/>
              <w:left w:val="nil"/>
              <w:bottom w:val="single" w:sz="4" w:space="0" w:color="auto"/>
              <w:right w:val="single" w:sz="4" w:space="0" w:color="auto"/>
            </w:tcBorders>
            <w:noWrap/>
            <w:vAlign w:val="center"/>
          </w:tcPr>
          <w:p w14:paraId="3E92CFFF" w14:textId="00DB6310" w:rsidR="00012E24" w:rsidRPr="003E2940" w:rsidRDefault="00012E24"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21423312" w14:textId="036B695F" w:rsidR="00012E24" w:rsidRPr="003E2940" w:rsidRDefault="00171FFB" w:rsidP="00012E24">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012E24" w:rsidRPr="003E2940">
              <w:rPr>
                <w:rFonts w:ascii="Times New Roman" w:eastAsia="Times New Roman" w:hAnsi="Times New Roman" w:cs="Times New Roman"/>
                <w:kern w:val="0"/>
                <w:sz w:val="18"/>
                <w:szCs w:val="18"/>
                <w:lang w:eastAsia="en-IN"/>
                <w14:ligatures w14:val="none"/>
              </w:rPr>
              <w:t>IgM ELISA</w:t>
            </w:r>
          </w:p>
        </w:tc>
      </w:tr>
      <w:tr w:rsidR="00532E77" w:rsidRPr="003E2940" w14:paraId="43CBD2A3"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6A40368F" w14:textId="664FCD1B"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Kammili N,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{"citationID":"q6e4EcQt","properties":{"formattedCitation":"(64)","plainCitation":"(64)","noteIndex":0},"citationItems":[{"id":620,"uris":["http://zotero.org/users/14157373/items/HNW9375C"],"itemData":{"id":620,"type":"article-journal","abstract":"Dengue fever , scrub typhus ,chikungunya and leptospirosis are common infections in Asia that often present as acute febrile illness of unclear aetiology. Though dengue fever is often considered and investigated by the physicians in all such cases, other infections are often ignored . There is a need to investigate for scrub typhus which is a re-emerging disease in India. The present pilot study was undertaken to elucidate etiology of acute undifferentiated fevers and prevalence of scrub typhus among these patients admitted to the tertiary care hospital. Among the 100 patients studied ,39 samples were positive for dengue serology ,19 were found to be positive for antibodies to Orientia Tsusugamushi by Rapid immuno chromatography and","container-title":"Journal of Evolution of Medical and Dental Sciences","DOI":"10.14260/jemds/595","ISSN":"22784748, 22784802","issue":"16","journalAbbreviation":"jemds","page":"2661-2664","source":"Semantic Scholar","title":"PREVALENCE OF SCRUB TYPHUS AMONG ACUTE UNDIFFERENTIATED FEBRILE ILLNESS CASES PROVISIONALLY DIAGNOSED AS DENGUE FEVER","volume":"2","author":[{"family":"Kammili","given":"Nagamani"},{"family":"A","given":"Swathi"},{"family":"Devara","given":"Sudha Madhuri"},{"family":"P.R.","given":"Anuradha"}],"issued":{"date-parts":[["2013",4,20]]}}}],"schema":"https://github.com/citation-style-language/schema/raw/master/csl-citation.json"}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(35)</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3C7A01E3" w14:textId="1E7C641F"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Secunderabad, Telangana</w:t>
            </w:r>
          </w:p>
        </w:tc>
        <w:tc>
          <w:tcPr>
            <w:tcW w:w="1276" w:type="dxa"/>
            <w:tcBorders>
              <w:top w:val="single" w:sz="4" w:space="0" w:color="auto"/>
              <w:left w:val="nil"/>
              <w:bottom w:val="single" w:sz="4" w:space="0" w:color="auto"/>
              <w:right w:val="single" w:sz="4" w:space="0" w:color="auto"/>
            </w:tcBorders>
            <w:vAlign w:val="center"/>
          </w:tcPr>
          <w:p w14:paraId="2FA7378F" w14:textId="2519AE8A"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12</w:t>
            </w:r>
          </w:p>
        </w:tc>
        <w:tc>
          <w:tcPr>
            <w:tcW w:w="1275" w:type="dxa"/>
            <w:tcBorders>
              <w:top w:val="single" w:sz="4" w:space="0" w:color="auto"/>
              <w:left w:val="nil"/>
              <w:bottom w:val="single" w:sz="4" w:space="0" w:color="auto"/>
              <w:right w:val="single" w:sz="4" w:space="0" w:color="auto"/>
            </w:tcBorders>
            <w:vAlign w:val="center"/>
          </w:tcPr>
          <w:p w14:paraId="3D0B3779" w14:textId="65499D3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725C0495" w14:textId="5421A3A5"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1276" w:type="dxa"/>
            <w:tcBorders>
              <w:top w:val="single" w:sz="4" w:space="0" w:color="auto"/>
              <w:left w:val="nil"/>
              <w:bottom w:val="single" w:sz="4" w:space="0" w:color="auto"/>
              <w:right w:val="single" w:sz="4" w:space="0" w:color="auto"/>
            </w:tcBorders>
            <w:noWrap/>
            <w:vAlign w:val="center"/>
          </w:tcPr>
          <w:p w14:paraId="4F28A9FC" w14:textId="298FC82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660E0B13" w14:textId="2AAA1EE3"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532E77" w:rsidRPr="003E2940">
              <w:rPr>
                <w:rFonts w:ascii="Times New Roman" w:eastAsia="Times New Roman" w:hAnsi="Times New Roman" w:cs="Times New Roman"/>
                <w:kern w:val="0"/>
                <w:sz w:val="18"/>
                <w:szCs w:val="18"/>
                <w:lang w:eastAsia="en-IN"/>
                <w14:ligatures w14:val="none"/>
              </w:rPr>
              <w:t>IgM ELISA, NS1Ag</w:t>
            </w:r>
          </w:p>
        </w:tc>
      </w:tr>
      <w:tr w:rsidR="00532E77" w:rsidRPr="003E2940" w14:paraId="3F5473D3"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065E394A" w14:textId="7F89BF14"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Pandey S,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{"citationID":"6p3SIged","properties":{"formattedCitation":"(67)","plainCitation":"(67)","noteIndex":0},"citationItems":[{"id":631,"uris":["http://zotero.org/users/14157373/items/8DN955Y6"],"itemData":{"id":631,"type":"article-journal","abstract":"INTRODUCTION: Co-infection with different agents such as bacterial, viral, and Rickettsia is being increasingly recognized due to greater availability and utilization of the diagnostic tests among malaria patients.\nMETHODS: Consecutive admitted malarial cases were included and were subjected to test for general investigations, bacteria, typhoid, dengue, chikungunya, and rest for specific diagnosis. All patients were followed up till discharge or death and appropriate statistical tests were performed.\nRESULTS: A total of 152 malaria patients were recruited and 27 (18.8%) had concurrent infections. It included 40.7% dengue only, 18.7% pneumonia, 11.1% urinary tract infection (UTI), 7.4% enteric fever, 3.7% leptospirosis, chikungunya, and tuberculous meningitis each, and 3.7% each of dengue with pneumonia and UTI. The organisms isolated were Streptococcus pneumoniae, Klebsiella pneumoniae, Escherichia coli, Salmonella typhi, and Mycobacterium tuberculosis. The mean duration of fever was 6.33 ± 3.63 days with a range of 3-20 days. Blood culture grew in 2 cases S. typhi and K. pneumonia,e. Dengue co-infections had significantly higher clinical and laboratory features of dengue and complications such as bleeding, jaundice, and cholecystitis, whereas rest concurrent infections had a significantly higher proportion of nausea and vomiting, convulsion, altered sensorium, productive cough, urinary symptoms, shock, acute kidney injury, anemia, and mean neutrophil count. There was significantly higher mortality among malaria-dengue concurrent infection group with 2 (15.4%) than malaria mono-infection group 3 (2.4%).\nCONCLUSION: Co-infections with malaria are not uncommon, especially dengue fever and other bacterial infections. The dominant clinical picture is of the superimposed infection. Decision should be clinically guided adjunct with specific diagnostic tests, and timely treatment has favorable outcome.","container-title":"Journal of Global Infectious Diseases","DOI":"10.4103/jgid.jgid_279_21","ISSN":"0974-777X","issue":"2","journalAbbreviation":"J Glob Infect Dis","language":"eng","note":"PMID: 35910822\nPMCID: PMC9336604","page":"57-63","source":"PubMed","title":"Outcome of Adult Malarial Co-infections in Eastern India","volume":"14","author":[{"family":"Pandey","given":"Saurabh"},{"family":"Rai","given":"Priyanka"},{"family":"Guha","given":"Subhasish Kamal"},{"family":"Maji","given":"Ardhendu"},{"family":"Ghosh","given":"Subir"},{"family":"Halder","given":"Prantiki"},{"family":"Gupta","given":"Manoj Kumar"},{"family":"Halder","given":"Soumen Nath"},{"family":"Modak","given":"Dolanchampa"}],"issued":{"date-parts":[["2022"]]}}}],"schema":"https://github.com/citation-style-language/schema/raw/master/csl-citation.json"}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(38)</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62745D25" w14:textId="77777777"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Kolkata, </w:t>
            </w:r>
          </w:p>
          <w:p w14:paraId="67C87D2F" w14:textId="25265073"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West Bengal</w:t>
            </w:r>
          </w:p>
        </w:tc>
        <w:tc>
          <w:tcPr>
            <w:tcW w:w="1276" w:type="dxa"/>
            <w:tcBorders>
              <w:top w:val="single" w:sz="4" w:space="0" w:color="auto"/>
              <w:left w:val="nil"/>
              <w:bottom w:val="single" w:sz="4" w:space="0" w:color="auto"/>
              <w:right w:val="single" w:sz="4" w:space="0" w:color="auto"/>
            </w:tcBorders>
            <w:vAlign w:val="center"/>
          </w:tcPr>
          <w:p w14:paraId="117761D9" w14:textId="49E916DB"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1275" w:type="dxa"/>
            <w:tcBorders>
              <w:top w:val="single" w:sz="4" w:space="0" w:color="auto"/>
              <w:left w:val="nil"/>
              <w:bottom w:val="single" w:sz="4" w:space="0" w:color="auto"/>
              <w:right w:val="single" w:sz="4" w:space="0" w:color="auto"/>
            </w:tcBorders>
            <w:vAlign w:val="center"/>
          </w:tcPr>
          <w:p w14:paraId="2BF17948" w14:textId="0E1EA98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69C68284" w14:textId="495B3F78"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1276" w:type="dxa"/>
            <w:tcBorders>
              <w:top w:val="single" w:sz="4" w:space="0" w:color="auto"/>
              <w:left w:val="nil"/>
              <w:bottom w:val="single" w:sz="4" w:space="0" w:color="auto"/>
              <w:right w:val="single" w:sz="4" w:space="0" w:color="auto"/>
            </w:tcBorders>
            <w:noWrap/>
            <w:vAlign w:val="center"/>
          </w:tcPr>
          <w:p w14:paraId="7F89E71A" w14:textId="4C9EAFB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2126" w:type="dxa"/>
            <w:tcBorders>
              <w:top w:val="single" w:sz="4" w:space="0" w:color="auto"/>
              <w:left w:val="nil"/>
              <w:bottom w:val="single" w:sz="4" w:space="0" w:color="auto"/>
              <w:right w:val="single" w:sz="4" w:space="0" w:color="auto"/>
            </w:tcBorders>
            <w:vAlign w:val="center"/>
          </w:tcPr>
          <w:p w14:paraId="6873D8E3" w14:textId="122689A8"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tc>
      </w:tr>
      <w:tr w:rsidR="00532E77" w:rsidRPr="003E2940" w14:paraId="4FC03717"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69948F" w14:textId="1F51F9A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Das BK, 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{"citationID":"EfA3a0xi","properties":{"formattedCitation":"(62)","plainCitation":"(62)","noteIndex":0},"citationItems":[{"id":613,"uris":["http://zotero.org/users/14157373/items/HCK6MYJQ"],"itemData":{"id":613,"type":"article-journal","abstract":"Acute encephalitis syndrome (AES) is a major public health concern in India, causing febrile illness principally associated with viral infection. Bacteria-like scrub typhus and leptospirosis also cause acute febrile illness. Therefore, this study was conceived to address the possible etiological agents contributing to sporadic AES in a tertiary care center in Odisha, India.This was a prospective hospital-based study that enrolled 92 consecutive patients with clinically diagnosed AES whose blood/cerebrospinal fluid samples were tested for IgM antibodies to dengue, Japanese encephalitis (JE), herpes simplex virus (HSV), Epstein-Barr virus (EBV), leptospirosis and scrub typhus.Viral antibodies to dengue were detected in three (3.26%) cases, HSV1 in four (4.34%) and HSV2 in three (3.26%) cases. Significantly, antibodies to EBV in 22 (23.591%) and to JE in 27 (29.34%) cases were detected. Notably, 30 (32.60%) and 11(12.0%) of patients had IgM antibodies to leptospirosis and scrub typhus, respectively.This observation indicates an association of leptospirosis and scrub typhus infection in sporadic cases of AES, besides other viruses.","container-title":"Transactions of The Royal Society of Tropical Medicine and Hygiene","DOI":"10.1093/trstmh/trab063","ISSN":"0035-9203","issue":"9","journalAbbreviation":"Transactions of The Royal Society of Tropical Medicine and Hygiene","page":"1088-1090","source":"Silverchair","title":"Association of leptospirosis and scrub typhus in acute encephalitis syndrome in a tertiary care hospital in Odisha, India","volume":"115","author":[{"family":"Das","given":"Bidyut Kumar"},{"family":"Mohanty","given":"Sriprasad"},{"family":"Sahoo","given":"Prakash Kumar"}],"issued":{"date-parts":[["2021",9,1]]}}}],"schema":"https://github.com/citation-style-language/schema/raw/master/csl-citation.json"}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(32)</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4974D77D" w14:textId="26E3956C"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Bhubaneswar, Odisha</w:t>
            </w:r>
          </w:p>
        </w:tc>
        <w:tc>
          <w:tcPr>
            <w:tcW w:w="1276" w:type="dxa"/>
            <w:tcBorders>
              <w:top w:val="single" w:sz="4" w:space="0" w:color="auto"/>
              <w:left w:val="nil"/>
              <w:bottom w:val="single" w:sz="4" w:space="0" w:color="auto"/>
              <w:right w:val="single" w:sz="4" w:space="0" w:color="auto"/>
            </w:tcBorders>
            <w:vAlign w:val="center"/>
          </w:tcPr>
          <w:p w14:paraId="227BB054" w14:textId="03E81F96"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30</w:t>
            </w:r>
          </w:p>
        </w:tc>
        <w:tc>
          <w:tcPr>
            <w:tcW w:w="1275" w:type="dxa"/>
            <w:tcBorders>
              <w:top w:val="single" w:sz="4" w:space="0" w:color="auto"/>
              <w:left w:val="nil"/>
              <w:bottom w:val="single" w:sz="4" w:space="0" w:color="auto"/>
              <w:right w:val="single" w:sz="4" w:space="0" w:color="auto"/>
            </w:tcBorders>
            <w:vAlign w:val="center"/>
          </w:tcPr>
          <w:p w14:paraId="7E2838CA" w14:textId="7B107EA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68179903" w14:textId="42D8B419"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6</w:t>
            </w:r>
          </w:p>
        </w:tc>
        <w:tc>
          <w:tcPr>
            <w:tcW w:w="1276" w:type="dxa"/>
            <w:tcBorders>
              <w:top w:val="single" w:sz="4" w:space="0" w:color="auto"/>
              <w:left w:val="nil"/>
              <w:bottom w:val="single" w:sz="4" w:space="0" w:color="auto"/>
              <w:right w:val="single" w:sz="4" w:space="0" w:color="auto"/>
            </w:tcBorders>
            <w:noWrap/>
            <w:vAlign w:val="center"/>
          </w:tcPr>
          <w:p w14:paraId="6C55FD33" w14:textId="0E8209A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39DF8A0F" w14:textId="1E79076F"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3CE597C4"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27659D38" w14:textId="7D9AFDB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Mandage R, 2020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{"citationID":"bjnQHk4Z","properties":{"formattedCitation":"(26)","plainCitation":"(26)","noteIndex":0},"citationItems":[{"id":143,"uris":["http://zotero.org/users/14157373/items/TJJJ8UAA"],"itemData":{"id":143,"type":"article-journal","abstract":"Plasmodium infections are co-endemic with infections caused by other agents of acute febrile illnesses, such as dengue virus (DENV), chikungunya virus, Leptospira spp., and Orientia tsutsugamushi. However, co-infections may influence disease severity, treatment outcomes, and development of drug resistance. When we analyzed cases of acute febrile illness at the All India Institute of Medical Sciences, New Delhi, India, from July 2017 through September 2018, we found that most patients with malaria harbored co-infections (Plasmodium mixed species and other pathogens). DENV was the most common malaria co-infection (44% of total infections). DENV serotype 4 was associated with mild malaria, and Leptospira was associated with severe malaria. We also found the presence of P. knowlesi in our study population. Therefore, in areas with a large number of severe malaria cases, diagnostic screening for all 4 DENV serotypes, Leptospira, and all Plasmodium species should be performed.","container-title":"Emerging Infectious Diseases","DOI":"10.3201/eid2608.191214","ISSN":"1080-6059","issue":"8","journalAbbreviation":"Emerg Infect Dis","language":"eng","note":"PMID: 32687019\nPMCID: PMC7392441","page":"1645-1653","source":"PubMed","title":"Association of Dengue Virus and Leptospira Co-Infections with Malaria Severity","volume":"26","author":[{"family":"Mandage","given":"Rajendra"},{"family":"Kaur","given":"Charandeep"},{"family":"Pramanik","given":"Atreyi"},{"family":"Kumar","given":"Vinod"},{"family":"Kodan","given":"Parul"},{"family":"Singh","given":"Adarsh"},{"family":"Saha","given":"Sounak"},{"family":"Pandey","given":"Shivam"},{"family":"Wig","given":"Naveet"},{"family":"Pandey","given":"Ravindra Mohan"},{"family":"Soneja","given":"Manish"},{"family":"Acharya","given":"Pragyan"}],"issued":{"date-parts":[["2020",8]]}}}],"schema":"https://github.com/citation-style-language/schema/raw/master/csl-citation.json"}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(36)</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004D2A90" w14:textId="3E04493F"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New Delhi, India</w:t>
            </w:r>
          </w:p>
        </w:tc>
        <w:tc>
          <w:tcPr>
            <w:tcW w:w="1276" w:type="dxa"/>
            <w:tcBorders>
              <w:top w:val="single" w:sz="4" w:space="0" w:color="auto"/>
              <w:left w:val="nil"/>
              <w:bottom w:val="single" w:sz="4" w:space="0" w:color="auto"/>
              <w:right w:val="single" w:sz="4" w:space="0" w:color="auto"/>
            </w:tcBorders>
            <w:vAlign w:val="center"/>
          </w:tcPr>
          <w:p w14:paraId="2B669926" w14:textId="457AC1CA"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21</w:t>
            </w:r>
          </w:p>
        </w:tc>
        <w:tc>
          <w:tcPr>
            <w:tcW w:w="1275" w:type="dxa"/>
            <w:tcBorders>
              <w:top w:val="single" w:sz="4" w:space="0" w:color="auto"/>
              <w:left w:val="nil"/>
              <w:bottom w:val="single" w:sz="4" w:space="0" w:color="auto"/>
              <w:right w:val="single" w:sz="4" w:space="0" w:color="auto"/>
            </w:tcBorders>
            <w:vAlign w:val="center"/>
          </w:tcPr>
          <w:p w14:paraId="1A0E218C" w14:textId="11693C4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tc>
        <w:tc>
          <w:tcPr>
            <w:tcW w:w="1134" w:type="dxa"/>
            <w:tcBorders>
              <w:top w:val="single" w:sz="4" w:space="0" w:color="auto"/>
              <w:left w:val="single" w:sz="4" w:space="0" w:color="auto"/>
              <w:bottom w:val="single" w:sz="4" w:space="0" w:color="auto"/>
              <w:right w:val="single" w:sz="4" w:space="0" w:color="auto"/>
            </w:tcBorders>
            <w:vAlign w:val="center"/>
          </w:tcPr>
          <w:p w14:paraId="2B29B873" w14:textId="0D3B0841"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21</w:t>
            </w:r>
          </w:p>
        </w:tc>
        <w:tc>
          <w:tcPr>
            <w:tcW w:w="1276" w:type="dxa"/>
            <w:tcBorders>
              <w:top w:val="single" w:sz="4" w:space="0" w:color="auto"/>
              <w:left w:val="nil"/>
              <w:bottom w:val="single" w:sz="4" w:space="0" w:color="auto"/>
              <w:right w:val="single" w:sz="4" w:space="0" w:color="auto"/>
            </w:tcBorders>
            <w:noWrap/>
            <w:vAlign w:val="center"/>
          </w:tcPr>
          <w:p w14:paraId="2CB85485"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68F40EB"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p>
          <w:p w14:paraId="30BA3F9A"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7A95DD47" w14:textId="7426D4A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10B9F9F8" w14:textId="11C51EDE"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r w:rsidR="00532E77" w:rsidRPr="003E2940">
              <w:rPr>
                <w:rFonts w:ascii="Times New Roman" w:eastAsia="Times New Roman" w:hAnsi="Times New Roman" w:cs="Times New Roman"/>
                <w:kern w:val="0"/>
                <w:sz w:val="18"/>
                <w:szCs w:val="18"/>
                <w:lang w:eastAsia="en-IN"/>
                <w14:ligatures w14:val="none"/>
              </w:rPr>
              <w:t>, RDT, PCR</w:t>
            </w:r>
          </w:p>
          <w:p w14:paraId="49B76228" w14:textId="2506969B"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PCR</w:t>
            </w:r>
          </w:p>
          <w:p w14:paraId="6256F443" w14:textId="1302F38F"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RT-</w:t>
            </w:r>
            <w:r w:rsidR="00532E77" w:rsidRPr="003E2940">
              <w:rPr>
                <w:rFonts w:ascii="Times New Roman" w:eastAsia="Times New Roman" w:hAnsi="Times New Roman" w:cs="Times New Roman"/>
                <w:kern w:val="0"/>
                <w:sz w:val="18"/>
                <w:szCs w:val="18"/>
                <w:lang w:eastAsia="en-IN"/>
                <w14:ligatures w14:val="none"/>
              </w:rPr>
              <w:t>PCR</w:t>
            </w:r>
          </w:p>
        </w:tc>
      </w:tr>
      <w:tr w:rsidR="00532E77" w:rsidRPr="003E2940" w14:paraId="24C2348E"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1DB0CB3C" w14:textId="78C5D5D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Borkakoty B, 2016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{"citationID":"HUHkuTQR","properties":{"formattedCitation":"(63)","plainCitation":"(63)","noteIndex":0},"citationItems":[{"id":157,"uris":["http://zotero.org/users/14157373/items/NCL7HHVQ"],"itemData":{"id":157,"type":"article-journal","abstract":"Background: Scrub typhus and leptospirosis are bacterial zoonotic disease causing high morbidity and mortality. The seasonal outbreak of pyrexia is common in Arunachal Pradesh (AP); many times the disease remains undiagnosed. Objective: An outbreak of pyrexia of unknown origin (PUO) occurred in Longding district of Arunachal Pradesh in 2013, with 108 deaths, which was investigated to elucidate the cause of illness. Methodology: Blood samples from the affected region with acute pyrexia were collected, and screened for the malaria parasite, scrub typhus IgM and leptospira IgM. Results: Scrub typhus IgM was reactive in 97% (30/31), and 25% (8/31) cases were co-infected with leptospira. Incidentally, scrub typhus reactive (67%) and leptospira co-infection (62.7%) were higher in females. Record of previous 3 years (2011–2013) from Longding, Community Health Centre showed an increase in indoor pyrexia cases by 2-fold or more during October and November. Conclusion: The present study is the first report of co-infection of scrub typhus with leptospirosis from Northeast India. Medical officers in this region should take scrub typhus and leptospirosis in their differential diagnosis of patients with PUO for early diagnosis and effective treatment.","container-title":"Indian Journal of Medical Microbiology","DOI":"10.4103/0255-0857.174116","ISSN":"0255-0857","issue":"1","journalAbbreviation":"Indian Journal of Medical Microbiology","page":"88-91","source":"ScienceDirect","title":"Co-infection of scrub typhus and leptospirosis in patients with pyrexia of unknown origin in Longding district of Arunachal Pradesh in 2013","volume":"34","author":[{"family":"Borkakoty","given":"Biswajyoti"},{"family":"Jakharia","given":"Aniruddha"},{"family":"Biswas","given":"Dipankar"},{"family":"Mahanta","given":"Jagadish"}],"issued":{"date-parts":[["2016",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(33)</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2717AB1" w14:textId="58AA7958"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Dibrugarh, Assam</w:t>
            </w:r>
          </w:p>
        </w:tc>
        <w:tc>
          <w:tcPr>
            <w:tcW w:w="1276" w:type="dxa"/>
            <w:tcBorders>
              <w:top w:val="single" w:sz="4" w:space="0" w:color="auto"/>
              <w:left w:val="nil"/>
              <w:bottom w:val="single" w:sz="4" w:space="0" w:color="auto"/>
              <w:right w:val="single" w:sz="4" w:space="0" w:color="auto"/>
            </w:tcBorders>
            <w:vAlign w:val="center"/>
          </w:tcPr>
          <w:p w14:paraId="767C8D1F" w14:textId="1EFDFAC4"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8</w:t>
            </w:r>
          </w:p>
        </w:tc>
        <w:tc>
          <w:tcPr>
            <w:tcW w:w="1275" w:type="dxa"/>
            <w:tcBorders>
              <w:top w:val="single" w:sz="4" w:space="0" w:color="auto"/>
              <w:left w:val="nil"/>
              <w:bottom w:val="single" w:sz="4" w:space="0" w:color="auto"/>
              <w:right w:val="single" w:sz="4" w:space="0" w:color="auto"/>
            </w:tcBorders>
            <w:vAlign w:val="center"/>
          </w:tcPr>
          <w:p w14:paraId="233EE0A4" w14:textId="1089E3DC"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3E3CA927" w14:textId="14F71A4F"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8</w:t>
            </w:r>
          </w:p>
        </w:tc>
        <w:tc>
          <w:tcPr>
            <w:tcW w:w="1276" w:type="dxa"/>
            <w:tcBorders>
              <w:top w:val="single" w:sz="4" w:space="0" w:color="auto"/>
              <w:left w:val="nil"/>
              <w:bottom w:val="single" w:sz="4" w:space="0" w:color="auto"/>
              <w:right w:val="single" w:sz="4" w:space="0" w:color="auto"/>
            </w:tcBorders>
            <w:noWrap/>
            <w:vAlign w:val="center"/>
          </w:tcPr>
          <w:p w14:paraId="38321223" w14:textId="66B902B1"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73EEA1CD" w14:textId="37E2BBB5"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7678C850"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6DCFEB7" w14:textId="3011777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Raina S,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{"citationID":"Q8d7jWxQ","properties":{"formattedCitation":"(48)","plainCitation":"(48)","noteIndex":0},"citationItems":[{"id":497,"uris":["http://zotero.org/users/14157373/items/SKWZKMGL"],"itemData":{"id":497,"type":"article-journal","abstract":"Background &amp; objectives: \n          In India, certain geographic regions witness simultaneous outbreaks of two or more diseases like scrub typhus, dengue fever, malaria, leptospirosis and chikungunya during monsoon and post-monsoon period, sharing common indication of acute febrile illness. The objective of the present study was to assess the prevalence of coinfections among patients with acute undifferentiated fevers (AUF) admitted in a tertiary care hospital in the northern hilly state of Himachal Pradesh, India.\n          Methods: \n          This was a hospital based open cohort study conducted over a period of two months (September and October) in 2016. All the patients above the age of 18 yr admitted in medical wards and fulfilling the definition of AUF were included. The patients diagnosed with dual infections were the subjects of the study. Standard guidelines were used for case definitions of scrub typhus, dengue, chikungunya, malaria and leptospirosis.\n          Results: \n          Dual infections were noted in 16 patients admitted with AUF. The most common coinfection was scrub typhus and dengue, reported in 10 patients. Scrub typhus and leptospirosis coinfection was observed in three patients. Dengue and chikungunya was observed in one patient. Scrub typhus, dengue and vivax malaria was detected in one patient. Scrub typhus and vivax malaria was detected in one patient. Out of the 10 cases positive for both scrub and dengue, four had no history of travel outside Himachal Pradesh. All three cases positive for both scrub and leptospirosis were indigenous without any history of travel outside Kangra, Himachal Pradesh. The outcome of all the patients was with full recovery.\n          Interpretation &amp; conclusion: \n          The study established the presence of coinfections (mainly dengue fever and leptospirosis) as a cause of AUF in the study area, which is a nonendemic region. The role of easily available and widely performed serological tests in the aetiological diagnosis of AUF is significant. Studies are required to determine the normal titres in the local population before using the imported commercially available serological tests in the diagnosis of AUF.","container-title":"Journal of Vector Borne Diseases","DOI":"10.4103/0972-9062.242560","ISSN":"xxxx-xxxx","issue":"2","language":"en-US","page":"130","source":"journals.lww.com","title":"Coinfections as an aetiology of acute undifferentiated febrile illness among adult patients in the sub-Himalayan region of north India","volume":"55","author":[{"family":"Raina","given":"Sujeet"},{"family":"Raina","given":"Rashmi Kaul"},{"family":"Agarwala","given":"Niraj"},{"family":"Raina","given":"Sunil Kumar"},{"family":"Sharma","given":"Rajesh"}],"issued":{"date-parts":[["2018",6]]}}}],"schema":"https://github.com/citation-style-language/schema/raw/master/csl-citation.json"}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(31)</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5724777D" w14:textId="2921EEE6"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Kangra</w:t>
            </w:r>
          </w:p>
        </w:tc>
        <w:tc>
          <w:tcPr>
            <w:tcW w:w="1276" w:type="dxa"/>
            <w:tcBorders>
              <w:top w:val="single" w:sz="4" w:space="0" w:color="auto"/>
              <w:left w:val="nil"/>
              <w:bottom w:val="single" w:sz="4" w:space="0" w:color="auto"/>
              <w:right w:val="single" w:sz="4" w:space="0" w:color="auto"/>
            </w:tcBorders>
            <w:vAlign w:val="center"/>
          </w:tcPr>
          <w:p w14:paraId="2D08DB6A" w14:textId="15D6A408"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11</w:t>
            </w:r>
          </w:p>
        </w:tc>
        <w:tc>
          <w:tcPr>
            <w:tcW w:w="1275" w:type="dxa"/>
            <w:tcBorders>
              <w:top w:val="single" w:sz="4" w:space="0" w:color="auto"/>
              <w:left w:val="nil"/>
              <w:bottom w:val="single" w:sz="4" w:space="0" w:color="auto"/>
              <w:right w:val="single" w:sz="4" w:space="0" w:color="auto"/>
            </w:tcBorders>
            <w:vAlign w:val="center"/>
          </w:tcPr>
          <w:p w14:paraId="47D645A7" w14:textId="665F7C6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023AF0D6" w14:textId="78346FC7"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3</w:t>
            </w:r>
          </w:p>
        </w:tc>
        <w:tc>
          <w:tcPr>
            <w:tcW w:w="1276" w:type="dxa"/>
            <w:tcBorders>
              <w:top w:val="single" w:sz="4" w:space="0" w:color="auto"/>
              <w:left w:val="nil"/>
              <w:bottom w:val="single" w:sz="4" w:space="0" w:color="auto"/>
              <w:right w:val="single" w:sz="4" w:space="0" w:color="auto"/>
            </w:tcBorders>
            <w:noWrap/>
            <w:vAlign w:val="center"/>
          </w:tcPr>
          <w:p w14:paraId="2A35FB10" w14:textId="0EB128DF"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73ED6CED" w14:textId="35394AB2" w:rsidR="00532E77" w:rsidRPr="003E2940" w:rsidRDefault="00171FFB"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31B342B1"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25683C57" w14:textId="6973EC4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 xml:space="preserve">Raja JM, 2016 </w:t>
            </w:r>
            <w:r w:rsidRPr="003E2940">
              <w:rPr>
                <w:rFonts w:ascii="Times New Roman" w:hAnsi="Times New Roman" w:cs="Times New Roman"/>
                <w:sz w:val="18"/>
                <w:szCs w:val="18"/>
              </w:rPr>
              <w:fldChar w:fldCharType="begin"/>
            </w:r>
            <w:r w:rsidRPr="003E2940">
              <w:rPr>
                <w:rFonts w:ascii="Times New Roman" w:hAnsi="Times New Roman" w:cs="Times New Roman"/>
                <w:sz w:val="18"/>
                <w:szCs w:val="18"/>
              </w:rPr>
              <w:instrText xml:space="preserve"> ADDIN ZOTERO_ITEM CSL_CITATION {"citationID":"Mw3MHBRo","properties":{"formattedCitation":"(19)","plainCitation":"(19)","noteIndex":0},"citationItems":[{"id":638,"uris":["http://zotero.org/users/14157373/items/V5FUBAME"],"itemData":{"id":638,"type":"article-journal","abstract":"Co-existing infections (Malaria and dengue) go undetected due to lack of clinical suspicion and overlapping\nsymptoms. Co-existing infections are on the rise in tropics. This study is undertaken to assess the prevalence of coinfections\nof some common tropical infections like malaria, dengue, typhoid, and leptospirosis in pyrexia cases. Also\nany associated complications with dual infections are dealt within this study. A cross-sectional study was\nundertaken including inpatient A.C.S. Medical college and hospital from May, 2013 to January, 2014 Suffering from\nfever of 100° and above with additional symptoms like Abdominal pain, Vomiting, Bleeding in both men and women\nbetween ages 5 and above and up to sixty years of age. A total of 100 pyrexia cases were studied. Of those 100 cases\npyrexia, the percentage of a single infection, dual infection, triplet infection and other causes were 20%, 9%, 1%\nand 69% respectively. Among the dual infections, coinfection with malaria and dengue, dengue and typhoid,\nmalaria and typhoid, dengue and leptospirosis were 33.33%, 22.22%, 22.22% and 22.22% respectively. One triplet\ninfection with Malaria, leptospirosis and typhoid was also detected. There is prevalence of coexisting infections with\ntropical infections like malaria, dengue, leptospirosis and typhoid. Prompt detection of these dual infections can\nlead to decreased morbidity and mortality. A clinical suspicion must be present to detect these coexisting infections\nin pyrexia cases.","container-title":"International Journal of Medical Research and Health Sciences","issue":"8","journalAbbreviation":"International Journal of Medical Research and Health Sciences","page":"150-155","source":"IngentaConnect","title":"A Study on Dual Infections in Pyrexia Cases","volume":"5","author":[{"literal":"Joel Mukesh Raja"},{"literal":"Annapoorna Mary"},{"literal":"S. Usha"}],"issued":{"date-parts":[["2016",1,1]]}}}],"schema":"https://github.com/citation-style-language/schema/raw/master/csl-citation.json"} </w:instrText>
            </w:r>
            <w:r w:rsidRPr="003E2940">
              <w:rPr>
                <w:rFonts w:ascii="Times New Roman" w:hAnsi="Times New Roman" w:cs="Times New Roman"/>
                <w:sz w:val="18"/>
                <w:szCs w:val="18"/>
              </w:rPr>
              <w:fldChar w:fldCharType="separate"/>
            </w:r>
            <w:r w:rsidRPr="003E2940">
              <w:rPr>
                <w:rFonts w:ascii="Times New Roman" w:hAnsi="Times New Roman" w:cs="Times New Roman"/>
                <w:sz w:val="18"/>
              </w:rPr>
              <w:t>(34)</w:t>
            </w:r>
            <w:r w:rsidRPr="003E2940">
              <w:rPr>
                <w:rFonts w:ascii="Times New Roman" w:hAnsi="Times New Roman" w:cs="Times New Roman"/>
                <w:sz w:val="18"/>
                <w:szCs w:val="18"/>
              </w:rPr>
              <w:fldChar w:fldCharType="end"/>
            </w:r>
          </w:p>
        </w:tc>
        <w:tc>
          <w:tcPr>
            <w:tcW w:w="1418" w:type="dxa"/>
            <w:tcBorders>
              <w:top w:val="single" w:sz="4" w:space="0" w:color="auto"/>
              <w:left w:val="nil"/>
              <w:bottom w:val="single" w:sz="4" w:space="0" w:color="auto"/>
              <w:right w:val="single" w:sz="4" w:space="0" w:color="auto"/>
            </w:tcBorders>
            <w:vAlign w:val="center"/>
          </w:tcPr>
          <w:p w14:paraId="1F3CAEBF" w14:textId="77777777"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Chennai, </w:t>
            </w:r>
          </w:p>
          <w:p w14:paraId="2ADF9765" w14:textId="7608A362"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Tamil Nadu</w:t>
            </w:r>
          </w:p>
        </w:tc>
        <w:tc>
          <w:tcPr>
            <w:tcW w:w="1276" w:type="dxa"/>
            <w:tcBorders>
              <w:top w:val="single" w:sz="4" w:space="0" w:color="auto"/>
              <w:left w:val="nil"/>
              <w:bottom w:val="single" w:sz="4" w:space="0" w:color="auto"/>
              <w:right w:val="single" w:sz="4" w:space="0" w:color="auto"/>
            </w:tcBorders>
            <w:vAlign w:val="center"/>
          </w:tcPr>
          <w:p w14:paraId="5EBFC399" w14:textId="4470EA2D"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1275" w:type="dxa"/>
            <w:tcBorders>
              <w:top w:val="single" w:sz="4" w:space="0" w:color="auto"/>
              <w:left w:val="nil"/>
              <w:bottom w:val="single" w:sz="4" w:space="0" w:color="auto"/>
              <w:right w:val="single" w:sz="4" w:space="0" w:color="auto"/>
            </w:tcBorders>
            <w:vAlign w:val="center"/>
          </w:tcPr>
          <w:p w14:paraId="7DBFB07A" w14:textId="3AD498B0"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3DE227BD" w14:textId="08F277B3"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1276" w:type="dxa"/>
            <w:tcBorders>
              <w:top w:val="single" w:sz="4" w:space="0" w:color="auto"/>
              <w:left w:val="nil"/>
              <w:bottom w:val="single" w:sz="4" w:space="0" w:color="auto"/>
              <w:right w:val="single" w:sz="4" w:space="0" w:color="auto"/>
            </w:tcBorders>
            <w:noWrap/>
            <w:vAlign w:val="center"/>
          </w:tcPr>
          <w:p w14:paraId="58E6C6BF"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28637A7C"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281B5B66" w14:textId="0B5EAC82"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tc>
        <w:tc>
          <w:tcPr>
            <w:tcW w:w="2126" w:type="dxa"/>
            <w:tcBorders>
              <w:top w:val="single" w:sz="4" w:space="0" w:color="auto"/>
              <w:left w:val="nil"/>
              <w:bottom w:val="single" w:sz="4" w:space="0" w:color="auto"/>
              <w:right w:val="single" w:sz="4" w:space="0" w:color="auto"/>
            </w:tcBorders>
            <w:vAlign w:val="center"/>
          </w:tcPr>
          <w:p w14:paraId="4A0CB950"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Thin blood smear, RDT</w:t>
            </w:r>
          </w:p>
          <w:p w14:paraId="652E13D8"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p w14:paraId="3C8E1473" w14:textId="33BC20E2"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Blood culture</w:t>
            </w:r>
          </w:p>
        </w:tc>
      </w:tr>
      <w:tr w:rsidR="00532E77" w:rsidRPr="003E2940" w14:paraId="03C8B304" w14:textId="77777777" w:rsidTr="0085033A">
        <w:trPr>
          <w:trHeight w:val="336"/>
          <w:jc w:val="center"/>
        </w:trPr>
        <w:tc>
          <w:tcPr>
            <w:tcW w:w="10343" w:type="dxa"/>
            <w:gridSpan w:val="7"/>
            <w:tcBorders>
              <w:top w:val="single" w:sz="4" w:space="0" w:color="auto"/>
              <w:left w:val="single" w:sz="4" w:space="0" w:color="auto"/>
              <w:bottom w:val="single" w:sz="4" w:space="0" w:color="auto"/>
              <w:right w:val="single" w:sz="4" w:space="0" w:color="auto"/>
            </w:tcBorders>
            <w:vAlign w:val="center"/>
          </w:tcPr>
          <w:p w14:paraId="40CC96F9" w14:textId="6EA9BAAF" w:rsidR="00532E77" w:rsidRPr="003E2940" w:rsidRDefault="00171FFB"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Case Reports</w:t>
            </w:r>
          </w:p>
        </w:tc>
      </w:tr>
      <w:tr w:rsidR="00532E77" w:rsidRPr="003E2940" w14:paraId="6B0E03B4"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2B322EA" w14:textId="3D516505"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Dev N.,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{"citationID":"iGCd9yaK","properties":{"formattedCitation":"(47)","plainCitation":"(47)","noteIndex":0},"citationItems":[{"id":146,"uris":["http://zotero.org/users/14157373/items/K2JU4TFK"],"itemData":{"id":146,"type":"article-journal","abstract":"Guillain-Barré syndrome (GBS) is a potentially life-threatening immune-mediated acute inflammatory polyneuropathy associated with several antecedent infections. We report a 20-year-old man with GBS associated with concurrent leptospirosis and scrub typhus infection. GBS was confirmed with clinical examination and nerve conduction studies. There have been case reports of GBS in association with Leptospira and Orienta tsusugamushi separately. However, this may be the first case report of GBS associated with concurrent diseases.","container-title":"Tropical Doctor","DOI":"10.1177/0049475519836038","ISSN":"1758-1133","issue":"3","journalAbbreviation":"Trop Doct","language":"eng","note":"PMID: 30895887","page":"248-249","source":"PubMed","title":"Guillain-Barre syndrome: a rare complication of leptospirosis and scrub typhus co-infection","title-short":"Guillain-Barre syndrome","volume":"49","author":[{"family":"Dev","given":"Nishant"},{"family":"Kumar","given":"Rahul"},{"family":"Kumar","given":"Dilip"}],"issued":{"date-parts":[["2019",7]]}}}],"schema":"https://github.com/citation-style-language/schema/raw/master/csl-citation.json"}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(44)</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single" w:sz="4" w:space="0" w:color="auto"/>
              <w:left w:val="nil"/>
              <w:bottom w:val="single" w:sz="4" w:space="0" w:color="auto"/>
              <w:right w:val="single" w:sz="4" w:space="0" w:color="auto"/>
            </w:tcBorders>
            <w:vAlign w:val="center"/>
          </w:tcPr>
          <w:p w14:paraId="1D4F271B" w14:textId="769D3872"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New Delhi</w:t>
            </w:r>
          </w:p>
        </w:tc>
        <w:tc>
          <w:tcPr>
            <w:tcW w:w="1276" w:type="dxa"/>
            <w:tcBorders>
              <w:top w:val="single" w:sz="4" w:space="0" w:color="auto"/>
              <w:left w:val="nil"/>
              <w:bottom w:val="single" w:sz="4" w:space="0" w:color="auto"/>
              <w:right w:val="single" w:sz="4" w:space="0" w:color="auto"/>
            </w:tcBorders>
            <w:vAlign w:val="center"/>
          </w:tcPr>
          <w:p w14:paraId="009BF4DA" w14:textId="088B6022"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65F3AF6C"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MAT, </w:t>
            </w:r>
          </w:p>
          <w:p w14:paraId="7A0D11F4" w14:textId="509DAF7B"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tc>
        <w:tc>
          <w:tcPr>
            <w:tcW w:w="1134" w:type="dxa"/>
            <w:tcBorders>
              <w:top w:val="single" w:sz="4" w:space="0" w:color="auto"/>
              <w:left w:val="single" w:sz="4" w:space="0" w:color="auto"/>
              <w:bottom w:val="single" w:sz="4" w:space="0" w:color="auto"/>
              <w:right w:val="single" w:sz="4" w:space="0" w:color="auto"/>
            </w:tcBorders>
            <w:vAlign w:val="center"/>
          </w:tcPr>
          <w:p w14:paraId="6276B7C6" w14:textId="4C61D514"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7F750F27" w14:textId="6038407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48D33E68" w14:textId="51E9EF96"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IgM ELISA, PCR</w:t>
            </w:r>
          </w:p>
        </w:tc>
      </w:tr>
      <w:tr w:rsidR="00532E77" w:rsidRPr="003E2940" w14:paraId="308172C1"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4A3CFBE0" w14:textId="1D88B483"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R,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{"citationID":"pOH6ZfDM","properties":{"formattedCitation":"(22)","plainCitation":"(22)","noteIndex":0},"citationItems":[{"id":125,"uris":["http://zotero.org/users/14157373/items/ET2LHEFW"],"itemData":{"id":125,"type":"article-journal","abstract":"Co-infection in immunocompetent patients is rare. Though co-infection with dengue and leptospira cases is increasingly reported, a co-infection of this combination along with hepatitis E is rarely thought of. Until date only two case of triple co-infection have been reported world-wide. Here, we are reporting a patient with co-infection of dengue, leptospirosis and hepatitis E admitted to our intensive care unit. Early septic shock and increasing procalcitonin in dengue patient raised suspicion of co-infection. Our aim is to educate intensivists about this rare co-infection and hence that timely initiation of appropriate diagnostic, therapeutic and supportive measures can alter outcome favorably.","container-title":"Annals of Medical and Health Sciences Research","DOI":"10.4103/2141-9248.131707","ISSN":"2141-9248","issue":"Suppl 1","journalAbbreviation":"Ann Med Health Sci Res","language":"eng","note":"PMID: 25031903\nPMCID: PMC4083711","page":"S32-34","source":"PubMed","title":"Comparison between Three Rare Cases of Co-Infection with Dengue, Leptospira and Hepatitis E: Is Early Endothelial Involvement the Culprit in Mortality?","title-short":"Comparison between Three Rare Cases of Co-Infection with Dengue, Leptospira and Hepatitis E","volume":"4","author":[{"family":"Singh","given":"Rk"},{"family":"Ghatak","given":"T."},{"family":"Saigal","given":"S."},{"family":"Baronia","given":"Ak"}],"issued":{"date-parts":[["2014",3]]}}}],"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(45)</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09793B3" w14:textId="2081C3C8"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Lucknow, Uttar Pradesh</w:t>
            </w:r>
          </w:p>
        </w:tc>
        <w:tc>
          <w:tcPr>
            <w:tcW w:w="1276" w:type="dxa"/>
            <w:tcBorders>
              <w:top w:val="single" w:sz="4" w:space="0" w:color="auto"/>
              <w:left w:val="nil"/>
              <w:bottom w:val="single" w:sz="4" w:space="0" w:color="auto"/>
              <w:right w:val="single" w:sz="4" w:space="0" w:color="auto"/>
            </w:tcBorders>
            <w:vAlign w:val="center"/>
          </w:tcPr>
          <w:p w14:paraId="7209ECE7" w14:textId="2D40A05B"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01D24093" w14:textId="23548E9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7A03F52E" w14:textId="7DEEEDED"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04E1E53F" w14:textId="522A8A58"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Hepatitis E</w:t>
            </w:r>
          </w:p>
        </w:tc>
        <w:tc>
          <w:tcPr>
            <w:tcW w:w="2126" w:type="dxa"/>
            <w:tcBorders>
              <w:top w:val="single" w:sz="4" w:space="0" w:color="auto"/>
              <w:left w:val="nil"/>
              <w:bottom w:val="single" w:sz="4" w:space="0" w:color="auto"/>
              <w:right w:val="single" w:sz="4" w:space="0" w:color="auto"/>
            </w:tcBorders>
            <w:vAlign w:val="center"/>
          </w:tcPr>
          <w:p w14:paraId="450A2584" w14:textId="0B9026C9"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532E77" w:rsidRPr="003E2940">
              <w:rPr>
                <w:rFonts w:ascii="Times New Roman" w:eastAsia="Times New Roman" w:hAnsi="Times New Roman" w:cs="Times New Roman"/>
                <w:kern w:val="0"/>
                <w:sz w:val="18"/>
                <w:szCs w:val="18"/>
                <w:lang w:eastAsia="en-IN"/>
                <w14:ligatures w14:val="none"/>
              </w:rPr>
              <w:t>IgM ELISA</w:t>
            </w:r>
          </w:p>
          <w:p w14:paraId="69244BEB" w14:textId="47D2C900"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Anti-HEV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0F0C3F23"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0EE1BB68" w14:textId="6B2F0540"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Mehta V,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{"citationID":"QRxdGRK0","properties":{"formattedCitation":"(49)","plainCitation":"(49)","noteIndex":0},"citationItems":[{"id":128,"uris":["http://zotero.org/users/14157373/items/YXIYBDCT"],"itemData":{"id":128,"type":"article-journal","abstract":"Scrub typhus and leptospirosis are zoonosis and systemic febrile illnesses with diverse, nonspecific clinical manifestations, and shared risk factors for coinfection. Diagnosis of the coinfection is dependent on laboratory serological tests, which are under used. A coinfection from Uttarakhand Himalayan region is not yet reported. A 25-year-old man from altitude of 2126 feet above sea level presented with fever, myalgia, jaundice, oliguria, mental confusion, and tender hepatomegaly. Investigations revealed leukocytosis, thrombocytopenia, impaired liver function tests, renal dysfunction with neurological involvement. Leptospira immunoglobulin IgM enzyme linked immunosorbent assay (ELISA) and scrub typhus immunochromatography test were positive. This coinfection is first to be documented in this holy Indian Himalayas. Clinical suspicion, early laboratory diagnosis, and early treatment could prevent complications and fatal outcomes. Coinfection of this type may be considered when there is persistence of fever and a treatment response to doxycycline.","container-title":"Journal of Family Medicine and Primary Care","DOI":"10.4103/jfmpc.jfmpc_614_19","ISSN":"2249-4863","issue":"10","journalAbbreviation":"J Family Med Prim Care","language":"eng","note":"PMID: 31742180\nPMCID: PMC6857365","page":"3416-3418","source":"PubMed","title":"A coinfection of severe leptospirosis and scrub typhus in Indian Himalayas","volume":"8","author":[{"family":"Mehta","given":"Vibha"},{"family":"Bhasi","given":"Ankith"},{"family":"Panda","given":"Prasan Kumar"},{"family":"Gupta","given":"Pratima"}],"issued":{"date-parts":[["2019",10]]}}}],"schema":"https://github.com/citation-style-language/schema/raw/master/csl-citation.json"}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(46)</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04DF3663" w14:textId="05E953DA"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Rishikesh, Uttarakhand</w:t>
            </w:r>
          </w:p>
        </w:tc>
        <w:tc>
          <w:tcPr>
            <w:tcW w:w="1276" w:type="dxa"/>
            <w:tcBorders>
              <w:top w:val="single" w:sz="4" w:space="0" w:color="auto"/>
              <w:left w:val="nil"/>
              <w:bottom w:val="single" w:sz="4" w:space="0" w:color="auto"/>
              <w:right w:val="single" w:sz="4" w:space="0" w:color="auto"/>
            </w:tcBorders>
            <w:vAlign w:val="center"/>
          </w:tcPr>
          <w:p w14:paraId="023630E3" w14:textId="63427F60"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73FE1B6D" w14:textId="091D7406"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766F0FD2" w14:textId="49F8BE1B" w:rsidR="00532E77" w:rsidRPr="003E2940" w:rsidRDefault="00532E77" w:rsidP="00532E77">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1DBED95C" w14:textId="66A1E6E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3DA571D1" w14:textId="1C4E0336"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69CEF88F"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04ED9787" w14:textId="3A70B3DD"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Hareshkumar CN,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{"citationID":"oohRoI72","properties":{"formattedCitation":"(50)","plainCitation":"(50)","noteIndex":0},"citationItems":[{"id":499,"uris":["http://zotero.org/users/14157373/items/SXJ4IC6J"],"itemData":{"id":499,"type":"article-journal","abstract":"Weil's syndrome, a severe form of the disease, may present with symptoms such as jaundice, renal dysfunction, and hemorrhagic diathesis and it can progress to multi-organ failure leading to death. In patients with coinfection of tuberculosis with leptospirosis, there may be severe hepatic and renal dysfunction rendering the standard antitubercular therapy (ATT) regimen useless, thus requiring alternate drug selection and dose modification of antitubercular drugs. We present a case of a 57-year-old female who presented with high-grade fever and yellowish discoloration of the eyes. She was diagnosed with Weil's disease and started on treatment. She later developed altered sensorium and lumbar puncture was suggestive of tubercular meningitis. Due to her deranged renal and hepatic function tests, she was started on a modified regimen of ATT with intermittent dialysis. The patient responded to treatment and was shifted to the standard Isoniazid, Rifampicin, Pyrazinamide, Ethambutol (HRZE) regimen once renal and hepatic functions returned to normal.","container-title":"International Journal of Mycobacteriology","DOI":"10.4103/ijmy.ijmy_56_22","ISSN":"2212-554X","issue":"2","journalAbbreviation":"Int J Mycobacteriol","language":"eng","note":"PMID: 35775555","page":"205-207","source":"PubMed","title":"Tubercular meningitis complicated by weil's Syndrome - Management of tuberculosis in a patient with concurrent hepatic and renal dysfunction","volume":"11","author":[{"family":"Hareshkumar","given":"Chaudhary Niraliben"},{"family":"Gopal","given":"Prashant"},{"family":"Diggikar","given":"Pradnya Mukund"}],"issued":{"date-parts":[["2022"]]}}}],"schema":"https://github.com/citation-style-language/schema/raw/master/csl-citation.json"}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(47)</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9DAC2DA" w14:textId="10B0E67A"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76" w:type="dxa"/>
            <w:tcBorders>
              <w:top w:val="single" w:sz="4" w:space="0" w:color="auto"/>
              <w:left w:val="nil"/>
              <w:bottom w:val="single" w:sz="4" w:space="0" w:color="auto"/>
              <w:right w:val="single" w:sz="4" w:space="0" w:color="auto"/>
            </w:tcBorders>
            <w:vAlign w:val="center"/>
          </w:tcPr>
          <w:p w14:paraId="4871F080" w14:textId="6D868AD8"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56242708" w14:textId="5D8966F8"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43FA3127" w14:textId="7B402483"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703C7770" w14:textId="66C5AF6C"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w:t>
            </w:r>
          </w:p>
        </w:tc>
        <w:tc>
          <w:tcPr>
            <w:tcW w:w="2126" w:type="dxa"/>
            <w:tcBorders>
              <w:top w:val="single" w:sz="4" w:space="0" w:color="auto"/>
              <w:left w:val="nil"/>
              <w:bottom w:val="single" w:sz="4" w:space="0" w:color="auto"/>
              <w:right w:val="single" w:sz="4" w:space="0" w:color="auto"/>
            </w:tcBorders>
            <w:vAlign w:val="center"/>
          </w:tcPr>
          <w:p w14:paraId="5ABEEE76" w14:textId="48E7A98F" w:rsidR="00532E77" w:rsidRPr="003E2940" w:rsidRDefault="00532E77" w:rsidP="00532E77">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CSF CBNAAT</w:t>
            </w:r>
          </w:p>
        </w:tc>
      </w:tr>
      <w:tr w:rsidR="00532E77" w:rsidRPr="003E2940" w14:paraId="367A3A76"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5084321D" w14:textId="62541F20"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Nazeera NN,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{"citationID":"gx2r4G7l","properties":{"formattedCitation":"(51)","plainCitation":"(51)","noteIndex":0},"citationItems":[{"id":501,"uris":["http://zotero.org/users/14157373/items/PKUIJPN7"],"itemData":{"id":501,"type":"article-journal","abstract":"A 34-year-old male, with no history of known previous disease, employed at a ginger farm in South India, presented with a four-day history of high-grade fever and headache. Initially, he received symptomatic treatment but was referred due to ...","container-title":"Cureus","DOI":"10.7759/cureus.60732","issue":"5","language":"en","note":"PMID: 38903293","page":"e60732","source":"pmc.ncbi.nlm.nih.gov","title":"Double Blow in the Tropics: A Case of Concurrent Leptospirosis and Scrub Typhus","title-short":"Double Blow in the Tropics","volume":"16","author":[{"family":"Nazeera","given":"Nahas N."},{"family":"M","given":"Sreelakshmi"},{"family":"Mathew","given":"Abin"},{"family":"Basheer","given":"Aneesh"}],"issued":{"date-parts":[["2024",5,21]]}}}],"schema":"https://github.com/citation-style-language/schema/raw/master/csl-citation.json"}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(48)</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single" w:sz="4" w:space="0" w:color="auto"/>
              <w:left w:val="nil"/>
              <w:bottom w:val="single" w:sz="4" w:space="0" w:color="auto"/>
              <w:right w:val="single" w:sz="4" w:space="0" w:color="auto"/>
            </w:tcBorders>
            <w:vAlign w:val="center"/>
          </w:tcPr>
          <w:p w14:paraId="7A8366C9" w14:textId="503AF1FB"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Wayanad, Kerala</w:t>
            </w:r>
          </w:p>
        </w:tc>
        <w:tc>
          <w:tcPr>
            <w:tcW w:w="1276" w:type="dxa"/>
            <w:tcBorders>
              <w:top w:val="single" w:sz="4" w:space="0" w:color="auto"/>
              <w:left w:val="nil"/>
              <w:bottom w:val="single" w:sz="4" w:space="0" w:color="auto"/>
              <w:right w:val="single" w:sz="4" w:space="0" w:color="auto"/>
            </w:tcBorders>
            <w:vAlign w:val="center"/>
          </w:tcPr>
          <w:p w14:paraId="1E0B2E93" w14:textId="0061FE7B"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2E067321" w14:textId="4A6C756C"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487B7588" w14:textId="3DE187A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4358B341" w14:textId="101EDF1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3CE19E14" w14:textId="52511822"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758282D5"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C7915B0" w14:textId="725DE3AF"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Negi,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{"citationID":"rrJyRVWJ","properties":{"formattedCitation":"(52)","plainCitation":"(52)","noteIndex":0},"citationItems":[{"id":504,"uris":["http://zotero.org/users/14157373/items/J9RDMR4V"],"itemData":{"id":504,"type":"article-journal","abstract":"Semantic Scholar extracted view of \"Coinfection by Salmonella and Leptospira Presenting as Subacute Intestinal Obstruction with Colitis: A Diagnostic Dilemma\" by A. Negi et al.","container-title":"JOURNAL OF CLINICAL AND DIAGNOSTIC RESEARCH","DOI":"10.7860/JCDR/2018/32611.11272","ISSN":"2249782X","journalAbbreviation":"JCDR","source":"Semantic Scholar","title":"Coinfection by Salmonella and Leptospira Presenting as Subacute Intestinal Obstruction with Colitis: A Diagnostic Dilemma","title-short":"Coinfection by Salmonella and Leptospira Presenting as Subacute Intestinal Obstruction with Colitis","URL":"http://jcdr.net/article_fulltext.asp?issn=0973-709x&amp;year=2018&amp;volume=12&amp;issue=3&amp;page=DD01&amp;issn=0973-709x&amp;id=11272","author":[{"family":"Negi","given":"Arti"},{"family":"Tejan","given":"Nidhi"},{"family":"Sahu","given":"Chinmoy"},{"family":"Dhole","given":"Tapankumar Nirodchand"}],"accessed":{"date-parts":[["2024",11,13]]},"issued":{"date-parts":[["2018"]]}}}],"schema":"https://github.com/citation-style-language/schema/raw/master/csl-citation.json"}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(49)</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16F4ACCF"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Lucknow, </w:t>
            </w:r>
          </w:p>
          <w:p w14:paraId="0C41D1A4" w14:textId="43963AF8"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Uttar Pradesh</w:t>
            </w:r>
          </w:p>
        </w:tc>
        <w:tc>
          <w:tcPr>
            <w:tcW w:w="1276" w:type="dxa"/>
            <w:tcBorders>
              <w:top w:val="single" w:sz="4" w:space="0" w:color="auto"/>
              <w:left w:val="nil"/>
              <w:bottom w:val="single" w:sz="4" w:space="0" w:color="auto"/>
              <w:right w:val="single" w:sz="4" w:space="0" w:color="auto"/>
            </w:tcBorders>
            <w:vAlign w:val="center"/>
          </w:tcPr>
          <w:p w14:paraId="541425BE" w14:textId="756117A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23F8C776" w14:textId="28D56086"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1A08C0C1" w14:textId="1CE4BC1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5CD75925" w14:textId="0E1075C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tc>
        <w:tc>
          <w:tcPr>
            <w:tcW w:w="2126" w:type="dxa"/>
            <w:tcBorders>
              <w:top w:val="single" w:sz="4" w:space="0" w:color="auto"/>
              <w:left w:val="nil"/>
              <w:bottom w:val="single" w:sz="4" w:space="0" w:color="auto"/>
              <w:right w:val="single" w:sz="4" w:space="0" w:color="auto"/>
            </w:tcBorders>
            <w:vAlign w:val="center"/>
          </w:tcPr>
          <w:p w14:paraId="4C83C0A6" w14:textId="28842333"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tc>
      </w:tr>
      <w:tr w:rsidR="00532E77" w:rsidRPr="003E2940" w14:paraId="5E717AAA"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19E53E56" w14:textId="3A76BB8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Diwan, A.G.,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{"citationID":"9MhmlHg9","properties":{"formattedCitation":"(53)","plainCitation":"(53)","noteIndex":0},"citationItems":[{"id":159,"uris":["http://zotero.org/users/14157373/items/G9A9594I"],"itemData":{"id":159,"type":"article-journal","abstract":"Macrophage activation syndrome is a potentially life threatening phenomenon characterised by aggressive proliferation of macrophages and T lymphocytes leading to haemophagocytosis of other blood cells and multi organ failure. Here we present a very unusual combination of leptospirosis and scrub typhus infection leading to macrophage activation syndrome. Scrub typhus associated with macrophage activation syndrome has rarely been reported in India. A 40 year old female presented with high grade fever, seizures, bodyache, arthralgia and severe breathlessness. Investigations revealed persistent thrombocytopenia, impaired liver function tests, renal dysfunction, leptospiral IgM ELISA positive and a positive Weil Felix test. There was evidence of haemophagocytosis in bone marrow. Macrophage activation syndrome if left untreated has been associated with rapidly fatal outcome and early treatment can help us save that one precious thing..called life..!","container-title":"The Journal of the Association of Physicians of India","journalAbbreviation":"The Journal of the Association of Physicians of India","page":"58-61","source":"ResearchGate","title":"Triple trouble - Macrophage activation syndrome in a case of severe leptospirosis and scrub typhus co-infection","volume":"62","author":[{"family":"Diwan","given":"Arundhati"},{"family":"Shewale","given":"Rahul"},{"family":"Iyer","given":"Shivakumar"},{"family":"Nisal","given":"Amit"},{"family":"Agrawa","given":"Prakhar"}],"issued":{"date-parts":[["2014",10,20]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(50)</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0A952E68" w14:textId="78061644"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76" w:type="dxa"/>
            <w:tcBorders>
              <w:top w:val="single" w:sz="4" w:space="0" w:color="auto"/>
              <w:left w:val="nil"/>
              <w:bottom w:val="single" w:sz="4" w:space="0" w:color="auto"/>
              <w:right w:val="single" w:sz="4" w:space="0" w:color="auto"/>
            </w:tcBorders>
            <w:vAlign w:val="center"/>
          </w:tcPr>
          <w:p w14:paraId="1821F1FF" w14:textId="1C912D2F"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694D8F89" w14:textId="087F2EE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5F887B0C" w14:textId="1238258C"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11E55401" w14:textId="0F05317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single" w:sz="4" w:space="0" w:color="auto"/>
              <w:left w:val="nil"/>
              <w:bottom w:val="single" w:sz="4" w:space="0" w:color="auto"/>
              <w:right w:val="single" w:sz="4" w:space="0" w:color="auto"/>
            </w:tcBorders>
            <w:vAlign w:val="center"/>
          </w:tcPr>
          <w:p w14:paraId="25D45945" w14:textId="5547989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Weil-Felix test</w:t>
            </w:r>
          </w:p>
        </w:tc>
      </w:tr>
      <w:tr w:rsidR="00532E77" w:rsidRPr="003E2940" w14:paraId="16B7806E"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68D15CE4" w14:textId="218B0B9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MP,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{"citationID":"63DAuqTq","properties":{"formattedCitation":"(42)","plainCitation":"(42)","noteIndex":0},"citationItems":[{"id":469,"uris":["http://zotero.org/users/14157373/items/BJ3JJNS2"],"itemData":{"id":469,"type":"article-journal","abstract":"India is endemic for both Leptospira and hepatitis E virus (HEV). The clinical presentations of these diseases have overlapping features. We report a case of superinfection of HEV in a patient with resolving leptospirosis with underlying Hodgkin lymphoma. The diagnosis of HEV in our case was established by HEV-RNA PCR as our patient was immunosuppressed. The present study highlights the need for molecular diagnosis in the case of HEV infection with strong clinical suspicion and negative serological results.","container-title":"Indian Journal of Medical Microbiology","DOI":"10.4103/0255-0857.93067","ISSN":"0255-0857","issue":"1","journalAbbreviation":"Indian Journal of Medical Microbiology","page":"103-106","source":"ScienceDirect","title":"Prolonged jaundice attributed to super infection of hepatitis E virus in a case of resolving leptospirosis","volume":"30","author":[{"family":"Singh","given":"MP"},{"family":"Majumdar","given":"M"},{"family":"Sharma","given":"A"},{"family":"Chawla","given":"Y"},{"family":"Ratho","given":"RK"}],"issued":{"date-parts":[["2012",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(39)</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single" w:sz="4" w:space="0" w:color="auto"/>
              <w:left w:val="nil"/>
              <w:bottom w:val="single" w:sz="4" w:space="0" w:color="auto"/>
              <w:right w:val="single" w:sz="4" w:space="0" w:color="auto"/>
            </w:tcBorders>
            <w:vAlign w:val="center"/>
          </w:tcPr>
          <w:p w14:paraId="42E583A0" w14:textId="6E48AD51"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Chandigarh</w:t>
            </w:r>
          </w:p>
        </w:tc>
        <w:tc>
          <w:tcPr>
            <w:tcW w:w="1276" w:type="dxa"/>
            <w:tcBorders>
              <w:top w:val="single" w:sz="4" w:space="0" w:color="auto"/>
              <w:left w:val="nil"/>
              <w:bottom w:val="single" w:sz="4" w:space="0" w:color="auto"/>
              <w:right w:val="single" w:sz="4" w:space="0" w:color="auto"/>
            </w:tcBorders>
            <w:vAlign w:val="center"/>
          </w:tcPr>
          <w:p w14:paraId="79F76112" w14:textId="752DFA3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2253E87A" w14:textId="7FE5825F"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080A4A65" w14:textId="22C767BB"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0DD4AF67" w14:textId="56E3361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w:t>
            </w:r>
          </w:p>
        </w:tc>
        <w:tc>
          <w:tcPr>
            <w:tcW w:w="2126" w:type="dxa"/>
            <w:tcBorders>
              <w:top w:val="single" w:sz="4" w:space="0" w:color="auto"/>
              <w:left w:val="nil"/>
              <w:bottom w:val="single" w:sz="4" w:space="0" w:color="auto"/>
              <w:right w:val="single" w:sz="4" w:space="0" w:color="auto"/>
            </w:tcBorders>
            <w:vAlign w:val="center"/>
          </w:tcPr>
          <w:p w14:paraId="3359CA6D" w14:textId="659F034B"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RT-PCR</w:t>
            </w:r>
          </w:p>
        </w:tc>
      </w:tr>
      <w:tr w:rsidR="00532E77" w:rsidRPr="003E2940" w14:paraId="7A8AF0E7"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1813D20" w14:textId="42A3DB01"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{"citationID":"E1PYYsLk","properties":{"formattedCitation":"(36)","plainCitation":"(36)","dontUpdate":true,"noteIndex":0},"citationItems":[{"id":471,"uris":["http://zotero.org/users/14157373/items/4B33U6DD"],"itemData":{"id":471,"type":"article-journal","abstract":"Dengue and leptospirosis are frequently discussed separately, with dengue causing rash and leptospirosis causing jaundice. Currently, there are more and more reports of coinfections. The comparable clinical symptoms of both infections make it ...","container-title":"Cureus","DOI":"10.7759/cureus.52466","issue":"1","language":"en","note":"PMID: 38371008","page":"e52466","source":"pmc.ncbi.nlm.nih.gov","title":"Leptospirosis and Dengue Coinfection-Associated Multi-Organ Dysfunction Syndrome: A Case Report","title-short":"Leptospirosis and Dengue Coinfection-Associated Multi-Organ Dysfunction Syndrome","volume":"16","author":[{"family":"Shiddapur","given":"Govind"},{"family":"Reddy","given":"Vutukuru Kalyan Kumar"},{"family":"Kondapalli","given":"Mohith Prakash"},{"family":"Adapa","given":"Saimounika"},{"family":"Agarwal","given":"Sonali"}],"issued":{"date-parts":[["2024",1,17]]}}}],"schema":"https://github.com/citation-style-language/schema/raw/master/csl-citation.json"}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(40)</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4612B6B6" w14:textId="23159F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1276" w:type="dxa"/>
            <w:tcBorders>
              <w:top w:val="single" w:sz="4" w:space="0" w:color="auto"/>
              <w:left w:val="nil"/>
              <w:bottom w:val="single" w:sz="4" w:space="0" w:color="auto"/>
              <w:right w:val="single" w:sz="4" w:space="0" w:color="auto"/>
            </w:tcBorders>
            <w:vAlign w:val="center"/>
          </w:tcPr>
          <w:p w14:paraId="56F845E6" w14:textId="0F935381"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21F722FA"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IgM ELISA, </w:t>
            </w:r>
          </w:p>
          <w:p w14:paraId="0D9E63F8" w14:textId="2105A39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tc>
        <w:tc>
          <w:tcPr>
            <w:tcW w:w="1134" w:type="dxa"/>
            <w:tcBorders>
              <w:top w:val="single" w:sz="4" w:space="0" w:color="auto"/>
              <w:left w:val="single" w:sz="4" w:space="0" w:color="auto"/>
              <w:bottom w:val="single" w:sz="4" w:space="0" w:color="auto"/>
              <w:right w:val="single" w:sz="4" w:space="0" w:color="auto"/>
            </w:tcBorders>
            <w:vAlign w:val="center"/>
          </w:tcPr>
          <w:p w14:paraId="106DEBA7" w14:textId="7062B338"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63F60EE0" w14:textId="15826ED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71A5A3D4" w14:textId="1D531658"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532E77" w:rsidRPr="003E2940">
              <w:rPr>
                <w:rFonts w:ascii="Times New Roman" w:eastAsia="Times New Roman" w:hAnsi="Times New Roman" w:cs="Times New Roman"/>
                <w:kern w:val="0"/>
                <w:sz w:val="18"/>
                <w:szCs w:val="18"/>
                <w:lang w:eastAsia="en-IN"/>
                <w14:ligatures w14:val="none"/>
              </w:rPr>
              <w:t xml:space="preserve">IgM ELISA, </w:t>
            </w:r>
            <w:r w:rsidRPr="003E2940">
              <w:rPr>
                <w:rFonts w:ascii="Times New Roman" w:eastAsia="Times New Roman" w:hAnsi="Times New Roman" w:cs="Times New Roman"/>
                <w:kern w:val="0"/>
                <w:sz w:val="18"/>
                <w:szCs w:val="18"/>
                <w:lang w:eastAsia="en-IN"/>
                <w14:ligatures w14:val="none"/>
              </w:rPr>
              <w:br/>
            </w:r>
            <w:r w:rsidR="00532E77" w:rsidRPr="003E2940">
              <w:rPr>
                <w:rFonts w:ascii="Times New Roman" w:eastAsia="Times New Roman" w:hAnsi="Times New Roman" w:cs="Times New Roman"/>
                <w:kern w:val="0"/>
                <w:sz w:val="18"/>
                <w:szCs w:val="18"/>
                <w:lang w:eastAsia="en-IN"/>
                <w14:ligatures w14:val="none"/>
              </w:rPr>
              <w:t>RT-PCR</w:t>
            </w:r>
          </w:p>
        </w:tc>
      </w:tr>
      <w:tr w:rsidR="00532E77" w:rsidRPr="003E2940" w14:paraId="065916C0"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589FFE9D" w14:textId="4A9FC5B4"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lastRenderedPageBreak/>
              <w:t xml:space="preserve">Singh A,2021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{"citationID":"i4TuqmKa","properties":{"formattedCitation":"(37)","plainCitation":"(37)","dontUpdate":true,"noteIndex":0},"citationItems":[{"id":482,"uris":["http://zotero.org/users/14157373/items/UPMX7P6P"],"itemData":{"id":482,"type":"article-journal","abstract":"(2021) Singh et al. Journal of Pharmaceutical Research International. Leptospirosis in pregnancy is often underdiagnosed and not commonly reported due to its unusual appearance and rarity. It looks...","container-title":"Journal of Pharmaceutical Research International","DOI":"10.9734/jpri/2021/v33i43b32567","ISSN":"undefined","language":"en-GB","page":"379-383","source":"www.mendeley.com","title":"Leptospirosis in COVID-19 Positive Pregnancy: A Rare Case Report Mimicking Hellp Syndrome","title-short":"Leptospirosis in COVID-19 Positive Pregnancy","author":[{"family":"Singh","given":"Aarshika"},{"family":"Tayade","given":"Surekha"},{"family":"Thadiboina","given":"Ooha"},{"family":"Srinidhi","given":"Cherukuri"}],"issued":{"date-parts":[["2021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(41)</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0CF7A827" w14:textId="6E7066D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1276" w:type="dxa"/>
            <w:tcBorders>
              <w:top w:val="single" w:sz="4" w:space="0" w:color="auto"/>
              <w:left w:val="nil"/>
              <w:bottom w:val="single" w:sz="4" w:space="0" w:color="auto"/>
              <w:right w:val="single" w:sz="4" w:space="0" w:color="auto"/>
            </w:tcBorders>
            <w:vAlign w:val="center"/>
          </w:tcPr>
          <w:p w14:paraId="13FA8EDA" w14:textId="69269894"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0E46FAE5" w14:textId="08B84873"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5413D16C" w14:textId="20C01FB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1755F8D9" w14:textId="058DBBAD"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2126" w:type="dxa"/>
            <w:tcBorders>
              <w:top w:val="single" w:sz="4" w:space="0" w:color="auto"/>
              <w:left w:val="nil"/>
              <w:bottom w:val="single" w:sz="4" w:space="0" w:color="auto"/>
              <w:right w:val="single" w:sz="4" w:space="0" w:color="auto"/>
            </w:tcBorders>
            <w:vAlign w:val="center"/>
          </w:tcPr>
          <w:p w14:paraId="583863CA" w14:textId="611684B1"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COVID-19 </w:t>
            </w:r>
            <w:r w:rsidR="00532E77" w:rsidRPr="003E2940">
              <w:rPr>
                <w:rFonts w:ascii="Times New Roman" w:eastAsia="Times New Roman" w:hAnsi="Times New Roman" w:cs="Times New Roman"/>
                <w:kern w:val="0"/>
                <w:sz w:val="18"/>
                <w:szCs w:val="18"/>
                <w:lang w:eastAsia="en-IN"/>
                <w14:ligatures w14:val="none"/>
              </w:rPr>
              <w:t>RT-PCR</w:t>
            </w:r>
          </w:p>
        </w:tc>
      </w:tr>
      <w:tr w:rsidR="00532E77" w:rsidRPr="003E2940" w14:paraId="4EA89FC8"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73A97776" w14:textId="615D88D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Saboo K,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{"citationID":"FIbq1LMS","properties":{"formattedCitation":"(42)","plainCitation":"(42)","noteIndex":0},"citationItems":[{"id":489,"uris":["http://zotero.org/users/14157373/items/4IP83CF4"],"itemData":{"id":489,"type":"article-journal","abstract":"Malaria is referred to as a \"rainy season disease\" and is brought on by Plasmodium species. Leptospira interrogans, a spirochete, cause zoonosis leptospirosis. It is pretty uncommon for both diseases to coinfect one another. Before assuming a fever ...","container-title":"Cureus","DOI":"10.7759/cureus.43879","issue":"8","language":"en","note":"PMID: 37746455","page":"e43879","source":"pmc.ncbi.nlm.nih.gov","title":"Falciparum Malaria, Leptospirosis, and Vibrio mimicus Encephalitis in a Resilient Patient: A Remarkable Case of Triple Infection Survival","title-short":"Falciparum Malaria, Leptospirosis, and Vibrio mimicus Encephalitis in a Resilient Patient","volume":"15","author":[{"family":"Saboo","given":"Keyur"},{"family":"Gemnani","given":"Rinkle"},{"family":"Kumar","given":"Sunil"},{"family":"Acharya","given":"Sourya"},{"family":"Mishra","given":"Preeti"}],"issued":{"date-parts":[["2023",8,21]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(42)</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4758E067" w14:textId="5C589133"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1276" w:type="dxa"/>
            <w:tcBorders>
              <w:top w:val="single" w:sz="4" w:space="0" w:color="auto"/>
              <w:left w:val="nil"/>
              <w:bottom w:val="single" w:sz="4" w:space="0" w:color="auto"/>
              <w:right w:val="single" w:sz="4" w:space="0" w:color="auto"/>
            </w:tcBorders>
            <w:vAlign w:val="center"/>
          </w:tcPr>
          <w:p w14:paraId="37A5B70B" w14:textId="4CC7489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6B6C02DA" w14:textId="14389463"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single" w:sz="4" w:space="0" w:color="auto"/>
              <w:left w:val="single" w:sz="4" w:space="0" w:color="auto"/>
              <w:bottom w:val="single" w:sz="4" w:space="0" w:color="auto"/>
              <w:right w:val="single" w:sz="4" w:space="0" w:color="auto"/>
            </w:tcBorders>
            <w:vAlign w:val="center"/>
          </w:tcPr>
          <w:p w14:paraId="29B64794" w14:textId="59A15109"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1CAEB384"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Malaria*  </w:t>
            </w:r>
          </w:p>
          <w:p w14:paraId="7529A258" w14:textId="7777777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            </w:t>
            </w:r>
          </w:p>
          <w:p w14:paraId="50E4BF46" w14:textId="5946108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Vibrio mimicus*</w:t>
            </w:r>
          </w:p>
        </w:tc>
        <w:tc>
          <w:tcPr>
            <w:tcW w:w="2126" w:type="dxa"/>
            <w:tcBorders>
              <w:top w:val="single" w:sz="4" w:space="0" w:color="auto"/>
              <w:left w:val="nil"/>
              <w:bottom w:val="single" w:sz="4" w:space="0" w:color="auto"/>
              <w:right w:val="single" w:sz="4" w:space="0" w:color="auto"/>
            </w:tcBorders>
            <w:vAlign w:val="center"/>
          </w:tcPr>
          <w:p w14:paraId="338A2E21" w14:textId="2C65D275" w:rsidR="00532E77" w:rsidRPr="003E2940" w:rsidRDefault="00171FFB" w:rsidP="00532E77">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Peripheral Blood Smear </w:t>
            </w:r>
          </w:p>
          <w:p w14:paraId="0CB4FBE5" w14:textId="77777777" w:rsidR="00171FFB" w:rsidRPr="003E2940" w:rsidRDefault="00171FFB" w:rsidP="00532E77">
            <w:pPr>
              <w:spacing w:after="0"/>
              <w:jc w:val="center"/>
              <w:rPr>
                <w:rFonts w:ascii="Times New Roman" w:eastAsia="Times New Roman" w:hAnsi="Times New Roman" w:cs="Times New Roman"/>
                <w:kern w:val="0"/>
                <w:sz w:val="18"/>
                <w:szCs w:val="18"/>
                <w:lang w:eastAsia="en-IN"/>
                <w14:ligatures w14:val="none"/>
              </w:rPr>
            </w:pPr>
          </w:p>
          <w:p w14:paraId="728AB758" w14:textId="57186FD8"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CSF Culture</w:t>
            </w:r>
          </w:p>
        </w:tc>
      </w:tr>
      <w:tr w:rsidR="00532E77" w:rsidRPr="003E2940" w14:paraId="4DFA8E77"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6C777F72" w14:textId="4D770416"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Kharibam P., 2021</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{"citationID":"vsORVhQ2","properties":{"formattedCitation":"(23)","plainCitation":"(23)","noteIndex":0},"citationItems":[{"id":496,"uris":["http://zotero.org/users/14157373/items/CCPTHD79"],"itemData":{"id":496,"type":"article-journal","abstract":"Dengue and Leptospirosis usually present with similar prodromal symptoms. Early diagnosis of co-infections and appropriate initiation of antibiotics can prevent fatality. An 18-year-old male, known case of chronic hepatitis B presented with fever and jaundice for 15 days, was diagnosed to have dengue and leptospirosis. He was started on Doxycycline along with hemodynamic support and renal replacement therapy and improved gradually, AKI resolved and was discharged. High index of suspicion with occupational exposure is needed to diagnose leptospirosis. Conjunctival suffusion is an important clinical sign, and often overlooked, should raise the possibility of leptospirosis in a patient with non-specific febrile illness. Renal failure, may require supportive renal replacement therapy in acute phase. All possible infections with similar presentation should be investigated, if not, other treatable co infections which are worsening the disease pattern may be missed.","container-title":"Journalof CardiovascularDiseaseResearch","issue":"06","language":"en","source":"Zotero","title":"Triple Co-Infection - Leading to Acute on Chronic Liver Disease","author":[{"family":"Kharibam","given":"Dr Prabin"}],"issued":{"date-parts":[["2021"]]}}}],"schema":"https://github.com/citation-style-language/schema/raw/master/csl-citation.json"}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(43)</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single" w:sz="4" w:space="0" w:color="auto"/>
              <w:left w:val="nil"/>
              <w:bottom w:val="single" w:sz="4" w:space="0" w:color="auto"/>
              <w:right w:val="single" w:sz="4" w:space="0" w:color="auto"/>
            </w:tcBorders>
            <w:vAlign w:val="center"/>
          </w:tcPr>
          <w:p w14:paraId="3F612882" w14:textId="69E49B0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1276" w:type="dxa"/>
            <w:tcBorders>
              <w:top w:val="single" w:sz="4" w:space="0" w:color="auto"/>
              <w:left w:val="nil"/>
              <w:bottom w:val="single" w:sz="4" w:space="0" w:color="auto"/>
              <w:right w:val="single" w:sz="4" w:space="0" w:color="auto"/>
            </w:tcBorders>
            <w:vAlign w:val="center"/>
          </w:tcPr>
          <w:p w14:paraId="0D5BD2E1" w14:textId="021C4FFC"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16B5B870" w14:textId="1335345E"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54716B17" w14:textId="7B26A801"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43BAE2CD" w14:textId="77777777" w:rsidR="00CF2E25"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190D712" w14:textId="70212CA6" w:rsidR="00CF2E25"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     </w:t>
            </w:r>
          </w:p>
          <w:p w14:paraId="1E26395C" w14:textId="577B7525"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w:t>
            </w:r>
            <w:r w:rsidR="00532E77" w:rsidRPr="003E2940">
              <w:rPr>
                <w:rFonts w:ascii="Times New Roman" w:eastAsia="Times New Roman" w:hAnsi="Times New Roman" w:cs="Times New Roman"/>
                <w:kern w:val="0"/>
                <w:sz w:val="18"/>
                <w:szCs w:val="18"/>
                <w:lang w:eastAsia="en-IN"/>
                <w14:ligatures w14:val="none"/>
              </w:rPr>
              <w:t>epatitis B</w:t>
            </w:r>
          </w:p>
        </w:tc>
        <w:tc>
          <w:tcPr>
            <w:tcW w:w="2126" w:type="dxa"/>
            <w:tcBorders>
              <w:top w:val="single" w:sz="4" w:space="0" w:color="auto"/>
              <w:left w:val="nil"/>
              <w:bottom w:val="single" w:sz="4" w:space="0" w:color="auto"/>
              <w:right w:val="single" w:sz="4" w:space="0" w:color="auto"/>
            </w:tcBorders>
            <w:vAlign w:val="center"/>
          </w:tcPr>
          <w:p w14:paraId="74937225" w14:textId="5D46CB17" w:rsidR="00532E77" w:rsidRPr="003E2940" w:rsidRDefault="00CF2E25"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532E77" w:rsidRPr="003E2940">
              <w:rPr>
                <w:rFonts w:ascii="Times New Roman" w:eastAsia="Times New Roman" w:hAnsi="Times New Roman" w:cs="Times New Roman"/>
                <w:kern w:val="0"/>
                <w:sz w:val="18"/>
                <w:szCs w:val="18"/>
                <w:lang w:eastAsia="en-IN"/>
                <w14:ligatures w14:val="none"/>
              </w:rPr>
              <w:t>IgM ELISA, NS1Ag</w:t>
            </w:r>
          </w:p>
          <w:p w14:paraId="3B733665" w14:textId="578EDCB1" w:rsidR="00532E77" w:rsidRPr="003E2940" w:rsidRDefault="00532E77" w:rsidP="00532E77">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HBsAg</w:t>
            </w:r>
          </w:p>
        </w:tc>
      </w:tr>
      <w:tr w:rsidR="00532E77" w:rsidRPr="003E2940" w14:paraId="13A0A9A4"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25D3CBE5" w14:textId="4C4FF8AC"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Samanta,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{"citationID":"neh8ZX9v","properties":{"formattedCitation":"(54)","plainCitation":"(54)","noteIndex":0},"citationItems":[{"id":162,"uris":["http://zotero.org/users/14157373/items/CA4RRZSA"],"itemData":{"id":162,"type":"article-journal","abstract":"Malaria-leptospira co-infection is rarely detected. Emergency surgery in such patients has not been reported. We describe such a case of a 24-year-old primigravida at term pregnancy posted for emergency caesarean delivery who developed pulmonary haemorrhage, acute respiratory distress syndrome, acute kidney injury, and cerebral oedema. Here, we discuss the perioperative management, pain management (with transverse abdominis plane block), intensive care management (special reference to management of pulmonary haemorrhage with intra pulmonary factor VIIa) and the role of plasmapheresis in leptospira related jaundice with renal failure.","container-title":"Indian Journal of Anaesthesia","DOI":"10.4103/0019-5049.126797","ISSN":"0019-5049","issue":"1","language":"en-US","page":"55","source":"journals.lww.com","title":"Emergency caesarean delivery in a patient with cerebral malaria-leptospira co infection: Anaesthetic and critical care considerations","title-short":"Emergency caesarean delivery in a patient with cerebral malaria-leptospira co infection","volume":"58","author":[{"family":"Samanta","given":"Sukhen"},{"family":"Samanta","given":"Sujay"},{"family":"Haldar","given":"Rudrashish"}],"issued":{"date-parts":[["2014",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(51)</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single" w:sz="4" w:space="0" w:color="auto"/>
              <w:left w:val="nil"/>
              <w:bottom w:val="single" w:sz="4" w:space="0" w:color="auto"/>
              <w:right w:val="single" w:sz="4" w:space="0" w:color="auto"/>
            </w:tcBorders>
            <w:vAlign w:val="center"/>
          </w:tcPr>
          <w:p w14:paraId="4941DD84" w14:textId="3303B434"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1276" w:type="dxa"/>
            <w:tcBorders>
              <w:top w:val="single" w:sz="4" w:space="0" w:color="auto"/>
              <w:left w:val="nil"/>
              <w:bottom w:val="single" w:sz="4" w:space="0" w:color="auto"/>
              <w:right w:val="single" w:sz="4" w:space="0" w:color="auto"/>
            </w:tcBorders>
            <w:vAlign w:val="center"/>
          </w:tcPr>
          <w:p w14:paraId="7EDBFC2C" w14:textId="302500F0"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5866216A" w14:textId="16A1CD0F"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single" w:sz="4" w:space="0" w:color="auto"/>
              <w:left w:val="single" w:sz="4" w:space="0" w:color="auto"/>
              <w:bottom w:val="single" w:sz="4" w:space="0" w:color="auto"/>
              <w:right w:val="single" w:sz="4" w:space="0" w:color="auto"/>
            </w:tcBorders>
            <w:vAlign w:val="center"/>
          </w:tcPr>
          <w:p w14:paraId="611CBC0B" w14:textId="58447211"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2666D85A" w14:textId="54D8EA2A"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2126" w:type="dxa"/>
            <w:tcBorders>
              <w:top w:val="single" w:sz="4" w:space="0" w:color="auto"/>
              <w:left w:val="nil"/>
              <w:bottom w:val="single" w:sz="4" w:space="0" w:color="auto"/>
              <w:right w:val="single" w:sz="4" w:space="0" w:color="auto"/>
            </w:tcBorders>
            <w:vAlign w:val="center"/>
          </w:tcPr>
          <w:p w14:paraId="5286ACD1" w14:textId="66BA22CC" w:rsidR="00532E77" w:rsidRPr="003E2940" w:rsidRDefault="00CF2E25" w:rsidP="00532E77">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Malaria </w:t>
            </w:r>
            <w:r w:rsidR="00532E77" w:rsidRPr="003E2940">
              <w:rPr>
                <w:rFonts w:ascii="Times New Roman" w:eastAsia="Times New Roman" w:hAnsi="Times New Roman" w:cs="Times New Roman"/>
                <w:kern w:val="0"/>
                <w:sz w:val="18"/>
                <w:szCs w:val="18"/>
                <w:lang w:eastAsia="en-IN"/>
                <w14:ligatures w14:val="none"/>
              </w:rPr>
              <w:t>RDT</w:t>
            </w:r>
          </w:p>
        </w:tc>
      </w:tr>
      <w:tr w:rsidR="00532E77" w:rsidRPr="003E2940" w14:paraId="27D5515E"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5D40BFF" w14:textId="1EB557D5"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Chopdekar,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{"citationID":"eiwyC6cM","properties":{"formattedCitation":"(55)","plainCitation":"(55)","noteIndex":0},"citationItems":[{"id":506,"uris":["http://zotero.org/users/14157373/items/UX6YGKBG"],"itemData":{"id":506,"type":"article-journal","abstract":"Two cases of leptospirosis and dengue co-infection in paediatric patients are reported. Their coexistence is infrequently reported in literature. As both the conditions mimic each other, diagnosis is difficult for the physician. Serological testing for both the conditions in acute febrile illness plays a crucial role in diagnosis.","container-title":"Journal, Indian Academy of Clinical Medicine","journalAbbreviation":"Journal, Indian Academy of Clinical Medicine","source":"ResearchGate","title":"Concomitant leptospirosis and dengue infections: Case Report","title-short":"Concomitant leptospirosis and dengue infections","volume":"15","author":[{"family":"Chopdekar","given":"KA"},{"family":"Patil","given":"SS"},{"family":"Joshi","given":"Ameeta"},{"family":"Chowdhary","given":"Abhay"}],"issued":{"date-parts":[["2014",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(52)</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2DD02F7" w14:textId="1C0AC9C7"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Mumbai</w:t>
            </w:r>
            <w:r w:rsidR="003E3613" w:rsidRPr="003E2940">
              <w:rPr>
                <w:rFonts w:ascii="Times New Roman" w:eastAsia="Times New Roman" w:hAnsi="Times New Roman" w:cs="Times New Roman"/>
                <w:kern w:val="0"/>
                <w:sz w:val="18"/>
                <w:szCs w:val="18"/>
                <w:lang w:eastAsia="en-IN"/>
                <w14:ligatures w14:val="none"/>
              </w:rPr>
              <w:t>, Maharashtra</w:t>
            </w:r>
          </w:p>
        </w:tc>
        <w:tc>
          <w:tcPr>
            <w:tcW w:w="1276" w:type="dxa"/>
            <w:tcBorders>
              <w:top w:val="single" w:sz="4" w:space="0" w:color="auto"/>
              <w:left w:val="nil"/>
              <w:bottom w:val="single" w:sz="4" w:space="0" w:color="auto"/>
              <w:right w:val="single" w:sz="4" w:space="0" w:color="auto"/>
            </w:tcBorders>
            <w:vAlign w:val="center"/>
          </w:tcPr>
          <w:p w14:paraId="13C78298" w14:textId="01287016"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5" w:type="dxa"/>
            <w:tcBorders>
              <w:top w:val="single" w:sz="4" w:space="0" w:color="auto"/>
              <w:left w:val="nil"/>
              <w:bottom w:val="single" w:sz="4" w:space="0" w:color="auto"/>
              <w:right w:val="single" w:sz="4" w:space="0" w:color="auto"/>
            </w:tcBorders>
            <w:vAlign w:val="center"/>
          </w:tcPr>
          <w:p w14:paraId="67E9B1EC" w14:textId="0760B7F0"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0B5B8720" w14:textId="247D31A8"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6" w:type="dxa"/>
            <w:tcBorders>
              <w:top w:val="single" w:sz="4" w:space="0" w:color="auto"/>
              <w:left w:val="nil"/>
              <w:bottom w:val="single" w:sz="4" w:space="0" w:color="auto"/>
              <w:right w:val="single" w:sz="4" w:space="0" w:color="auto"/>
            </w:tcBorders>
            <w:noWrap/>
            <w:vAlign w:val="center"/>
          </w:tcPr>
          <w:p w14:paraId="515B88AD" w14:textId="71E6B33C" w:rsidR="00532E77" w:rsidRPr="003E2940" w:rsidRDefault="00532E77"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126" w:type="dxa"/>
            <w:tcBorders>
              <w:top w:val="single" w:sz="4" w:space="0" w:color="auto"/>
              <w:left w:val="nil"/>
              <w:bottom w:val="single" w:sz="4" w:space="0" w:color="auto"/>
              <w:right w:val="single" w:sz="4" w:space="0" w:color="auto"/>
            </w:tcBorders>
            <w:vAlign w:val="center"/>
          </w:tcPr>
          <w:p w14:paraId="3F973B93" w14:textId="1BAB0244" w:rsidR="00532E77" w:rsidRPr="003E2940" w:rsidRDefault="00CF2E25" w:rsidP="00532E77">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532E77" w:rsidRPr="003E2940">
              <w:rPr>
                <w:rFonts w:ascii="Times New Roman" w:eastAsia="Times New Roman" w:hAnsi="Times New Roman" w:cs="Times New Roman"/>
                <w:kern w:val="0"/>
                <w:sz w:val="18"/>
                <w:szCs w:val="18"/>
                <w:lang w:eastAsia="en-IN"/>
                <w14:ligatures w14:val="none"/>
              </w:rPr>
              <w:t>IgM ELISA</w:t>
            </w:r>
          </w:p>
        </w:tc>
      </w:tr>
      <w:tr w:rsidR="00532E77" w:rsidRPr="003E2940" w14:paraId="4AB47F74"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9CB79AA" w14:textId="7D91BB89" w:rsidR="00532E77" w:rsidRPr="003E2940" w:rsidRDefault="003E3613"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Baliga, K.V.,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{"citationID":"sWMcIvVY","properties":{"formattedCitation":"(56)","plainCitation":"(56)","noteIndex":0},"citationItems":[{"id":171,"uris":["http://zotero.org/users/14157373/items/ZSYHWUQM"],"itemData":{"id":171,"type":"article-journal","container-title":"Journal of Infection and Chemotherapy","DOI":"10.1007/s10156-011-0220-7","ISSN":"1341-321X, 1437-7780","issue":"5","journalAbbreviation":"Journal of Infection and Chemotherapy","language":"English","note":"publisher: Elsevier\nPMID: 21327689","page":"694-697","source":"www.jiac-j.com","title":"Acute febrile hepato-renal dysfunction in the tropics: co-infection of malaria and leptospirosis","title-short":"Acute febrile hepato-renal dysfunction in the tropics","volume":"17","author":[{"family":"Baliga","given":"Krishna Venkatesh"},{"family":"Uday","given":"Yanamandra"},{"family":"Sood","given":"Vivek"},{"family":"Nagpal","given":"Akhil"}],"issued":{"date-parts":[["2011",1,1]]}}}],"schema":"https://github.com/citation-style-language/schema/raw/master/csl-citation.json"}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(53)</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4E07509D" w14:textId="1EEF88B2" w:rsidR="00532E77" w:rsidRPr="003E2940" w:rsidRDefault="003E3613"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Mumbai, Maharashtra</w:t>
            </w:r>
          </w:p>
        </w:tc>
        <w:tc>
          <w:tcPr>
            <w:tcW w:w="1276" w:type="dxa"/>
            <w:tcBorders>
              <w:top w:val="single" w:sz="4" w:space="0" w:color="auto"/>
              <w:left w:val="nil"/>
              <w:bottom w:val="single" w:sz="4" w:space="0" w:color="auto"/>
              <w:right w:val="single" w:sz="4" w:space="0" w:color="auto"/>
            </w:tcBorders>
            <w:vAlign w:val="center"/>
          </w:tcPr>
          <w:p w14:paraId="09AC796B" w14:textId="122055D7" w:rsidR="00532E77" w:rsidRPr="003E2940" w:rsidRDefault="003E3613"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5" w:type="dxa"/>
            <w:tcBorders>
              <w:top w:val="single" w:sz="4" w:space="0" w:color="auto"/>
              <w:left w:val="nil"/>
              <w:bottom w:val="single" w:sz="4" w:space="0" w:color="auto"/>
              <w:right w:val="single" w:sz="4" w:space="0" w:color="auto"/>
            </w:tcBorders>
            <w:vAlign w:val="center"/>
          </w:tcPr>
          <w:p w14:paraId="38BAC44E" w14:textId="7155A7CB" w:rsidR="00532E77" w:rsidRPr="003E2940" w:rsidRDefault="00E37FC1" w:rsidP="00E37FC1">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MAT, </w:t>
            </w: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w:t>
            </w:r>
          </w:p>
        </w:tc>
        <w:tc>
          <w:tcPr>
            <w:tcW w:w="1134" w:type="dxa"/>
            <w:tcBorders>
              <w:top w:val="single" w:sz="4" w:space="0" w:color="auto"/>
              <w:left w:val="single" w:sz="4" w:space="0" w:color="auto"/>
              <w:bottom w:val="single" w:sz="4" w:space="0" w:color="auto"/>
              <w:right w:val="single" w:sz="4" w:space="0" w:color="auto"/>
            </w:tcBorders>
            <w:vAlign w:val="center"/>
          </w:tcPr>
          <w:p w14:paraId="7009B448" w14:textId="42DAA346" w:rsidR="00532E77" w:rsidRPr="003E2940" w:rsidRDefault="00E37FC1"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6" w:type="dxa"/>
            <w:tcBorders>
              <w:top w:val="single" w:sz="4" w:space="0" w:color="auto"/>
              <w:left w:val="nil"/>
              <w:bottom w:val="single" w:sz="4" w:space="0" w:color="auto"/>
              <w:right w:val="single" w:sz="4" w:space="0" w:color="auto"/>
            </w:tcBorders>
            <w:noWrap/>
            <w:vAlign w:val="center"/>
          </w:tcPr>
          <w:p w14:paraId="3F562717" w14:textId="3D93932B" w:rsidR="00532E77" w:rsidRPr="003E2940" w:rsidRDefault="00E37FC1" w:rsidP="00532E77">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2126" w:type="dxa"/>
            <w:tcBorders>
              <w:top w:val="single" w:sz="4" w:space="0" w:color="auto"/>
              <w:left w:val="nil"/>
              <w:bottom w:val="single" w:sz="4" w:space="0" w:color="auto"/>
              <w:right w:val="single" w:sz="4" w:space="0" w:color="auto"/>
            </w:tcBorders>
            <w:vAlign w:val="center"/>
          </w:tcPr>
          <w:p w14:paraId="67267DC9" w14:textId="512E3B12" w:rsidR="00532E77" w:rsidRPr="003E2940" w:rsidRDefault="00E37FC1" w:rsidP="00532E77">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Peripheral </w:t>
            </w:r>
            <w:r w:rsidR="00171FFB" w:rsidRPr="003E2940">
              <w:rPr>
                <w:rFonts w:ascii="Times New Roman" w:eastAsia="Times New Roman" w:hAnsi="Times New Roman" w:cs="Times New Roman"/>
                <w:kern w:val="0"/>
                <w:sz w:val="18"/>
                <w:szCs w:val="18"/>
                <w:lang w:eastAsia="en-IN"/>
                <w14:ligatures w14:val="none"/>
              </w:rPr>
              <w:t>B</w:t>
            </w:r>
            <w:r w:rsidRPr="003E2940">
              <w:rPr>
                <w:rFonts w:ascii="Times New Roman" w:eastAsia="Times New Roman" w:hAnsi="Times New Roman" w:cs="Times New Roman"/>
                <w:kern w:val="0"/>
                <w:sz w:val="18"/>
                <w:szCs w:val="18"/>
                <w:lang w:eastAsia="en-IN"/>
                <w14:ligatures w14:val="none"/>
              </w:rPr>
              <w:t xml:space="preserve">lood </w:t>
            </w:r>
            <w:r w:rsidR="00171FFB" w:rsidRPr="003E2940">
              <w:rPr>
                <w:rFonts w:ascii="Times New Roman" w:eastAsia="Times New Roman" w:hAnsi="Times New Roman" w:cs="Times New Roman"/>
                <w:kern w:val="0"/>
                <w:sz w:val="18"/>
                <w:szCs w:val="18"/>
                <w:lang w:eastAsia="en-IN"/>
                <w14:ligatures w14:val="none"/>
              </w:rPr>
              <w:t>S</w:t>
            </w:r>
            <w:r w:rsidRPr="003E2940">
              <w:rPr>
                <w:rFonts w:ascii="Times New Roman" w:eastAsia="Times New Roman" w:hAnsi="Times New Roman" w:cs="Times New Roman"/>
                <w:kern w:val="0"/>
                <w:sz w:val="18"/>
                <w:szCs w:val="18"/>
                <w:lang w:eastAsia="en-IN"/>
                <w14:ligatures w14:val="none"/>
              </w:rPr>
              <w:t xml:space="preserve">mear QBC </w:t>
            </w:r>
          </w:p>
        </w:tc>
      </w:tr>
      <w:tr w:rsidR="00171FFB" w:rsidRPr="003E2940" w14:paraId="2B0030EA"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1B6BCD4C" w14:textId="1508D278"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Behera, B., 2010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{"citationID":"Z0GIXfuK","properties":{"formattedCitation":"(24)","plainCitation":"(24)","noteIndex":0},"citationItems":[{"id":510,"uris":["http://zotero.org/users/14157373/items/NQIJHQWE"],"itemData":{"id":510,"type":"article-journal","abstract":"A case of mixed infection due to leptospira, dengue and hepatitis E is reported. Similar clinical presentation and simultaneous transmission of these diseases during rainy season can cause substantial misdiagnosis. Serological tests play a mainstay in diagnosis. Early detection by appropriate serological tests and institution of therapy is crucial and life saving.","container-title":"Journal of Infection in Developing Countries","DOI":"10.3855/jidc.535","ISSN":"1972-2680","issue":"1","journalAbbreviation":"J Infect Dev Ctries","language":"eng","note":"PMID: 20130379","page":"48-50","source":"PubMed","title":"Co-infections due to leptospira, dengue and hepatitis E: a diagnostic challenge","title-short":"Co-infections due to leptospira, dengue and hepatitis E","volume":"4","author":[{"family":"Behera","given":"Bijayini"},{"family":"Chaudhry","given":"Rama"},{"family":"Pandey","given":"Anubhav"},{"family":"Mohan","given":"Anant"},{"family":"Dar","given":"Lalit"},{"family":"Premlatha","given":"Martha M."},{"family":"Gupta","given":"Ekta"},{"family":"Broor","given":"Shobha"},{"family":"Aggarwal","given":"Parveen"}],"issued":{"date-parts":[["2009",11,5]]}}}],"schema":"https://github.com/citation-style-language/schema/raw/master/csl-citation.json"}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(54)</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11AFAA77" w14:textId="0E7EF0AE"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1276" w:type="dxa"/>
            <w:tcBorders>
              <w:top w:val="single" w:sz="4" w:space="0" w:color="auto"/>
              <w:left w:val="nil"/>
              <w:bottom w:val="single" w:sz="4" w:space="0" w:color="auto"/>
              <w:right w:val="single" w:sz="4" w:space="0" w:color="auto"/>
            </w:tcBorders>
            <w:vAlign w:val="center"/>
          </w:tcPr>
          <w:p w14:paraId="1B2B4025" w14:textId="36E407B2"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654885A9" w14:textId="65081240"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2A3C8368" w14:textId="01B1123F"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6E89EC8B" w14:textId="0115AB12"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Hepatitis E</w:t>
            </w:r>
          </w:p>
        </w:tc>
        <w:tc>
          <w:tcPr>
            <w:tcW w:w="2126" w:type="dxa"/>
            <w:tcBorders>
              <w:top w:val="single" w:sz="4" w:space="0" w:color="auto"/>
              <w:left w:val="nil"/>
              <w:bottom w:val="single" w:sz="4" w:space="0" w:color="auto"/>
              <w:right w:val="single" w:sz="4" w:space="0" w:color="auto"/>
            </w:tcBorders>
            <w:vAlign w:val="center"/>
          </w:tcPr>
          <w:p w14:paraId="37507D27" w14:textId="395FF185" w:rsidR="00171FFB" w:rsidRPr="003E2940" w:rsidRDefault="00CF2E25"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r w:rsidR="00171FFB" w:rsidRPr="003E2940">
              <w:rPr>
                <w:rFonts w:ascii="Times New Roman" w:eastAsia="Times New Roman" w:hAnsi="Times New Roman" w:cs="Times New Roman"/>
                <w:kern w:val="0"/>
                <w:sz w:val="18"/>
                <w:szCs w:val="18"/>
                <w:lang w:eastAsia="en-IN"/>
                <w14:ligatures w14:val="none"/>
              </w:rPr>
              <w:t>IgM ELISA</w:t>
            </w:r>
          </w:p>
          <w:p w14:paraId="3C448071" w14:textId="4336C5D7" w:rsidR="00171FFB" w:rsidRPr="003E2940" w:rsidRDefault="00CF2E25" w:rsidP="00171FFB">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Anti-HEV </w:t>
            </w:r>
            <w:r w:rsidR="00171FFB" w:rsidRPr="003E2940">
              <w:rPr>
                <w:rFonts w:ascii="Times New Roman" w:eastAsia="Times New Roman" w:hAnsi="Times New Roman" w:cs="Times New Roman"/>
                <w:kern w:val="0"/>
                <w:sz w:val="18"/>
                <w:szCs w:val="18"/>
                <w:lang w:eastAsia="en-IN"/>
                <w14:ligatures w14:val="none"/>
              </w:rPr>
              <w:t>IgM ELISA</w:t>
            </w:r>
          </w:p>
        </w:tc>
      </w:tr>
      <w:tr w:rsidR="00171FFB" w:rsidRPr="003E2940" w14:paraId="7559CB82"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AE89C6" w14:textId="228FCE49"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{"citationID":"veKGs8JM","properties":{"formattedCitation":"(58)","plainCitation":"(58)","noteIndex":0},"citationItems":[{"id":554,"uris":["http://zotero.org/users/14157373/items/RS5BKM2H"],"itemData":{"id":554,"type":"article-journal","abstract":"Acute Disseminated Encephalomyelitis (ADEM) is a neurological disorder characterised by demyelination, where the immune system targets the Central Nervous...","container-title":"Journal of Clinical and Diagnostic Research","DOI":"10.7860/JCDR/2024/70148.19497","ISSN":"2249-782X, 0973-709X","issue":"06","language":"en","note":"publisher: JCDR Research and Publications Private Limited","page":"07-10","source":"doaj.org","title":"A Case of Acute Disseminated Encephalomyelitis in Adults: Unravelling the Influenza B and Leptospirosis Co-infection","title-short":"A Case of Acute Disseminated Encephalomyelitis in Adults","volume":"18","author":[{"family":"Shiddapur","given":"Govind"},{"family":"Adapa","given":"Sai Mounika"},{"family":"Vutukuru","given":"Kalyan Kumar Reddy"},{"family":"Kondapalli","given":"Mohith Prakash"},{"family":"Agarwal","given":"Sonali"}],"issued":{"date-parts":[["2024",6,1]]}}}],"schema":"https://github.com/citation-style-language/schema/raw/master/csl-citation.json"}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(55)</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1EE81F16" w14:textId="01E97C79"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76" w:type="dxa"/>
            <w:tcBorders>
              <w:top w:val="single" w:sz="4" w:space="0" w:color="auto"/>
              <w:left w:val="nil"/>
              <w:bottom w:val="single" w:sz="4" w:space="0" w:color="auto"/>
              <w:right w:val="single" w:sz="4" w:space="0" w:color="auto"/>
            </w:tcBorders>
            <w:vAlign w:val="center"/>
          </w:tcPr>
          <w:p w14:paraId="49FD64A3" w14:textId="7558D90A"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190A8C4C" w14:textId="6C8B3F7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44B4F33C" w14:textId="350F435A"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6CE42467" w14:textId="25979C4E"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Influenza B</w:t>
            </w:r>
          </w:p>
        </w:tc>
        <w:tc>
          <w:tcPr>
            <w:tcW w:w="2126" w:type="dxa"/>
            <w:tcBorders>
              <w:top w:val="single" w:sz="4" w:space="0" w:color="auto"/>
              <w:left w:val="nil"/>
              <w:bottom w:val="single" w:sz="4" w:space="0" w:color="auto"/>
              <w:right w:val="single" w:sz="4" w:space="0" w:color="auto"/>
            </w:tcBorders>
            <w:vAlign w:val="center"/>
          </w:tcPr>
          <w:p w14:paraId="07557AEF" w14:textId="77D808C4" w:rsidR="00171FFB" w:rsidRPr="003E2940" w:rsidRDefault="00CF2E25" w:rsidP="00171FFB">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Influenza B </w:t>
            </w:r>
            <w:r w:rsidR="00171FFB" w:rsidRPr="003E2940">
              <w:rPr>
                <w:rFonts w:ascii="Times New Roman" w:eastAsia="Times New Roman" w:hAnsi="Times New Roman" w:cs="Times New Roman"/>
                <w:kern w:val="0"/>
                <w:sz w:val="18"/>
                <w:szCs w:val="18"/>
                <w:lang w:eastAsia="en-IN"/>
                <w14:ligatures w14:val="none"/>
              </w:rPr>
              <w:t>RT-PCR</w:t>
            </w:r>
          </w:p>
        </w:tc>
      </w:tr>
      <w:tr w:rsidR="00171FFB" w:rsidRPr="003E2940" w14:paraId="5CB488A3"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D8C9DE5" w14:textId="3A9CAD2E"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Y,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{"citationID":"aDxOmOTR","properties":{"formattedCitation":"(59)","plainCitation":"(59)","noteIndex":0},"citationItems":[{"id":555,"uris":["http://zotero.org/users/14157373/items/5X5PBVUU"],"itemData":{"id":555,"type":"article-journal","abstract":": Clinical manifestations of COVID-19 range from mild self-limiting illness to multi-organ dysfunction and acute respiratory distress syndrome (ARDS). Leptospirosis too manifests as mild or asymptomatic infection and only small number of patients progress to ARDS and develop systemic manifestation. COVID-19 and leptospira co infection can have fatal outcome because of augmented pathophysiological manifestations of both the disease. We here describe a case of leptospira and COVID-19 coinfection in a patient who had poor outcomes due to multi-organ involvement.","container-title":"Journal of Cellular &amp; Molecular Anesthesia","DOI":"10.22037/jcma.v7i2.36618","ISSN":"2476-5120","issue":"2","journalAbbreviation":"J Cell Mol Anesth","language":"en","license":"This open-access article is available under the Creative Commons Attribution 4.0 (CC BY 4.0) International License (https://creativecommons.org/licenses/by/4.0/), which allows for unrestricted use, distribution, and reproduction in any medium, provided that the original work is properly cited.","note":"number: 2\npublisher: Brieflands","source":"brieflands.com","title":"Leptospirosis and COVID-19 Co-Infection Manifesting as an Enhanced Thrombotic Phenomenon","URL":"https://brieflands.com/articles/jcma-149705#abstract","volume":"7","author":[{"family":"Singh","given":"Yudhyavir"},{"family":"Singh","given":"Abhishek"},{"family":"Soni","given":"Kapil"},{"family":"Trikha","given":"Anjan"}],"accessed":{"date-parts":[["2024",11,22]]},"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(56)</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569239B9" w14:textId="27AC91C8"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1276" w:type="dxa"/>
            <w:tcBorders>
              <w:top w:val="single" w:sz="4" w:space="0" w:color="auto"/>
              <w:left w:val="nil"/>
              <w:bottom w:val="single" w:sz="4" w:space="0" w:color="auto"/>
              <w:right w:val="single" w:sz="4" w:space="0" w:color="auto"/>
            </w:tcBorders>
            <w:vAlign w:val="center"/>
          </w:tcPr>
          <w:p w14:paraId="42BD5EC0" w14:textId="226177D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75E8BED8" w14:textId="103FCA01"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single" w:sz="4" w:space="0" w:color="auto"/>
              <w:left w:val="single" w:sz="4" w:space="0" w:color="auto"/>
              <w:bottom w:val="single" w:sz="4" w:space="0" w:color="auto"/>
              <w:right w:val="single" w:sz="4" w:space="0" w:color="auto"/>
            </w:tcBorders>
            <w:vAlign w:val="center"/>
          </w:tcPr>
          <w:p w14:paraId="7CEE4F2A" w14:textId="7A3539BD"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5D5FF145" w14:textId="66F4FC65"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2126" w:type="dxa"/>
            <w:tcBorders>
              <w:top w:val="single" w:sz="4" w:space="0" w:color="auto"/>
              <w:left w:val="nil"/>
              <w:bottom w:val="single" w:sz="4" w:space="0" w:color="auto"/>
              <w:right w:val="single" w:sz="4" w:space="0" w:color="auto"/>
            </w:tcBorders>
            <w:vAlign w:val="center"/>
          </w:tcPr>
          <w:p w14:paraId="44B7DD60" w14:textId="636B4B89" w:rsidR="00171FFB" w:rsidRPr="003E2940" w:rsidRDefault="00CF2E25" w:rsidP="00171FFB">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COVID-19 </w:t>
            </w:r>
            <w:r w:rsidR="00171FFB" w:rsidRPr="003E2940">
              <w:rPr>
                <w:rFonts w:ascii="Times New Roman" w:eastAsia="Times New Roman" w:hAnsi="Times New Roman" w:cs="Times New Roman"/>
                <w:kern w:val="0"/>
                <w:sz w:val="18"/>
                <w:szCs w:val="18"/>
                <w:lang w:eastAsia="en-IN"/>
                <w14:ligatures w14:val="none"/>
              </w:rPr>
              <w:t>RT-PCR</w:t>
            </w:r>
          </w:p>
        </w:tc>
      </w:tr>
      <w:tr w:rsidR="00171FFB" w:rsidRPr="003E2940" w14:paraId="2B3F9A80" w14:textId="77777777" w:rsidTr="0085033A">
        <w:trPr>
          <w:trHeight w:val="336"/>
          <w:jc w:val="center"/>
        </w:trPr>
        <w:tc>
          <w:tcPr>
            <w:tcW w:w="1838" w:type="dxa"/>
            <w:tcBorders>
              <w:top w:val="single" w:sz="4" w:space="0" w:color="auto"/>
              <w:left w:val="single" w:sz="4" w:space="0" w:color="auto"/>
              <w:bottom w:val="single" w:sz="4" w:space="0" w:color="auto"/>
              <w:right w:val="single" w:sz="4" w:space="0" w:color="auto"/>
            </w:tcBorders>
            <w:vAlign w:val="center"/>
          </w:tcPr>
          <w:p w14:paraId="3AF19435" w14:textId="3035345A"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 xml:space="preserve">Damodar T, 2013 </w:t>
            </w:r>
            <w:r w:rsidRPr="003E2940">
              <w:rPr>
                <w:rFonts w:ascii="Times New Roman" w:eastAsia="Times New Roman" w:hAnsi="Times New Roman" w:cs="Times New Roman"/>
                <w:kern w:val="0"/>
                <w:sz w:val="18"/>
                <w:szCs w:val="18"/>
                <w:lang w:eastAsia="en-IN"/>
                <w14:ligatures w14:val="none"/>
              </w:rPr>
              <w:t xml:space="preserve">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{"citationID":"jM8juMJ5","properties":{"formattedCitation":"(59)","plainCitation":"(59)","noteIndex":0},"citationItems":[{"id":551,"uris":["http://zotero.org/users/14157373/items/L8EUGS5Z"],"itemData":{"id":551,"type":"article-journal","abstract":"Undifferentiated Acute Febrile Illness (AFI) is a common clinical syndrome among patients seeking hospital care. Detection of co-infections at the time of presentation is a diagnostic challenge, especially with limited laboratory support. Even if detected, early treatment and cure of these co-infections can be difficult for the clinicians. We are presenting a rare case of Hepatitis B and leptospirosis co-infection with high titres of Salmonella paratyphi A and scrub typhus. There are a few reports of leptospirosis in Hepatitis -B infected individuals but no generalization can be made due to limited data. Prompt and accurate serological diagnosis of multiple infectious agents have becomes mandatory in a healthcare set-up.","container-title":"Journal of Clinical and Diagnostic Research : JCDR","DOI":"10.7860/JCDR/2013/6012.3490","ISSN":"2249-782X","issue":"10","journalAbbreviation":"J Clin Diagn Res","note":"PMID: 24298495\nPMCID: PMC3843418","page":"2270-2271","source":"PubMed Central","title":"Co–Infection: Weil’s Syndrome with Hepatitis B Infection- A Diagnostic and Therapeutic Hitch","title-short":"Co–Infection","volume":"7","author":[{"family":"Damodar","given":"Tina"},{"family":"Kuruvilla","given":"Thomas"},{"family":"Furtado","given":"Zevita"},{"family":"Hegde","given":"Roopa"}],"issued":{"date-parts":[["2013",10]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(59)</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60CF7B6C" w14:textId="04261EE4"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1276" w:type="dxa"/>
            <w:tcBorders>
              <w:top w:val="single" w:sz="4" w:space="0" w:color="auto"/>
              <w:left w:val="nil"/>
              <w:bottom w:val="single" w:sz="4" w:space="0" w:color="auto"/>
              <w:right w:val="single" w:sz="4" w:space="0" w:color="auto"/>
            </w:tcBorders>
            <w:vAlign w:val="center"/>
          </w:tcPr>
          <w:p w14:paraId="12BECF61" w14:textId="457BBB2A"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single" w:sz="4" w:space="0" w:color="auto"/>
              <w:left w:val="nil"/>
              <w:bottom w:val="single" w:sz="4" w:space="0" w:color="auto"/>
              <w:right w:val="single" w:sz="4" w:space="0" w:color="auto"/>
            </w:tcBorders>
            <w:vAlign w:val="center"/>
          </w:tcPr>
          <w:p w14:paraId="36C805C9" w14:textId="77777777" w:rsidR="00171FFB" w:rsidRPr="003E2940" w:rsidRDefault="00171FFB" w:rsidP="00171FFB">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p w14:paraId="3D267A5B" w14:textId="3292CD75"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Dark Field Microscopy</w:t>
            </w:r>
          </w:p>
        </w:tc>
        <w:tc>
          <w:tcPr>
            <w:tcW w:w="1134" w:type="dxa"/>
            <w:tcBorders>
              <w:top w:val="single" w:sz="4" w:space="0" w:color="auto"/>
              <w:left w:val="single" w:sz="4" w:space="0" w:color="auto"/>
              <w:bottom w:val="single" w:sz="4" w:space="0" w:color="auto"/>
              <w:right w:val="single" w:sz="4" w:space="0" w:color="auto"/>
            </w:tcBorders>
            <w:vAlign w:val="center"/>
          </w:tcPr>
          <w:p w14:paraId="0830BECB" w14:textId="44E0C863"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single" w:sz="4" w:space="0" w:color="auto"/>
              <w:left w:val="nil"/>
              <w:bottom w:val="single" w:sz="4" w:space="0" w:color="auto"/>
              <w:right w:val="single" w:sz="4" w:space="0" w:color="auto"/>
            </w:tcBorders>
            <w:noWrap/>
            <w:vAlign w:val="center"/>
          </w:tcPr>
          <w:p w14:paraId="51141B08" w14:textId="7E74515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B</w:t>
            </w:r>
          </w:p>
        </w:tc>
        <w:tc>
          <w:tcPr>
            <w:tcW w:w="2126" w:type="dxa"/>
            <w:tcBorders>
              <w:top w:val="single" w:sz="4" w:space="0" w:color="auto"/>
              <w:left w:val="nil"/>
              <w:bottom w:val="single" w:sz="4" w:space="0" w:color="auto"/>
              <w:right w:val="single" w:sz="4" w:space="0" w:color="auto"/>
            </w:tcBorders>
            <w:vAlign w:val="center"/>
          </w:tcPr>
          <w:p w14:paraId="4F6216A1" w14:textId="1AC480FB" w:rsidR="00171FFB" w:rsidRPr="003E2940" w:rsidRDefault="00CF2E25"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Anti-HAV </w:t>
            </w:r>
            <w:r w:rsidR="00171FFB" w:rsidRPr="003E2940">
              <w:rPr>
                <w:rFonts w:ascii="Times New Roman" w:eastAsia="Times New Roman" w:hAnsi="Times New Roman" w:cs="Times New Roman"/>
                <w:kern w:val="0"/>
                <w:sz w:val="18"/>
                <w:szCs w:val="18"/>
                <w:lang w:eastAsia="en-IN"/>
                <w14:ligatures w14:val="none"/>
              </w:rPr>
              <w:t>IgM ELISA</w:t>
            </w:r>
          </w:p>
          <w:p w14:paraId="0B5DDEF9" w14:textId="010B0106" w:rsidR="00171FFB" w:rsidRPr="003E2940" w:rsidRDefault="00171FFB" w:rsidP="00171FFB">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RDT</w:t>
            </w:r>
          </w:p>
        </w:tc>
      </w:tr>
      <w:tr w:rsidR="00171FFB" w:rsidRPr="003E2940" w14:paraId="52E00434" w14:textId="77777777" w:rsidTr="0085033A">
        <w:trPr>
          <w:trHeight w:val="360"/>
          <w:jc w:val="center"/>
        </w:trPr>
        <w:tc>
          <w:tcPr>
            <w:tcW w:w="1838" w:type="dxa"/>
            <w:tcBorders>
              <w:top w:val="nil"/>
              <w:left w:val="single" w:sz="4" w:space="0" w:color="auto"/>
              <w:bottom w:val="single" w:sz="4" w:space="0" w:color="auto"/>
              <w:right w:val="single" w:sz="4" w:space="0" w:color="auto"/>
            </w:tcBorders>
            <w:vAlign w:val="center"/>
          </w:tcPr>
          <w:p w14:paraId="6E20FF04" w14:textId="756C7306"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Mahajan S.K,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{"citationID":"ERvRRTFU","properties":{"formattedCitation":"(60)","plainCitation":"(60)","noteIndex":0},"citationItems":[{"id":169,"uris":["http://zotero.org/users/14157373/items/QQ8CMEJF"],"itemData":{"id":169,"type":"article-journal","abstract":"Scrub typhus and leptospirosis are both zoonosis and systemic febrile illnesses with diverse clinical manifestations and they may present with similar signs and symptoms. We present a case of co-infection of scrub typhus and leptospirosis from Himachal Pradesh in the Himalayan region of India.","container-title":"Tropical Doctor","DOI":"10.1258/td.2012.120041","ISSN":"0049-4755","issue":"3","journalAbbreviation":"Trop Doct","language":"en","note":"publisher: SAGE Publications","page":"176-177","source":"SAGE Journals","title":"Scrub typhus and leptospirosis co-infection in Himalayan region","volume":"42","author":[{"family":"Mahajan","given":"Sanjay K"},{"family":"Babu NM","given":"Sharath"},{"family":"Singh","given":"Digvijay"},{"family":"Kanga","given":"Anil"},{"family":"Kaushal","given":"Satinder S"}],"issued":{"date-parts":[["2012",7,1]]}}}],"schema":"https://github.com/citation-style-language/schema/raw/master/csl-citation.json"}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(58)</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02E41BD7" w14:textId="47D1A2CE"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Shimla</w:t>
            </w:r>
          </w:p>
        </w:tc>
        <w:tc>
          <w:tcPr>
            <w:tcW w:w="1276" w:type="dxa"/>
            <w:tcBorders>
              <w:top w:val="nil"/>
              <w:left w:val="nil"/>
              <w:bottom w:val="single" w:sz="4" w:space="0" w:color="auto"/>
              <w:right w:val="single" w:sz="4" w:space="0" w:color="auto"/>
            </w:tcBorders>
            <w:vAlign w:val="center"/>
          </w:tcPr>
          <w:p w14:paraId="040CC36D" w14:textId="5AB42B37"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nil"/>
              <w:left w:val="nil"/>
              <w:bottom w:val="single" w:sz="4" w:space="0" w:color="auto"/>
              <w:right w:val="single" w:sz="4" w:space="0" w:color="auto"/>
            </w:tcBorders>
            <w:vAlign w:val="center"/>
          </w:tcPr>
          <w:p w14:paraId="78B1E88A" w14:textId="76842CB9"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nil"/>
              <w:left w:val="single" w:sz="4" w:space="0" w:color="auto"/>
              <w:bottom w:val="single" w:sz="4" w:space="0" w:color="auto"/>
              <w:right w:val="single" w:sz="4" w:space="0" w:color="auto"/>
            </w:tcBorders>
            <w:vAlign w:val="center"/>
          </w:tcPr>
          <w:p w14:paraId="5C32F2F4" w14:textId="716124BE"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nil"/>
              <w:left w:val="nil"/>
              <w:bottom w:val="single" w:sz="4" w:space="0" w:color="auto"/>
              <w:right w:val="single" w:sz="4" w:space="0" w:color="auto"/>
            </w:tcBorders>
            <w:noWrap/>
            <w:vAlign w:val="center"/>
          </w:tcPr>
          <w:p w14:paraId="299F5CE0" w14:textId="47C936A5"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126" w:type="dxa"/>
            <w:tcBorders>
              <w:top w:val="nil"/>
              <w:left w:val="nil"/>
              <w:bottom w:val="single" w:sz="4" w:space="0" w:color="auto"/>
              <w:right w:val="single" w:sz="4" w:space="0" w:color="auto"/>
            </w:tcBorders>
            <w:vAlign w:val="center"/>
          </w:tcPr>
          <w:p w14:paraId="61BAB5DF" w14:textId="68D8EB71" w:rsidR="00171FFB" w:rsidRPr="003E2940" w:rsidRDefault="00CF2E25"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r w:rsidR="00171FFB" w:rsidRPr="003E2940">
              <w:rPr>
                <w:rFonts w:ascii="Times New Roman" w:eastAsia="Times New Roman" w:hAnsi="Times New Roman" w:cs="Times New Roman"/>
                <w:kern w:val="0"/>
                <w:sz w:val="18"/>
                <w:szCs w:val="18"/>
                <w:lang w:eastAsia="en-IN"/>
                <w14:ligatures w14:val="none"/>
              </w:rPr>
              <w:t>IgM ELISA</w:t>
            </w:r>
          </w:p>
        </w:tc>
      </w:tr>
      <w:tr w:rsidR="00171FFB" w:rsidRPr="003E2940" w14:paraId="671A3FC1" w14:textId="77777777" w:rsidTr="0085033A">
        <w:trPr>
          <w:trHeight w:val="360"/>
          <w:jc w:val="center"/>
        </w:trPr>
        <w:tc>
          <w:tcPr>
            <w:tcW w:w="10343" w:type="dxa"/>
            <w:gridSpan w:val="7"/>
            <w:tcBorders>
              <w:top w:val="nil"/>
              <w:left w:val="single" w:sz="4" w:space="0" w:color="auto"/>
              <w:bottom w:val="single" w:sz="4" w:space="0" w:color="auto"/>
              <w:right w:val="single" w:sz="4" w:space="0" w:color="auto"/>
            </w:tcBorders>
            <w:vAlign w:val="center"/>
          </w:tcPr>
          <w:p w14:paraId="58343D23" w14:textId="3EA97696" w:rsidR="00171FFB" w:rsidRPr="003E2940" w:rsidRDefault="00171FFB"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Case Series</w:t>
            </w:r>
          </w:p>
        </w:tc>
      </w:tr>
      <w:tr w:rsidR="00171FFB" w:rsidRPr="003E2940" w14:paraId="14409109" w14:textId="77777777" w:rsidTr="0085033A">
        <w:trPr>
          <w:trHeight w:val="360"/>
          <w:jc w:val="center"/>
        </w:trPr>
        <w:tc>
          <w:tcPr>
            <w:tcW w:w="1838" w:type="dxa"/>
            <w:tcBorders>
              <w:top w:val="nil"/>
              <w:left w:val="single" w:sz="4" w:space="0" w:color="auto"/>
              <w:bottom w:val="single" w:sz="4" w:space="0" w:color="auto"/>
              <w:right w:val="single" w:sz="4" w:space="0" w:color="auto"/>
            </w:tcBorders>
            <w:vAlign w:val="center"/>
          </w:tcPr>
          <w:p w14:paraId="770E10B6" w14:textId="4421AB8C"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Aina N,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{"citationID":"v8ag5H6c","properties":{"formattedCitation":"(19)","plainCitation":"(19)","dontUpdate":true,"noteIndex":0},"citationItems":[{"id":485,"uris":["http://zotero.org/users/14157373/items/9CB2KKM7"],"itemData":{"id":485,"type":"article-journal","abstract":"Background: Fever is defined as a rectal temperature of 100.4oF or more. It is a physiologic response characterized by an elevation of body temperature above normal variation. Fever is one of the common causes of medical consultation in children, responsible for 15%–25% of consultations in Pediatrics practice. Children with prolonged fever worry their parents and are a diagnostic challenge to pediatricians. Persistence of fever raises clinical queries towards diagnosis, especially in patients without identifiable focus. Children with a temperature of more than 38°C (100.4°F) recorded by a healthcare professional without any determined reason after at least 8 days of evaluation should be classified as having a “fever of unknown origin”. Most fevers with unknown causes usually have atypical presentations of common illnesses.  Case Presentation: We reviewed the case records of 9 children admitted to our pediatric ward with prolonged fever episodes from December 2021 to October 2022. They were diagnostic challenges for clinicians. In our cases, 2 children had scrub typhus, 1 was diagnosed with acute lymphoblastic leukemia, and 1 had multidrug-resistant typhoid fever. However, 2 patients remained with a fever of unknown origin. Three children were found to have coinfections and diagnosed with enteric fever with other coinfections like dengue, leptospirosis, and urinary tract infection. Cases 1, 2, and 9 had persistent fever despite appropriate antibiotics therapy based on sensitivity patterns, hence a significant diagnosis challenge. Cases 3 and 6 had initial diagnostic deviations due to their atypical presentations, and both cases were diagnosed as scrub typhus. After extensive evaluation, case 4 was diagnosed as malignancy (acute lymphoblastic leukemia). Cases 5 and 7 posed a diagnostic challenge: The causes were not found after extensive evaluation, and there was persistent fever after 10 days of admission. Hence, they were diagnosed as “fever of unknown origin”. Conclusions: A complete history and detailed examination are essential in evaluating pediatric illnesses. We have found that there might be deviators during disease evolution. We should not settle with a single diagnosis until a good clinical response is achieved and also consider alternative diagnoses or coinfections. Common causes of prolonged fever should be ruled out first. Coinfections should also be considered if there is no clinical response to treatment in a patient. A practical, systematic, and stepwise approach can be helpful with the assessment and management of prolonged fever in the pediatric age group.","container-title":"Journal of Pediatrics Review","DOI":"10.32598/jpr.11.3.1087.1","ISSN":"23224398, 23224401","issue":"3","journalAbbreviation":"JPR","page":"251-260","source":"Semantic Scholar","title":"Case Series of Prolonged Febrile Illness in Pediatric Age Group: A Diagnostic Challenge","title-short":"Case Series of Prolonged Febrile Illness in Pediatric Age Group","volume":"11","author":[{"literal":"Department of Pediatrics, Chettinad Hospital And Research Institute, Chettinad Academy of Research Education, Tamil Nadu, India."},{"family":"Aina","given":"Noorul"},{"family":"Dhayalan","given":"Indumathi"},{"literal":"Department of Pediatrics, Chettinad Hospital And Research Institute, Chettinad Academy of Research Education, Tamil Nadu, India."},{"family":"Vasudevan","given":"Jaishree"},{"literal":"Department of Pediatrics, Chettinad Hospital And Research Institute, Chettinad Academy of Research Education, Tamil Nadu, India."},{"family":"Mannu","given":"Alexander"},{"literal":"Department of Pediatrics, Chettinad Hospital And Research Institute, Chettinad Academy of Research Education, Tamil Nadu, India."},{"family":"Thiagarajan","given":"Kathir Subramanian"},{"literal":"Department of Pediatrics, Chettinad Hospital And Research Institute, Chettinad Academy of Research Education, Tamil Nadu, India."}],"issued":{"date-parts":[["2023",7,1]]}}}],"schema":"https://github.com/citation-style-language/schema/raw/master/csl-citation.json"}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(59)</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71A3FD71" w14:textId="69D6DC9C"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Tamil Nadu</w:t>
            </w:r>
          </w:p>
        </w:tc>
        <w:tc>
          <w:tcPr>
            <w:tcW w:w="1276" w:type="dxa"/>
            <w:tcBorders>
              <w:top w:val="nil"/>
              <w:left w:val="nil"/>
              <w:bottom w:val="single" w:sz="4" w:space="0" w:color="auto"/>
              <w:right w:val="single" w:sz="4" w:space="0" w:color="auto"/>
            </w:tcBorders>
            <w:vAlign w:val="center"/>
          </w:tcPr>
          <w:p w14:paraId="3B3EC479" w14:textId="538AC1D5"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5" w:type="dxa"/>
            <w:tcBorders>
              <w:top w:val="nil"/>
              <w:left w:val="nil"/>
              <w:bottom w:val="single" w:sz="4" w:space="0" w:color="auto"/>
              <w:right w:val="single" w:sz="4" w:space="0" w:color="auto"/>
            </w:tcBorders>
            <w:vAlign w:val="center"/>
          </w:tcPr>
          <w:p w14:paraId="72042980" w14:textId="07BBA395"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nil"/>
              <w:left w:val="single" w:sz="4" w:space="0" w:color="auto"/>
              <w:bottom w:val="single" w:sz="4" w:space="0" w:color="auto"/>
              <w:right w:val="single" w:sz="4" w:space="0" w:color="auto"/>
            </w:tcBorders>
            <w:vAlign w:val="center"/>
          </w:tcPr>
          <w:p w14:paraId="24B901A6" w14:textId="0E6594B4"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6" w:type="dxa"/>
            <w:tcBorders>
              <w:top w:val="nil"/>
              <w:left w:val="nil"/>
              <w:bottom w:val="single" w:sz="4" w:space="0" w:color="auto"/>
              <w:right w:val="single" w:sz="4" w:space="0" w:color="auto"/>
            </w:tcBorders>
            <w:noWrap/>
            <w:vAlign w:val="center"/>
          </w:tcPr>
          <w:p w14:paraId="6880F161" w14:textId="6D923441"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         Typhoid fever</w:t>
            </w:r>
          </w:p>
        </w:tc>
        <w:tc>
          <w:tcPr>
            <w:tcW w:w="2126" w:type="dxa"/>
            <w:tcBorders>
              <w:top w:val="nil"/>
              <w:left w:val="nil"/>
              <w:bottom w:val="single" w:sz="4" w:space="0" w:color="auto"/>
              <w:right w:val="single" w:sz="4" w:space="0" w:color="auto"/>
            </w:tcBorders>
            <w:vAlign w:val="center"/>
          </w:tcPr>
          <w:p w14:paraId="2E92FBB5" w14:textId="4BE95C93" w:rsidR="00171FFB" w:rsidRPr="003E2940" w:rsidRDefault="00CF2E25"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COVID-19 </w:t>
            </w:r>
            <w:r w:rsidR="00171FFB" w:rsidRPr="003E2940">
              <w:rPr>
                <w:rFonts w:ascii="Times New Roman" w:eastAsia="Times New Roman" w:hAnsi="Times New Roman" w:cs="Times New Roman"/>
                <w:kern w:val="0"/>
                <w:sz w:val="18"/>
                <w:szCs w:val="18"/>
                <w:lang w:eastAsia="en-IN"/>
                <w14:ligatures w14:val="none"/>
              </w:rPr>
              <w:t>RT-PCR</w:t>
            </w:r>
          </w:p>
          <w:p w14:paraId="35B8F94B" w14:textId="3DF7D43F"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tc>
      </w:tr>
      <w:tr w:rsidR="00171FFB" w:rsidRPr="003E2940" w14:paraId="091B2BEA" w14:textId="77777777" w:rsidTr="0085033A">
        <w:trPr>
          <w:trHeight w:val="360"/>
          <w:jc w:val="center"/>
        </w:trPr>
        <w:tc>
          <w:tcPr>
            <w:tcW w:w="1838" w:type="dxa"/>
            <w:tcBorders>
              <w:top w:val="nil"/>
              <w:left w:val="single" w:sz="4" w:space="0" w:color="auto"/>
              <w:bottom w:val="single" w:sz="4" w:space="0" w:color="auto"/>
              <w:right w:val="single" w:sz="4" w:space="0" w:color="auto"/>
            </w:tcBorders>
            <w:vAlign w:val="center"/>
          </w:tcPr>
          <w:p w14:paraId="0C08B122" w14:textId="1BC3E760"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Gupta N.,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{"citationID":"lz3NhXfN","properties":{"formattedCitation":"(39)","plainCitation":"(39)","dontUpdate":true,"noteIndex":0},"citationItems":[{"id":131,"uris":["http://zotero.org/users/14157373/items/BK9GVSYQ"],"itemData":{"id":131,"type":"article-journal","abstract":"During the monsoon season of 2020, the coastal areas of South India were endemic to both leptospirosis and coronavirus disease 2019 (COVID-19). This study aimed to investigate the clinical features and outcomes of patients infected with both infections. A retrospective review of charts of all patients with COVID-19 who were also diagnosed with leptospirosis by immunoglobulin M enzyme-linked immunosorbent assay was undertaken. The clinical features, laboratory report, treatment details, and outcomes of all the included patients were recorded. The collected data were summarized as the frequency with percentage for categorical data and the mean or median for continuous data. Twenty-four cases of coinfections were admitted between July and November 2020. Most of these patients were categorized as severe COVID-19 (n = 15, 62.5%). Acute kidney injury was seen in 79.2% (n = 19) patients, while raised bilirubin was present in 79.2% (n = 19) of the patients. All patients had raised C-reactive protein, while all but one had raised procalcitonin. Thrombocytopenia, leucocytosis, and leukocytopenia were seen in 91.7% (n = 22), 45.8% (n = 11), and 12.5% (n = 3) of the patients. The median duration of hospital stay was 11 (8.25-15) days. A total of 79.2% (n = 19) of the patients improved and were discharged, while 20.8% (n = 5) died during the hospital stay. In conclusion, patients with fever and atypical manifestations such as hepatic dysfunction, renal dysfunction, and thrombocytopenia should be evaluated for leptospirosis even if they are COVID positive.","container-title":"Journal of Medical Virology","DOI":"10.1002/jmv.27816","ISSN":"1096-9071","issue":"9","journalAbbreviation":"J Med Virol","language":"eng","note":"PMID: 35474463\nPMCID: PMC9088407","page":"4508-4511","source":"PubMed","title":"Coinfection of leptospirosis and coronavirus disease 2019: A retrospective case series from a coastal region in South India","title-short":"Coinfection of leptospirosis and coronavirus disease 2019","volume":"94","author":[{"family":"Gupta","given":"Nitin"},{"family":"Wilson","given":"William"},{"family":"Ravindra","given":"Prithvishree"},{"family":"Raghu","given":"Roshini"},{"family":"Saravu","given":"Kavitha"}],"issued":{"date-parts":[["2022",9]]}}}],"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(60)</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448014EE" w14:textId="21503677"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Manipal</w:t>
            </w:r>
          </w:p>
        </w:tc>
        <w:tc>
          <w:tcPr>
            <w:tcW w:w="1276" w:type="dxa"/>
            <w:tcBorders>
              <w:top w:val="nil"/>
              <w:left w:val="nil"/>
              <w:bottom w:val="single" w:sz="4" w:space="0" w:color="auto"/>
              <w:right w:val="single" w:sz="4" w:space="0" w:color="auto"/>
            </w:tcBorders>
            <w:vAlign w:val="center"/>
          </w:tcPr>
          <w:p w14:paraId="00AFD56B" w14:textId="6D849310"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24</w:t>
            </w:r>
          </w:p>
        </w:tc>
        <w:tc>
          <w:tcPr>
            <w:tcW w:w="1275" w:type="dxa"/>
            <w:tcBorders>
              <w:top w:val="nil"/>
              <w:left w:val="nil"/>
              <w:bottom w:val="single" w:sz="4" w:space="0" w:color="auto"/>
              <w:right w:val="single" w:sz="4" w:space="0" w:color="auto"/>
            </w:tcBorders>
            <w:vAlign w:val="center"/>
          </w:tcPr>
          <w:p w14:paraId="7B4F0D32" w14:textId="170BA4C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nil"/>
              <w:left w:val="single" w:sz="4" w:space="0" w:color="auto"/>
              <w:bottom w:val="single" w:sz="4" w:space="0" w:color="auto"/>
              <w:right w:val="single" w:sz="4" w:space="0" w:color="auto"/>
            </w:tcBorders>
            <w:vAlign w:val="center"/>
          </w:tcPr>
          <w:p w14:paraId="22BA2C21" w14:textId="1E385FCA"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24</w:t>
            </w:r>
          </w:p>
        </w:tc>
        <w:tc>
          <w:tcPr>
            <w:tcW w:w="1276" w:type="dxa"/>
            <w:tcBorders>
              <w:top w:val="nil"/>
              <w:left w:val="nil"/>
              <w:bottom w:val="single" w:sz="4" w:space="0" w:color="auto"/>
              <w:right w:val="single" w:sz="4" w:space="0" w:color="auto"/>
            </w:tcBorders>
            <w:noWrap/>
            <w:vAlign w:val="center"/>
          </w:tcPr>
          <w:p w14:paraId="5B3BB64B" w14:textId="3D80FE63"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2126" w:type="dxa"/>
            <w:tcBorders>
              <w:top w:val="nil"/>
              <w:left w:val="nil"/>
              <w:bottom w:val="single" w:sz="4" w:space="0" w:color="auto"/>
              <w:right w:val="single" w:sz="4" w:space="0" w:color="auto"/>
            </w:tcBorders>
            <w:vAlign w:val="center"/>
          </w:tcPr>
          <w:p w14:paraId="1CCD3FF4" w14:textId="361F4E4C" w:rsidR="00171FFB" w:rsidRPr="003E2940" w:rsidRDefault="00CF2E25"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COVID-19 </w:t>
            </w:r>
            <w:r w:rsidR="00171FFB" w:rsidRPr="003E2940">
              <w:rPr>
                <w:rFonts w:ascii="Times New Roman" w:eastAsia="Times New Roman" w:hAnsi="Times New Roman" w:cs="Times New Roman"/>
                <w:kern w:val="0"/>
                <w:sz w:val="18"/>
                <w:szCs w:val="18"/>
                <w:lang w:eastAsia="en-IN"/>
                <w14:ligatures w14:val="none"/>
              </w:rPr>
              <w:t>RT-PCR</w:t>
            </w:r>
          </w:p>
        </w:tc>
      </w:tr>
      <w:tr w:rsidR="00171FFB" w:rsidRPr="003E2940" w14:paraId="0086471C" w14:textId="77777777" w:rsidTr="0085033A">
        <w:trPr>
          <w:trHeight w:val="360"/>
          <w:jc w:val="center"/>
        </w:trPr>
        <w:tc>
          <w:tcPr>
            <w:tcW w:w="1838" w:type="dxa"/>
            <w:tcBorders>
              <w:top w:val="nil"/>
              <w:left w:val="single" w:sz="4" w:space="0" w:color="auto"/>
              <w:bottom w:val="single" w:sz="4" w:space="0" w:color="auto"/>
              <w:right w:val="single" w:sz="4" w:space="0" w:color="auto"/>
            </w:tcBorders>
            <w:vAlign w:val="center"/>
          </w:tcPr>
          <w:p w14:paraId="1C6F0BE7" w14:textId="303A4D7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Gurjar, M.,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{"citationID":"l003jVLJ","properties":{"formattedCitation":"(57)","plainCitation":"(57)","noteIndex":0},"citationItems":[{"id":508,"uris":["http://zotero.org/users/14157373/items/2KNTJRQG"],"itemData":{"id":508,"type":"article-journal","abstract":"Though both malaria and leptospirosis are frequent in the tropics, co-infections are under-recognized due to overlapping of clinical features. Here, we reviewed clinical manifestations of published co-infection along with our three cases. Out of a total of 18 patients, nine patients (50%) required ICU admission. Almost all patients had prodromal symptoms in the form of fever, headache and myalgia. Seven patients (37%) had altered sensorium, three patients (17%) had hypotension at admission, and 11 patients (61%) had acute kidney injury (AKI). Pulmonary manifestations in the form of pulmonary bleeding were present in four cases (22%). Three (17%) patients had acute lung injury/ acute respiratory distress syndrome. Almost 55% patients had DIC in the form of altered prothrombin time, activated partial thromboplastin time and low fibrinogen level. Four patients (22%) had subconjuctival suffusion, two of them had haematuria, while one presented with nasal bleeding. All patients had altered liver function tests. Of all the 18 patients, 17 (94%) survived, while one died.","container-title":"Tropical Doctor","DOI":"10.1258/td.2011.110082","ISSN":"1758-1133","issue":"3","journalAbbreviation":"Trop Doct","language":"eng","note":"PMID: 21724689","page":"175-178","source":"PubMed","title":"Clinical manifestations of co-infection with malaria and leptospirosis","volume":"41","author":[{"family":"Gurjar","given":"Mohan"},{"family":"Saigal","given":"Saurabh"},{"family":"Baronia","given":"Arvind K."},{"family":"Azim","given":"Afzal"},{"family":"Poddar","given":"Banani"},{"family":"Singh","given":"Ratender K."}],"issued":{"date-parts":[["2011",7]]}}}],"schema":"https://github.com/citation-style-language/schema/raw/master/csl-citation.json"}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(61)</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1FD8F28E" w14:textId="77777777"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Lucknow, </w:t>
            </w:r>
          </w:p>
          <w:p w14:paraId="6B286E4A" w14:textId="58A2EED4"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Uttar Pradesh</w:t>
            </w:r>
          </w:p>
        </w:tc>
        <w:tc>
          <w:tcPr>
            <w:tcW w:w="1276" w:type="dxa"/>
            <w:tcBorders>
              <w:top w:val="nil"/>
              <w:left w:val="nil"/>
              <w:bottom w:val="single" w:sz="4" w:space="0" w:color="auto"/>
              <w:right w:val="single" w:sz="4" w:space="0" w:color="auto"/>
            </w:tcBorders>
            <w:vAlign w:val="center"/>
          </w:tcPr>
          <w:p w14:paraId="091BF0C4" w14:textId="2F7CA4F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275" w:type="dxa"/>
            <w:tcBorders>
              <w:top w:val="nil"/>
              <w:left w:val="nil"/>
              <w:bottom w:val="single" w:sz="4" w:space="0" w:color="auto"/>
              <w:right w:val="single" w:sz="4" w:space="0" w:color="auto"/>
            </w:tcBorders>
            <w:vAlign w:val="center"/>
          </w:tcPr>
          <w:p w14:paraId="0FF047A1" w14:textId="3583BBF1"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c>
          <w:tcPr>
            <w:tcW w:w="1134" w:type="dxa"/>
            <w:tcBorders>
              <w:top w:val="nil"/>
              <w:left w:val="single" w:sz="4" w:space="0" w:color="auto"/>
              <w:bottom w:val="single" w:sz="4" w:space="0" w:color="auto"/>
              <w:right w:val="single" w:sz="4" w:space="0" w:color="auto"/>
            </w:tcBorders>
            <w:vAlign w:val="center"/>
          </w:tcPr>
          <w:p w14:paraId="0FF8965A" w14:textId="78B932E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276" w:type="dxa"/>
            <w:tcBorders>
              <w:top w:val="nil"/>
              <w:left w:val="nil"/>
              <w:bottom w:val="single" w:sz="4" w:space="0" w:color="auto"/>
              <w:right w:val="single" w:sz="4" w:space="0" w:color="auto"/>
            </w:tcBorders>
            <w:noWrap/>
            <w:vAlign w:val="center"/>
          </w:tcPr>
          <w:p w14:paraId="4EACAA46" w14:textId="0A902FE7"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2126" w:type="dxa"/>
            <w:tcBorders>
              <w:top w:val="nil"/>
              <w:left w:val="nil"/>
              <w:bottom w:val="single" w:sz="4" w:space="0" w:color="auto"/>
              <w:right w:val="single" w:sz="4" w:space="0" w:color="auto"/>
            </w:tcBorders>
            <w:vAlign w:val="center"/>
          </w:tcPr>
          <w:p w14:paraId="510D2661" w14:textId="4DF66373"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tc>
      </w:tr>
      <w:tr w:rsidR="00171FFB" w:rsidRPr="003E2940" w14:paraId="40F8F0B0" w14:textId="77777777" w:rsidTr="0085033A">
        <w:trPr>
          <w:trHeight w:val="360"/>
          <w:jc w:val="center"/>
        </w:trPr>
        <w:tc>
          <w:tcPr>
            <w:tcW w:w="1838" w:type="dxa"/>
            <w:tcBorders>
              <w:top w:val="nil"/>
              <w:left w:val="single" w:sz="4" w:space="0" w:color="auto"/>
              <w:bottom w:val="single" w:sz="4" w:space="0" w:color="auto"/>
              <w:right w:val="single" w:sz="4" w:space="0" w:color="auto"/>
            </w:tcBorders>
            <w:vAlign w:val="center"/>
          </w:tcPr>
          <w:p w14:paraId="7270734A" w14:textId="58E61599"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Sharma S,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{"citationID":"FUY2GPDG","properties":{"formattedCitation":"(61)","plainCitation":"(61)","noteIndex":0},"citationItems":[{"id":119,"uris":["http://zotero.org/users/14157373/items/T56ESUIM"],"itemData":{"id":119,"type":"article-journal","abstract":"Malaria and leptospirosis are endemic in Andaman and Nicobar Islands. Malaria is common in a tribal area called Nicobar district and leptospirosis is mostly confined to South, North and Middle Andaman district. There has been an outbreak of febrile illness in Nancowry groups of Island under Nicobar district suspecting malaria. Clinically there were cases which also resemble leptospirosis. Malaria and leptospirosis are the common infection of tropics and their co-infection occurs. Blood samples were collected from patients with the history of febrile illness attending Community Health Centre (CHC), Nancowry, Nicobar district. A total of 132 blood samples were collected in between the age group of 18 to 53 years. The clinical specimens were subjected to rapid test malaria and Microscopic Agglutination Test (MAT) for leptospirosis following standard procedure and manufacturer instructions. The subjects were labourers from West Bengal who has come to Nancowry groups of Island for re-habitation. Ninety four (71%) samples were malaria positive among 132 patients. Plasmodium falciparum infection was seen in 34 (36%) cases followed by plasmodium vivαx in 12 (13%) cases. Among 132 samples anti-leptospiral antibody by MAT was observed in 12 (9%) patients. In eight (6%) samples malaria and leptospirosis co-infection was observed and vomiting was found to be the common symptom in both the infection. In the present study it has been observed malaria and leptospirosis co-infection exists in malaria endemic zone. This gives an idea that in malaria endemic zone a malaria positive case cannot be the sole cause of the infection and differential diagnosis can be done for other febrile illness cases. © 2014 Academic Journals Inc.","archive":"Scopus","container-title":"Research Journal of Microbiology","DOI":"10.3923/jm.2014.104.110","ISSN":"1816-4935","issue":"2","language":"English","page":"104-110","source":"Scopus","title":"Investigation of Malaria among Patients of Febrile Illness and Co-Infection with Leptospirosis in Andaman and Nicobar Islands, India","volume":"9","author":[{"family":"Sharma","given":"S."},{"family":"Mandal","given":"A."},{"family":"Vijayachari","given":"P."}],"issued":{"date-parts":[["2014"]]}}}],"schema":"https://github.com/citation-style-language/schema/raw/master/csl-citation.json"}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(62)</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5F03E26E" w14:textId="1135B6F3"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Port Blair, Andaman &amp; Nicobar Islands</w:t>
            </w:r>
          </w:p>
        </w:tc>
        <w:tc>
          <w:tcPr>
            <w:tcW w:w="1276" w:type="dxa"/>
            <w:tcBorders>
              <w:top w:val="nil"/>
              <w:left w:val="nil"/>
              <w:bottom w:val="single" w:sz="4" w:space="0" w:color="auto"/>
              <w:right w:val="single" w:sz="4" w:space="0" w:color="auto"/>
            </w:tcBorders>
            <w:vAlign w:val="center"/>
          </w:tcPr>
          <w:p w14:paraId="33127C3D" w14:textId="404D761A"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12</w:t>
            </w:r>
          </w:p>
        </w:tc>
        <w:tc>
          <w:tcPr>
            <w:tcW w:w="1275" w:type="dxa"/>
            <w:tcBorders>
              <w:top w:val="nil"/>
              <w:left w:val="nil"/>
              <w:bottom w:val="single" w:sz="4" w:space="0" w:color="auto"/>
              <w:right w:val="single" w:sz="4" w:space="0" w:color="auto"/>
            </w:tcBorders>
            <w:vAlign w:val="center"/>
          </w:tcPr>
          <w:p w14:paraId="673507AD" w14:textId="1C785E55"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nil"/>
              <w:left w:val="single" w:sz="4" w:space="0" w:color="auto"/>
              <w:bottom w:val="single" w:sz="4" w:space="0" w:color="auto"/>
              <w:right w:val="single" w:sz="4" w:space="0" w:color="auto"/>
            </w:tcBorders>
            <w:vAlign w:val="center"/>
          </w:tcPr>
          <w:p w14:paraId="787457AE" w14:textId="10A760FB"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c>
          <w:tcPr>
            <w:tcW w:w="1276" w:type="dxa"/>
            <w:tcBorders>
              <w:top w:val="nil"/>
              <w:left w:val="nil"/>
              <w:bottom w:val="single" w:sz="4" w:space="0" w:color="auto"/>
              <w:right w:val="single" w:sz="4" w:space="0" w:color="auto"/>
            </w:tcBorders>
            <w:noWrap/>
            <w:vAlign w:val="center"/>
          </w:tcPr>
          <w:p w14:paraId="22549444" w14:textId="40EA582F" w:rsidR="00171FFB" w:rsidRPr="003E2940" w:rsidRDefault="00171FFB"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2126" w:type="dxa"/>
            <w:tcBorders>
              <w:top w:val="nil"/>
              <w:left w:val="nil"/>
              <w:bottom w:val="single" w:sz="4" w:space="0" w:color="auto"/>
              <w:right w:val="single" w:sz="4" w:space="0" w:color="auto"/>
            </w:tcBorders>
            <w:vAlign w:val="center"/>
          </w:tcPr>
          <w:p w14:paraId="2C332400" w14:textId="58E9A4DD" w:rsidR="00171FFB" w:rsidRPr="003E2940" w:rsidRDefault="00CF2E25" w:rsidP="00171FF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Malaria </w:t>
            </w:r>
            <w:r w:rsidR="00171FFB" w:rsidRPr="003E2940">
              <w:rPr>
                <w:rFonts w:ascii="Times New Roman" w:eastAsia="Times New Roman" w:hAnsi="Times New Roman" w:cs="Times New Roman"/>
                <w:kern w:val="0"/>
                <w:sz w:val="18"/>
                <w:szCs w:val="18"/>
                <w:lang w:eastAsia="en-IN"/>
                <w14:ligatures w14:val="none"/>
              </w:rPr>
              <w:t>RDT</w:t>
            </w:r>
          </w:p>
        </w:tc>
      </w:tr>
    </w:tbl>
    <w:p w14:paraId="38C8F32D" w14:textId="6646D03B" w:rsidR="00F459C9" w:rsidRPr="003E2940" w:rsidRDefault="00F459C9" w:rsidP="00F459C9">
      <w:pPr>
        <w:spacing w:before="240" w:line="276" w:lineRule="auto"/>
        <w:rPr>
          <w:rFonts w:ascii="Times New Roman" w:hAnsi="Times New Roman" w:cs="Times New Roman"/>
          <w:sz w:val="18"/>
          <w:szCs w:val="18"/>
        </w:rPr>
      </w:pPr>
      <w:r w:rsidRPr="003E2940">
        <w:rPr>
          <w:rFonts w:ascii="Times New Roman" w:hAnsi="Times New Roman" w:cs="Times New Roman"/>
          <w:sz w:val="18"/>
          <w:szCs w:val="18"/>
        </w:rPr>
        <w:t>(RDT: Rapid Diagnostic Tests; PCR: Polymerase Chain Reaction; RT-PCR: Reverse Transcriptase Polymerase Chain Reaction; ICT: Immunochromatographic Test; QBC: Quantitative Buffy Coat)</w:t>
      </w:r>
    </w:p>
    <w:p w14:paraId="279396F4" w14:textId="0A79C313" w:rsidR="004D7233" w:rsidRPr="003E2940" w:rsidRDefault="00B77C7B" w:rsidP="004D7233">
      <w:pPr>
        <w:rPr>
          <w:rFonts w:ascii="Times New Roman" w:hAnsi="Times New Roman" w:cs="Times New Roman"/>
          <w:b/>
          <w:bCs/>
          <w:sz w:val="24"/>
          <w:szCs w:val="24"/>
          <w:lang w:val="en-IN"/>
        </w:rPr>
      </w:pPr>
      <w:r w:rsidRPr="003E2940">
        <w:br w:type="page"/>
      </w:r>
      <w:r w:rsidR="004D7233" w:rsidRPr="003E2940">
        <w:rPr>
          <w:rFonts w:ascii="Times New Roman" w:hAnsi="Times New Roman" w:cs="Times New Roman"/>
          <w:b/>
          <w:bCs/>
          <w:sz w:val="24"/>
          <w:szCs w:val="24"/>
          <w:lang w:val="en-IN"/>
        </w:rPr>
        <w:lastRenderedPageBreak/>
        <w:t xml:space="preserve">Table </w:t>
      </w:r>
      <w:r w:rsidR="00865BC7">
        <w:rPr>
          <w:rFonts w:ascii="Times New Roman" w:hAnsi="Times New Roman" w:cs="Times New Roman"/>
          <w:b/>
          <w:bCs/>
          <w:sz w:val="24"/>
          <w:szCs w:val="24"/>
          <w:lang w:val="en-IN"/>
        </w:rPr>
        <w:t>S</w:t>
      </w:r>
      <w:r w:rsidR="004D7233" w:rsidRPr="003E2940">
        <w:rPr>
          <w:rFonts w:ascii="Times New Roman" w:hAnsi="Times New Roman" w:cs="Times New Roman"/>
          <w:b/>
          <w:bCs/>
          <w:sz w:val="24"/>
          <w:szCs w:val="24"/>
          <w:lang w:val="en-IN"/>
        </w:rPr>
        <w:t>3</w:t>
      </w:r>
      <w:r w:rsidR="004D7233" w:rsidRPr="003E2940">
        <w:t xml:space="preserve">: </w:t>
      </w:r>
      <w:r w:rsidR="004D7233" w:rsidRPr="003E2940">
        <w:rPr>
          <w:rFonts w:ascii="Times New Roman" w:hAnsi="Times New Roman" w:cs="Times New Roman"/>
          <w:b/>
          <w:bCs/>
          <w:sz w:val="24"/>
          <w:szCs w:val="24"/>
          <w:lang w:val="en-IN"/>
        </w:rPr>
        <w:t>Distribution of studies reporting leptospirosis coinfection cases confirmed by non-serological tests</w:t>
      </w:r>
    </w:p>
    <w:tbl>
      <w:tblPr>
        <w:tblpPr w:leftFromText="180" w:rightFromText="180" w:vertAnchor="page" w:horzAnchor="margin" w:tblpXSpec="center" w:tblpY="2394"/>
        <w:tblW w:w="10207" w:type="dxa"/>
        <w:tblLayout w:type="fixed"/>
        <w:tblLook w:val="04A0" w:firstRow="1" w:lastRow="0" w:firstColumn="1" w:lastColumn="0" w:noHBand="0" w:noVBand="1"/>
      </w:tblPr>
      <w:tblGrid>
        <w:gridCol w:w="1838"/>
        <w:gridCol w:w="1418"/>
        <w:gridCol w:w="1276"/>
        <w:gridCol w:w="1275"/>
        <w:gridCol w:w="1134"/>
        <w:gridCol w:w="1276"/>
        <w:gridCol w:w="1990"/>
      </w:tblGrid>
      <w:tr w:rsidR="004D7233" w:rsidRPr="003E2940" w14:paraId="3D79276B" w14:textId="77777777" w:rsidTr="00F50A40">
        <w:trPr>
          <w:trHeight w:val="520"/>
        </w:trPr>
        <w:tc>
          <w:tcPr>
            <w:tcW w:w="1838" w:type="dxa"/>
            <w:tcBorders>
              <w:top w:val="single" w:sz="4" w:space="0" w:color="auto"/>
              <w:left w:val="single" w:sz="4" w:space="0" w:color="auto"/>
              <w:bottom w:val="single" w:sz="4" w:space="0" w:color="auto"/>
              <w:right w:val="single" w:sz="4" w:space="0" w:color="auto"/>
            </w:tcBorders>
            <w:vAlign w:val="center"/>
            <w:hideMark/>
          </w:tcPr>
          <w:p w14:paraId="55F8A9F7"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Author/Year (reference number)</w:t>
            </w:r>
          </w:p>
        </w:tc>
        <w:tc>
          <w:tcPr>
            <w:tcW w:w="1418" w:type="dxa"/>
            <w:tcBorders>
              <w:top w:val="single" w:sz="4" w:space="0" w:color="auto"/>
              <w:left w:val="nil"/>
              <w:bottom w:val="single" w:sz="4" w:space="0" w:color="auto"/>
              <w:right w:val="single" w:sz="4" w:space="0" w:color="auto"/>
            </w:tcBorders>
            <w:vAlign w:val="center"/>
            <w:hideMark/>
          </w:tcPr>
          <w:p w14:paraId="3F9D41F8"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Location of the study</w:t>
            </w:r>
          </w:p>
        </w:tc>
        <w:tc>
          <w:tcPr>
            <w:tcW w:w="1276" w:type="dxa"/>
            <w:tcBorders>
              <w:top w:val="single" w:sz="4" w:space="0" w:color="auto"/>
              <w:left w:val="nil"/>
              <w:bottom w:val="single" w:sz="4" w:space="0" w:color="auto"/>
              <w:right w:val="single" w:sz="4" w:space="0" w:color="auto"/>
            </w:tcBorders>
            <w:vAlign w:val="center"/>
            <w:hideMark/>
          </w:tcPr>
          <w:p w14:paraId="0EF8ADC0"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Leptospirosis positive cases (n=1553)</w:t>
            </w:r>
          </w:p>
        </w:tc>
        <w:tc>
          <w:tcPr>
            <w:tcW w:w="1275" w:type="dxa"/>
            <w:tcBorders>
              <w:top w:val="single" w:sz="4" w:space="0" w:color="auto"/>
              <w:left w:val="nil"/>
              <w:bottom w:val="single" w:sz="4" w:space="0" w:color="auto"/>
              <w:right w:val="single" w:sz="4" w:space="0" w:color="auto"/>
            </w:tcBorders>
            <w:vAlign w:val="center"/>
          </w:tcPr>
          <w:p w14:paraId="752E4C61"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Diagnosis of Leptospirosis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3516D5"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Total no. of patients with co-infections (n=236)</w:t>
            </w:r>
          </w:p>
        </w:tc>
        <w:tc>
          <w:tcPr>
            <w:tcW w:w="1276" w:type="dxa"/>
            <w:tcBorders>
              <w:top w:val="single" w:sz="4" w:space="0" w:color="auto"/>
              <w:left w:val="nil"/>
              <w:bottom w:val="single" w:sz="4" w:space="0" w:color="auto"/>
              <w:right w:val="single" w:sz="4" w:space="0" w:color="auto"/>
            </w:tcBorders>
            <w:noWrap/>
            <w:vAlign w:val="center"/>
            <w:hideMark/>
          </w:tcPr>
          <w:p w14:paraId="6BB9AAF0"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Co-infections</w:t>
            </w:r>
          </w:p>
        </w:tc>
        <w:tc>
          <w:tcPr>
            <w:tcW w:w="1990" w:type="dxa"/>
            <w:tcBorders>
              <w:top w:val="single" w:sz="4" w:space="0" w:color="auto"/>
              <w:left w:val="nil"/>
              <w:bottom w:val="single" w:sz="4" w:space="0" w:color="auto"/>
              <w:right w:val="single" w:sz="4" w:space="0" w:color="auto"/>
            </w:tcBorders>
            <w:vAlign w:val="center"/>
          </w:tcPr>
          <w:p w14:paraId="4CDFB6EB" w14:textId="77777777" w:rsidR="004D7233" w:rsidRPr="003E2940" w:rsidRDefault="004D7233" w:rsidP="00F50A4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Diagnosis of Co-infections</w:t>
            </w:r>
          </w:p>
        </w:tc>
      </w:tr>
      <w:tr w:rsidR="004D7233" w:rsidRPr="003E2940" w14:paraId="093A70F6" w14:textId="77777777" w:rsidTr="00F50A40">
        <w:trPr>
          <w:trHeight w:val="360"/>
        </w:trPr>
        <w:tc>
          <w:tcPr>
            <w:tcW w:w="1838" w:type="dxa"/>
            <w:tcBorders>
              <w:top w:val="nil"/>
              <w:left w:val="single" w:sz="4" w:space="0" w:color="auto"/>
              <w:bottom w:val="single" w:sz="4" w:space="0" w:color="auto"/>
              <w:right w:val="single" w:sz="4" w:space="0" w:color="auto"/>
            </w:tcBorders>
            <w:vAlign w:val="center"/>
          </w:tcPr>
          <w:p w14:paraId="6BEA09BD"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{"citationID":"E1PYYsLk","properties":{"formattedCitation":"(36)","plainCitation":"(36)","dontUpdate":true,"noteIndex":0},"citationItems":[{"id":471,"uris":["http://zotero.org/users/14157373/items/4B33U6DD"],"itemData":{"id":471,"type":"article-journal","abstract":"Dengue and leptospirosis are frequently discussed separately, with dengue causing rash and leptospirosis causing jaundice. Currently, there are more and more reports of coinfections. The comparable clinical symptoms of both infections make it ...","container-title":"Cureus","DOI":"10.7759/cureus.52466","issue":"1","language":"en","note":"PMID: 38371008","page":"e52466","source":"pmc.ncbi.nlm.nih.gov","title":"Leptospirosis and Dengue Coinfection-Associated Multi-Organ Dysfunction Syndrome: A Case Report","title-short":"Leptospirosis and Dengue Coinfection-Associated Multi-Organ Dysfunction Syndrome","volume":"16","author":[{"family":"Shiddapur","given":"Govind"},{"family":"Reddy","given":"Vutukuru Kalyan Kumar"},{"family":"Kondapalli","given":"Mohith Prakash"},{"family":"Adapa","given":"Saimounika"},{"family":"Agarwal","given":"Sonali"}],"issued":{"date-parts":[["2024",1,17]]}}}],"schema":"https://github.com/citation-style-language/schema/raw/master/csl-citation.json"}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(40)</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0C8477A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1276" w:type="dxa"/>
            <w:tcBorders>
              <w:top w:val="nil"/>
              <w:left w:val="nil"/>
              <w:bottom w:val="single" w:sz="4" w:space="0" w:color="auto"/>
              <w:right w:val="single" w:sz="4" w:space="0" w:color="auto"/>
            </w:tcBorders>
            <w:vAlign w:val="center"/>
          </w:tcPr>
          <w:p w14:paraId="50EEC2A4"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nil"/>
              <w:left w:val="nil"/>
              <w:bottom w:val="single" w:sz="4" w:space="0" w:color="auto"/>
              <w:right w:val="single" w:sz="4" w:space="0" w:color="auto"/>
            </w:tcBorders>
            <w:vAlign w:val="center"/>
          </w:tcPr>
          <w:p w14:paraId="72ADF547"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IgM ELISA, </w:t>
            </w:r>
          </w:p>
          <w:p w14:paraId="16A78D9F"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tc>
        <w:tc>
          <w:tcPr>
            <w:tcW w:w="1134" w:type="dxa"/>
            <w:tcBorders>
              <w:top w:val="nil"/>
              <w:left w:val="single" w:sz="4" w:space="0" w:color="auto"/>
              <w:bottom w:val="single" w:sz="4" w:space="0" w:color="auto"/>
              <w:right w:val="single" w:sz="4" w:space="0" w:color="auto"/>
            </w:tcBorders>
            <w:vAlign w:val="center"/>
          </w:tcPr>
          <w:p w14:paraId="34F0C4BC"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nil"/>
              <w:left w:val="nil"/>
              <w:bottom w:val="single" w:sz="4" w:space="0" w:color="auto"/>
              <w:right w:val="single" w:sz="4" w:space="0" w:color="auto"/>
            </w:tcBorders>
            <w:noWrap/>
            <w:vAlign w:val="center"/>
          </w:tcPr>
          <w:p w14:paraId="13B82E13"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990" w:type="dxa"/>
            <w:tcBorders>
              <w:top w:val="nil"/>
              <w:left w:val="nil"/>
              <w:bottom w:val="single" w:sz="4" w:space="0" w:color="auto"/>
              <w:right w:val="single" w:sz="4" w:space="0" w:color="auto"/>
            </w:tcBorders>
            <w:vAlign w:val="center"/>
          </w:tcPr>
          <w:p w14:paraId="1BCC573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RT-PCR</w:t>
            </w:r>
          </w:p>
        </w:tc>
      </w:tr>
      <w:tr w:rsidR="004D7233" w:rsidRPr="003E2940" w14:paraId="157633F1" w14:textId="77777777" w:rsidTr="00F50A40">
        <w:trPr>
          <w:trHeight w:val="360"/>
        </w:trPr>
        <w:tc>
          <w:tcPr>
            <w:tcW w:w="1838" w:type="dxa"/>
            <w:tcBorders>
              <w:top w:val="nil"/>
              <w:left w:val="single" w:sz="4" w:space="0" w:color="auto"/>
              <w:bottom w:val="single" w:sz="4" w:space="0" w:color="auto"/>
              <w:right w:val="single" w:sz="4" w:space="0" w:color="auto"/>
            </w:tcBorders>
            <w:vAlign w:val="center"/>
          </w:tcPr>
          <w:p w14:paraId="220C45A4"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Saboo K,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{"citationID":"FIbq1LMS","properties":{"formattedCitation":"(42)","plainCitation":"(42)","noteIndex":0},"citationItems":[{"id":489,"uris":["http://zotero.org/users/14157373/items/4IP83CF4"],"itemData":{"id":489,"type":"article-journal","abstract":"Malaria is referred to as a \"rainy season disease\" and is brought on by Plasmodium species. Leptospira interrogans, a spirochete, cause zoonosis leptospirosis. It is pretty uncommon for both diseases to coinfect one another. Before assuming a fever ...","container-title":"Cureus","DOI":"10.7759/cureus.43879","issue":"8","language":"en","note":"PMID: 37746455","page":"e43879","source":"pmc.ncbi.nlm.nih.gov","title":"Falciparum Malaria, Leptospirosis, and Vibrio mimicus Encephalitis in a Resilient Patient: A Remarkable Case of Triple Infection Survival","title-short":"Falciparum Malaria, Leptospirosis, and Vibrio mimicus Encephalitis in a Resilient Patient","volume":"15","author":[{"family":"Saboo","given":"Keyur"},{"family":"Gemnani","given":"Rinkle"},{"family":"Kumar","given":"Sunil"},{"family":"Acharya","given":"Sourya"},{"family":"Mishra","given":"Preeti"}],"issued":{"date-parts":[["2023",8,21]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(42)</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4BD867DD"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1276" w:type="dxa"/>
            <w:tcBorders>
              <w:top w:val="nil"/>
              <w:left w:val="nil"/>
              <w:bottom w:val="single" w:sz="4" w:space="0" w:color="auto"/>
              <w:right w:val="single" w:sz="4" w:space="0" w:color="auto"/>
            </w:tcBorders>
            <w:vAlign w:val="center"/>
          </w:tcPr>
          <w:p w14:paraId="48156778"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nil"/>
              <w:left w:val="nil"/>
              <w:bottom w:val="single" w:sz="4" w:space="0" w:color="auto"/>
              <w:right w:val="single" w:sz="4" w:space="0" w:color="auto"/>
            </w:tcBorders>
            <w:vAlign w:val="center"/>
          </w:tcPr>
          <w:p w14:paraId="782F4CCB"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nil"/>
              <w:left w:val="single" w:sz="4" w:space="0" w:color="auto"/>
              <w:bottom w:val="single" w:sz="4" w:space="0" w:color="auto"/>
              <w:right w:val="single" w:sz="4" w:space="0" w:color="auto"/>
            </w:tcBorders>
            <w:vAlign w:val="center"/>
          </w:tcPr>
          <w:p w14:paraId="49A1FEA8"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nil"/>
              <w:left w:val="nil"/>
              <w:bottom w:val="single" w:sz="4" w:space="0" w:color="auto"/>
              <w:right w:val="single" w:sz="4" w:space="0" w:color="auto"/>
            </w:tcBorders>
            <w:noWrap/>
            <w:vAlign w:val="center"/>
          </w:tcPr>
          <w:p w14:paraId="66B3570F"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Malaria*       </w:t>
            </w:r>
          </w:p>
          <w:p w14:paraId="091FC719"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Vibrio mimicus*</w:t>
            </w:r>
          </w:p>
        </w:tc>
        <w:tc>
          <w:tcPr>
            <w:tcW w:w="1990" w:type="dxa"/>
            <w:tcBorders>
              <w:top w:val="nil"/>
              <w:left w:val="nil"/>
              <w:bottom w:val="single" w:sz="4" w:space="0" w:color="auto"/>
              <w:right w:val="single" w:sz="4" w:space="0" w:color="auto"/>
            </w:tcBorders>
            <w:vAlign w:val="center"/>
          </w:tcPr>
          <w:p w14:paraId="2325CC19" w14:textId="77777777" w:rsidR="004D7233" w:rsidRPr="003E2940" w:rsidRDefault="004D7233" w:rsidP="00F50A40">
            <w:pPr>
              <w:spacing w:after="0"/>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Thick Blood Smear</w:t>
            </w:r>
          </w:p>
          <w:p w14:paraId="7C138F87"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CSF Culture</w:t>
            </w:r>
          </w:p>
        </w:tc>
      </w:tr>
      <w:tr w:rsidR="004D7233" w:rsidRPr="003E2940" w14:paraId="3F1F2C51" w14:textId="77777777" w:rsidTr="00F50A40">
        <w:trPr>
          <w:trHeight w:val="360"/>
        </w:trPr>
        <w:tc>
          <w:tcPr>
            <w:tcW w:w="1838" w:type="dxa"/>
            <w:tcBorders>
              <w:top w:val="nil"/>
              <w:left w:val="single" w:sz="4" w:space="0" w:color="auto"/>
              <w:bottom w:val="single" w:sz="4" w:space="0" w:color="auto"/>
              <w:right w:val="single" w:sz="4" w:space="0" w:color="auto"/>
            </w:tcBorders>
            <w:vAlign w:val="center"/>
          </w:tcPr>
          <w:p w14:paraId="72B36ECD"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Mandage R, 2020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{"citationID":"bjnQHk4Z","properties":{"formattedCitation":"(26)","plainCitation":"(26)","noteIndex":0},"citationItems":[{"id":143,"uris":["http://zotero.org/users/14157373/items/TJJJ8UAA"],"itemData":{"id":143,"type":"article-journal","abstract":"Plasmodium infections are co-endemic with infections caused by other agents of acute febrile illnesses, such as dengue virus (DENV), chikungunya virus, Leptospira spp., and Orientia tsutsugamushi. However, co-infections may influence disease severity, treatment outcomes, and development of drug resistance. When we analyzed cases of acute febrile illness at the All India Institute of Medical Sciences, New Delhi, India, from July 2017 through September 2018, we found that most patients with malaria harbored co-infections (Plasmodium mixed species and other pathogens). DENV was the most common malaria co-infection (44% of total infections). DENV serotype 4 was associated with mild malaria, and Leptospira was associated with severe malaria. We also found the presence of P. knowlesi in our study population. Therefore, in areas with a large number of severe malaria cases, diagnostic screening for all 4 DENV serotypes, Leptospira, and all Plasmodium species should be performed.","container-title":"Emerging Infectious Diseases","DOI":"10.3201/eid2608.191214","ISSN":"1080-6059","issue":"8","journalAbbreviation":"Emerg Infect Dis","language":"eng","note":"PMID: 32687019\nPMCID: PMC7392441","page":"1645-1653","source":"PubMed","title":"Association of Dengue Virus and Leptospira Co-Infections with Malaria Severity","volume":"26","author":[{"family":"Mandage","given":"Rajendra"},{"family":"Kaur","given":"Charandeep"},{"family":"Pramanik","given":"Atreyi"},{"family":"Kumar","given":"Vinod"},{"family":"Kodan","given":"Parul"},{"family":"Singh","given":"Adarsh"},{"family":"Saha","given":"Sounak"},{"family":"Pandey","given":"Shivam"},{"family":"Wig","given":"Naveet"},{"family":"Pandey","given":"Ravindra Mohan"},{"family":"Soneja","given":"Manish"},{"family":"Acharya","given":"Pragyan"}],"issued":{"date-parts":[["2020",8]]}}}],"schema":"https://github.com/citation-style-language/schema/raw/master/csl-citation.json"}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(36)</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68AEAEE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New Delhi, India</w:t>
            </w:r>
          </w:p>
        </w:tc>
        <w:tc>
          <w:tcPr>
            <w:tcW w:w="1276" w:type="dxa"/>
            <w:tcBorders>
              <w:top w:val="nil"/>
              <w:left w:val="nil"/>
              <w:bottom w:val="single" w:sz="4" w:space="0" w:color="auto"/>
              <w:right w:val="single" w:sz="4" w:space="0" w:color="auto"/>
            </w:tcBorders>
            <w:vAlign w:val="center"/>
          </w:tcPr>
          <w:p w14:paraId="10789449"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21</w:t>
            </w:r>
          </w:p>
        </w:tc>
        <w:tc>
          <w:tcPr>
            <w:tcW w:w="1275" w:type="dxa"/>
            <w:tcBorders>
              <w:top w:val="nil"/>
              <w:left w:val="nil"/>
              <w:bottom w:val="single" w:sz="4" w:space="0" w:color="auto"/>
              <w:right w:val="single" w:sz="4" w:space="0" w:color="auto"/>
            </w:tcBorders>
            <w:vAlign w:val="center"/>
          </w:tcPr>
          <w:p w14:paraId="7CDD691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tc>
        <w:tc>
          <w:tcPr>
            <w:tcW w:w="1134" w:type="dxa"/>
            <w:tcBorders>
              <w:top w:val="nil"/>
              <w:left w:val="single" w:sz="4" w:space="0" w:color="auto"/>
              <w:bottom w:val="single" w:sz="4" w:space="0" w:color="auto"/>
              <w:right w:val="single" w:sz="4" w:space="0" w:color="auto"/>
            </w:tcBorders>
            <w:vAlign w:val="center"/>
          </w:tcPr>
          <w:p w14:paraId="5516915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21</w:t>
            </w:r>
          </w:p>
        </w:tc>
        <w:tc>
          <w:tcPr>
            <w:tcW w:w="1276" w:type="dxa"/>
            <w:tcBorders>
              <w:top w:val="nil"/>
              <w:left w:val="nil"/>
              <w:bottom w:val="single" w:sz="4" w:space="0" w:color="auto"/>
              <w:right w:val="single" w:sz="4" w:space="0" w:color="auto"/>
            </w:tcBorders>
            <w:vAlign w:val="center"/>
          </w:tcPr>
          <w:p w14:paraId="5DD3AB8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1C680E7F"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p>
          <w:p w14:paraId="5F00D74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3E50BBE1"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990" w:type="dxa"/>
            <w:tcBorders>
              <w:top w:val="nil"/>
              <w:left w:val="nil"/>
              <w:bottom w:val="single" w:sz="4" w:space="0" w:color="auto"/>
              <w:right w:val="single" w:sz="4" w:space="0" w:color="auto"/>
            </w:tcBorders>
            <w:vAlign w:val="center"/>
          </w:tcPr>
          <w:p w14:paraId="3A4479D6" w14:textId="123C2752"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Peripheral </w:t>
            </w:r>
            <w:r w:rsidR="000F2024" w:rsidRPr="003E2940">
              <w:rPr>
                <w:rFonts w:ascii="Times New Roman" w:eastAsia="Times New Roman" w:hAnsi="Times New Roman" w:cs="Times New Roman"/>
                <w:kern w:val="0"/>
                <w:sz w:val="18"/>
                <w:szCs w:val="18"/>
                <w:lang w:eastAsia="en-IN"/>
                <w14:ligatures w14:val="none"/>
              </w:rPr>
              <w:t>B</w:t>
            </w:r>
            <w:r w:rsidRPr="003E2940">
              <w:rPr>
                <w:rFonts w:ascii="Times New Roman" w:eastAsia="Times New Roman" w:hAnsi="Times New Roman" w:cs="Times New Roman"/>
                <w:kern w:val="0"/>
                <w:sz w:val="18"/>
                <w:szCs w:val="18"/>
                <w:lang w:eastAsia="en-IN"/>
                <w14:ligatures w14:val="none"/>
              </w:rPr>
              <w:t xml:space="preserve">lood </w:t>
            </w:r>
            <w:r w:rsidR="000F2024" w:rsidRPr="003E2940">
              <w:rPr>
                <w:rFonts w:ascii="Times New Roman" w:eastAsia="Times New Roman" w:hAnsi="Times New Roman" w:cs="Times New Roman"/>
                <w:kern w:val="0"/>
                <w:sz w:val="18"/>
                <w:szCs w:val="18"/>
                <w:lang w:eastAsia="en-IN"/>
                <w14:ligatures w14:val="none"/>
              </w:rPr>
              <w:t>S</w:t>
            </w:r>
            <w:r w:rsidRPr="003E2940">
              <w:rPr>
                <w:rFonts w:ascii="Times New Roman" w:eastAsia="Times New Roman" w:hAnsi="Times New Roman" w:cs="Times New Roman"/>
                <w:kern w:val="0"/>
                <w:sz w:val="18"/>
                <w:szCs w:val="18"/>
                <w:lang w:eastAsia="en-IN"/>
                <w14:ligatures w14:val="none"/>
              </w:rPr>
              <w:t>mear, RDT, PCR</w:t>
            </w:r>
          </w:p>
          <w:p w14:paraId="7002CB13"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p w14:paraId="36358AEB" w14:textId="6E7D0364" w:rsidR="004D7233" w:rsidRPr="003E2940" w:rsidRDefault="000F2024"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RT-</w:t>
            </w:r>
            <w:r w:rsidR="004D7233" w:rsidRPr="003E2940">
              <w:rPr>
                <w:rFonts w:ascii="Times New Roman" w:eastAsia="Times New Roman" w:hAnsi="Times New Roman" w:cs="Times New Roman"/>
                <w:kern w:val="0"/>
                <w:sz w:val="18"/>
                <w:szCs w:val="18"/>
                <w:lang w:eastAsia="en-IN"/>
                <w14:ligatures w14:val="none"/>
              </w:rPr>
              <w:t>PCR</w:t>
            </w:r>
          </w:p>
        </w:tc>
      </w:tr>
      <w:tr w:rsidR="004D7233" w:rsidRPr="003E2940" w14:paraId="4C37C1AC" w14:textId="77777777" w:rsidTr="00F50A40">
        <w:trPr>
          <w:trHeight w:val="290"/>
        </w:trPr>
        <w:tc>
          <w:tcPr>
            <w:tcW w:w="1838" w:type="dxa"/>
            <w:tcBorders>
              <w:top w:val="nil"/>
              <w:left w:val="single" w:sz="4" w:space="0" w:color="auto"/>
              <w:bottom w:val="single" w:sz="4" w:space="0" w:color="auto"/>
              <w:right w:val="single" w:sz="4" w:space="0" w:color="auto"/>
            </w:tcBorders>
            <w:vAlign w:val="center"/>
          </w:tcPr>
          <w:p w14:paraId="29F3FC30"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Dev N.,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{"citationID":"iGCd9yaK","properties":{"formattedCitation":"(47)","plainCitation":"(47)","noteIndex":0},"citationItems":[{"id":146,"uris":["http://zotero.org/users/14157373/items/K2JU4TFK"],"itemData":{"id":146,"type":"article-journal","abstract":"Guillain-Barré syndrome (GBS) is a potentially life-threatening immune-mediated acute inflammatory polyneuropathy associated with several antecedent infections. We report a 20-year-old man with GBS associated with concurrent leptospirosis and scrub typhus infection. GBS was confirmed with clinical examination and nerve conduction studies. There have been case reports of GBS in association with Leptospira and Orienta tsusugamushi separately. However, this may be the first case report of GBS associated with concurrent diseases.","container-title":"Tropical Doctor","DOI":"10.1177/0049475519836038","ISSN":"1758-1133","issue":"3","journalAbbreviation":"Trop Doct","language":"eng","note":"PMID: 30895887","page":"248-249","source":"PubMed","title":"Guillain-Barre syndrome: a rare complication of leptospirosis and scrub typhus co-infection","title-short":"Guillain-Barre syndrome","volume":"49","author":[{"family":"Dev","given":"Nishant"},{"family":"Kumar","given":"Rahul"},{"family":"Kumar","given":"Dilip"}],"issued":{"date-parts":[["2019",7]]}}}],"schema":"https://github.com/citation-style-language/schema/raw/master/csl-citation.json"}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(44)</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1418" w:type="dxa"/>
            <w:tcBorders>
              <w:top w:val="nil"/>
              <w:left w:val="nil"/>
              <w:bottom w:val="single" w:sz="4" w:space="0" w:color="auto"/>
              <w:right w:val="single" w:sz="4" w:space="0" w:color="auto"/>
            </w:tcBorders>
            <w:noWrap/>
            <w:vAlign w:val="center"/>
          </w:tcPr>
          <w:p w14:paraId="101E925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1276" w:type="dxa"/>
            <w:tcBorders>
              <w:top w:val="nil"/>
              <w:left w:val="nil"/>
              <w:bottom w:val="single" w:sz="4" w:space="0" w:color="auto"/>
              <w:right w:val="single" w:sz="4" w:space="0" w:color="auto"/>
            </w:tcBorders>
            <w:noWrap/>
            <w:vAlign w:val="center"/>
          </w:tcPr>
          <w:p w14:paraId="7FE098FF"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5" w:type="dxa"/>
            <w:tcBorders>
              <w:top w:val="nil"/>
              <w:left w:val="nil"/>
              <w:bottom w:val="single" w:sz="4" w:space="0" w:color="auto"/>
              <w:right w:val="single" w:sz="4" w:space="0" w:color="auto"/>
            </w:tcBorders>
            <w:vAlign w:val="center"/>
          </w:tcPr>
          <w:p w14:paraId="665A71D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MAT, </w:t>
            </w:r>
          </w:p>
          <w:p w14:paraId="36CDFAA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PCR</w:t>
            </w:r>
          </w:p>
        </w:tc>
        <w:tc>
          <w:tcPr>
            <w:tcW w:w="1134" w:type="dxa"/>
            <w:tcBorders>
              <w:top w:val="nil"/>
              <w:left w:val="single" w:sz="4" w:space="0" w:color="auto"/>
              <w:bottom w:val="single" w:sz="4" w:space="0" w:color="auto"/>
              <w:right w:val="single" w:sz="4" w:space="0" w:color="auto"/>
            </w:tcBorders>
            <w:vAlign w:val="center"/>
          </w:tcPr>
          <w:p w14:paraId="1716BA2F"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nil"/>
              <w:left w:val="nil"/>
              <w:bottom w:val="single" w:sz="4" w:space="0" w:color="auto"/>
              <w:right w:val="single" w:sz="4" w:space="0" w:color="auto"/>
            </w:tcBorders>
            <w:noWrap/>
            <w:vAlign w:val="center"/>
          </w:tcPr>
          <w:p w14:paraId="5DF14FCD"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990" w:type="dxa"/>
            <w:tcBorders>
              <w:top w:val="nil"/>
              <w:left w:val="nil"/>
              <w:bottom w:val="single" w:sz="4" w:space="0" w:color="auto"/>
              <w:right w:val="single" w:sz="4" w:space="0" w:color="auto"/>
            </w:tcBorders>
            <w:vAlign w:val="center"/>
          </w:tcPr>
          <w:p w14:paraId="0D8F4431"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PCR</w:t>
            </w:r>
          </w:p>
        </w:tc>
      </w:tr>
      <w:tr w:rsidR="004D7233" w:rsidRPr="003E2940" w14:paraId="64F5DB72" w14:textId="77777777" w:rsidTr="00F50A40">
        <w:trPr>
          <w:trHeight w:val="360"/>
        </w:trPr>
        <w:tc>
          <w:tcPr>
            <w:tcW w:w="1838" w:type="dxa"/>
            <w:tcBorders>
              <w:top w:val="nil"/>
              <w:left w:val="single" w:sz="4" w:space="0" w:color="auto"/>
              <w:bottom w:val="single" w:sz="4" w:space="0" w:color="auto"/>
              <w:right w:val="single" w:sz="4" w:space="0" w:color="auto"/>
            </w:tcBorders>
            <w:vAlign w:val="center"/>
          </w:tcPr>
          <w:p w14:paraId="120DD454"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Ravindar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{"citationID":"NiLVcRFr","properties":{"formattedCitation":"(68)","plainCitation":"(68)","noteIndex":0},"citationItems":[{"id":150,"uris":["http://zotero.org/users/14157373/items/5BVDY2Y5"],"itemData":{"id":150,"type":"webpage","title":"Co-infection of dengue and leptospirosis in patients presenting to a tertiary care hospital with acute febrile illness: A cross-sectional study - Record details - Embase","URL":"https://www.embase.com/records?subaction=viewrecord&amp;rid=1&amp;page=1&amp;id=L622392197","accessed":{"date-parts":[["2024",5,24]]}}}],"schema":"https://github.com/citation-style-language/schema/raw/master/csl-citation.json"}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(29)</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3797631F" w14:textId="77777777" w:rsidR="004D7233" w:rsidRPr="003E2940" w:rsidRDefault="004D7233" w:rsidP="00F50A40">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Chennai, </w:t>
            </w:r>
          </w:p>
          <w:p w14:paraId="45C2767A"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Tamil Nadu</w:t>
            </w:r>
          </w:p>
        </w:tc>
        <w:tc>
          <w:tcPr>
            <w:tcW w:w="1276" w:type="dxa"/>
            <w:tcBorders>
              <w:top w:val="nil"/>
              <w:left w:val="nil"/>
              <w:bottom w:val="single" w:sz="4" w:space="0" w:color="auto"/>
              <w:right w:val="single" w:sz="4" w:space="0" w:color="auto"/>
            </w:tcBorders>
            <w:vAlign w:val="center"/>
          </w:tcPr>
          <w:p w14:paraId="5047F478"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18</w:t>
            </w:r>
          </w:p>
        </w:tc>
        <w:tc>
          <w:tcPr>
            <w:tcW w:w="1275" w:type="dxa"/>
            <w:tcBorders>
              <w:top w:val="nil"/>
              <w:left w:val="nil"/>
              <w:bottom w:val="single" w:sz="4" w:space="0" w:color="auto"/>
              <w:right w:val="single" w:sz="4" w:space="0" w:color="auto"/>
            </w:tcBorders>
            <w:vAlign w:val="center"/>
          </w:tcPr>
          <w:p w14:paraId="737A8ABD"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PCR</w:t>
            </w:r>
          </w:p>
        </w:tc>
        <w:tc>
          <w:tcPr>
            <w:tcW w:w="1134" w:type="dxa"/>
            <w:tcBorders>
              <w:top w:val="nil"/>
              <w:left w:val="single" w:sz="4" w:space="0" w:color="auto"/>
              <w:bottom w:val="single" w:sz="4" w:space="0" w:color="auto"/>
              <w:right w:val="single" w:sz="4" w:space="0" w:color="auto"/>
            </w:tcBorders>
            <w:noWrap/>
            <w:vAlign w:val="center"/>
          </w:tcPr>
          <w:p w14:paraId="3F296B1F"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4</w:t>
            </w:r>
          </w:p>
        </w:tc>
        <w:tc>
          <w:tcPr>
            <w:tcW w:w="1276" w:type="dxa"/>
            <w:tcBorders>
              <w:top w:val="nil"/>
              <w:left w:val="nil"/>
              <w:bottom w:val="single" w:sz="4" w:space="0" w:color="auto"/>
              <w:right w:val="single" w:sz="4" w:space="0" w:color="auto"/>
            </w:tcBorders>
            <w:noWrap/>
            <w:vAlign w:val="center"/>
          </w:tcPr>
          <w:p w14:paraId="32FF64D8"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990" w:type="dxa"/>
            <w:tcBorders>
              <w:top w:val="nil"/>
              <w:left w:val="nil"/>
              <w:bottom w:val="single" w:sz="4" w:space="0" w:color="auto"/>
              <w:right w:val="single" w:sz="4" w:space="0" w:color="auto"/>
            </w:tcBorders>
            <w:vAlign w:val="center"/>
          </w:tcPr>
          <w:p w14:paraId="0ACC917B" w14:textId="29168CC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IgM ELISA, NS1Ag, </w:t>
            </w:r>
            <w:r w:rsidR="000F2024" w:rsidRPr="003E2940">
              <w:rPr>
                <w:rFonts w:ascii="Times New Roman" w:eastAsia="Times New Roman" w:hAnsi="Times New Roman" w:cs="Times New Roman"/>
                <w:kern w:val="0"/>
                <w:sz w:val="18"/>
                <w:szCs w:val="18"/>
                <w:lang w:eastAsia="en-IN"/>
                <w14:ligatures w14:val="none"/>
              </w:rPr>
              <w:t>RT-</w:t>
            </w:r>
            <w:r w:rsidRPr="003E2940">
              <w:rPr>
                <w:rFonts w:ascii="Times New Roman" w:eastAsia="Times New Roman" w:hAnsi="Times New Roman" w:cs="Times New Roman"/>
                <w:kern w:val="0"/>
                <w:sz w:val="18"/>
                <w:szCs w:val="18"/>
                <w:lang w:eastAsia="en-IN"/>
                <w14:ligatures w14:val="none"/>
              </w:rPr>
              <w:t>PCR</w:t>
            </w:r>
          </w:p>
        </w:tc>
      </w:tr>
      <w:tr w:rsidR="004D7233" w:rsidRPr="003E2940" w14:paraId="565DD13B" w14:textId="77777777" w:rsidTr="00F50A40">
        <w:trPr>
          <w:trHeight w:val="290"/>
        </w:trPr>
        <w:tc>
          <w:tcPr>
            <w:tcW w:w="1838" w:type="dxa"/>
            <w:tcBorders>
              <w:top w:val="nil"/>
              <w:left w:val="single" w:sz="4" w:space="0" w:color="auto"/>
              <w:bottom w:val="single" w:sz="4" w:space="0" w:color="auto"/>
              <w:right w:val="single" w:sz="4" w:space="0" w:color="auto"/>
            </w:tcBorders>
            <w:vAlign w:val="center"/>
          </w:tcPr>
          <w:p w14:paraId="46F0945B"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Chaudhry R,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{"citationID":"mOr0oHKr","properties":{"formattedCitation":"(25)","plainCitation":"(25)","noteIndex":0},"citationItems":[{"id":633,"uris":["http://zotero.org/users/14157373/items/UX72RWAI"],"itemData":{"id":633,"type":"article-journal","abstract":"Background &amp; objectives:\nLeptospirosis, a spirochetal zoonosis, is underreported from the northern States of India. This study reports results of a 10-year retrospective sero-epidemiological survey of leptospirosis conducted in a tertiary care hospital in New Delhi, India.\n\nMethod:\nA total of 1453 patients clinically suspected for leptospirosis were included and investigated initially by IgM ELISA. A proportion of these were subjected to culture, microscopic agglutination test (MAT) and polymerase chain reaction (PCR).\n\nResults:\nOf the 1453 patients, 391 (26.90%) were positive serologically by IgM ELISA. Seropositive and seronegative patients revealed no significant difference in clinical features and laboratory parameters. Amongst the IgM seropositive cases, culture for leptospires was positive in 5 of 192 (2.6%), MAT in 50 of 138 (36.23%), PCR from blood and urine in 10 of 115 (8.7%) and 10 of 38 (26.31%) cases, respectively. In Leptospira spp. positive patients co-infections with viral hepatitis E, malaria and dengue fever were diagnosed in 27 cases.\n\nInterpretation &amp; conclusions:\nThe overall seropositivity for leptospirosis was 26.9 per cent in our study. A decreasing trend in seropositivity was observed in recent years. Co-infections with malaria, dengue, hepatitis A and E were also seen. Since leptospirosis is a treatable disease, correct and rapid diagnosis may help in effective management of patients.","container-title":"The Indian Journal of Medical Research","ISSN":"0971-5916","issue":"4","journalAbbreviation":"Indian J Med Res","note":"PMID: 23703348\nPMCID: PMC3724261","page":"785-790","source":"PubMed Central","title":"Serological &amp; molecular approaches for diagnosis of leptospirosis in a tertiary care hospital in north India: A 10-year study","title-short":"Serological &amp; molecular approaches for diagnosis of leptospirosis in a tertiary care hospital in north India","volume":"137","author":[{"family":"Chaudhry","given":"R."},{"family":"Das","given":"A."},{"family":"Premlatha","given":"M.M."},{"family":"Choudhary","given":"A."},{"family":"Chourasia","given":"B.K."},{"family":"Chandel","given":"D.S."},{"family":"Dey","given":"A.B."}],"issued":{"date-parts":[["2013",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(30)</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nil"/>
              <w:left w:val="nil"/>
              <w:bottom w:val="single" w:sz="4" w:space="0" w:color="auto"/>
              <w:right w:val="single" w:sz="4" w:space="0" w:color="auto"/>
            </w:tcBorders>
            <w:vAlign w:val="center"/>
          </w:tcPr>
          <w:p w14:paraId="16784F23"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New Delhi</w:t>
            </w:r>
          </w:p>
        </w:tc>
        <w:tc>
          <w:tcPr>
            <w:tcW w:w="1276" w:type="dxa"/>
            <w:tcBorders>
              <w:top w:val="nil"/>
              <w:left w:val="nil"/>
              <w:bottom w:val="single" w:sz="4" w:space="0" w:color="auto"/>
              <w:right w:val="single" w:sz="4" w:space="0" w:color="auto"/>
            </w:tcBorders>
            <w:vAlign w:val="center"/>
          </w:tcPr>
          <w:p w14:paraId="2080B0A8"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414</w:t>
            </w:r>
          </w:p>
        </w:tc>
        <w:tc>
          <w:tcPr>
            <w:tcW w:w="1275" w:type="dxa"/>
            <w:tcBorders>
              <w:top w:val="nil"/>
              <w:left w:val="nil"/>
              <w:bottom w:val="single" w:sz="4" w:space="0" w:color="auto"/>
              <w:right w:val="single" w:sz="4" w:space="0" w:color="auto"/>
            </w:tcBorders>
            <w:vAlign w:val="center"/>
          </w:tcPr>
          <w:p w14:paraId="0405E6B1"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PCR, MAT</w:t>
            </w:r>
          </w:p>
        </w:tc>
        <w:tc>
          <w:tcPr>
            <w:tcW w:w="1134" w:type="dxa"/>
            <w:tcBorders>
              <w:top w:val="nil"/>
              <w:left w:val="single" w:sz="4" w:space="0" w:color="auto"/>
              <w:bottom w:val="single" w:sz="4" w:space="0" w:color="auto"/>
              <w:right w:val="single" w:sz="4" w:space="0" w:color="auto"/>
            </w:tcBorders>
            <w:vAlign w:val="center"/>
          </w:tcPr>
          <w:p w14:paraId="716FB69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27</w:t>
            </w:r>
          </w:p>
        </w:tc>
        <w:tc>
          <w:tcPr>
            <w:tcW w:w="1276" w:type="dxa"/>
            <w:tcBorders>
              <w:top w:val="nil"/>
              <w:left w:val="nil"/>
              <w:bottom w:val="single" w:sz="4" w:space="0" w:color="auto"/>
              <w:right w:val="single" w:sz="4" w:space="0" w:color="auto"/>
            </w:tcBorders>
            <w:noWrap/>
            <w:vAlign w:val="center"/>
          </w:tcPr>
          <w:p w14:paraId="65BDAC94"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8929A3C"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p>
          <w:p w14:paraId="6B33BBEC"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3ABD3B8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w:t>
            </w:r>
          </w:p>
        </w:tc>
        <w:tc>
          <w:tcPr>
            <w:tcW w:w="1990" w:type="dxa"/>
            <w:tcBorders>
              <w:top w:val="nil"/>
              <w:left w:val="nil"/>
              <w:bottom w:val="single" w:sz="4" w:space="0" w:color="auto"/>
              <w:right w:val="single" w:sz="4" w:space="0" w:color="auto"/>
            </w:tcBorders>
            <w:vAlign w:val="center"/>
          </w:tcPr>
          <w:p w14:paraId="08A282F1"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ICT, QBC assay</w:t>
            </w:r>
          </w:p>
          <w:p w14:paraId="5D860E8C"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p w14:paraId="7AE8F722"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w:t>
            </w:r>
          </w:p>
        </w:tc>
      </w:tr>
      <w:tr w:rsidR="004D7233" w:rsidRPr="003E2940" w14:paraId="34AACD00" w14:textId="77777777" w:rsidTr="00F50A40">
        <w:trPr>
          <w:trHeight w:val="463"/>
        </w:trPr>
        <w:tc>
          <w:tcPr>
            <w:tcW w:w="1838" w:type="dxa"/>
            <w:tcBorders>
              <w:top w:val="single" w:sz="4" w:space="0" w:color="auto"/>
              <w:left w:val="single" w:sz="4" w:space="0" w:color="auto"/>
              <w:bottom w:val="single" w:sz="4" w:space="0" w:color="auto"/>
              <w:right w:val="single" w:sz="4" w:space="0" w:color="auto"/>
            </w:tcBorders>
            <w:vAlign w:val="center"/>
          </w:tcPr>
          <w:p w14:paraId="6830A444" w14:textId="77777777" w:rsidR="004D7233" w:rsidRPr="003E2940" w:rsidRDefault="004D7233" w:rsidP="00F50A40">
            <w:pPr>
              <w:jc w:val="center"/>
              <w:rPr>
                <w:rFonts w:ascii="Times New Roman" w:hAnsi="Times New Roman" w:cs="Times New Roman"/>
                <w:sz w:val="18"/>
                <w:szCs w:val="18"/>
                <w:lang w:val="en-IN"/>
              </w:rPr>
            </w:pPr>
            <w:r w:rsidRPr="003E2940">
              <w:rPr>
                <w:rFonts w:ascii="Times New Roman" w:eastAsia="Times New Roman" w:hAnsi="Times New Roman" w:cs="Times New Roman"/>
                <w:kern w:val="0"/>
                <w:sz w:val="18"/>
                <w:szCs w:val="18"/>
                <w:lang w:eastAsia="en-IN"/>
                <w14:ligatures w14:val="none"/>
              </w:rPr>
              <w:t xml:space="preserve">Baliga, K.V.,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{"citationID":"sWMcIvVY","properties":{"formattedCitation":"(56)","plainCitation":"(56)","noteIndex":0},"citationItems":[{"id":171,"uris":["http://zotero.org/users/14157373/items/ZSYHWUQM"],"itemData":{"id":171,"type":"article-journal","container-title":"Journal of Infection and Chemotherapy","DOI":"10.1007/s10156-011-0220-7","ISSN":"1341-321X, 1437-7780","issue":"5","journalAbbreviation":"Journal of Infection and Chemotherapy","language":"English","note":"publisher: Elsevier\nPMID: 21327689","page":"694-697","source":"www.jiac-j.com","title":"Acute febrile hepato-renal dysfunction in the tropics: co-infection of malaria and leptospirosis","title-short":"Acute febrile hepato-renal dysfunction in the tropics","volume":"17","author":[{"family":"Baliga","given":"Krishna Venkatesh"},{"family":"Uday","given":"Yanamandra"},{"family":"Sood","given":"Vivek"},{"family":"Nagpal","given":"Akhil"}],"issued":{"date-parts":[["2011",1,1]]}}}],"schema":"https://github.com/citation-style-language/schema/raw/master/csl-citation.json"}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(53)</w:t>
            </w:r>
            <w:r w:rsidRPr="003E2940">
              <w:rPr>
                <w:rFonts w:ascii="Times New Roman" w:eastAsia="Times New Roman" w:hAnsi="Times New Roman" w:cs="Times New Roman"/>
                <w:kern w:val="0"/>
                <w:sz w:val="18"/>
                <w:szCs w:val="18"/>
                <w:lang w:eastAsia="en-IN"/>
                <w14:ligatures w14:val="none"/>
              </w:rPr>
              <w:fldChar w:fldCharType="end"/>
            </w:r>
          </w:p>
        </w:tc>
        <w:tc>
          <w:tcPr>
            <w:tcW w:w="1418" w:type="dxa"/>
            <w:tcBorders>
              <w:top w:val="single" w:sz="4" w:space="0" w:color="auto"/>
              <w:left w:val="nil"/>
              <w:bottom w:val="single" w:sz="4" w:space="0" w:color="auto"/>
              <w:right w:val="single" w:sz="4" w:space="0" w:color="auto"/>
            </w:tcBorders>
            <w:vAlign w:val="center"/>
          </w:tcPr>
          <w:p w14:paraId="2D1AAAC2"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76" w:type="dxa"/>
            <w:tcBorders>
              <w:top w:val="single" w:sz="4" w:space="0" w:color="auto"/>
              <w:left w:val="nil"/>
              <w:bottom w:val="single" w:sz="4" w:space="0" w:color="auto"/>
              <w:right w:val="single" w:sz="4" w:space="0" w:color="auto"/>
            </w:tcBorders>
            <w:vAlign w:val="center"/>
          </w:tcPr>
          <w:p w14:paraId="73159716"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5" w:type="dxa"/>
            <w:tcBorders>
              <w:top w:val="single" w:sz="4" w:space="0" w:color="auto"/>
              <w:left w:val="nil"/>
              <w:bottom w:val="single" w:sz="4" w:space="0" w:color="auto"/>
              <w:right w:val="single" w:sz="4" w:space="0" w:color="auto"/>
            </w:tcBorders>
            <w:vAlign w:val="center"/>
          </w:tcPr>
          <w:p w14:paraId="1E521331"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w:t>
            </w:r>
          </w:p>
        </w:tc>
        <w:tc>
          <w:tcPr>
            <w:tcW w:w="1134" w:type="dxa"/>
            <w:tcBorders>
              <w:top w:val="single" w:sz="4" w:space="0" w:color="auto"/>
              <w:left w:val="single" w:sz="4" w:space="0" w:color="auto"/>
              <w:bottom w:val="single" w:sz="4" w:space="0" w:color="auto"/>
              <w:right w:val="single" w:sz="4" w:space="0" w:color="auto"/>
            </w:tcBorders>
            <w:vAlign w:val="center"/>
          </w:tcPr>
          <w:p w14:paraId="4DB6FD5E"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276" w:type="dxa"/>
            <w:tcBorders>
              <w:top w:val="single" w:sz="4" w:space="0" w:color="auto"/>
              <w:left w:val="nil"/>
              <w:bottom w:val="single" w:sz="4" w:space="0" w:color="auto"/>
              <w:right w:val="single" w:sz="4" w:space="0" w:color="auto"/>
            </w:tcBorders>
            <w:noWrap/>
            <w:vAlign w:val="center"/>
          </w:tcPr>
          <w:p w14:paraId="0022CC54"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1990" w:type="dxa"/>
            <w:tcBorders>
              <w:top w:val="single" w:sz="4" w:space="0" w:color="auto"/>
              <w:left w:val="nil"/>
              <w:bottom w:val="single" w:sz="4" w:space="0" w:color="auto"/>
              <w:right w:val="single" w:sz="4" w:space="0" w:color="auto"/>
            </w:tcBorders>
            <w:vAlign w:val="center"/>
          </w:tcPr>
          <w:p w14:paraId="52056970" w14:textId="77777777" w:rsidR="004D7233" w:rsidRPr="003E2940" w:rsidRDefault="004D7233" w:rsidP="00F50A4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tc>
      </w:tr>
    </w:tbl>
    <w:p w14:paraId="0E5FAB25" w14:textId="7D683DFF" w:rsidR="00446455" w:rsidRPr="003E2940" w:rsidRDefault="00446455" w:rsidP="00B77C7B"/>
    <w:p w14:paraId="20268597" w14:textId="44EC3471" w:rsidR="000F2024" w:rsidRPr="003E2940" w:rsidRDefault="000F2024" w:rsidP="000F2024">
      <w:pPr>
        <w:spacing w:before="240" w:line="276" w:lineRule="auto"/>
        <w:rPr>
          <w:rFonts w:ascii="Times New Roman" w:hAnsi="Times New Roman" w:cs="Times New Roman"/>
          <w:sz w:val="18"/>
          <w:szCs w:val="18"/>
        </w:rPr>
      </w:pPr>
      <w:r w:rsidRPr="003E2940">
        <w:rPr>
          <w:rFonts w:ascii="Times New Roman" w:hAnsi="Times New Roman" w:cs="Times New Roman"/>
          <w:sz w:val="18"/>
          <w:szCs w:val="18"/>
        </w:rPr>
        <w:t>(RDT: Rapid Diagnostic Tests; PCR: Polymerase Chain Reaction; RT-PCR: Reverse Transcriptase Polymerase Chain Reaction; ICT: Immunochromatographic Test; QBC: Quantitative Buffy Coat</w:t>
      </w:r>
      <w:r w:rsidR="00E86F24" w:rsidRPr="003E2940">
        <w:rPr>
          <w:rFonts w:ascii="Times New Roman" w:hAnsi="Times New Roman" w:cs="Times New Roman"/>
          <w:sz w:val="18"/>
          <w:szCs w:val="18"/>
        </w:rPr>
        <w:t>; MAT: Microscopic Agglutination Test</w:t>
      </w:r>
      <w:r w:rsidRPr="003E2940">
        <w:rPr>
          <w:rFonts w:ascii="Times New Roman" w:hAnsi="Times New Roman" w:cs="Times New Roman"/>
          <w:sz w:val="18"/>
          <w:szCs w:val="18"/>
        </w:rPr>
        <w:t>)</w:t>
      </w:r>
    </w:p>
    <w:p w14:paraId="1E141D45" w14:textId="00DFAACE" w:rsidR="0023754E" w:rsidRPr="003E2940" w:rsidRDefault="0023754E"/>
    <w:tbl>
      <w:tblPr>
        <w:tblpPr w:leftFromText="180" w:rightFromText="180" w:vertAnchor="page" w:horzAnchor="margin" w:tblpY="2094"/>
        <w:tblW w:w="9500" w:type="dxa"/>
        <w:tblLayout w:type="fixed"/>
        <w:tblLook w:val="04A0" w:firstRow="1" w:lastRow="0" w:firstColumn="1" w:lastColumn="0" w:noHBand="0" w:noVBand="1"/>
      </w:tblPr>
      <w:tblGrid>
        <w:gridCol w:w="1696"/>
        <w:gridCol w:w="2268"/>
        <w:gridCol w:w="2835"/>
        <w:gridCol w:w="1134"/>
        <w:gridCol w:w="1567"/>
      </w:tblGrid>
      <w:tr w:rsidR="00FF4379" w:rsidRPr="003E2940" w14:paraId="583ECF0B" w14:textId="77777777" w:rsidTr="00FF4379">
        <w:trPr>
          <w:trHeight w:val="520"/>
        </w:trPr>
        <w:tc>
          <w:tcPr>
            <w:tcW w:w="1696" w:type="dxa"/>
            <w:tcBorders>
              <w:top w:val="single" w:sz="4" w:space="0" w:color="auto"/>
              <w:left w:val="single" w:sz="4" w:space="0" w:color="auto"/>
              <w:bottom w:val="single" w:sz="4" w:space="0" w:color="auto"/>
              <w:right w:val="single" w:sz="4" w:space="0" w:color="auto"/>
            </w:tcBorders>
            <w:vAlign w:val="center"/>
            <w:hideMark/>
          </w:tcPr>
          <w:p w14:paraId="58AA1C2E" w14:textId="418CCB5E" w:rsidR="006F3E96" w:rsidRPr="003E2940" w:rsidRDefault="00FF4379" w:rsidP="00FF4379">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noProof/>
                <w:kern w:val="0"/>
                <w:sz w:val="18"/>
                <w:szCs w:val="18"/>
                <w:lang w:eastAsia="en-IN"/>
              </w:rPr>
              <w:lastRenderedPageBreak/>
              <mc:AlternateContent>
                <mc:Choice Requires="wps">
                  <w:drawing>
                    <wp:anchor distT="0" distB="0" distL="114300" distR="114300" simplePos="0" relativeHeight="251659264" behindDoc="0" locked="0" layoutInCell="1" allowOverlap="1" wp14:anchorId="5162A3D3" wp14:editId="37F83F5B">
                      <wp:simplePos x="0" y="0"/>
                      <wp:positionH relativeFrom="column">
                        <wp:posOffset>82990</wp:posOffset>
                      </wp:positionH>
                      <wp:positionV relativeFrom="paragraph">
                        <wp:posOffset>-561682</wp:posOffset>
                      </wp:positionV>
                      <wp:extent cx="5648178" cy="351692"/>
                      <wp:effectExtent l="0" t="0" r="0" b="0"/>
                      <wp:wrapNone/>
                      <wp:docPr id="37379339" name="Text Box 1"/>
                      <wp:cNvGraphicFramePr/>
                      <a:graphic xmlns:a="http://schemas.openxmlformats.org/drawingml/2006/main">
                        <a:graphicData uri="http://schemas.microsoft.com/office/word/2010/wordprocessingShape">
                          <wps:wsp>
                            <wps:cNvSpPr txBox="1"/>
                            <wps:spPr>
                              <a:xfrm>
                                <a:off x="0" y="0"/>
                                <a:ext cx="5648178" cy="351692"/>
                              </a:xfrm>
                              <a:prstGeom prst="rect">
                                <a:avLst/>
                              </a:prstGeom>
                              <a:noFill/>
                              <a:ln w="6350">
                                <a:noFill/>
                              </a:ln>
                            </wps:spPr>
                            <wps:txbx>
                              <w:txbxContent>
                                <w:p w14:paraId="00CF9C46" w14:textId="7C3D5D28" w:rsidR="00FF4379" w:rsidRPr="00FF4379" w:rsidRDefault="00FF4379">
                                  <w:r w:rsidRPr="00865BC7">
                                    <w:rPr>
                                      <w:rFonts w:ascii="Times New Roman" w:hAnsi="Times New Roman" w:cs="Times New Roman"/>
                                      <w:b/>
                                      <w:bCs/>
                                      <w:sz w:val="24"/>
                                      <w:szCs w:val="24"/>
                                      <w:lang w:val="en-IN"/>
                                    </w:rPr>
                                    <w:t xml:space="preserve">Table </w:t>
                                  </w:r>
                                  <w:r w:rsidR="00865BC7" w:rsidRPr="00865BC7">
                                    <w:rPr>
                                      <w:rFonts w:ascii="Times New Roman" w:hAnsi="Times New Roman" w:cs="Times New Roman"/>
                                      <w:b/>
                                      <w:bCs/>
                                      <w:sz w:val="24"/>
                                      <w:szCs w:val="24"/>
                                      <w:lang w:val="en-IN"/>
                                    </w:rPr>
                                    <w:t>S</w:t>
                                  </w:r>
                                  <w:r w:rsidRPr="00865BC7">
                                    <w:rPr>
                                      <w:rFonts w:ascii="Times New Roman" w:hAnsi="Times New Roman" w:cs="Times New Roman"/>
                                      <w:b/>
                                      <w:bCs/>
                                      <w:sz w:val="24"/>
                                      <w:szCs w:val="24"/>
                                      <w:lang w:val="en-IN"/>
                                    </w:rPr>
                                    <w:t>4: Distribution of diagnostic assay</w:t>
                                  </w:r>
                                  <w:r w:rsidR="007B795B" w:rsidRPr="00865BC7">
                                    <w:rPr>
                                      <w:rFonts w:ascii="Times New Roman" w:hAnsi="Times New Roman" w:cs="Times New Roman"/>
                                      <w:b/>
                                      <w:bCs/>
                                      <w:sz w:val="24"/>
                                      <w:szCs w:val="24"/>
                                      <w:lang w:val="en-IN"/>
                                    </w:rPr>
                                    <w:t>s</w:t>
                                  </w:r>
                                  <w:r w:rsidRPr="00865BC7">
                                    <w:rPr>
                                      <w:rFonts w:ascii="Times New Roman" w:hAnsi="Times New Roman" w:cs="Times New Roman"/>
                                      <w:b/>
                                      <w:bCs/>
                                      <w:sz w:val="24"/>
                                      <w:szCs w:val="24"/>
                                      <w:lang w:val="en-IN"/>
                                    </w:rPr>
                                    <w:t xml:space="preserve"> used for the targeted pathogens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62A3D3" id="_x0000_t202" coordsize="21600,21600" o:spt="202" path="m,l,21600r21600,l21600,xe">
                      <v:stroke joinstyle="miter"/>
                      <v:path gradientshapeok="t" o:connecttype="rect"/>
                    </v:shapetype>
                    <v:shape id="Text Box 1" o:spid="_x0000_s1026" type="#_x0000_t202" style="position:absolute;left:0;text-align:left;margin-left:6.55pt;margin-top:-44.25pt;width:444.7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63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" filled="f" stroked="f" strokeweight=".5pt">
                      <v:textbox>
                        <w:txbxContent>
                          <w:p w14:paraId="00CF9C46" w14:textId="7C3D5D28" w:rsidR="00FF4379" w:rsidRPr="00FF4379" w:rsidRDefault="00FF4379">
                            <w:r w:rsidRPr="00865BC7">
                              <w:rPr>
                                <w:rFonts w:ascii="Times New Roman" w:hAnsi="Times New Roman" w:cs="Times New Roman"/>
                                <w:b/>
                                <w:bCs/>
                                <w:sz w:val="24"/>
                                <w:szCs w:val="24"/>
                                <w:lang w:val="en-IN"/>
                              </w:rPr>
                              <w:t xml:space="preserve">Table </w:t>
                            </w:r>
                            <w:r w:rsidR="00865BC7" w:rsidRPr="00865BC7">
                              <w:rPr>
                                <w:rFonts w:ascii="Times New Roman" w:hAnsi="Times New Roman" w:cs="Times New Roman"/>
                                <w:b/>
                                <w:bCs/>
                                <w:sz w:val="24"/>
                                <w:szCs w:val="24"/>
                                <w:lang w:val="en-IN"/>
                              </w:rPr>
                              <w:t>S</w:t>
                            </w:r>
                            <w:r w:rsidRPr="00865BC7">
                              <w:rPr>
                                <w:rFonts w:ascii="Times New Roman" w:hAnsi="Times New Roman" w:cs="Times New Roman"/>
                                <w:b/>
                                <w:bCs/>
                                <w:sz w:val="24"/>
                                <w:szCs w:val="24"/>
                                <w:lang w:val="en-IN"/>
                              </w:rPr>
                              <w:t>4: Distribution of diagnostic assay</w:t>
                            </w:r>
                            <w:r w:rsidR="007B795B" w:rsidRPr="00865BC7">
                              <w:rPr>
                                <w:rFonts w:ascii="Times New Roman" w:hAnsi="Times New Roman" w:cs="Times New Roman"/>
                                <w:b/>
                                <w:bCs/>
                                <w:sz w:val="24"/>
                                <w:szCs w:val="24"/>
                                <w:lang w:val="en-IN"/>
                              </w:rPr>
                              <w:t>s</w:t>
                            </w:r>
                            <w:r w:rsidRPr="00865BC7">
                              <w:rPr>
                                <w:rFonts w:ascii="Times New Roman" w:hAnsi="Times New Roman" w:cs="Times New Roman"/>
                                <w:b/>
                                <w:bCs/>
                                <w:sz w:val="24"/>
                                <w:szCs w:val="24"/>
                                <w:lang w:val="en-IN"/>
                              </w:rPr>
                              <w:t xml:space="preserve"> used for the targeted pathogens</w:t>
                            </w:r>
                          </w:p>
                        </w:txbxContent>
                      </v:textbox>
                    </v:shape>
                  </w:pict>
                </mc:Fallback>
              </mc:AlternateContent>
            </w:r>
            <w:r w:rsidR="006F3E96" w:rsidRPr="003E2940">
              <w:rPr>
                <w:rFonts w:ascii="Times New Roman" w:eastAsia="Times New Roman" w:hAnsi="Times New Roman" w:cs="Times New Roman"/>
                <w:b/>
                <w:bCs/>
                <w:kern w:val="0"/>
                <w:sz w:val="18"/>
                <w:szCs w:val="18"/>
                <w:lang w:eastAsia="en-IN"/>
                <w14:ligatures w14:val="none"/>
              </w:rPr>
              <w:t>Author/Year (reference number)</w:t>
            </w:r>
          </w:p>
        </w:tc>
        <w:tc>
          <w:tcPr>
            <w:tcW w:w="2268" w:type="dxa"/>
            <w:tcBorders>
              <w:top w:val="single" w:sz="4" w:space="0" w:color="auto"/>
              <w:left w:val="nil"/>
              <w:bottom w:val="single" w:sz="4" w:space="0" w:color="auto"/>
              <w:right w:val="single" w:sz="4" w:space="0" w:color="auto"/>
            </w:tcBorders>
            <w:vAlign w:val="center"/>
            <w:hideMark/>
          </w:tcPr>
          <w:p w14:paraId="1107EC20" w14:textId="5FEF929F" w:rsidR="006F3E96" w:rsidRPr="003E2940" w:rsidRDefault="006F3E96" w:rsidP="00FF4379">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Pathogens/Infection targeted</w:t>
            </w:r>
          </w:p>
        </w:tc>
        <w:tc>
          <w:tcPr>
            <w:tcW w:w="2835" w:type="dxa"/>
            <w:tcBorders>
              <w:top w:val="single" w:sz="4" w:space="0" w:color="auto"/>
              <w:left w:val="nil"/>
              <w:bottom w:val="single" w:sz="4" w:space="0" w:color="auto"/>
              <w:right w:val="single" w:sz="4" w:space="0" w:color="auto"/>
            </w:tcBorders>
            <w:vAlign w:val="center"/>
            <w:hideMark/>
          </w:tcPr>
          <w:p w14:paraId="77FA522D" w14:textId="5690C92B" w:rsidR="006F3E96" w:rsidRPr="003E2940" w:rsidRDefault="006F3E96" w:rsidP="00FF4379">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Diagnostic assays used</w:t>
            </w:r>
            <w:r w:rsidR="00D2162C" w:rsidRPr="003E2940">
              <w:rPr>
                <w:rFonts w:ascii="Times New Roman" w:eastAsia="Times New Roman" w:hAnsi="Times New Roman" w:cs="Times New Roman"/>
                <w:b/>
                <w:bCs/>
                <w:kern w:val="0"/>
                <w:sz w:val="18"/>
                <w:szCs w:val="18"/>
                <w:lang w:eastAsia="en-IN"/>
                <w14:ligatures w14:val="none"/>
              </w:rPr>
              <w:t xml:space="preserve"> (no. of positives)</w:t>
            </w:r>
          </w:p>
        </w:tc>
        <w:tc>
          <w:tcPr>
            <w:tcW w:w="1134" w:type="dxa"/>
            <w:tcBorders>
              <w:top w:val="single" w:sz="4" w:space="0" w:color="auto"/>
              <w:left w:val="nil"/>
              <w:bottom w:val="single" w:sz="4" w:space="0" w:color="auto"/>
              <w:right w:val="single" w:sz="4" w:space="0" w:color="auto"/>
            </w:tcBorders>
            <w:vAlign w:val="center"/>
          </w:tcPr>
          <w:p w14:paraId="6CB1C44F" w14:textId="147A7887" w:rsidR="006F3E96" w:rsidRPr="003E2940" w:rsidRDefault="006F3E96" w:rsidP="00FF4379">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Total no. of diagnostic assays used</w:t>
            </w:r>
          </w:p>
        </w:tc>
        <w:tc>
          <w:tcPr>
            <w:tcW w:w="1567" w:type="dxa"/>
            <w:tcBorders>
              <w:top w:val="single" w:sz="4" w:space="0" w:color="auto"/>
              <w:left w:val="nil"/>
              <w:bottom w:val="single" w:sz="4" w:space="0" w:color="auto"/>
              <w:right w:val="single" w:sz="4" w:space="0" w:color="auto"/>
            </w:tcBorders>
            <w:noWrap/>
            <w:vAlign w:val="center"/>
            <w:hideMark/>
          </w:tcPr>
          <w:p w14:paraId="1280F14E" w14:textId="77777777" w:rsidR="006F3E96" w:rsidRPr="003E2940" w:rsidRDefault="006F3E96" w:rsidP="00FF4379">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Co-infections</w:t>
            </w:r>
          </w:p>
        </w:tc>
      </w:tr>
      <w:tr w:rsidR="007E7A1C" w:rsidRPr="003E2940" w14:paraId="7C0F4DF6" w14:textId="77777777" w:rsidTr="00E43DB0">
        <w:trPr>
          <w:trHeight w:val="520"/>
        </w:trPr>
        <w:tc>
          <w:tcPr>
            <w:tcW w:w="9500" w:type="dxa"/>
            <w:gridSpan w:val="5"/>
            <w:tcBorders>
              <w:top w:val="single" w:sz="4" w:space="0" w:color="auto"/>
              <w:left w:val="single" w:sz="4" w:space="0" w:color="auto"/>
              <w:bottom w:val="single" w:sz="4" w:space="0" w:color="auto"/>
              <w:right w:val="single" w:sz="4" w:space="0" w:color="auto"/>
            </w:tcBorders>
            <w:vAlign w:val="center"/>
          </w:tcPr>
          <w:p w14:paraId="4B259699" w14:textId="04B2CC5C" w:rsidR="007E7A1C" w:rsidRPr="003E2940" w:rsidRDefault="007E7A1C"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Observational studies</w:t>
            </w:r>
          </w:p>
        </w:tc>
      </w:tr>
      <w:tr w:rsidR="007E7A1C" w:rsidRPr="003E2940" w14:paraId="77E1D70D"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3FD3DE6" w14:textId="7BE4C7A5"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Kumar A,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{"citationID":"qPlnKB5p","properties":{"formattedCitation":"(33)","plainCitation":"(33)","dontUpdate":true,"noteIndex":0},"citationItems":[{"id":166,"uris":["http://zotero.org/users/14157373/items/SAAR5MYG"],"itemData":{"id":166,"type":"article-journal","abstract":"Background: Concurrent epidemics of both dengue fever and leptospirosis are known to occur in the tropics; however, it is unclear whether coinfection is associated with different clinical manifestations and outcomes. Materials and Methods: Medical records for patients with serological evidence of leptospirosis, dengue, and coinfection from January 2007 to December 2008 were abstracted using a standardized abstraction form. The patients' demographic data, underlying diseases, clinical manifestations, laboratory data, and disease outcomes were retrospectively analyzed. Results: The frequency of leptospirosis was 15.8% (287/1814), while that of dengue was 14.8% (239/1610) and coinfection was seen in 1.3% (17/1309). Highest mortality of 29.6% (5/17) was seen in coinfected cases, followed by leptospirosis (14.6%) and dengue (3.7%). Conclusion: In the tropics, leptospirosis and dengue can coexist and increased awareness of coinfection, and an enhanced ability to diagnose it early in illness, will help guide the appropriate use antibiotics and supportive measures to reduce mortality.","container-title":"Annals of Tropical Medicine and Public Health","DOI":"10.4103/1755-6783.102012","journalAbbreviation":"Annals of Tropical Medicine and Public Health","page":"286-290","source":"ResearchGate","title":"Serological evidence of leptospirosis and dengue coinfection in an endemic region in South India","volume":"5","author":[{"family":"Kumar","given":"Anil"},{"family":"Balachandran","given":"Vinodh"},{"family":"Dominic","given":"Arya"},{"family":"Dinesh","given":"Kavitha"},{"family":"Karim","given":"Sofwah"},{"family":"Rao","given":"Ganapathi"}],"issued":{"date-parts":[["2012",7,6]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12CBFEEE" w14:textId="0115D842"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w:t>
            </w:r>
            <w:r w:rsidR="00604DB3" w:rsidRPr="003E2940">
              <w:rPr>
                <w:rFonts w:ascii="Times New Roman" w:eastAsia="Times New Roman" w:hAnsi="Times New Roman" w:cs="Times New Roman"/>
                <w:kern w:val="0"/>
                <w:sz w:val="18"/>
                <w:szCs w:val="18"/>
                <w:lang w:eastAsia="en-IN"/>
                <w14:ligatures w14:val="none"/>
              </w:rPr>
              <w:t>osis</w:t>
            </w:r>
          </w:p>
          <w:p w14:paraId="36FF98D9"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p>
          <w:p w14:paraId="053C7E12" w14:textId="06979301"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835" w:type="dxa"/>
            <w:tcBorders>
              <w:top w:val="nil"/>
              <w:left w:val="nil"/>
              <w:bottom w:val="single" w:sz="4" w:space="0" w:color="auto"/>
              <w:right w:val="single" w:sz="4" w:space="0" w:color="auto"/>
            </w:tcBorders>
            <w:vAlign w:val="center"/>
          </w:tcPr>
          <w:p w14:paraId="7FEF3C7D"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(287)</w:t>
            </w:r>
          </w:p>
          <w:p w14:paraId="17F09148"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 (16)</w:t>
            </w:r>
          </w:p>
          <w:p w14:paraId="7CBD2006" w14:textId="03023307" w:rsidR="007E7A1C" w:rsidRPr="003E2940" w:rsidRDefault="007E7A1C" w:rsidP="007E7A1C">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MAC ELISA for Dengue (17)</w:t>
            </w:r>
          </w:p>
        </w:tc>
        <w:tc>
          <w:tcPr>
            <w:tcW w:w="1134" w:type="dxa"/>
            <w:tcBorders>
              <w:top w:val="nil"/>
              <w:left w:val="nil"/>
              <w:bottom w:val="single" w:sz="4" w:space="0" w:color="auto"/>
              <w:right w:val="single" w:sz="4" w:space="0" w:color="auto"/>
            </w:tcBorders>
            <w:vAlign w:val="center"/>
          </w:tcPr>
          <w:p w14:paraId="7E827BD0" w14:textId="066C4C0B"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567" w:type="dxa"/>
            <w:tcBorders>
              <w:top w:val="nil"/>
              <w:left w:val="nil"/>
              <w:bottom w:val="single" w:sz="4" w:space="0" w:color="auto"/>
              <w:right w:val="single" w:sz="4" w:space="0" w:color="auto"/>
            </w:tcBorders>
            <w:noWrap/>
            <w:vAlign w:val="center"/>
          </w:tcPr>
          <w:p w14:paraId="6ED4E1A8" w14:textId="03ADF3D4"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7E7A1C" w:rsidRPr="003E2940" w14:paraId="2ED6CDDD"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9DA6EEE" w14:textId="29922675"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Ananthi B,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{"citationID":"rXMfWtyV","properties":{"formattedCitation":"(41)","plainCitation":"(41)","noteIndex":0},"citationItems":[{"id":465,"uris":["http://zotero.org/users/14157373/items/VJ9BCDHR"],"itemData":{"id":465,"type":"article-journal","abstract":"BACKGROUND: Concomitant infection of leptospirosis with dengue has been reported in places where these diseases are endemic and leptospirosis may be overlooked in such cases. Recognition of leptospirosis is especially important since antimicrobial agents can reduce its severity and duration. Failure to identify leptospirosis in these patients will result in high mortality rate for this infection. Hence this study was conducted to have a detailed knowledge and awareness about the concomitant infection of leptospirosis with dengue. MATERIALS AND METHODS: Patients admitted to the medical ward of Government General Hospital, Chennai with fever of ≥ 5days and of the age group twelve years and above were evaluated for leptospirosis by doing the screening test MSAT (Macroscopic Slide Agglutination Test). All patients who tested positive for MSAT were further confirmed by MAT (Microscopic Agglutination Test). Those patients who tested positive for leptospirosis were investigated for concomitant infection with dengue utilising IgM ELISA. Patients positive for both leptospirosis and dengue were taken up for the study and were evaluated for relevant clinical features and laboratory profile. RESULTS: 143 patients were found to be positive for leptospirosis and among them 4 (2.8%) patients were positive for the concomitant dengue infection. In the four concomitant infection patients, two were males and two were females, all in the age group of 20 to 30 years. Fever and myalgia were the predominant symptoms in these patients. Thrombocytopenia was seen in 3 (75%) patients. With fluid resuscitation, platelet transfusion, appropriate drug and supportive therapy all the four patients recovered. No mortality was observed in this study. CONCLUSION: Increased awareness of concomitant infection and an enhanced ability to diagnose it early in illness is necessary so that appropriate treatment and supportive measures can be given to reduce the morbidity and mortality. Leptospiral illness may be a significant component in patients with concomitant infections and hence it is essential to evaluate for leptospirosis in all","container-title":"Journal of Evolution of Medical and Dental Sciences","DOI":"10.14260/jemds/2014/2063","ISSN":"22784748, 22784802","issue":"8","journalAbbreviation":"jemds","page":"1823-1827","source":"Semantic Scholar","title":"CONCOMITANT INFECTION OF LEPTOSPIROSIS WITH DENGUE AT A TERTIARY CARE HOSPITAL IN CHENNAI","volume":"3","author":[{"family":"B","given":"Ananthi"},{"family":"G","given":"Sumathi"}],"issued":{"date-parts":[["2014",2,18]]}}}],"schema":"https://github.com/citation-style-language/schema/raw/master/csl-citation.json"}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(27)</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6DA1A03"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BDE77FB" w14:textId="5824D82E"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835" w:type="dxa"/>
            <w:tcBorders>
              <w:top w:val="nil"/>
              <w:left w:val="nil"/>
              <w:bottom w:val="single" w:sz="4" w:space="0" w:color="auto"/>
              <w:right w:val="single" w:sz="4" w:space="0" w:color="auto"/>
            </w:tcBorders>
            <w:vAlign w:val="center"/>
          </w:tcPr>
          <w:p w14:paraId="1886368D" w14:textId="2CF09009"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MSAT &amp; MAT (143)</w:t>
            </w:r>
          </w:p>
          <w:p w14:paraId="70AD91A7" w14:textId="6FE790E4" w:rsidR="007E7A1C" w:rsidRPr="003E2940" w:rsidRDefault="007E7A1C" w:rsidP="007E7A1C">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(4)</w:t>
            </w:r>
          </w:p>
        </w:tc>
        <w:tc>
          <w:tcPr>
            <w:tcW w:w="1134" w:type="dxa"/>
            <w:tcBorders>
              <w:top w:val="nil"/>
              <w:left w:val="nil"/>
              <w:bottom w:val="single" w:sz="4" w:space="0" w:color="auto"/>
              <w:right w:val="single" w:sz="4" w:space="0" w:color="auto"/>
            </w:tcBorders>
            <w:vAlign w:val="center"/>
          </w:tcPr>
          <w:p w14:paraId="4DB999B8" w14:textId="21AE7A95"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567" w:type="dxa"/>
            <w:tcBorders>
              <w:top w:val="nil"/>
              <w:left w:val="nil"/>
              <w:bottom w:val="single" w:sz="4" w:space="0" w:color="auto"/>
              <w:right w:val="single" w:sz="4" w:space="0" w:color="auto"/>
            </w:tcBorders>
            <w:noWrap/>
            <w:vAlign w:val="center"/>
          </w:tcPr>
          <w:p w14:paraId="644B10F7" w14:textId="3DA1746E"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7E7A1C" w:rsidRPr="003E2940" w14:paraId="76CBA077"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476D6671" w14:textId="43C9C132"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Dhanashree, B., 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{"citationID":"AstP8dOY","properties":{"formattedCitation":"(46)","plainCitation":"(46)","noteIndex":0},"citationItems":[{"id":492,"uris":["http://zotero.org/users/14157373/items/LINC8L4F"],"itemData":{"id":492,"type":"article-journal","abstract":"INTRODUCTION: Presentation of febrile illness with nonspecific features, overlapping manifestations of dengue and leptospirosis, limited laboratory diagnostic tests, make the clinical diagnosis of pyrexia a challenge. The present study aimed to determine the prevalence of Leptospira and dengue IgM co-infection among acute febrile illness patients.\nMETHODS: This is a retrospective hospital-based study which included patient data collected from June 2016 to May 2017. Inpatients' samples (n=2139) were tested for dengue and/or Leptospira IgM at the Microbiology Laboratory. Data like duration of fever, platelet count, hemoglobin, white blood cell count, erythrocyte sedimentation rate, results of liver and renal function tests, mode of treatment, were collected from medical records of laboratory-confirmed co-infection cases.\nRESULTS: Among 1612 serum samples tested for dengue IgM by ELISA, 382 (23.7%) were positive, 17 equivocal and 1213 were negative. Of the 811 Leptospira IgM ELISA done, 119 (14.7%) were positive, 17 equivocal and 675 negative. Two hundred eighty-four samples were tested for both infections and nine (3.2%) were positive for both and 275 were negative. These nine patients positive for dual infections showed elevated transaminases, alkaline phosphatase, serum bilirubin, creatinine, and blood urea, thrombocytopenia and leukocytosis. They received effective antibiotics along with supportive treatment and were cured of the infection.\nCONCLUSIONS: The study emphasizes the possibility of leptospirosis and dengue co-infection (3.2%) and need for confirmation by a highly specific test like PCR. If co-infection is suspected, treatment with specific antibiotics for leptospirosis and supportive treatment for dengue is mandatory, with due attention to complexity of organ involvement.","container-title":"Germs","DOI":"10.18683/germs.2021.1253","ISSN":"2248-2997","issue":"2","journalAbbreviation":"Germs","language":"eng","note":"PMID: 34422688\nPMCID: PMC8373406","page":"155-162","source":"PubMed","title":"Seropositivity for dengue and Leptospira IgM among patients with acute febrile illness: an indicator of co-infection?","title-short":"Seropositivity for dengue and Leptospira IgM among patients with acute febrile illness","volume":"11","author":[{"family":"Dhanashree","given":"Biranthabail"},{"family":"Shenoy","given":"Shalini"}],"issued":{"date-parts":[["2021",6]]}}}],"schema":"https://github.com/citation-style-language/schema/raw/master/csl-citation.json"}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(19)</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nil"/>
              <w:left w:val="nil"/>
              <w:bottom w:val="single" w:sz="4" w:space="0" w:color="auto"/>
              <w:right w:val="single" w:sz="4" w:space="0" w:color="auto"/>
            </w:tcBorders>
            <w:vAlign w:val="center"/>
          </w:tcPr>
          <w:p w14:paraId="2E056A97"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20D6EB03"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7002A8DB"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114C070"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w:t>
            </w:r>
          </w:p>
          <w:p w14:paraId="04274B4D"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B, C, E</w:t>
            </w:r>
          </w:p>
          <w:p w14:paraId="72808ECE"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p w14:paraId="4AFFEB1F" w14:textId="48F359C4"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835" w:type="dxa"/>
            <w:tcBorders>
              <w:top w:val="nil"/>
              <w:left w:val="nil"/>
              <w:bottom w:val="single" w:sz="4" w:space="0" w:color="auto"/>
              <w:right w:val="single" w:sz="4" w:space="0" w:color="auto"/>
            </w:tcBorders>
            <w:vAlign w:val="center"/>
          </w:tcPr>
          <w:p w14:paraId="3AC78174"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(119)</w:t>
            </w:r>
          </w:p>
          <w:p w14:paraId="12BE2366"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(9)</w:t>
            </w:r>
          </w:p>
          <w:p w14:paraId="2360B4E2"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5007F7C0" w14:textId="133C0966"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Serology for HIV, </w:t>
            </w:r>
            <w:r w:rsidRPr="003E2940">
              <w:rPr>
                <w:rFonts w:ascii="Times New Roman" w:eastAsia="Times New Roman" w:hAnsi="Times New Roman" w:cs="Times New Roman"/>
                <w:kern w:val="0"/>
                <w:sz w:val="18"/>
                <w:szCs w:val="18"/>
                <w:lang w:eastAsia="en-IN"/>
                <w14:ligatures w14:val="none"/>
              </w:rPr>
              <w:br/>
              <w:t>Hepatitis B, C, E</w:t>
            </w:r>
          </w:p>
          <w:p w14:paraId="5CB85CB0"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56EBD795" w14:textId="27C8A0E8" w:rsidR="007E7A1C" w:rsidRPr="003E2940" w:rsidRDefault="007E7A1C" w:rsidP="007E7A1C">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Weil-Felix test</w:t>
            </w:r>
          </w:p>
        </w:tc>
        <w:tc>
          <w:tcPr>
            <w:tcW w:w="1134" w:type="dxa"/>
            <w:tcBorders>
              <w:top w:val="nil"/>
              <w:left w:val="nil"/>
              <w:bottom w:val="single" w:sz="4" w:space="0" w:color="auto"/>
              <w:right w:val="single" w:sz="4" w:space="0" w:color="auto"/>
            </w:tcBorders>
            <w:vAlign w:val="center"/>
          </w:tcPr>
          <w:p w14:paraId="30BA485F" w14:textId="56D1BD5F"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1567" w:type="dxa"/>
            <w:tcBorders>
              <w:top w:val="nil"/>
              <w:left w:val="nil"/>
              <w:bottom w:val="single" w:sz="4" w:space="0" w:color="auto"/>
              <w:right w:val="single" w:sz="4" w:space="0" w:color="auto"/>
            </w:tcBorders>
            <w:noWrap/>
            <w:vAlign w:val="center"/>
          </w:tcPr>
          <w:p w14:paraId="757724CC" w14:textId="475ABE3A"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7E7A1C" w:rsidRPr="003E2940" w14:paraId="5FF3DE9D"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469A18E0" w14:textId="79CF2260"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Sachu A., 2018 (4)</w:t>
            </w:r>
          </w:p>
        </w:tc>
        <w:tc>
          <w:tcPr>
            <w:tcW w:w="2268" w:type="dxa"/>
            <w:tcBorders>
              <w:top w:val="nil"/>
              <w:left w:val="nil"/>
              <w:bottom w:val="single" w:sz="4" w:space="0" w:color="auto"/>
              <w:right w:val="single" w:sz="4" w:space="0" w:color="auto"/>
            </w:tcBorders>
            <w:vAlign w:val="center"/>
          </w:tcPr>
          <w:p w14:paraId="1A66B24A"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20B9216B" w14:textId="70D28CA2"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835" w:type="dxa"/>
            <w:tcBorders>
              <w:top w:val="nil"/>
              <w:left w:val="nil"/>
              <w:bottom w:val="single" w:sz="4" w:space="0" w:color="auto"/>
              <w:right w:val="single" w:sz="4" w:space="0" w:color="auto"/>
            </w:tcBorders>
            <w:vAlign w:val="center"/>
          </w:tcPr>
          <w:p w14:paraId="586A1531"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(193)</w:t>
            </w:r>
          </w:p>
          <w:p w14:paraId="7943C9C1" w14:textId="78BBD9D4" w:rsidR="007E7A1C" w:rsidRPr="003E2940" w:rsidRDefault="007E7A1C" w:rsidP="007E7A1C">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(33)</w:t>
            </w:r>
          </w:p>
        </w:tc>
        <w:tc>
          <w:tcPr>
            <w:tcW w:w="1134" w:type="dxa"/>
            <w:tcBorders>
              <w:top w:val="nil"/>
              <w:left w:val="nil"/>
              <w:bottom w:val="single" w:sz="4" w:space="0" w:color="auto"/>
              <w:right w:val="single" w:sz="4" w:space="0" w:color="auto"/>
            </w:tcBorders>
            <w:vAlign w:val="center"/>
          </w:tcPr>
          <w:p w14:paraId="389FE0AF" w14:textId="59A0A2D5"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687B5EE1" w14:textId="0293B94C"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7E7A1C" w:rsidRPr="003E2940" w14:paraId="2FDF70A7"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4B018F28" w14:textId="48D2CDE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Chaudhry R, 2017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{"citationID":"L9lUcPaV","properties":{"formattedCitation":"(65)","plainCitation":"(65)","noteIndex":0},"citationItems":[{"id":627,"uris":["http://zotero.org/users/14157373/items/F2DA9J4E"],"itemData":{"id":627,"type":"article-journal","abstract":"Leptospirosis has been recognised as an emerging global public health problem. The aim of our study was to explore the epidemiological and clinical pattern of disease occurrence in suspected cases and to search for any existing co-infections. Ours was a retrospective study in patients with acute febrile illness in north India over a period of three years (April 2011 to June 2014). Serological diagnosis of leptospirosis was made using the PanBio IgM ELISA kit. Using modified Faine’s criteria, presumptive and possible diagnosis was made in 57% and 34% cases, respectively. Most of the affected population was resident in north and central India. Nineteen patients showed co-infection with other common pathogens prevailing locally. There is a need to increase awareness and understand the local sero-epidemiological pattern of leptospirosis so that timely preventive and curative action may be taken by healthcare authorities.","container-title":"Tropical Doctor","DOI":"10.1177/0049475516687431","ISSN":"0049-4755","issue":"2","journalAbbreviation":"Trop Doct","language":"EN","note":"publisher: SAGE Publications","page":"128-132","source":"SAGE Journals","title":"Varied presentations of leptospirosis: experience from a tertiary care hospital in north India","title-short":"Varied presentations of leptospirosis","volume":"47","author":[{"family":"Chaudhry","given":"Rama"},{"family":"Saigal","given":"Karnika"},{"family":"Bahadur","given":"Tej"},{"family":"Kant","given":"Kamla"},{"family":"Chourasia","given":"Bishwanath"},{"family":"Gupta","given":"Nitin"}],"issued":{"date-parts":[["2017",4,1]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(28)</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5A31E897" w14:textId="77777777" w:rsidR="007E7A1C" w:rsidRPr="003E2940" w:rsidRDefault="007E7A1C" w:rsidP="007E7A1C">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47B4C23F" w14:textId="77777777" w:rsidR="007E7A1C" w:rsidRPr="003E2940" w:rsidRDefault="007E7A1C" w:rsidP="007E7A1C">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w:t>
            </w:r>
          </w:p>
          <w:p w14:paraId="7C8CB91C" w14:textId="77777777" w:rsidR="007E7A1C" w:rsidRPr="003E2940" w:rsidRDefault="007E7A1C" w:rsidP="007E7A1C">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3DA6594A" w14:textId="77777777" w:rsidR="007E7A1C" w:rsidRPr="003E2940" w:rsidRDefault="007E7A1C" w:rsidP="007E7A1C">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p w14:paraId="15DDCE25" w14:textId="31BC37F0"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Scrub typhus</w:t>
            </w:r>
          </w:p>
        </w:tc>
        <w:tc>
          <w:tcPr>
            <w:tcW w:w="2835" w:type="dxa"/>
            <w:tcBorders>
              <w:top w:val="nil"/>
              <w:left w:val="nil"/>
              <w:bottom w:val="single" w:sz="4" w:space="0" w:color="auto"/>
              <w:right w:val="single" w:sz="4" w:space="0" w:color="auto"/>
            </w:tcBorders>
            <w:vAlign w:val="center"/>
          </w:tcPr>
          <w:p w14:paraId="1CBAB3AD"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(144)</w:t>
            </w:r>
          </w:p>
          <w:p w14:paraId="418BC43F"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(5)</w:t>
            </w:r>
          </w:p>
          <w:p w14:paraId="29F47AE8"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(1)</w:t>
            </w:r>
          </w:p>
          <w:p w14:paraId="231BDDD7"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ICT, QBC</w:t>
            </w:r>
          </w:p>
          <w:p w14:paraId="7F1A467C"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 (9)</w:t>
            </w:r>
          </w:p>
          <w:p w14:paraId="793A2865" w14:textId="2E0F0AE5" w:rsidR="007E7A1C" w:rsidRPr="003E2940" w:rsidRDefault="007E7A1C" w:rsidP="007E7A1C">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w:t>
            </w:r>
          </w:p>
        </w:tc>
        <w:tc>
          <w:tcPr>
            <w:tcW w:w="1134" w:type="dxa"/>
            <w:tcBorders>
              <w:top w:val="nil"/>
              <w:left w:val="nil"/>
              <w:bottom w:val="single" w:sz="4" w:space="0" w:color="auto"/>
              <w:right w:val="single" w:sz="4" w:space="0" w:color="auto"/>
            </w:tcBorders>
            <w:vAlign w:val="center"/>
          </w:tcPr>
          <w:p w14:paraId="472CAB6B" w14:textId="1221B2CF"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31D56AD8"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6370AA6C"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p>
          <w:p w14:paraId="7446D5C9"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5C847714"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17B9041C" w14:textId="60D92C3B"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tc>
      </w:tr>
      <w:tr w:rsidR="007E7A1C" w:rsidRPr="003E2940" w14:paraId="5D2DE0B0"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7393EB83" w14:textId="33798B4F"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Ravindar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{"citationID":"NiLVcRFr","properties":{"formattedCitation":"(68)","plainCitation":"(68)","noteIndex":0},"citationItems":[{"id":150,"uris":["http://zotero.org/users/14157373/items/5BVDY2Y5"],"itemData":{"id":150,"type":"webpage","title":"Co-infection of dengue and leptospirosis in patients presenting to a tertiary care hospital with acute febrile illness: A cross-sectional study - Record details - Embase","URL":"https://www.embase.com/records?subaction=viewrecord&amp;rid=1&amp;page=1&amp;id=L622392197","accessed":{"date-parts":[["2024",5,24]]}}}],"schema":"https://github.com/citation-style-language/schema/raw/master/csl-citation.json"}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58E21A8F"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7521B703"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p>
          <w:p w14:paraId="2976F0D7"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3024098"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p>
          <w:p w14:paraId="0CBEF39C"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1874F4EB"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(8)</w:t>
            </w:r>
          </w:p>
          <w:p w14:paraId="59E48BD9"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PCR (10)</w:t>
            </w:r>
          </w:p>
          <w:p w14:paraId="2FD5F1AE"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(15) &amp; IgG ELISA (8)</w:t>
            </w:r>
          </w:p>
          <w:p w14:paraId="3DA55EA0" w14:textId="77777777"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NS1Ag ELISA (22)</w:t>
            </w:r>
          </w:p>
          <w:p w14:paraId="14945442" w14:textId="0C2C05BB" w:rsidR="007E7A1C" w:rsidRPr="003E2940" w:rsidRDefault="007E7A1C" w:rsidP="007E7A1C">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RT-PCR</w:t>
            </w:r>
          </w:p>
        </w:tc>
        <w:tc>
          <w:tcPr>
            <w:tcW w:w="1134" w:type="dxa"/>
            <w:tcBorders>
              <w:top w:val="nil"/>
              <w:left w:val="nil"/>
              <w:bottom w:val="single" w:sz="4" w:space="0" w:color="auto"/>
              <w:right w:val="single" w:sz="4" w:space="0" w:color="auto"/>
            </w:tcBorders>
            <w:vAlign w:val="center"/>
          </w:tcPr>
          <w:p w14:paraId="19711E61" w14:textId="0FE4961A"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1567" w:type="dxa"/>
            <w:tcBorders>
              <w:top w:val="nil"/>
              <w:left w:val="nil"/>
              <w:bottom w:val="single" w:sz="4" w:space="0" w:color="auto"/>
              <w:right w:val="single" w:sz="4" w:space="0" w:color="auto"/>
            </w:tcBorders>
            <w:noWrap/>
            <w:vAlign w:val="center"/>
          </w:tcPr>
          <w:p w14:paraId="23A71DC5" w14:textId="4F5F1BA4" w:rsidR="007E7A1C" w:rsidRPr="003E2940" w:rsidRDefault="007E7A1C" w:rsidP="007E7A1C">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C65005" w:rsidRPr="003E2940" w14:paraId="5CF29EC2"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4C91D6AD" w14:textId="20BB530D"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Chaudhry R,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{"citationID":"mOr0oHKr","properties":{"formattedCitation":"(25)","plainCitation":"(25)","noteIndex":0},"citationItems":[{"id":633,"uris":["http://zotero.org/users/14157373/items/UX72RWAI"],"itemData":{"id":633,"type":"article-journal","abstract":"Background &amp; objectives:\nLeptospirosis, a spirochetal zoonosis, is underreported from the northern States of India. This study reports results of a 10-year retrospective sero-epidemiological survey of leptospirosis conducted in a tertiary care hospital in New Delhi, India.\n\nMethod:\nA total of 1453 patients clinically suspected for leptospirosis were included and investigated initially by IgM ELISA. A proportion of these were subjected to culture, microscopic agglutination test (MAT) and polymerase chain reaction (PCR).\n\nResults:\nOf the 1453 patients, 391 (26.90%) were positive serologically by IgM ELISA. Seropositive and seronegative patients revealed no significant difference in clinical features and laboratory parameters. Amongst the IgM seropositive cases, culture for leptospires was positive in 5 of 192 (2.6%), MAT in 50 of 138 (36.23%), PCR from blood and urine in 10 of 115 (8.7%) and 10 of 38 (26.31%) cases, respectively. In Leptospira spp. positive patients co-infections with viral hepatitis E, malaria and dengue fever were diagnosed in 27 cases.\n\nInterpretation &amp; conclusions:\nThe overall seropositivity for leptospirosis was 26.9 per cent in our study. A decreasing trend in seropositivity was observed in recent years. Co-infections with malaria, dengue, hepatitis A and E were also seen. Since leptospirosis is a treatable disease, correct and rapid diagnosis may help in effective management of patients.","container-title":"The Indian Journal of Medical Research","ISSN":"0971-5916","issue":"4","journalAbbreviation":"Indian J Med Res","note":"PMID: 23703348\nPMCID: PMC3724261","page":"785-790","source":"PubMed Central","title":"Serological &amp; molecular approaches for diagnosis of leptospirosis in a tertiary care hospital in north India: A 10-year study","title-short":"Serological &amp; molecular approaches for diagnosis of leptospirosis in a tertiary care hospital in north India","volume":"137","author":[{"family":"Chaudhry","given":"R."},{"family":"Das","given":"A."},{"family":"Premlatha","given":"M.M."},{"family":"Choudhary","given":"A."},{"family":"Chourasia","given":"B.K."},{"family":"Chandel","given":"D.S."},{"family":"Dey","given":"A.B."}],"issued":{"date-parts":[["2013",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4D6DD66A"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09C77F4C" w14:textId="77777777" w:rsidR="00C65005" w:rsidRPr="003E2940" w:rsidRDefault="00C65005" w:rsidP="00C65005">
            <w:pPr>
              <w:spacing w:after="0" w:line="240" w:lineRule="auto"/>
              <w:jc w:val="center"/>
              <w:rPr>
                <w:rFonts w:ascii="Times New Roman" w:hAnsi="Times New Roman" w:cs="Times New Roman"/>
                <w:sz w:val="18"/>
                <w:szCs w:val="18"/>
              </w:rPr>
            </w:pPr>
          </w:p>
          <w:p w14:paraId="456B3178" w14:textId="77777777" w:rsidR="00C65005" w:rsidRPr="003E2940" w:rsidRDefault="00C65005" w:rsidP="00C65005">
            <w:pPr>
              <w:spacing w:after="0" w:line="240" w:lineRule="auto"/>
              <w:jc w:val="center"/>
              <w:rPr>
                <w:rFonts w:ascii="Times New Roman" w:hAnsi="Times New Roman" w:cs="Times New Roman"/>
                <w:sz w:val="18"/>
                <w:szCs w:val="18"/>
              </w:rPr>
            </w:pPr>
          </w:p>
          <w:p w14:paraId="3C559E89"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3BAFD4B9"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638086B6" w14:textId="77777777" w:rsidR="00C65005" w:rsidRPr="003E2940" w:rsidRDefault="00C65005" w:rsidP="00C65005">
            <w:pPr>
              <w:spacing w:after="0" w:line="240" w:lineRule="auto"/>
              <w:jc w:val="center"/>
              <w:rPr>
                <w:rFonts w:ascii="Times New Roman" w:hAnsi="Times New Roman" w:cs="Times New Roman"/>
                <w:sz w:val="18"/>
                <w:szCs w:val="18"/>
              </w:rPr>
            </w:pPr>
          </w:p>
          <w:p w14:paraId="11E57E79" w14:textId="54BCD539"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Hepatitis A, E Virus</w:t>
            </w:r>
          </w:p>
        </w:tc>
        <w:tc>
          <w:tcPr>
            <w:tcW w:w="2835" w:type="dxa"/>
            <w:tcBorders>
              <w:top w:val="nil"/>
              <w:left w:val="nil"/>
              <w:bottom w:val="single" w:sz="4" w:space="0" w:color="auto"/>
              <w:right w:val="single" w:sz="4" w:space="0" w:color="auto"/>
            </w:tcBorders>
            <w:vAlign w:val="center"/>
          </w:tcPr>
          <w:p w14:paraId="6B4CD521"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 xml:space="preserve">Leptospira </w:t>
            </w:r>
            <w:r w:rsidRPr="003E2940">
              <w:rPr>
                <w:rFonts w:ascii="Times New Roman" w:eastAsia="Times New Roman" w:hAnsi="Times New Roman" w:cs="Times New Roman"/>
                <w:kern w:val="0"/>
                <w:sz w:val="18"/>
                <w:szCs w:val="18"/>
                <w:lang w:eastAsia="en-IN"/>
                <w14:ligatures w14:val="none"/>
              </w:rPr>
              <w:t>IgM ELISA (391)</w:t>
            </w:r>
          </w:p>
          <w:p w14:paraId="7D9942A1"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MAT (50), </w:t>
            </w: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PCR (10)</w:t>
            </w:r>
          </w:p>
          <w:p w14:paraId="7B9E0D33"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&amp; Urine culture (5)</w:t>
            </w:r>
          </w:p>
          <w:p w14:paraId="796D6153"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(7)</w:t>
            </w:r>
          </w:p>
          <w:p w14:paraId="743B9A78"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2DA1EE66"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ICT, QBC</w:t>
            </w:r>
          </w:p>
          <w:p w14:paraId="2C319058" w14:textId="38437BD3" w:rsidR="00C65005" w:rsidRPr="003E2940" w:rsidRDefault="00C65005" w:rsidP="00C65005">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IgM ELISA for Hepatitis A, E (15)</w:t>
            </w:r>
          </w:p>
        </w:tc>
        <w:tc>
          <w:tcPr>
            <w:tcW w:w="1134" w:type="dxa"/>
            <w:tcBorders>
              <w:top w:val="nil"/>
              <w:left w:val="nil"/>
              <w:bottom w:val="single" w:sz="4" w:space="0" w:color="auto"/>
              <w:right w:val="single" w:sz="4" w:space="0" w:color="auto"/>
            </w:tcBorders>
            <w:vAlign w:val="center"/>
          </w:tcPr>
          <w:p w14:paraId="047B5624" w14:textId="0FF20D0C"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1567" w:type="dxa"/>
            <w:tcBorders>
              <w:top w:val="nil"/>
              <w:left w:val="nil"/>
              <w:bottom w:val="single" w:sz="4" w:space="0" w:color="auto"/>
              <w:right w:val="single" w:sz="4" w:space="0" w:color="auto"/>
            </w:tcBorders>
            <w:noWrap/>
            <w:vAlign w:val="center"/>
          </w:tcPr>
          <w:p w14:paraId="53EB2C19"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00079167"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p>
          <w:p w14:paraId="3D61D97C"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AA45236" w14:textId="6DE1454F"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w:t>
            </w:r>
          </w:p>
        </w:tc>
      </w:tr>
      <w:tr w:rsidR="00C65005" w:rsidRPr="003E2940" w14:paraId="352EDC55"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3C88C51" w14:textId="491F009E"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Husain U,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{"citationID":"nXprZLtO","properties":{"formattedCitation":"(66)","plainCitation":"(66)","noteIndex":0},"citationItems":[{"id":134,"uris":["http://zotero.org/users/14157373/items/98PLWTBA"],"itemData":{"id":134,"type":"article-journal","abstract":"The diagnosis of Scrub Typhus is now improving with the availability of an array of serological tests at the majority of diagnostic centres and of molecular tests at advanced laboratories. Our study focuses on evaluating the spectrum of Scrub Typhus and its coinfection with Leptospirosis in patients presenting with acute febrile illness. A total of 1743 blood samples were collected from both In and Out Patient Department (OPD) patients and analyzed for anti Orientia tsutsugamushi and anti-Leptospira IgM antibodies. Our study showed the presence of Scrub Typhus IgM antibodies in 20.7% of all the cases of acute febrile illness. We also found an interesting correlation of Scrub Typhus with Leptospirosis owing to the presence of co-infection in 8.4% of Scrub Typhus cases paving a way for future research in this regard.","container-title":"Tropical Doctor","DOI":"10.1177/00494755221077744","ISSN":"1758-1133","issue":"2","journalAbbreviation":"Trop Doct","language":"eng","note":"PMID: 35164614","page":"302-303","source":"PubMed","title":"Scrub Typhus and its co-infection with Leptospirosis at a tertiary care hospital in Uttar Pradesh","volume":"52","author":[{"family":"Husain","given":"Uneza"},{"family":"Kalyan","given":"Raj Kumar"},{"family":"Jahan","given":"Asmat"},{"family":"Gupta","given":"Kamlesh Kumar"},{"family":"Verma","given":"Sanjeev Kumar"}],"issued":{"date-parts":[["2022",4]]}}}],"schema":"https://github.com/citation-style-language/schema/raw/master/csl-citation.json"}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(37)</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4567819E"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Leptospirosis </w:t>
            </w:r>
          </w:p>
          <w:p w14:paraId="1FBBFD3C" w14:textId="2EE46A88"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Scrub typhus</w:t>
            </w:r>
          </w:p>
        </w:tc>
        <w:tc>
          <w:tcPr>
            <w:tcW w:w="2835" w:type="dxa"/>
            <w:tcBorders>
              <w:top w:val="nil"/>
              <w:left w:val="nil"/>
              <w:bottom w:val="single" w:sz="4" w:space="0" w:color="auto"/>
              <w:right w:val="single" w:sz="4" w:space="0" w:color="auto"/>
            </w:tcBorders>
            <w:vAlign w:val="center"/>
          </w:tcPr>
          <w:p w14:paraId="0BD7BEF9"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(23)</w:t>
            </w:r>
          </w:p>
          <w:p w14:paraId="09EE994D" w14:textId="6EC60895" w:rsidR="00C65005" w:rsidRPr="003E2940" w:rsidRDefault="00C65005" w:rsidP="00C65005">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 (361)</w:t>
            </w:r>
          </w:p>
        </w:tc>
        <w:tc>
          <w:tcPr>
            <w:tcW w:w="1134" w:type="dxa"/>
            <w:tcBorders>
              <w:top w:val="nil"/>
              <w:left w:val="nil"/>
              <w:bottom w:val="single" w:sz="4" w:space="0" w:color="auto"/>
              <w:right w:val="single" w:sz="4" w:space="0" w:color="auto"/>
            </w:tcBorders>
            <w:vAlign w:val="center"/>
          </w:tcPr>
          <w:p w14:paraId="217BE2C9" w14:textId="3E4429D3"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28B7FB42" w14:textId="58055A7E"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C65005" w:rsidRPr="003E2940" w14:paraId="32FC539A"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1F56E51F" w14:textId="5363E1D5"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Kammili N,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{"citationID":"q6e4EcQt","properties":{"formattedCitation":"(64)","plainCitation":"(64)","noteIndex":0},"citationItems":[{"id":620,"uris":["http://zotero.org/users/14157373/items/HNW9375C"],"itemData":{"id":620,"type":"article-journal","abstract":"Dengue fever , scrub typhus ,chikungunya and leptospirosis are common infections in Asia that often present as acute febrile illness of unclear aetiology. Though dengue fever is often considered and investigated by the physicians in all such cases, other infections are often ignored . There is a need to investigate for scrub typhus which is a re-emerging disease in India. The present pilot study was undertaken to elucidate etiology of acute undifferentiated fevers and prevalence of scrub typhus among these patients admitted to the tertiary care hospital. Among the 100 patients studied ,39 samples were positive for dengue serology ,19 were found to be positive for antibodies to Orientia Tsusugamushi by Rapid immuno chromatography and","container-title":"Journal of Evolution of Medical and Dental Sciences","DOI":"10.14260/jemds/595","ISSN":"22784748, 22784802","issue":"16","journalAbbreviation":"jemds","page":"2661-2664","source":"Semantic Scholar","title":"PREVALENCE OF SCRUB TYPHUS AMONG ACUTE UNDIFFERENTIATED FEBRILE ILLNESS CASES PROVISIONALLY DIAGNOSED AS DENGUE FEVER","volume":"2","author":[{"family":"Kammili","given":"Nagamani"},{"family":"A","given":"Swathi"},{"family":"Devara","given":"Sudha Madhuri"},{"family":"P.R.","given":"Anuradha"}],"issued":{"date-parts":[["2013",4,20]]}}}],"schema":"https://github.com/citation-style-language/schema/raw/master/csl-citation.json"}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(35)</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39DB92ED"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37A0732D"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Dengue</w:t>
            </w:r>
          </w:p>
          <w:p w14:paraId="216F6076" w14:textId="77777777" w:rsidR="00C65005" w:rsidRPr="003E2940" w:rsidRDefault="00C65005" w:rsidP="00C65005">
            <w:pPr>
              <w:spacing w:after="0" w:line="240" w:lineRule="auto"/>
              <w:jc w:val="center"/>
              <w:rPr>
                <w:rFonts w:ascii="Times New Roman" w:hAnsi="Times New Roman" w:cs="Times New Roman"/>
                <w:sz w:val="18"/>
                <w:szCs w:val="18"/>
              </w:rPr>
            </w:pPr>
          </w:p>
          <w:p w14:paraId="48D463E9"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w:t>
            </w:r>
          </w:p>
          <w:p w14:paraId="1709C1B5"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p w14:paraId="6C58EAFB"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2A3BA229" w14:textId="77777777" w:rsidR="00C65005" w:rsidRPr="003E2940" w:rsidRDefault="00C65005" w:rsidP="00C65005">
            <w:pPr>
              <w:spacing w:after="0" w:line="240" w:lineRule="auto"/>
              <w:jc w:val="center"/>
              <w:rPr>
                <w:rFonts w:ascii="Times New Roman" w:hAnsi="Times New Roman" w:cs="Times New Roman"/>
                <w:sz w:val="18"/>
                <w:szCs w:val="18"/>
              </w:rPr>
            </w:pPr>
          </w:p>
          <w:p w14:paraId="4CC8C5DA"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w:t>
            </w:r>
          </w:p>
          <w:p w14:paraId="63A09367"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4D5B168F"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Leptospira</w:t>
            </w:r>
            <w:r w:rsidRPr="003E2940">
              <w:rPr>
                <w:rFonts w:ascii="Times New Roman" w:hAnsi="Times New Roman" w:cs="Times New Roman"/>
                <w:sz w:val="18"/>
                <w:szCs w:val="18"/>
              </w:rPr>
              <w:t xml:space="preserve"> IgM ELISA (12)</w:t>
            </w:r>
          </w:p>
          <w:p w14:paraId="3A7D4809"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IgM &amp; IgG ELISA, Dengue NS1Ag (39)</w:t>
            </w:r>
          </w:p>
          <w:p w14:paraId="7341642C"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 MAC ELISA (4)</w:t>
            </w:r>
          </w:p>
          <w:p w14:paraId="2EACE332"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Widal test (1),</w:t>
            </w:r>
          </w:p>
          <w:p w14:paraId="3994CEB4"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RDT – Malaria P.v/P.f (7)</w:t>
            </w:r>
          </w:p>
          <w:p w14:paraId="1CCAAB8E"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Weil Felix (19),</w:t>
            </w:r>
          </w:p>
          <w:p w14:paraId="2243B8A7" w14:textId="26242A19" w:rsidR="00C65005" w:rsidRPr="003E2940" w:rsidRDefault="00C65005" w:rsidP="00C65005">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hAnsi="Times New Roman" w:cs="Times New Roman"/>
                <w:sz w:val="18"/>
                <w:szCs w:val="18"/>
              </w:rPr>
              <w:t xml:space="preserve">Scrub typhus IgM (19) &amp; </w:t>
            </w:r>
            <w:r w:rsidRPr="003E2940">
              <w:rPr>
                <w:rFonts w:ascii="Times New Roman" w:hAnsi="Times New Roman" w:cs="Times New Roman"/>
                <w:sz w:val="18"/>
                <w:szCs w:val="18"/>
              </w:rPr>
              <w:br/>
              <w:t>IgG ELISA, ICT</w:t>
            </w:r>
          </w:p>
        </w:tc>
        <w:tc>
          <w:tcPr>
            <w:tcW w:w="1134" w:type="dxa"/>
            <w:tcBorders>
              <w:top w:val="nil"/>
              <w:left w:val="nil"/>
              <w:bottom w:val="single" w:sz="4" w:space="0" w:color="auto"/>
              <w:right w:val="single" w:sz="4" w:space="0" w:color="auto"/>
            </w:tcBorders>
            <w:vAlign w:val="center"/>
          </w:tcPr>
          <w:p w14:paraId="1B0F972B" w14:textId="546FCDCF"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1567" w:type="dxa"/>
            <w:tcBorders>
              <w:top w:val="nil"/>
              <w:left w:val="nil"/>
              <w:bottom w:val="single" w:sz="4" w:space="0" w:color="auto"/>
              <w:right w:val="single" w:sz="4" w:space="0" w:color="auto"/>
            </w:tcBorders>
            <w:noWrap/>
            <w:vAlign w:val="center"/>
          </w:tcPr>
          <w:p w14:paraId="4026FE73" w14:textId="60375809"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C65005" w:rsidRPr="003E2940" w14:paraId="39F05A6E"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1A641ED" w14:textId="0E8BAA62"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Pandey S,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{"citationID":"6p3SIged","properties":{"formattedCitation":"(67)","plainCitation":"(67)","noteIndex":0},"citationItems":[{"id":631,"uris":["http://zotero.org/users/14157373/items/8DN955Y6"],"itemData":{"id":631,"type":"article-journal","abstract":"INTRODUCTION: Co-infection with different agents such as bacterial, viral, and Rickettsia is being increasingly recognized due to greater availability and utilization of the diagnostic tests among malaria patients.\nMETHODS: Consecutive admitted malarial cases were included and were subjected to test for general investigations, bacteria, typhoid, dengue, chikungunya, and rest for specific diagnosis. All patients were followed up till discharge or death and appropriate statistical tests were performed.\nRESULTS: A total of 152 malaria patients were recruited and 27 (18.8%) had concurrent infections. It included 40.7% dengue only, 18.7% pneumonia, 11.1% urinary tract infection (UTI), 7.4% enteric fever, 3.7% leptospirosis, chikungunya, and tuberculous meningitis each, and 3.7% each of dengue with pneumonia and UTI. The organisms isolated were Streptococcus pneumoniae, Klebsiella pneumoniae, Escherichia coli, Salmonella typhi, and Mycobacterium tuberculosis. The mean duration of fever was 6.33 ± 3.63 days with a range of 3-20 days. Blood culture grew in 2 cases S. typhi and K. pneumonia,e. Dengue co-infections had significantly higher clinical and laboratory features of dengue and complications such as bleeding, jaundice, and cholecystitis, whereas rest concurrent infections had a significantly higher proportion of nausea and vomiting, convulsion, altered sensorium, productive cough, urinary symptoms, shock, acute kidney injury, anemia, and mean neutrophil count. There was significantly higher mortality among malaria-dengue concurrent infection group with 2 (15.4%) than malaria mono-infection group 3 (2.4%).\nCONCLUSION: Co-infections with malaria are not uncommon, especially dengue fever and other bacterial infections. The dominant clinical picture is of the superimposed infection. Decision should be clinically guided adjunct with specific diagnostic tests, and timely treatment has favorable outcome.","container-title":"Journal of Global Infectious Diseases","DOI":"10.4103/jgid.jgid_279_21","ISSN":"0974-777X","issue":"2","journalAbbreviation":"J Glob Infect Dis","language":"eng","note":"PMID: 35910822\nPMCID: PMC9336604","page":"57-63","source":"PubMed","title":"Outcome of Adult Malarial Co-infections in Eastern India","volume":"14","author":[{"family":"Pandey","given":"Saurabh"},{"family":"Rai","given":"Priyanka"},{"family":"Guha","given":"Subhasish Kamal"},{"family":"Maji","given":"Ardhendu"},{"family":"Ghosh","given":"Subir"},{"family":"Halder","given":"Prantiki"},{"family":"Gupta","given":"Manoj Kumar"},{"family":"Halder","given":"Soumen Nath"},{"family":"Modak","given":"Dolanchampa"}],"issued":{"date-parts":[["2022"]]}}}],"schema":"https://github.com/citation-style-language/schema/raw/master/csl-citation.json"}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(38)</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1F142DEC"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643272AD"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Dengue</w:t>
            </w:r>
          </w:p>
          <w:p w14:paraId="7E663CAC" w14:textId="77777777" w:rsidR="00C65005" w:rsidRPr="003E2940" w:rsidRDefault="00C65005" w:rsidP="00C65005">
            <w:pPr>
              <w:spacing w:after="0" w:line="240" w:lineRule="auto"/>
              <w:jc w:val="center"/>
              <w:rPr>
                <w:rFonts w:ascii="Times New Roman" w:hAnsi="Times New Roman" w:cs="Times New Roman"/>
                <w:sz w:val="18"/>
                <w:szCs w:val="18"/>
              </w:rPr>
            </w:pPr>
          </w:p>
          <w:p w14:paraId="33328CEB"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w:t>
            </w:r>
          </w:p>
          <w:p w14:paraId="3554E5B8"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p w14:paraId="14FD8F39" w14:textId="77777777" w:rsidR="00C65005" w:rsidRPr="003E2940" w:rsidRDefault="00C65005" w:rsidP="00C65005">
            <w:pPr>
              <w:spacing w:after="0" w:line="240" w:lineRule="auto"/>
              <w:jc w:val="center"/>
              <w:rPr>
                <w:rFonts w:ascii="Times New Roman" w:hAnsi="Times New Roman" w:cs="Times New Roman"/>
                <w:sz w:val="18"/>
                <w:szCs w:val="18"/>
              </w:rPr>
            </w:pPr>
          </w:p>
          <w:p w14:paraId="523BEDE6" w14:textId="5E6C4D34"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tc>
        <w:tc>
          <w:tcPr>
            <w:tcW w:w="2835" w:type="dxa"/>
            <w:tcBorders>
              <w:top w:val="nil"/>
              <w:left w:val="nil"/>
              <w:bottom w:val="single" w:sz="4" w:space="0" w:color="auto"/>
              <w:right w:val="single" w:sz="4" w:space="0" w:color="auto"/>
            </w:tcBorders>
            <w:vAlign w:val="center"/>
          </w:tcPr>
          <w:p w14:paraId="7BDAB960"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Leptospira</w:t>
            </w:r>
            <w:r w:rsidRPr="003E2940">
              <w:rPr>
                <w:rFonts w:ascii="Times New Roman" w:hAnsi="Times New Roman" w:cs="Times New Roman"/>
                <w:sz w:val="18"/>
                <w:szCs w:val="18"/>
              </w:rPr>
              <w:t xml:space="preserve"> IgM ELISA (1)</w:t>
            </w:r>
          </w:p>
          <w:p w14:paraId="110690E3"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IgM ELISA, Dengue NS1Ag</w:t>
            </w:r>
          </w:p>
          <w:p w14:paraId="43F1156E"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 IgM ELISA</w:t>
            </w:r>
          </w:p>
          <w:p w14:paraId="12CFE2F2"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Typhoid IgM ELISA,</w:t>
            </w:r>
          </w:p>
          <w:p w14:paraId="4C422A6A"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Blood culture</w:t>
            </w:r>
          </w:p>
          <w:p w14:paraId="6022715C" w14:textId="21620FCF"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hAnsi="Times New Roman" w:cs="Times New Roman"/>
                <w:sz w:val="18"/>
                <w:szCs w:val="18"/>
              </w:rPr>
              <w:t>Peripheral Blood Smear (1)</w:t>
            </w:r>
          </w:p>
        </w:tc>
        <w:tc>
          <w:tcPr>
            <w:tcW w:w="1134" w:type="dxa"/>
            <w:tcBorders>
              <w:top w:val="nil"/>
              <w:left w:val="nil"/>
              <w:bottom w:val="single" w:sz="4" w:space="0" w:color="auto"/>
              <w:right w:val="single" w:sz="4" w:space="0" w:color="auto"/>
            </w:tcBorders>
            <w:vAlign w:val="center"/>
          </w:tcPr>
          <w:p w14:paraId="2463CA57" w14:textId="4A052FDF"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23561F02" w14:textId="440A564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r>
      <w:tr w:rsidR="00C65005" w:rsidRPr="003E2940" w14:paraId="727919E8" w14:textId="77777777" w:rsidTr="00E43DB0">
        <w:trPr>
          <w:trHeight w:val="360"/>
        </w:trPr>
        <w:tc>
          <w:tcPr>
            <w:tcW w:w="1696" w:type="dxa"/>
            <w:tcBorders>
              <w:top w:val="nil"/>
              <w:left w:val="single" w:sz="4" w:space="0" w:color="auto"/>
              <w:bottom w:val="single" w:sz="4" w:space="0" w:color="auto"/>
              <w:right w:val="single" w:sz="4" w:space="0" w:color="auto"/>
            </w:tcBorders>
            <w:vAlign w:val="center"/>
          </w:tcPr>
          <w:p w14:paraId="2ABC1225" w14:textId="08609190"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Das BK, 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{"citationID":"EfA3a0xi","properties":{"formattedCitation":"(62)","plainCitation":"(62)","noteIndex":0},"citationItems":[{"id":613,"uris":["http://zotero.org/users/14157373/items/HCK6MYJQ"],"itemData":{"id":613,"type":"article-journal","abstract":"Acute encephalitis syndrome (AES) is a major public health concern in India, causing febrile illness principally associated with viral infection. Bacteria-like scrub typhus and leptospirosis also cause acute febrile illness. Therefore, this study was conceived to address the possible etiological agents contributing to sporadic AES in a tertiary care center in Odisha, India.This was a prospective hospital-based study that enrolled 92 consecutive patients with clinically diagnosed AES whose blood/cerebrospinal fluid samples were tested for IgM antibodies to dengue, Japanese encephalitis (JE), herpes simplex virus (HSV), Epstein-Barr virus (EBV), leptospirosis and scrub typhus.Viral antibodies to dengue were detected in three (3.26%) cases, HSV1 in four (4.34%) and HSV2 in three (3.26%) cases. Significantly, antibodies to EBV in 22 (23.591%) and to JE in 27 (29.34%) cases were detected. Notably, 30 (32.60%) and 11(12.0%) of patients had IgM antibodies to leptospirosis and scrub typhus, respectively.This observation indicates an association of leptospirosis and scrub typhus infection in sporadic cases of AES, besides other viruses.","container-title":"Transactions of The Royal Society of Tropical Medicine and Hygiene","DOI":"10.1093/trstmh/trab063","ISSN":"0035-9203","issue":"9","journalAbbreviation":"Transactions of The Royal Society of Tropical Medicine and Hygiene","page":"1088-1090","source":"Silverchair","title":"Association of leptospirosis and scrub typhus in acute encephalitis syndrome in a tertiary care hospital in Odisha, India","volume":"115","author":[{"family":"Das","given":"Bidyut Kumar"},{"family":"Mohanty","given":"Sriprasad"},{"family":"Sahoo","given":"Prakash Kumar"}],"issued":{"date-parts":[["2021",9,1]]}}}],"schema":"https://github.com/citation-style-language/schema/raw/master/csl-citation.json"}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7BBD07F7"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1DE799F3"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5909C5A2"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HSV 1 &amp; 2</w:t>
            </w:r>
          </w:p>
          <w:p w14:paraId="66EFC731"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Epstein-Barr Virus</w:t>
            </w:r>
          </w:p>
          <w:p w14:paraId="17B99FDC"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Cytomegalovirus</w:t>
            </w:r>
          </w:p>
          <w:p w14:paraId="47367477"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Japanese encephalitis</w:t>
            </w:r>
          </w:p>
          <w:p w14:paraId="0F1EE641"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Parvo B19</w:t>
            </w:r>
          </w:p>
          <w:p w14:paraId="0C10DEF3" w14:textId="2F740A1B"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Scrub typhus</w:t>
            </w:r>
          </w:p>
        </w:tc>
        <w:tc>
          <w:tcPr>
            <w:tcW w:w="2835" w:type="dxa"/>
            <w:tcBorders>
              <w:top w:val="nil"/>
              <w:left w:val="nil"/>
              <w:bottom w:val="single" w:sz="4" w:space="0" w:color="auto"/>
              <w:right w:val="single" w:sz="4" w:space="0" w:color="auto"/>
            </w:tcBorders>
            <w:vAlign w:val="center"/>
          </w:tcPr>
          <w:p w14:paraId="11B47405"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Leptospira</w:t>
            </w:r>
            <w:r w:rsidRPr="003E2940">
              <w:rPr>
                <w:rFonts w:ascii="Times New Roman" w:hAnsi="Times New Roman" w:cs="Times New Roman"/>
                <w:sz w:val="18"/>
                <w:szCs w:val="18"/>
              </w:rPr>
              <w:t xml:space="preserve"> IgM ELISA (42)</w:t>
            </w:r>
          </w:p>
          <w:p w14:paraId="52D39EDC"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Serology for Dengue (3), HSV 1 (4) &amp; HSV 2 (3), EBV (22), CMV, JE (27), Parvo B19</w:t>
            </w:r>
          </w:p>
          <w:p w14:paraId="1B823CDC" w14:textId="77777777" w:rsidR="00C65005" w:rsidRPr="003E2940" w:rsidRDefault="00C65005" w:rsidP="00C65005">
            <w:pPr>
              <w:spacing w:after="0" w:line="240" w:lineRule="auto"/>
              <w:jc w:val="center"/>
              <w:rPr>
                <w:rFonts w:ascii="Times New Roman" w:hAnsi="Times New Roman" w:cs="Times New Roman"/>
                <w:sz w:val="18"/>
                <w:szCs w:val="18"/>
              </w:rPr>
            </w:pPr>
          </w:p>
          <w:p w14:paraId="6E657CB7" w14:textId="77777777" w:rsidR="00C65005" w:rsidRPr="003E2940" w:rsidRDefault="00C65005" w:rsidP="00C65005">
            <w:pPr>
              <w:spacing w:after="0" w:line="240" w:lineRule="auto"/>
              <w:jc w:val="center"/>
              <w:rPr>
                <w:rFonts w:ascii="Times New Roman" w:hAnsi="Times New Roman" w:cs="Times New Roman"/>
                <w:sz w:val="18"/>
                <w:szCs w:val="18"/>
              </w:rPr>
            </w:pPr>
          </w:p>
          <w:p w14:paraId="466E6C8B"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PCR for Parvo B19</w:t>
            </w:r>
          </w:p>
          <w:p w14:paraId="7E45CB05" w14:textId="1546F846"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hAnsi="Times New Roman" w:cs="Times New Roman"/>
                <w:sz w:val="18"/>
                <w:szCs w:val="18"/>
              </w:rPr>
              <w:t>Scrub typhus IgM ELISA (11)</w:t>
            </w:r>
          </w:p>
        </w:tc>
        <w:tc>
          <w:tcPr>
            <w:tcW w:w="1134" w:type="dxa"/>
            <w:tcBorders>
              <w:top w:val="nil"/>
              <w:left w:val="nil"/>
              <w:bottom w:val="single" w:sz="4" w:space="0" w:color="auto"/>
              <w:right w:val="single" w:sz="4" w:space="0" w:color="auto"/>
            </w:tcBorders>
            <w:vAlign w:val="center"/>
          </w:tcPr>
          <w:p w14:paraId="568A683D" w14:textId="5EAF5EDC"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10</w:t>
            </w:r>
          </w:p>
        </w:tc>
        <w:tc>
          <w:tcPr>
            <w:tcW w:w="1567" w:type="dxa"/>
            <w:tcBorders>
              <w:top w:val="nil"/>
              <w:left w:val="nil"/>
              <w:bottom w:val="single" w:sz="4" w:space="0" w:color="auto"/>
              <w:right w:val="single" w:sz="4" w:space="0" w:color="auto"/>
            </w:tcBorders>
            <w:noWrap/>
            <w:vAlign w:val="center"/>
          </w:tcPr>
          <w:p w14:paraId="16CDDBE2" w14:textId="08D6F810"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C65005" w:rsidRPr="003E2940" w14:paraId="618F638D" w14:textId="77777777" w:rsidTr="00E43DB0">
        <w:trPr>
          <w:trHeight w:val="360"/>
        </w:trPr>
        <w:tc>
          <w:tcPr>
            <w:tcW w:w="1696" w:type="dxa"/>
            <w:tcBorders>
              <w:top w:val="single" w:sz="4" w:space="0" w:color="auto"/>
              <w:left w:val="single" w:sz="4" w:space="0" w:color="auto"/>
              <w:bottom w:val="single" w:sz="4" w:space="0" w:color="auto"/>
              <w:right w:val="single" w:sz="4" w:space="0" w:color="auto"/>
            </w:tcBorders>
            <w:vAlign w:val="center"/>
          </w:tcPr>
          <w:p w14:paraId="4A9E3C32" w14:textId="2FC4DBEA"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lastRenderedPageBreak/>
              <w:t xml:space="preserve">Mandage R, 2020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{"citationID":"bjnQHk4Z","properties":{"formattedCitation":"(26)","plainCitation":"(26)","noteIndex":0},"citationItems":[{"id":143,"uris":["http://zotero.org/users/14157373/items/TJJJ8UAA"],"itemData":{"id":143,"type":"article-journal","abstract":"Plasmodium infections are co-endemic with infections caused by other agents of acute febrile illnesses, such as dengue virus (DENV), chikungunya virus, Leptospira spp., and Orientia tsutsugamushi. However, co-infections may influence disease severity, treatment outcomes, and development of drug resistance. When we analyzed cases of acute febrile illness at the All India Institute of Medical Sciences, New Delhi, India, from July 2017 through September 2018, we found that most patients with malaria harbored co-infections (Plasmodium mixed species and other pathogens). DENV was the most common malaria co-infection (44% of total infections). DENV serotype 4 was associated with mild malaria, and Leptospira was associated with severe malaria. We also found the presence of P. knowlesi in our study population. Therefore, in areas with a large number of severe malaria cases, diagnostic screening for all 4 DENV serotypes, Leptospira, and all Plasmodium species should be performed.","container-title":"Emerging Infectious Diseases","DOI":"10.3201/eid2608.191214","ISSN":"1080-6059","issue":"8","journalAbbreviation":"Emerg Infect Dis","language":"eng","note":"PMID: 32687019\nPMCID: PMC7392441","page":"1645-1653","source":"PubMed","title":"Association of Dengue Virus and Leptospira Co-Infections with Malaria Severity","volume":"26","author":[{"family":"Mandage","given":"Rajendra"},{"family":"Kaur","given":"Charandeep"},{"family":"Pramanik","given":"Atreyi"},{"family":"Kumar","given":"Vinod"},{"family":"Kodan","given":"Parul"},{"family":"Singh","given":"Adarsh"},{"family":"Saha","given":"Sounak"},{"family":"Pandey","given":"Shivam"},{"family":"Wig","given":"Naveet"},{"family":"Pandey","given":"Ravindra Mohan"},{"family":"Soneja","given":"Manish"},{"family":"Acharya","given":"Pragyan"}],"issued":{"date-parts":[["2020",8]]}}}],"schema":"https://github.com/citation-style-language/schema/raw/master/csl-citation.json"}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2E3576DA"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541D50AD"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03ACE1A1"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w:t>
            </w:r>
          </w:p>
          <w:p w14:paraId="1A589CBB"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w:t>
            </w:r>
          </w:p>
          <w:p w14:paraId="337821FB" w14:textId="54817119"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P. falciparum, P. vivax, P. malaria, P. ovale, and P. knowlesi</w:t>
            </w:r>
          </w:p>
        </w:tc>
        <w:tc>
          <w:tcPr>
            <w:tcW w:w="2835" w:type="dxa"/>
            <w:tcBorders>
              <w:top w:val="single" w:sz="4" w:space="0" w:color="auto"/>
              <w:left w:val="nil"/>
              <w:bottom w:val="single" w:sz="4" w:space="0" w:color="auto"/>
              <w:right w:val="single" w:sz="4" w:space="0" w:color="auto"/>
            </w:tcBorders>
            <w:vAlign w:val="center"/>
          </w:tcPr>
          <w:p w14:paraId="04DCAAA5"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 xml:space="preserve">PCR for </w:t>
            </w:r>
            <w:r w:rsidRPr="003E2940">
              <w:rPr>
                <w:rFonts w:ascii="Times New Roman" w:hAnsi="Times New Roman" w:cs="Times New Roman"/>
                <w:sz w:val="18"/>
                <w:szCs w:val="18"/>
              </w:rPr>
              <w:t xml:space="preserve">Leptospirosis (21), </w:t>
            </w:r>
            <w:r w:rsidRPr="003E2940">
              <w:rPr>
                <w:rFonts w:ascii="Times New Roman" w:hAnsi="Times New Roman" w:cs="Times New Roman"/>
                <w:sz w:val="18"/>
                <w:szCs w:val="18"/>
              </w:rPr>
              <w:br/>
              <w:t xml:space="preserve">Dengue (9), </w:t>
            </w:r>
            <w:r w:rsidRPr="003E2940">
              <w:rPr>
                <w:rFonts w:ascii="Times New Roman" w:hAnsi="Times New Roman" w:cs="Times New Roman"/>
                <w:sz w:val="18"/>
                <w:szCs w:val="18"/>
              </w:rPr>
              <w:br/>
              <w:t xml:space="preserve">Chikungunya, </w:t>
            </w:r>
            <w:r w:rsidRPr="003E2940">
              <w:rPr>
                <w:rFonts w:ascii="Times New Roman" w:hAnsi="Times New Roman" w:cs="Times New Roman"/>
                <w:sz w:val="18"/>
                <w:szCs w:val="18"/>
              </w:rPr>
              <w:br/>
              <w:t xml:space="preserve">Scrub typhus (2), </w:t>
            </w:r>
          </w:p>
          <w:p w14:paraId="208B3843" w14:textId="77777777"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hAnsi="Times New Roman" w:cs="Times New Roman"/>
                <w:sz w:val="18"/>
                <w:szCs w:val="18"/>
              </w:rPr>
              <w:t xml:space="preserve">5 </w:t>
            </w:r>
            <w:r w:rsidRPr="003E2940">
              <w:rPr>
                <w:rFonts w:ascii="Times New Roman" w:hAnsi="Times New Roman" w:cs="Times New Roman"/>
                <w:i/>
                <w:iCs/>
                <w:sz w:val="18"/>
                <w:szCs w:val="18"/>
              </w:rPr>
              <w:t>Plasmodium spp.</w:t>
            </w:r>
          </w:p>
          <w:p w14:paraId="22BC6F87" w14:textId="17FA1E49"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hAnsi="Times New Roman" w:cs="Times New Roman"/>
                <w:sz w:val="18"/>
                <w:szCs w:val="18"/>
              </w:rPr>
              <w:t>Peripheral Blood Smear (66)</w:t>
            </w:r>
          </w:p>
        </w:tc>
        <w:tc>
          <w:tcPr>
            <w:tcW w:w="1134" w:type="dxa"/>
            <w:tcBorders>
              <w:top w:val="single" w:sz="4" w:space="0" w:color="auto"/>
              <w:left w:val="nil"/>
              <w:bottom w:val="single" w:sz="4" w:space="0" w:color="auto"/>
              <w:right w:val="single" w:sz="4" w:space="0" w:color="auto"/>
            </w:tcBorders>
            <w:vAlign w:val="center"/>
          </w:tcPr>
          <w:p w14:paraId="320F639D" w14:textId="716895FB"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10</w:t>
            </w:r>
          </w:p>
        </w:tc>
        <w:tc>
          <w:tcPr>
            <w:tcW w:w="1567" w:type="dxa"/>
            <w:tcBorders>
              <w:top w:val="single" w:sz="4" w:space="0" w:color="auto"/>
              <w:left w:val="nil"/>
              <w:bottom w:val="single" w:sz="4" w:space="0" w:color="auto"/>
              <w:right w:val="single" w:sz="4" w:space="0" w:color="auto"/>
            </w:tcBorders>
            <w:noWrap/>
            <w:vAlign w:val="center"/>
          </w:tcPr>
          <w:p w14:paraId="544EB89E"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6B0D57BE"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136D4226" w14:textId="79EC05C3"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C65005" w:rsidRPr="003E2940" w14:paraId="6FC3A7B0"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42C81AAD" w14:textId="32BDFC59"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Borkakoty B, 2016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{"citationID":"HUHkuTQR","properties":{"formattedCitation":"(63)","plainCitation":"(63)","noteIndex":0},"citationItems":[{"id":157,"uris":["http://zotero.org/users/14157373/items/NCL7HHVQ"],"itemData":{"id":157,"type":"article-journal","abstract":"Background: Scrub typhus and leptospirosis are bacterial zoonotic disease causing high morbidity and mortality. The seasonal outbreak of pyrexia is common in Arunachal Pradesh (AP); many times the disease remains undiagnosed. Objective: An outbreak of pyrexia of unknown origin (PUO) occurred in Longding district of Arunachal Pradesh in 2013, with 108 deaths, which was investigated to elucidate the cause of illness. Methodology: Blood samples from the affected region with acute pyrexia were collected, and screened for the malaria parasite, scrub typhus IgM and leptospira IgM. Results: Scrub typhus IgM was reactive in 97% (30/31), and 25% (8/31) cases were co-infected with leptospira. Incidentally, scrub typhus reactive (67%) and leptospira co-infection (62.7%) were higher in females. Record of previous 3 years (2011–2013) from Longding, Community Health Centre showed an increase in indoor pyrexia cases by 2-fold or more during October and November. Conclusion: The present study is the first report of co-infection of scrub typhus with leptospirosis from Northeast India. Medical officers in this region should take scrub typhus and leptospirosis in their differential diagnosis of patients with PUO for early diagnosis and effective treatment.","container-title":"Indian Journal of Medical Microbiology","DOI":"10.4103/0255-0857.174116","ISSN":"0255-0857","issue":"1","journalAbbreviation":"Indian Journal of Medical Microbiology","page":"88-91","source":"ScienceDirect","title":"Co-infection of scrub typhus and leptospirosis in patients with pyrexia of unknown origin in Longding district of Arunachal Pradesh in 2013","volume":"34","author":[{"family":"Borkakoty","given":"Biswajyoti"},{"family":"Jakharia","given":"Aniruddha"},{"family":"Biswas","given":"Dipankar"},{"family":"Mahanta","given":"Jagadish"}],"issued":{"date-parts":[["2016",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(33)</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3D86BF9E"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Leptospirosis </w:t>
            </w:r>
          </w:p>
          <w:p w14:paraId="7571EFB4"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w:t>
            </w:r>
          </w:p>
          <w:p w14:paraId="11B43E3C" w14:textId="2F05CE64"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tc>
        <w:tc>
          <w:tcPr>
            <w:tcW w:w="2835" w:type="dxa"/>
            <w:tcBorders>
              <w:top w:val="nil"/>
              <w:left w:val="nil"/>
              <w:bottom w:val="single" w:sz="4" w:space="0" w:color="auto"/>
              <w:right w:val="single" w:sz="4" w:space="0" w:color="auto"/>
            </w:tcBorders>
            <w:vAlign w:val="center"/>
          </w:tcPr>
          <w:p w14:paraId="0CCBB1DD"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(8)</w:t>
            </w:r>
          </w:p>
          <w:p w14:paraId="7D733576"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 (32)</w:t>
            </w:r>
          </w:p>
          <w:p w14:paraId="4AC4400A" w14:textId="47D6E953"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eastAsia="Times New Roman" w:hAnsi="Times New Roman" w:cs="Times New Roman"/>
                <w:kern w:val="0"/>
                <w:sz w:val="18"/>
                <w:szCs w:val="18"/>
                <w:lang w:eastAsia="en-IN"/>
                <w14:ligatures w14:val="none"/>
              </w:rPr>
              <w:t>Peripheral Blood Smear</w:t>
            </w:r>
          </w:p>
        </w:tc>
        <w:tc>
          <w:tcPr>
            <w:tcW w:w="1134" w:type="dxa"/>
            <w:tcBorders>
              <w:top w:val="nil"/>
              <w:left w:val="nil"/>
              <w:bottom w:val="single" w:sz="4" w:space="0" w:color="auto"/>
              <w:right w:val="single" w:sz="4" w:space="0" w:color="auto"/>
            </w:tcBorders>
            <w:vAlign w:val="center"/>
          </w:tcPr>
          <w:p w14:paraId="65D99AF8" w14:textId="1AC1FFEE"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567" w:type="dxa"/>
            <w:tcBorders>
              <w:top w:val="nil"/>
              <w:left w:val="nil"/>
              <w:bottom w:val="single" w:sz="4" w:space="0" w:color="auto"/>
              <w:right w:val="single" w:sz="4" w:space="0" w:color="auto"/>
            </w:tcBorders>
            <w:noWrap/>
            <w:vAlign w:val="center"/>
          </w:tcPr>
          <w:p w14:paraId="681B060A" w14:textId="1F83FAB8"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C65005" w:rsidRPr="003E2940" w14:paraId="609D5A44"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15F60490" w14:textId="1B19712B"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Raina S,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{"citationID":"Q8d7jWxQ","properties":{"formattedCitation":"(48)","plainCitation":"(48)","noteIndex":0},"citationItems":[{"id":497,"uris":["http://zotero.org/users/14157373/items/SKWZKMGL"],"itemData":{"id":497,"type":"article-journal","abstract":"Background &amp; objectives: \n          In India, certain geographic regions witness simultaneous outbreaks of two or more diseases like scrub typhus, dengue fever, malaria, leptospirosis and chikungunya during monsoon and post-monsoon period, sharing common indication of acute febrile illness. The objective of the present study was to assess the prevalence of coinfections among patients with acute undifferentiated fevers (AUF) admitted in a tertiary care hospital in the northern hilly state of Himachal Pradesh, India.\n          Methods: \n          This was a hospital based open cohort study conducted over a period of two months (September and October) in 2016. All the patients above the age of 18 yr admitted in medical wards and fulfilling the definition of AUF were included. The patients diagnosed with dual infections were the subjects of the study. Standard guidelines were used for case definitions of scrub typhus, dengue, chikungunya, malaria and leptospirosis.\n          Results: \n          Dual infections were noted in 16 patients admitted with AUF. The most common coinfection was scrub typhus and dengue, reported in 10 patients. Scrub typhus and leptospirosis coinfection was observed in three patients. Dengue and chikungunya was observed in one patient. Scrub typhus, dengue and vivax malaria was detected in one patient. Scrub typhus and vivax malaria was detected in one patient. Out of the 10 cases positive for both scrub and dengue, four had no history of travel outside Himachal Pradesh. All three cases positive for both scrub and leptospirosis were indigenous without any history of travel outside Kangra, Himachal Pradesh. The outcome of all the patients was with full recovery.\n          Interpretation &amp; conclusion: \n          The study established the presence of coinfections (mainly dengue fever and leptospirosis) as a cause of AUF in the study area, which is a nonendemic region. The role of easily available and widely performed serological tests in the aetiological diagnosis of AUF is significant. Studies are required to determine the normal titres in the local population before using the imported commercially available serological tests in the diagnosis of AUF.","container-title":"Journal of Vector Borne Diseases","DOI":"10.4103/0972-9062.242560","ISSN":"xxxx-xxxx","issue":"2","language":"en-US","page":"130","source":"journals.lww.com","title":"Coinfections as an aetiology of acute undifferentiated febrile illness among adult patients in the sub-Himalayan region of north India","volume":"55","author":[{"family":"Raina","given":"Sujeet"},{"family":"Raina","given":"Rashmi Kaul"},{"family":"Agarwala","given":"Niraj"},{"family":"Raina","given":"Sunil Kumar"},{"family":"Sharma","given":"Rajesh"}],"issued":{"date-parts":[["2018",6]]}}}],"schema":"https://github.com/citation-style-language/schema/raw/master/csl-citation.json"}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(31)</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3A173C5D"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2873890A"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735D0285"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236A9DE"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p>
          <w:p w14:paraId="161F85BD"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Chikungunya</w:t>
            </w:r>
          </w:p>
          <w:p w14:paraId="525A6034"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1A19B845" w14:textId="77777777" w:rsidR="00C65005" w:rsidRPr="003E2940" w:rsidRDefault="00C65005" w:rsidP="00C65005">
            <w:pPr>
              <w:spacing w:after="0" w:line="240" w:lineRule="auto"/>
              <w:jc w:val="center"/>
              <w:rPr>
                <w:rFonts w:ascii="Times New Roman" w:hAnsi="Times New Roman" w:cs="Times New Roman"/>
                <w:sz w:val="18"/>
                <w:szCs w:val="18"/>
              </w:rPr>
            </w:pPr>
          </w:p>
        </w:tc>
        <w:tc>
          <w:tcPr>
            <w:tcW w:w="2835" w:type="dxa"/>
            <w:tcBorders>
              <w:top w:val="nil"/>
              <w:left w:val="nil"/>
              <w:bottom w:val="single" w:sz="4" w:space="0" w:color="auto"/>
              <w:right w:val="single" w:sz="4" w:space="0" w:color="auto"/>
            </w:tcBorders>
            <w:vAlign w:val="center"/>
          </w:tcPr>
          <w:p w14:paraId="70297BBC"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(11)</w:t>
            </w:r>
          </w:p>
          <w:p w14:paraId="027CDB21"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 (262)</w:t>
            </w:r>
          </w:p>
          <w:p w14:paraId="0AEF2FF9"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MAC ELISA, Dengue NS1Ag</w:t>
            </w:r>
          </w:p>
          <w:p w14:paraId="151012AB"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Chikungunya IgM ELISA</w:t>
            </w:r>
          </w:p>
          <w:p w14:paraId="24A8DEDD"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67BEEC22" w14:textId="7D7A8A14"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eastAsia="Times New Roman" w:hAnsi="Times New Roman" w:cs="Times New Roman"/>
                <w:kern w:val="0"/>
                <w:sz w:val="18"/>
                <w:szCs w:val="18"/>
                <w:lang w:eastAsia="en-IN"/>
                <w14:ligatures w14:val="none"/>
              </w:rPr>
              <w:t>Blood culture</w:t>
            </w:r>
          </w:p>
        </w:tc>
        <w:tc>
          <w:tcPr>
            <w:tcW w:w="1134" w:type="dxa"/>
            <w:tcBorders>
              <w:top w:val="nil"/>
              <w:left w:val="nil"/>
              <w:bottom w:val="single" w:sz="4" w:space="0" w:color="auto"/>
              <w:right w:val="single" w:sz="4" w:space="0" w:color="auto"/>
            </w:tcBorders>
            <w:vAlign w:val="center"/>
          </w:tcPr>
          <w:p w14:paraId="2275AF9E" w14:textId="611015E4"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17DEFD05" w14:textId="4124AE5C"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C65005" w:rsidRPr="003E2940" w14:paraId="0F1CDE24"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1C9EED3C" w14:textId="1CD8B946"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 xml:space="preserve">Raja JM, 2016 </w:t>
            </w:r>
            <w:r w:rsidRPr="003E2940">
              <w:rPr>
                <w:rFonts w:ascii="Times New Roman" w:hAnsi="Times New Roman" w:cs="Times New Roman"/>
                <w:sz w:val="18"/>
                <w:szCs w:val="18"/>
              </w:rPr>
              <w:fldChar w:fldCharType="begin"/>
            </w:r>
            <w:r w:rsidRPr="003E2940">
              <w:rPr>
                <w:rFonts w:ascii="Times New Roman" w:hAnsi="Times New Roman" w:cs="Times New Roman"/>
                <w:sz w:val="18"/>
                <w:szCs w:val="18"/>
              </w:rPr>
              <w:instrText xml:space="preserve"> ADDIN ZOTERO_ITEM CSL_CITATION {"citationID":"Mw3MHBRo","properties":{"formattedCitation":"(19)","plainCitation":"(19)","noteIndex":0},"citationItems":[{"id":638,"uris":["http://zotero.org/users/14157373/items/V5FUBAME"],"itemData":{"id":638,"type":"article-journal","abstract":"Co-existing infections (Malaria and dengue) go undetected due to lack of clinical suspicion and overlapping\nsymptoms. Co-existing infections are on the rise in tropics. This study is undertaken to assess the prevalence of coinfections\nof some common tropical infections like malaria, dengue, typhoid, and leptospirosis in pyrexia cases. Also\nany associated complications with dual infections are dealt within this study. A cross-sectional study was\nundertaken including inpatient A.C.S. Medical college and hospital from May, 2013 to January, 2014 Suffering from\nfever of 100° and above with additional symptoms like Abdominal pain, Vomiting, Bleeding in both men and women\nbetween ages 5 and above and up to sixty years of age. A total of 100 pyrexia cases were studied. Of those 100 cases\npyrexia, the percentage of a single infection, dual infection, triplet infection and other causes were 20%, 9%, 1%\nand 69% respectively. Among the dual infections, coinfection with malaria and dengue, dengue and typhoid,\nmalaria and typhoid, dengue and leptospirosis were 33.33%, 22.22%, 22.22% and 22.22% respectively. One triplet\ninfection with Malaria, leptospirosis and typhoid was also detected. There is prevalence of coexisting infections with\ntropical infections like malaria, dengue, leptospirosis and typhoid. Prompt detection of these dual infections can\nlead to decreased morbidity and mortality. A clinical suspicion must be present to detect these coexisting infections\nin pyrexia cases.","container-title":"International Journal of Medical Research and Health Sciences","issue":"8","journalAbbreviation":"International Journal of Medical Research and Health Sciences","page":"150-155","source":"IngentaConnect","title":"A Study on Dual Infections in Pyrexia Cases","volume":"5","author":[{"literal":"Joel Mukesh Raja"},{"literal":"Annapoorna Mary"},{"literal":"S. Usha"}],"issued":{"date-parts":[["2016",1,1]]}}}],"schema":"https://github.com/citation-style-language/schema/raw/master/csl-citation.json"} </w:instrText>
            </w:r>
            <w:r w:rsidRPr="003E2940">
              <w:rPr>
                <w:rFonts w:ascii="Times New Roman" w:hAnsi="Times New Roman" w:cs="Times New Roman"/>
                <w:sz w:val="18"/>
                <w:szCs w:val="18"/>
              </w:rPr>
              <w:fldChar w:fldCharType="separate"/>
            </w:r>
            <w:r w:rsidRPr="003E2940">
              <w:rPr>
                <w:rFonts w:ascii="Times New Roman" w:hAnsi="Times New Roman" w:cs="Times New Roman"/>
                <w:sz w:val="18"/>
              </w:rPr>
              <w:t>(34)</w:t>
            </w:r>
            <w:r w:rsidRPr="003E2940">
              <w:rPr>
                <w:rFonts w:ascii="Times New Roman" w:hAnsi="Times New Roman" w:cs="Times New Roman"/>
                <w:sz w:val="18"/>
                <w:szCs w:val="18"/>
              </w:rPr>
              <w:fldChar w:fldCharType="end"/>
            </w:r>
          </w:p>
        </w:tc>
        <w:tc>
          <w:tcPr>
            <w:tcW w:w="2268" w:type="dxa"/>
            <w:tcBorders>
              <w:top w:val="nil"/>
              <w:left w:val="nil"/>
              <w:bottom w:val="single" w:sz="4" w:space="0" w:color="auto"/>
              <w:right w:val="single" w:sz="4" w:space="0" w:color="auto"/>
            </w:tcBorders>
            <w:vAlign w:val="center"/>
          </w:tcPr>
          <w:p w14:paraId="4148745E"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13A50DFF" w14:textId="77777777" w:rsidR="00C65005" w:rsidRPr="003E2940" w:rsidRDefault="00C65005" w:rsidP="00C65005">
            <w:pPr>
              <w:spacing w:after="0" w:line="240" w:lineRule="auto"/>
              <w:jc w:val="center"/>
              <w:rPr>
                <w:rFonts w:ascii="Times New Roman" w:hAnsi="Times New Roman" w:cs="Times New Roman"/>
                <w:sz w:val="18"/>
                <w:szCs w:val="18"/>
              </w:rPr>
            </w:pPr>
          </w:p>
          <w:p w14:paraId="3E16ACEE"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w:t>
            </w:r>
          </w:p>
          <w:p w14:paraId="06F4F045" w14:textId="77777777"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7DB23751" w14:textId="77777777" w:rsidR="00C65005" w:rsidRPr="003E2940" w:rsidRDefault="00C65005" w:rsidP="00C65005">
            <w:pPr>
              <w:spacing w:after="0" w:line="240" w:lineRule="auto"/>
              <w:jc w:val="center"/>
              <w:rPr>
                <w:rFonts w:ascii="Times New Roman" w:hAnsi="Times New Roman" w:cs="Times New Roman"/>
                <w:sz w:val="18"/>
                <w:szCs w:val="18"/>
              </w:rPr>
            </w:pPr>
          </w:p>
          <w:p w14:paraId="17FFE2B4" w14:textId="39011DBB" w:rsidR="00C65005" w:rsidRPr="003E2940" w:rsidRDefault="00C65005" w:rsidP="00C65005">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tc>
        <w:tc>
          <w:tcPr>
            <w:tcW w:w="2835" w:type="dxa"/>
            <w:tcBorders>
              <w:top w:val="nil"/>
              <w:left w:val="nil"/>
              <w:bottom w:val="single" w:sz="4" w:space="0" w:color="auto"/>
              <w:right w:val="single" w:sz="4" w:space="0" w:color="auto"/>
            </w:tcBorders>
            <w:vAlign w:val="center"/>
          </w:tcPr>
          <w:p w14:paraId="7ADE59C9"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 xml:space="preserve">Leptospira </w:t>
            </w:r>
            <w:r w:rsidRPr="003E2940">
              <w:rPr>
                <w:rFonts w:ascii="Times New Roman" w:eastAsia="Times New Roman" w:hAnsi="Times New Roman" w:cs="Times New Roman"/>
                <w:kern w:val="0"/>
                <w:sz w:val="18"/>
                <w:szCs w:val="18"/>
                <w:lang w:eastAsia="en-IN"/>
                <w14:ligatures w14:val="none"/>
              </w:rPr>
              <w:t xml:space="preserve">IgM ELISA (3), </w:t>
            </w:r>
            <w:r w:rsidRPr="003E2940">
              <w:rPr>
                <w:rFonts w:ascii="Times New Roman" w:eastAsia="Times New Roman" w:hAnsi="Times New Roman" w:cs="Times New Roman"/>
                <w:kern w:val="0"/>
                <w:sz w:val="18"/>
                <w:szCs w:val="18"/>
                <w:lang w:eastAsia="en-IN"/>
                <w14:ligatures w14:val="none"/>
              </w:rPr>
              <w:br/>
            </w:r>
            <w:r w:rsidRPr="003E2940">
              <w:rPr>
                <w:rFonts w:ascii="Times New Roman" w:eastAsia="Times New Roman" w:hAnsi="Times New Roman" w:cs="Times New Roman"/>
                <w:i/>
                <w:iCs/>
                <w:kern w:val="0"/>
                <w:sz w:val="18"/>
                <w:szCs w:val="18"/>
                <w:lang w:eastAsia="en-IN"/>
                <w14:ligatures w14:val="none"/>
              </w:rPr>
              <w:t xml:space="preserve">Leptospira </w:t>
            </w:r>
            <w:r w:rsidRPr="003E2940">
              <w:rPr>
                <w:rFonts w:ascii="Times New Roman" w:eastAsia="Times New Roman" w:hAnsi="Times New Roman" w:cs="Times New Roman"/>
                <w:kern w:val="0"/>
                <w:sz w:val="18"/>
                <w:szCs w:val="18"/>
                <w:lang w:eastAsia="en-IN"/>
                <w14:ligatures w14:val="none"/>
              </w:rPr>
              <w:t>RDT</w:t>
            </w:r>
          </w:p>
          <w:p w14:paraId="3F275F78"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(12)</w:t>
            </w:r>
          </w:p>
          <w:p w14:paraId="6486445A"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(4), Malaria RDT</w:t>
            </w:r>
          </w:p>
          <w:p w14:paraId="4EA8C6F1" w14:textId="0DF90EA9" w:rsidR="00C65005" w:rsidRPr="003E2940" w:rsidRDefault="00C65005" w:rsidP="00C65005">
            <w:pPr>
              <w:spacing w:after="0" w:line="240" w:lineRule="auto"/>
              <w:jc w:val="center"/>
              <w:rPr>
                <w:rFonts w:ascii="Times New Roman" w:hAnsi="Times New Roman" w:cs="Times New Roman"/>
                <w:i/>
                <w:iCs/>
                <w:sz w:val="18"/>
                <w:szCs w:val="18"/>
              </w:rPr>
            </w:pPr>
            <w:r w:rsidRPr="003E2940">
              <w:rPr>
                <w:rFonts w:ascii="Times New Roman" w:eastAsia="Times New Roman" w:hAnsi="Times New Roman" w:cs="Times New Roman"/>
                <w:kern w:val="0"/>
                <w:sz w:val="18"/>
                <w:szCs w:val="18"/>
                <w:lang w:eastAsia="en-IN"/>
                <w14:ligatures w14:val="none"/>
              </w:rPr>
              <w:t>Widal test (4), Blood culture</w:t>
            </w:r>
          </w:p>
        </w:tc>
        <w:tc>
          <w:tcPr>
            <w:tcW w:w="1134" w:type="dxa"/>
            <w:tcBorders>
              <w:top w:val="nil"/>
              <w:left w:val="nil"/>
              <w:bottom w:val="single" w:sz="4" w:space="0" w:color="auto"/>
              <w:right w:val="single" w:sz="4" w:space="0" w:color="auto"/>
            </w:tcBorders>
            <w:vAlign w:val="center"/>
          </w:tcPr>
          <w:p w14:paraId="3BE4E431" w14:textId="26B41455"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657CB76D"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7C95B36D" w14:textId="77777777"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7130111" w14:textId="16114CD8" w:rsidR="00C65005" w:rsidRPr="003E2940" w:rsidRDefault="00C65005" w:rsidP="00C6500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tc>
      </w:tr>
      <w:tr w:rsidR="00C65005" w:rsidRPr="003E2940" w14:paraId="16D5E3DA" w14:textId="77777777" w:rsidTr="00E43DB0">
        <w:trPr>
          <w:trHeight w:val="360"/>
        </w:trPr>
        <w:tc>
          <w:tcPr>
            <w:tcW w:w="9500" w:type="dxa"/>
            <w:gridSpan w:val="5"/>
            <w:tcBorders>
              <w:top w:val="nil"/>
              <w:left w:val="single" w:sz="4" w:space="0" w:color="auto"/>
              <w:bottom w:val="single" w:sz="4" w:space="0" w:color="auto"/>
              <w:right w:val="single" w:sz="4" w:space="0" w:color="auto"/>
            </w:tcBorders>
            <w:vAlign w:val="center"/>
          </w:tcPr>
          <w:p w14:paraId="17258E6F" w14:textId="275ED11B" w:rsidR="00C65005" w:rsidRPr="003E2940" w:rsidRDefault="00C65005"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Case Reports</w:t>
            </w:r>
          </w:p>
        </w:tc>
      </w:tr>
      <w:tr w:rsidR="00B12258" w:rsidRPr="003E2940" w14:paraId="1A46C9CE"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A05700E" w14:textId="15CBAB9C"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Dev N.,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{"citationID":"iGCd9yaK","properties":{"formattedCitation":"(47)","plainCitation":"(47)","noteIndex":0},"citationItems":[{"id":146,"uris":["http://zotero.org/users/14157373/items/K2JU4TFK"],"itemData":{"id":146,"type":"article-journal","abstract":"Guillain-Barré syndrome (GBS) is a potentially life-threatening immune-mediated acute inflammatory polyneuropathy associated with several antecedent infections. We report a 20-year-old man with GBS associated with concurrent leptospirosis and scrub typhus infection. GBS was confirmed with clinical examination and nerve conduction studies. There have been case reports of GBS in association with Leptospira and Orienta tsusugamushi separately. However, this may be the first case report of GBS associated with concurrent diseases.","container-title":"Tropical Doctor","DOI":"10.1177/0049475519836038","ISSN":"1758-1133","issue":"3","journalAbbreviation":"Trop Doct","language":"eng","note":"PMID: 30895887","page":"248-249","source":"PubMed","title":"Guillain-Barre syndrome: a rare complication of leptospirosis and scrub typhus co-infection","title-short":"Guillain-Barre syndrome","volume":"49","author":[{"family":"Dev","given":"Nishant"},{"family":"Kumar","given":"Rahul"},{"family":"Kumar","given":"Dilip"}],"issued":{"date-parts":[["2019",7]]}}}],"schema":"https://github.com/citation-style-language/schema/raw/master/csl-citation.json"}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(44)</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nil"/>
              <w:left w:val="nil"/>
              <w:bottom w:val="single" w:sz="4" w:space="0" w:color="auto"/>
              <w:right w:val="single" w:sz="4" w:space="0" w:color="auto"/>
            </w:tcBorders>
            <w:vAlign w:val="center"/>
          </w:tcPr>
          <w:p w14:paraId="187C9AF4"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6E5DECF0" w14:textId="77777777" w:rsidR="00AD17E0" w:rsidRPr="003E2940" w:rsidRDefault="00AD17E0" w:rsidP="00B12258">
            <w:pPr>
              <w:spacing w:after="0" w:line="240" w:lineRule="auto"/>
              <w:jc w:val="center"/>
              <w:rPr>
                <w:rFonts w:ascii="Times New Roman" w:hAnsi="Times New Roman" w:cs="Times New Roman"/>
                <w:sz w:val="18"/>
                <w:szCs w:val="18"/>
              </w:rPr>
            </w:pPr>
          </w:p>
          <w:p w14:paraId="03F83402"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w:t>
            </w:r>
          </w:p>
          <w:p w14:paraId="7DA8A1A6" w14:textId="4EA0ED5D" w:rsidR="00AD17E0" w:rsidRPr="003E2940" w:rsidRDefault="00AD17E0" w:rsidP="00B12258">
            <w:pPr>
              <w:spacing w:after="0" w:line="240" w:lineRule="auto"/>
              <w:jc w:val="center"/>
              <w:rPr>
                <w:rFonts w:ascii="Times New Roman" w:hAnsi="Times New Roman" w:cs="Times New Roman"/>
                <w:sz w:val="18"/>
                <w:szCs w:val="18"/>
              </w:rPr>
            </w:pPr>
          </w:p>
        </w:tc>
        <w:tc>
          <w:tcPr>
            <w:tcW w:w="2835" w:type="dxa"/>
            <w:tcBorders>
              <w:top w:val="nil"/>
              <w:left w:val="nil"/>
              <w:bottom w:val="single" w:sz="4" w:space="0" w:color="auto"/>
              <w:right w:val="single" w:sz="4" w:space="0" w:color="auto"/>
            </w:tcBorders>
            <w:vAlign w:val="center"/>
          </w:tcPr>
          <w:p w14:paraId="329ACF1F" w14:textId="19D84CDE"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Leptospira</w:t>
            </w:r>
            <w:r w:rsidR="006F2B73" w:rsidRPr="003E2940">
              <w:rPr>
                <w:rFonts w:ascii="Times New Roman" w:hAnsi="Times New Roman" w:cs="Times New Roman"/>
                <w:i/>
                <w:iCs/>
                <w:sz w:val="18"/>
                <w:szCs w:val="18"/>
              </w:rPr>
              <w:t xml:space="preserve"> </w:t>
            </w:r>
            <w:r w:rsidR="006F2B73" w:rsidRPr="003E2940">
              <w:rPr>
                <w:rFonts w:ascii="Times New Roman" w:hAnsi="Times New Roman" w:cs="Times New Roman"/>
                <w:sz w:val="18"/>
                <w:szCs w:val="18"/>
              </w:rPr>
              <w:t>PCR</w:t>
            </w:r>
            <w:r w:rsidRPr="003E2940">
              <w:rPr>
                <w:rFonts w:ascii="Times New Roman" w:hAnsi="Times New Roman" w:cs="Times New Roman"/>
                <w:sz w:val="18"/>
                <w:szCs w:val="18"/>
              </w:rPr>
              <w:t xml:space="preserve"> </w:t>
            </w:r>
            <w:r w:rsidR="00105A13" w:rsidRPr="003E2940">
              <w:rPr>
                <w:rFonts w:ascii="Times New Roman" w:hAnsi="Times New Roman" w:cs="Times New Roman"/>
                <w:sz w:val="18"/>
                <w:szCs w:val="18"/>
              </w:rPr>
              <w:t>(1)</w:t>
            </w:r>
          </w:p>
          <w:p w14:paraId="2DD94970" w14:textId="4B1AAC82" w:rsidR="00AD17E0" w:rsidRPr="003E2940" w:rsidRDefault="00AD17E0"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MAT</w:t>
            </w:r>
            <w:r w:rsidR="006F2B73" w:rsidRPr="003E2940">
              <w:rPr>
                <w:rFonts w:ascii="Times New Roman" w:hAnsi="Times New Roman" w:cs="Times New Roman"/>
                <w:sz w:val="18"/>
                <w:szCs w:val="18"/>
              </w:rPr>
              <w:t xml:space="preserve"> (1)</w:t>
            </w:r>
          </w:p>
          <w:p w14:paraId="3C917702" w14:textId="1B7EDA15"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 I</w:t>
            </w:r>
            <w:r w:rsidR="00FF514E" w:rsidRPr="003E2940">
              <w:rPr>
                <w:rFonts w:ascii="Times New Roman" w:hAnsi="Times New Roman" w:cs="Times New Roman"/>
                <w:sz w:val="18"/>
                <w:szCs w:val="18"/>
              </w:rPr>
              <w:t xml:space="preserve">gM ELISA </w:t>
            </w:r>
            <w:r w:rsidR="00105A13" w:rsidRPr="003E2940">
              <w:rPr>
                <w:rFonts w:ascii="Times New Roman" w:hAnsi="Times New Roman" w:cs="Times New Roman"/>
                <w:sz w:val="18"/>
                <w:szCs w:val="18"/>
              </w:rPr>
              <w:t>(1)</w:t>
            </w:r>
          </w:p>
          <w:p w14:paraId="494E51F8" w14:textId="5A4A8B0A" w:rsidR="00AD17E0" w:rsidRPr="003E2940" w:rsidRDefault="00AD17E0"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 PCR</w:t>
            </w:r>
            <w:r w:rsidR="006F2B73" w:rsidRPr="003E2940">
              <w:rPr>
                <w:rFonts w:ascii="Times New Roman" w:hAnsi="Times New Roman" w:cs="Times New Roman"/>
                <w:sz w:val="18"/>
                <w:szCs w:val="18"/>
              </w:rPr>
              <w:t xml:space="preserve"> (1)</w:t>
            </w:r>
          </w:p>
        </w:tc>
        <w:tc>
          <w:tcPr>
            <w:tcW w:w="1134" w:type="dxa"/>
            <w:tcBorders>
              <w:top w:val="nil"/>
              <w:left w:val="nil"/>
              <w:bottom w:val="single" w:sz="4" w:space="0" w:color="auto"/>
              <w:right w:val="single" w:sz="4" w:space="0" w:color="auto"/>
            </w:tcBorders>
            <w:vAlign w:val="center"/>
          </w:tcPr>
          <w:p w14:paraId="5CAB69E3" w14:textId="518A9250" w:rsidR="00B12258" w:rsidRPr="003E2940" w:rsidRDefault="00105A13"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370A1EA7" w14:textId="17DC85A3" w:rsidR="00B12258" w:rsidRPr="003E2940" w:rsidRDefault="00105A13"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B12258" w:rsidRPr="003E2940" w14:paraId="2D103354"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22AC43C2" w14:textId="1FA3E03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R,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{"citationID":"pOH6ZfDM","properties":{"formattedCitation":"(22)","plainCitation":"(22)","noteIndex":0},"citationItems":[{"id":125,"uris":["http://zotero.org/users/14157373/items/ET2LHEFW"],"itemData":{"id":125,"type":"article-journal","abstract":"Co-infection in immunocompetent patients is rare. Though co-infection with dengue and leptospira cases is increasingly reported, a co-infection of this combination along with hepatitis E is rarely thought of. Until date only two case of triple co-infection have been reported world-wide. Here, we are reporting a patient with co-infection of dengue, leptospirosis and hepatitis E admitted to our intensive care unit. Early septic shock and increasing procalcitonin in dengue patient raised suspicion of co-infection. Our aim is to educate intensivists about this rare co-infection and hence that timely initiation of appropriate diagnostic, therapeutic and supportive measures can alter outcome favorably.","container-title":"Annals of Medical and Health Sciences Research","DOI":"10.4103/2141-9248.131707","ISSN":"2141-9248","issue":"Suppl 1","journalAbbreviation":"Ann Med Health Sci Res","language":"eng","note":"PMID: 25031903\nPMCID: PMC4083711","page":"S32-34","source":"PubMed","title":"Comparison between Three Rare Cases of Co-Infection with Dengue, Leptospira and Hepatitis E: Is Early Endothelial Involvement the Culprit in Mortality?","title-short":"Comparison between Three Rare Cases of Co-Infection with Dengue, Leptospira and Hepatitis E","volume":"4","author":[{"family":"Singh","given":"Rk"},{"family":"Ghatak","given":"T."},{"family":"Saigal","given":"S."},{"family":"Baronia","given":"Ak"}],"issued":{"date-parts":[["2014",3]]}}}],"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(45)</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CDDB09D"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0FCD62EF"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555933E1"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w:t>
            </w:r>
          </w:p>
          <w:p w14:paraId="5A281C66"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Hepatitis E Virus</w:t>
            </w:r>
          </w:p>
          <w:p w14:paraId="45B03228" w14:textId="4FD650D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 Enteric fever, HIV, Hepatitis A, B, C Virus</w:t>
            </w:r>
          </w:p>
        </w:tc>
        <w:tc>
          <w:tcPr>
            <w:tcW w:w="2835" w:type="dxa"/>
            <w:tcBorders>
              <w:top w:val="nil"/>
              <w:left w:val="nil"/>
              <w:bottom w:val="single" w:sz="4" w:space="0" w:color="auto"/>
              <w:right w:val="single" w:sz="4" w:space="0" w:color="auto"/>
            </w:tcBorders>
            <w:vAlign w:val="center"/>
          </w:tcPr>
          <w:p w14:paraId="6BE83580"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 xml:space="preserve">Leptospira </w:t>
            </w:r>
            <w:r w:rsidRPr="003E2940">
              <w:rPr>
                <w:rFonts w:ascii="Times New Roman" w:hAnsi="Times New Roman" w:cs="Times New Roman"/>
                <w:sz w:val="18"/>
                <w:szCs w:val="18"/>
              </w:rPr>
              <w:t>IgM ELISA (1)</w:t>
            </w:r>
          </w:p>
          <w:p w14:paraId="465950D5"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IgM ELISA (1), </w:t>
            </w:r>
            <w:r w:rsidRPr="003E2940">
              <w:rPr>
                <w:rFonts w:ascii="Times New Roman" w:hAnsi="Times New Roman" w:cs="Times New Roman"/>
                <w:sz w:val="18"/>
                <w:szCs w:val="18"/>
              </w:rPr>
              <w:br/>
              <w:t xml:space="preserve">Dengue NS1Ag </w:t>
            </w:r>
          </w:p>
          <w:p w14:paraId="6B7ED36B"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Anti-HEV IgM (1)</w:t>
            </w:r>
          </w:p>
          <w:p w14:paraId="138109B7" w14:textId="7B819A1E" w:rsidR="00B12258" w:rsidRPr="003E2940" w:rsidRDefault="00B12258" w:rsidP="00B12258">
            <w:pPr>
              <w:spacing w:after="0" w:line="240" w:lineRule="auto"/>
              <w:jc w:val="center"/>
              <w:rPr>
                <w:rFonts w:ascii="Times New Roman" w:hAnsi="Times New Roman" w:cs="Times New Roman"/>
                <w:i/>
                <w:iCs/>
                <w:sz w:val="18"/>
                <w:szCs w:val="18"/>
              </w:rPr>
            </w:pPr>
            <w:r w:rsidRPr="003E2940">
              <w:rPr>
                <w:rFonts w:ascii="Times New Roman" w:hAnsi="Times New Roman" w:cs="Times New Roman"/>
                <w:sz w:val="18"/>
                <w:szCs w:val="18"/>
              </w:rPr>
              <w:t>[Malaria, Enteric fever, HIV, Hepatitis A, B, C (NP*)]</w:t>
            </w:r>
          </w:p>
        </w:tc>
        <w:tc>
          <w:tcPr>
            <w:tcW w:w="1134" w:type="dxa"/>
            <w:tcBorders>
              <w:top w:val="nil"/>
              <w:left w:val="nil"/>
              <w:bottom w:val="single" w:sz="4" w:space="0" w:color="auto"/>
              <w:right w:val="single" w:sz="4" w:space="0" w:color="auto"/>
            </w:tcBorders>
            <w:vAlign w:val="center"/>
          </w:tcPr>
          <w:p w14:paraId="585E7B82" w14:textId="3602609E"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1567" w:type="dxa"/>
            <w:tcBorders>
              <w:top w:val="nil"/>
              <w:left w:val="nil"/>
              <w:bottom w:val="single" w:sz="4" w:space="0" w:color="auto"/>
              <w:right w:val="single" w:sz="4" w:space="0" w:color="auto"/>
            </w:tcBorders>
            <w:noWrap/>
            <w:vAlign w:val="center"/>
          </w:tcPr>
          <w:p w14:paraId="3BB515C0" w14:textId="144160A6"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Hepatitis E</w:t>
            </w:r>
          </w:p>
        </w:tc>
      </w:tr>
      <w:tr w:rsidR="00B12258" w:rsidRPr="003E2940" w14:paraId="09FD95F5"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21380401" w14:textId="4BA9A11E"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Mehta V,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{"citationID":"QRxdGRK0","properties":{"formattedCitation":"(49)","plainCitation":"(49)","noteIndex":0},"citationItems":[{"id":128,"uris":["http://zotero.org/users/14157373/items/YXIYBDCT"],"itemData":{"id":128,"type":"article-journal","abstract":"Scrub typhus and leptospirosis are zoonosis and systemic febrile illnesses with diverse, nonspecific clinical manifestations, and shared risk factors for coinfection. Diagnosis of the coinfection is dependent on laboratory serological tests, which are under used. A coinfection from Uttarakhand Himalayan region is not yet reported. A 25-year-old man from altitude of 2126 feet above sea level presented with fever, myalgia, jaundice, oliguria, mental confusion, and tender hepatomegaly. Investigations revealed leukocytosis, thrombocytopenia, impaired liver function tests, renal dysfunction with neurological involvement. Leptospira immunoglobulin IgM enzyme linked immunosorbent assay (ELISA) and scrub typhus immunochromatography test were positive. This coinfection is first to be documented in this holy Indian Himalayas. Clinical suspicion, early laboratory diagnosis, and early treatment could prevent complications and fatal outcomes. Coinfection of this type may be considered when there is persistence of fever and a treatment response to doxycycline.","container-title":"Journal of Family Medicine and Primary Care","DOI":"10.4103/jfmpc.jfmpc_614_19","ISSN":"2249-4863","issue":"10","journalAbbreviation":"J Family Med Prim Care","language":"eng","note":"PMID: 31742180\nPMCID: PMC6857365","page":"3416-3418","source":"PubMed","title":"A coinfection of severe leptospirosis and scrub typhus in Indian Himalayas","volume":"8","author":[{"family":"Mehta","given":"Vibha"},{"family":"Bhasi","given":"Ankith"},{"family":"Panda","given":"Prasan Kumar"},{"family":"Gupta","given":"Pratima"}],"issued":{"date-parts":[["2019",10]]}}}],"schema":"https://github.com/citation-style-language/schema/raw/master/csl-citation.json"}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4596C8B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CFE54BB" w14:textId="449E5BD6"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Scrub typhus</w:t>
            </w:r>
          </w:p>
        </w:tc>
        <w:tc>
          <w:tcPr>
            <w:tcW w:w="2835" w:type="dxa"/>
            <w:tcBorders>
              <w:top w:val="nil"/>
              <w:left w:val="nil"/>
              <w:bottom w:val="single" w:sz="4" w:space="0" w:color="auto"/>
              <w:right w:val="single" w:sz="4" w:space="0" w:color="auto"/>
            </w:tcBorders>
            <w:vAlign w:val="center"/>
          </w:tcPr>
          <w:p w14:paraId="0A35EE4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440576E1" w14:textId="52038D02" w:rsidR="00B12258" w:rsidRPr="003E2940" w:rsidRDefault="00B12258" w:rsidP="00B12258">
            <w:pPr>
              <w:spacing w:after="0" w:line="240" w:lineRule="auto"/>
              <w:jc w:val="center"/>
              <w:rPr>
                <w:rFonts w:ascii="Times New Roman" w:hAnsi="Times New Roman" w:cs="Times New Roman"/>
                <w:i/>
                <w:iCs/>
                <w:sz w:val="18"/>
                <w:szCs w:val="18"/>
              </w:rPr>
            </w:pPr>
            <w:r w:rsidRPr="003E2940">
              <w:rPr>
                <w:rFonts w:ascii="Times New Roman" w:eastAsia="Times New Roman" w:hAnsi="Times New Roman" w:cs="Times New Roman"/>
                <w:kern w:val="0"/>
                <w:sz w:val="18"/>
                <w:szCs w:val="18"/>
                <w:lang w:eastAsia="en-IN"/>
                <w14:ligatures w14:val="none"/>
              </w:rPr>
              <w:t>ICT for scrub typhus (1)</w:t>
            </w:r>
          </w:p>
        </w:tc>
        <w:tc>
          <w:tcPr>
            <w:tcW w:w="1134" w:type="dxa"/>
            <w:tcBorders>
              <w:top w:val="nil"/>
              <w:left w:val="nil"/>
              <w:bottom w:val="single" w:sz="4" w:space="0" w:color="auto"/>
              <w:right w:val="single" w:sz="4" w:space="0" w:color="auto"/>
            </w:tcBorders>
            <w:vAlign w:val="center"/>
          </w:tcPr>
          <w:p w14:paraId="20AE73C7" w14:textId="6D4576CA"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5F9C4B32" w14:textId="1CEB274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B12258" w:rsidRPr="003E2940" w14:paraId="67029FE5"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5FC5A05F" w14:textId="56D0254C"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Hareshkumar CN,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{"citationID":"oohRoI72","properties":{"formattedCitation":"(50)","plainCitation":"(50)","noteIndex":0},"citationItems":[{"id":499,"uris":["http://zotero.org/users/14157373/items/SXJ4IC6J"],"itemData":{"id":499,"type":"article-journal","abstract":"Weil's syndrome, a severe form of the disease, may present with symptoms such as jaundice, renal dysfunction, and hemorrhagic diathesis and it can progress to multi-organ failure leading to death. In patients with coinfection of tuberculosis with leptospirosis, there may be severe hepatic and renal dysfunction rendering the standard antitubercular therapy (ATT) regimen useless, thus requiring alternate drug selection and dose modification of antitubercular drugs. We present a case of a 57-year-old female who presented with high-grade fever and yellowish discoloration of the eyes. She was diagnosed with Weil's disease and started on treatment. She later developed altered sensorium and lumbar puncture was suggestive of tubercular meningitis. Due to her deranged renal and hepatic function tests, she was started on a modified regimen of ATT with intermittent dialysis. The patient responded to treatment and was shifted to the standard Isoniazid, Rifampicin, Pyrazinamide, Ethambutol (HRZE) regimen once renal and hepatic functions returned to normal.","container-title":"International Journal of Mycobacteriology","DOI":"10.4103/ijmy.ijmy_56_22","ISSN":"2212-554X","issue":"2","journalAbbreviation":"Int J Mycobacteriol","language":"eng","note":"PMID: 35775555","page":"205-207","source":"PubMed","title":"Tubercular meningitis complicated by weil's Syndrome - Management of tuberculosis in a patient with concurrent hepatic and renal dysfunction","volume":"11","author":[{"family":"Hareshkumar","given":"Chaudhary Niraliben"},{"family":"Gopal","given":"Prashant"},{"family":"Diggikar","given":"Pradnya Mukund"}],"issued":{"date-parts":[["2022"]]}}}],"schema":"https://github.com/citation-style-language/schema/raw/master/csl-citation.json"}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(47)</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0A33B2F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C64BBB0" w14:textId="77777777" w:rsidR="00B12258" w:rsidRPr="003E2940" w:rsidRDefault="00B12258" w:rsidP="00B12258">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Mycobacterium tuberculosis</w:t>
            </w:r>
          </w:p>
          <w:p w14:paraId="3F813D9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 COVID-19</w:t>
            </w:r>
          </w:p>
          <w:p w14:paraId="5C25481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1D4B599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3BA63E72" w14:textId="6EB901BE"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Hepatitis B &amp; C Virus</w:t>
            </w:r>
          </w:p>
        </w:tc>
        <w:tc>
          <w:tcPr>
            <w:tcW w:w="2835" w:type="dxa"/>
            <w:tcBorders>
              <w:top w:val="nil"/>
              <w:left w:val="nil"/>
              <w:bottom w:val="single" w:sz="4" w:space="0" w:color="auto"/>
              <w:right w:val="single" w:sz="4" w:space="0" w:color="auto"/>
            </w:tcBorders>
            <w:vAlign w:val="center"/>
          </w:tcPr>
          <w:p w14:paraId="4A84DAF2"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Leptospira</w:t>
            </w:r>
            <w:r w:rsidRPr="003E2940">
              <w:rPr>
                <w:rFonts w:ascii="Times New Roman" w:hAnsi="Times New Roman" w:cs="Times New Roman"/>
                <w:sz w:val="18"/>
                <w:szCs w:val="18"/>
              </w:rPr>
              <w:t xml:space="preserve"> RDT (1)</w:t>
            </w:r>
          </w:p>
          <w:p w14:paraId="65D058BE"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CBNAAT (CSF) (1)</w:t>
            </w:r>
          </w:p>
          <w:p w14:paraId="04E96145" w14:textId="77777777" w:rsidR="00B12258" w:rsidRPr="003E2940" w:rsidRDefault="00B12258" w:rsidP="00B12258">
            <w:pPr>
              <w:spacing w:after="0" w:line="240" w:lineRule="auto"/>
              <w:jc w:val="center"/>
              <w:rPr>
                <w:rFonts w:ascii="Times New Roman" w:hAnsi="Times New Roman" w:cs="Times New Roman"/>
                <w:sz w:val="18"/>
                <w:szCs w:val="18"/>
              </w:rPr>
            </w:pPr>
          </w:p>
          <w:p w14:paraId="08454B4B"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RT-PCR for HIV and COVID-19</w:t>
            </w:r>
          </w:p>
          <w:p w14:paraId="65662AB3"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IgM ELISA, Dengue NS1Ag</w:t>
            </w:r>
          </w:p>
          <w:p w14:paraId="73B65E66" w14:textId="1B81068C" w:rsidR="00B12258" w:rsidRPr="003E2940" w:rsidRDefault="00B12258" w:rsidP="00B12258">
            <w:pPr>
              <w:spacing w:after="0" w:line="240" w:lineRule="auto"/>
              <w:jc w:val="center"/>
              <w:rPr>
                <w:rFonts w:ascii="Times New Roman" w:hAnsi="Times New Roman" w:cs="Times New Roman"/>
                <w:i/>
                <w:iCs/>
                <w:sz w:val="18"/>
                <w:szCs w:val="18"/>
              </w:rPr>
            </w:pPr>
            <w:r w:rsidRPr="003E2940">
              <w:rPr>
                <w:rFonts w:ascii="Times New Roman" w:hAnsi="Times New Roman" w:cs="Times New Roman"/>
                <w:sz w:val="18"/>
                <w:szCs w:val="18"/>
              </w:rPr>
              <w:t>HBsAg, Anti-HCV IgM</w:t>
            </w:r>
          </w:p>
        </w:tc>
        <w:tc>
          <w:tcPr>
            <w:tcW w:w="1134" w:type="dxa"/>
            <w:tcBorders>
              <w:top w:val="nil"/>
              <w:left w:val="nil"/>
              <w:bottom w:val="single" w:sz="4" w:space="0" w:color="auto"/>
              <w:right w:val="single" w:sz="4" w:space="0" w:color="auto"/>
            </w:tcBorders>
            <w:vAlign w:val="center"/>
          </w:tcPr>
          <w:p w14:paraId="365057BB" w14:textId="3FE4E37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c>
          <w:tcPr>
            <w:tcW w:w="1567" w:type="dxa"/>
            <w:tcBorders>
              <w:top w:val="nil"/>
              <w:left w:val="nil"/>
              <w:bottom w:val="single" w:sz="4" w:space="0" w:color="auto"/>
              <w:right w:val="single" w:sz="4" w:space="0" w:color="auto"/>
            </w:tcBorders>
            <w:noWrap/>
            <w:vAlign w:val="center"/>
          </w:tcPr>
          <w:p w14:paraId="43427155" w14:textId="4AF6B4A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w:t>
            </w:r>
          </w:p>
        </w:tc>
      </w:tr>
      <w:tr w:rsidR="00B12258" w:rsidRPr="003E2940" w14:paraId="00901347"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D331F0B" w14:textId="37421F8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Nazeera NN,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{"citationID":"gx2r4G7l","properties":{"formattedCitation":"(51)","plainCitation":"(51)","noteIndex":0},"citationItems":[{"id":501,"uris":["http://zotero.org/users/14157373/items/PKUIJPN7"],"itemData":{"id":501,"type":"article-journal","abstract":"A 34-year-old male, with no history of known previous disease, employed at a ginger farm in South India, presented with a four-day history of high-grade fever and headache. Initially, he received symptomatic treatment but was referred due to ...","container-title":"Cureus","DOI":"10.7759/cureus.60732","issue":"5","language":"en","note":"PMID: 38903293","page":"e60732","source":"pmc.ncbi.nlm.nih.gov","title":"Double Blow in the Tropics: A Case of Concurrent Leptospirosis and Scrub Typhus","title-short":"Double Blow in the Tropics","volume":"16","author":[{"family":"Nazeera","given":"Nahas N."},{"family":"M","given":"Sreelakshmi"},{"family":"Mathew","given":"Abin"},{"family":"Basheer","given":"Aneesh"}],"issued":{"date-parts":[["2024",5,21]]}}}],"schema":"https://github.com/citation-style-language/schema/raw/master/csl-citation.json"}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(48)</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nil"/>
              <w:left w:val="nil"/>
              <w:bottom w:val="single" w:sz="4" w:space="0" w:color="auto"/>
              <w:right w:val="single" w:sz="4" w:space="0" w:color="auto"/>
            </w:tcBorders>
            <w:vAlign w:val="center"/>
          </w:tcPr>
          <w:p w14:paraId="7EBF942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16A41C9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30E8FD0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7540F12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576F602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6D3AAB15" w14:textId="77777777" w:rsidR="00B12258" w:rsidRPr="003E2940" w:rsidRDefault="00B12258" w:rsidP="00B12258">
            <w:pPr>
              <w:spacing w:after="0" w:line="240" w:lineRule="auto"/>
              <w:jc w:val="center"/>
              <w:rPr>
                <w:rFonts w:ascii="Times New Roman" w:hAnsi="Times New Roman" w:cs="Times New Roman"/>
                <w:sz w:val="18"/>
                <w:szCs w:val="18"/>
              </w:rPr>
            </w:pPr>
          </w:p>
        </w:tc>
        <w:tc>
          <w:tcPr>
            <w:tcW w:w="2835" w:type="dxa"/>
            <w:tcBorders>
              <w:top w:val="nil"/>
              <w:left w:val="nil"/>
              <w:bottom w:val="single" w:sz="4" w:space="0" w:color="auto"/>
              <w:right w:val="single" w:sz="4" w:space="0" w:color="auto"/>
            </w:tcBorders>
            <w:vAlign w:val="center"/>
          </w:tcPr>
          <w:p w14:paraId="66C9421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51F9387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Dengue NS1Ag</w:t>
            </w:r>
          </w:p>
          <w:p w14:paraId="60F8B58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4057E22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 (1)</w:t>
            </w:r>
          </w:p>
          <w:p w14:paraId="7EC22668" w14:textId="068B5579" w:rsidR="00B12258" w:rsidRPr="003E2940" w:rsidRDefault="00B12258" w:rsidP="00B12258">
            <w:pPr>
              <w:spacing w:after="0" w:line="240" w:lineRule="auto"/>
              <w:jc w:val="center"/>
              <w:rPr>
                <w:rFonts w:ascii="Times New Roman" w:hAnsi="Times New Roman" w:cs="Times New Roman"/>
                <w:i/>
                <w:iCs/>
                <w:sz w:val="18"/>
                <w:szCs w:val="18"/>
              </w:rPr>
            </w:pPr>
            <w:r w:rsidRPr="003E2940">
              <w:rPr>
                <w:rFonts w:ascii="Times New Roman" w:eastAsia="Times New Roman" w:hAnsi="Times New Roman" w:cs="Times New Roman"/>
                <w:kern w:val="0"/>
                <w:sz w:val="18"/>
                <w:szCs w:val="18"/>
                <w:lang w:eastAsia="en-IN"/>
                <w14:ligatures w14:val="none"/>
              </w:rPr>
              <w:t>Blood &amp; Urine culture</w:t>
            </w:r>
          </w:p>
        </w:tc>
        <w:tc>
          <w:tcPr>
            <w:tcW w:w="1134" w:type="dxa"/>
            <w:tcBorders>
              <w:top w:val="nil"/>
              <w:left w:val="nil"/>
              <w:bottom w:val="single" w:sz="4" w:space="0" w:color="auto"/>
              <w:right w:val="single" w:sz="4" w:space="0" w:color="auto"/>
            </w:tcBorders>
            <w:vAlign w:val="center"/>
          </w:tcPr>
          <w:p w14:paraId="794865A1" w14:textId="2A5AC6FE"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696FC972" w14:textId="7790D56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B12258" w:rsidRPr="003E2940" w14:paraId="0A5F0B73"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2A08F48" w14:textId="74130735"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Negi,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{"citationID":"rrJyRVWJ","properties":{"formattedCitation":"(52)","plainCitation":"(52)","noteIndex":0},"citationItems":[{"id":504,"uris":["http://zotero.org/users/14157373/items/J9RDMR4V"],"itemData":{"id":504,"type":"article-journal","abstract":"Semantic Scholar extracted view of \"Coinfection by Salmonella and Leptospira Presenting as Subacute Intestinal Obstruction with Colitis: A Diagnostic Dilemma\" by A. Negi et al.","container-title":"JOURNAL OF CLINICAL AND DIAGNOSTIC RESEARCH","DOI":"10.7860/JCDR/2018/32611.11272","ISSN":"2249782X","journalAbbreviation":"JCDR","source":"Semantic Scholar","title":"Coinfection by Salmonella and Leptospira Presenting as Subacute Intestinal Obstruction with Colitis: A Diagnostic Dilemma","title-short":"Coinfection by Salmonella and Leptospira Presenting as Subacute Intestinal Obstruction with Colitis","URL":"http://jcdr.net/article_fulltext.asp?issn=0973-709x&amp;year=2018&amp;volume=12&amp;issue=3&amp;page=DD01&amp;issn=0973-709x&amp;id=11272","author":[{"family":"Negi","given":"Arti"},{"family":"Tejan","given":"Nidhi"},{"family":"Sahu","given":"Chinmoy"},{"family":"Dhole","given":"Tapankumar Nirodchand"}],"accessed":{"date-parts":[["2024",11,13]]},"issued":{"date-parts":[["2018"]]}}}],"schema":"https://github.com/citation-style-language/schema/raw/master/csl-citation.json"}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1908663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245ACB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A Virus</w:t>
            </w:r>
          </w:p>
          <w:p w14:paraId="76008BF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 Virus</w:t>
            </w:r>
          </w:p>
          <w:p w14:paraId="0E05D99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w:t>
            </w:r>
          </w:p>
          <w:p w14:paraId="117980D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Enteric fever </w:t>
            </w:r>
          </w:p>
          <w:p w14:paraId="44A5AC5A" w14:textId="3EF82E1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7D50DC7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 xml:space="preserve">Leptospira </w:t>
            </w:r>
            <w:r w:rsidRPr="003E2940">
              <w:rPr>
                <w:rFonts w:ascii="Times New Roman" w:eastAsia="Times New Roman" w:hAnsi="Times New Roman" w:cs="Times New Roman"/>
                <w:kern w:val="0"/>
                <w:sz w:val="18"/>
                <w:szCs w:val="18"/>
                <w:lang w:eastAsia="en-IN"/>
                <w14:ligatures w14:val="none"/>
              </w:rPr>
              <w:t>IgM ELISA (1)</w:t>
            </w:r>
          </w:p>
          <w:p w14:paraId="2227E1E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Anti-HAV IgM</w:t>
            </w:r>
          </w:p>
          <w:p w14:paraId="6F125F2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Anti-HEV IgM</w:t>
            </w:r>
          </w:p>
          <w:p w14:paraId="2ED9BEF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Acid-Fast Bacilli Microscopy</w:t>
            </w:r>
          </w:p>
          <w:p w14:paraId="727F514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 (1)</w:t>
            </w:r>
          </w:p>
          <w:p w14:paraId="22D1C174" w14:textId="195F2628"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&amp; Urine culture</w:t>
            </w:r>
          </w:p>
        </w:tc>
        <w:tc>
          <w:tcPr>
            <w:tcW w:w="1134" w:type="dxa"/>
            <w:tcBorders>
              <w:top w:val="nil"/>
              <w:left w:val="nil"/>
              <w:bottom w:val="single" w:sz="4" w:space="0" w:color="auto"/>
              <w:right w:val="single" w:sz="4" w:space="0" w:color="auto"/>
            </w:tcBorders>
            <w:vAlign w:val="center"/>
          </w:tcPr>
          <w:p w14:paraId="7ADD95A2" w14:textId="72479A1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73B4F20B" w14:textId="3FEEF165"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tc>
      </w:tr>
      <w:tr w:rsidR="00B12258" w:rsidRPr="003E2940" w14:paraId="23944F82"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9239864" w14:textId="3B0C5E50"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Diwan, A.G.,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{"citationID":"9MhmlHg9","properties":{"formattedCitation":"(53)","plainCitation":"(53)","noteIndex":0},"citationItems":[{"id":159,"uris":["http://zotero.org/users/14157373/items/G9A9594I"],"itemData":{"id":159,"type":"article-journal","abstract":"Macrophage activation syndrome is a potentially life threatening phenomenon characterised by aggressive proliferation of macrophages and T lymphocytes leading to haemophagocytosis of other blood cells and multi organ failure. Here we present a very unusual combination of leptospirosis and scrub typhus infection leading to macrophage activation syndrome. Scrub typhus associated with macrophage activation syndrome has rarely been reported in India. A 40 year old female presented with high grade fever, seizures, bodyache, arthralgia and severe breathlessness. Investigations revealed persistent thrombocytopenia, impaired liver function tests, renal dysfunction, leptospiral IgM ELISA positive and a positive Weil Felix test. There was evidence of haemophagocytosis in bone marrow. Macrophage activation syndrome if left untreated has been associated with rapidly fatal outcome and early treatment can help us save that one precious thing..called life..!","container-title":"The Journal of the Association of Physicians of India","journalAbbreviation":"The Journal of the Association of Physicians of India","page":"58-61","source":"ResearchGate","title":"Triple trouble - Macrophage activation syndrome in a case of severe leptospirosis and scrub typhus co-infection","volume":"62","author":[{"family":"Diwan","given":"Arundhati"},{"family":"Shewale","given":"Rahul"},{"family":"Iyer","given":"Shivakumar"},{"family":"Nisal","given":"Amit"},{"family":"Agrawa","given":"Prakhar"}],"issued":{"date-parts":[["2014",10,20]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48AE57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3F91441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42ED317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208F94A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F4665C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0ABBED2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p>
          <w:p w14:paraId="66857A7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w:t>
            </w:r>
          </w:p>
          <w:p w14:paraId="159A36B5" w14:textId="29B7C86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 HAV, HEV</w:t>
            </w:r>
          </w:p>
        </w:tc>
        <w:tc>
          <w:tcPr>
            <w:tcW w:w="2835" w:type="dxa"/>
            <w:tcBorders>
              <w:top w:val="nil"/>
              <w:left w:val="nil"/>
              <w:bottom w:val="single" w:sz="4" w:space="0" w:color="auto"/>
              <w:right w:val="single" w:sz="4" w:space="0" w:color="auto"/>
            </w:tcBorders>
            <w:vAlign w:val="center"/>
          </w:tcPr>
          <w:p w14:paraId="0A90C2F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6E94F8AA"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IgM &amp; IgG ELISA, Dengue NS1Ag</w:t>
            </w:r>
          </w:p>
          <w:p w14:paraId="641477A9"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Peripheral blood smear, Malaria RDT </w:t>
            </w:r>
          </w:p>
          <w:p w14:paraId="003F6970"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Weil-Felix test (1)</w:t>
            </w:r>
          </w:p>
          <w:p w14:paraId="1BBC9567"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HBsAg</w:t>
            </w:r>
          </w:p>
          <w:p w14:paraId="58317354" w14:textId="2CBC4E3D" w:rsidR="00B12258" w:rsidRPr="003E2940" w:rsidRDefault="00B12258" w:rsidP="00B12258">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Serology for HIV, HAV, HEV</w:t>
            </w:r>
          </w:p>
        </w:tc>
        <w:tc>
          <w:tcPr>
            <w:tcW w:w="1134" w:type="dxa"/>
            <w:tcBorders>
              <w:top w:val="nil"/>
              <w:left w:val="nil"/>
              <w:bottom w:val="single" w:sz="4" w:space="0" w:color="auto"/>
              <w:right w:val="single" w:sz="4" w:space="0" w:color="auto"/>
            </w:tcBorders>
            <w:vAlign w:val="center"/>
          </w:tcPr>
          <w:p w14:paraId="7C22327B" w14:textId="4F12366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1567" w:type="dxa"/>
            <w:tcBorders>
              <w:top w:val="nil"/>
              <w:left w:val="nil"/>
              <w:bottom w:val="single" w:sz="4" w:space="0" w:color="auto"/>
              <w:right w:val="single" w:sz="4" w:space="0" w:color="auto"/>
            </w:tcBorders>
            <w:noWrap/>
            <w:vAlign w:val="center"/>
          </w:tcPr>
          <w:p w14:paraId="46F79823" w14:textId="08BDE8C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B12258" w:rsidRPr="003E2940" w14:paraId="3FA5F2DE"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C901F91" w14:textId="3034008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MP,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{"citationID":"63DAuqTq","properties":{"formattedCitation":"(42)","plainCitation":"(42)","noteIndex":0},"citationItems":[{"id":469,"uris":["http://zotero.org/users/14157373/items/BJ3JJNS2"],"itemData":{"id":469,"type":"article-journal","abstract":"India is endemic for both Leptospira and hepatitis E virus (HEV). The clinical presentations of these diseases have overlapping features. We report a case of superinfection of HEV in a patient with resolving leptospirosis with underlying Hodgkin lymphoma. The diagnosis of HEV in our case was established by HEV-RNA PCR as our patient was immunosuppressed. The present study highlights the need for molecular diagnosis in the case of HEV infection with strong clinical suspicion and negative serological results.","container-title":"Indian Journal of Medical Microbiology","DOI":"10.4103/0255-0857.93067","ISSN":"0255-0857","issue":"1","journalAbbreviation":"Indian Journal of Medical Microbiology","page":"103-106","source":"ScienceDirect","title":"Prolonged jaundice attributed to super infection of hepatitis E virus in a case of resolving leptospirosis","volume":"30","author":[{"family":"Singh","given":"MP"},{"family":"Majumdar","given":"M"},{"family":"Sharma","given":"A"},{"family":"Chawla","given":"Y"},{"family":"Ratho","given":"RK"}],"issued":{"date-parts":[["2012",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(39)</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nil"/>
              <w:left w:val="nil"/>
              <w:bottom w:val="single" w:sz="4" w:space="0" w:color="auto"/>
              <w:right w:val="single" w:sz="4" w:space="0" w:color="auto"/>
            </w:tcBorders>
            <w:vAlign w:val="center"/>
          </w:tcPr>
          <w:p w14:paraId="56044435"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7CB97BF1"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w:t>
            </w:r>
          </w:p>
          <w:p w14:paraId="72D4D2D2"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Hepatitis A, B, C, E Virus</w:t>
            </w:r>
          </w:p>
          <w:p w14:paraId="69A8AF4F" w14:textId="77777777" w:rsidR="00B12258" w:rsidRPr="003E2940" w:rsidRDefault="00B12258" w:rsidP="00B12258">
            <w:pPr>
              <w:spacing w:after="0" w:line="240" w:lineRule="auto"/>
              <w:jc w:val="center"/>
              <w:rPr>
                <w:rFonts w:ascii="Times New Roman" w:hAnsi="Times New Roman" w:cs="Times New Roman"/>
                <w:sz w:val="18"/>
                <w:szCs w:val="18"/>
              </w:rPr>
            </w:pPr>
          </w:p>
          <w:p w14:paraId="075A4EA2" w14:textId="77777777" w:rsidR="00B12258" w:rsidRPr="003E2940" w:rsidRDefault="00B12258" w:rsidP="00B12258">
            <w:pPr>
              <w:spacing w:after="0" w:line="240" w:lineRule="auto"/>
              <w:jc w:val="center"/>
              <w:rPr>
                <w:rFonts w:ascii="Times New Roman" w:hAnsi="Times New Roman" w:cs="Times New Roman"/>
                <w:sz w:val="18"/>
                <w:szCs w:val="18"/>
              </w:rPr>
            </w:pPr>
          </w:p>
          <w:p w14:paraId="2E8743AA" w14:textId="77777777" w:rsidR="00B12258" w:rsidRPr="003E2940" w:rsidRDefault="00B12258" w:rsidP="00B12258">
            <w:pPr>
              <w:spacing w:after="0" w:line="240" w:lineRule="auto"/>
              <w:jc w:val="center"/>
              <w:rPr>
                <w:rFonts w:ascii="Times New Roman" w:hAnsi="Times New Roman" w:cs="Times New Roman"/>
                <w:sz w:val="18"/>
                <w:szCs w:val="18"/>
              </w:rPr>
            </w:pPr>
          </w:p>
          <w:p w14:paraId="163BAE0C"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Epstein-Barr Virus</w:t>
            </w:r>
          </w:p>
          <w:p w14:paraId="0A90BB4F"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CMV</w:t>
            </w:r>
          </w:p>
          <w:p w14:paraId="0017C8AF" w14:textId="6D6E7AF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 xml:space="preserve">HSV </w:t>
            </w:r>
          </w:p>
        </w:tc>
        <w:tc>
          <w:tcPr>
            <w:tcW w:w="2835" w:type="dxa"/>
            <w:tcBorders>
              <w:top w:val="nil"/>
              <w:left w:val="nil"/>
              <w:bottom w:val="single" w:sz="4" w:space="0" w:color="auto"/>
              <w:right w:val="single" w:sz="4" w:space="0" w:color="auto"/>
            </w:tcBorders>
            <w:vAlign w:val="center"/>
          </w:tcPr>
          <w:p w14:paraId="427081E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lastRenderedPageBreak/>
              <w:t>Leptospira</w:t>
            </w:r>
            <w:r w:rsidRPr="003E2940">
              <w:rPr>
                <w:rFonts w:ascii="Times New Roman" w:eastAsia="Times New Roman" w:hAnsi="Times New Roman" w:cs="Times New Roman"/>
                <w:kern w:val="0"/>
                <w:sz w:val="18"/>
                <w:szCs w:val="18"/>
                <w:lang w:eastAsia="en-IN"/>
                <w14:ligatures w14:val="none"/>
              </w:rPr>
              <w:t xml:space="preserve"> IgM ELISA (1)</w:t>
            </w:r>
          </w:p>
          <w:p w14:paraId="7134D7B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p w14:paraId="1345061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Anti-HAV IgM, </w:t>
            </w:r>
          </w:p>
          <w:p w14:paraId="5A075C3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HBsAg, HBcAg</w:t>
            </w:r>
          </w:p>
          <w:p w14:paraId="6769D59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Anti-HCV IgM, HCV RT-PCR</w:t>
            </w:r>
          </w:p>
          <w:p w14:paraId="6232F3D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lastRenderedPageBreak/>
              <w:t>Anti-HEV IgM, HEV RT-PCR (1)</w:t>
            </w:r>
          </w:p>
          <w:p w14:paraId="57C25D7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Anti-VCA IgM</w:t>
            </w:r>
          </w:p>
          <w:p w14:paraId="5688ABE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Anti-CMV IgM</w:t>
            </w:r>
          </w:p>
          <w:p w14:paraId="2B7A8E3C" w14:textId="543842B7" w:rsidR="00B12258" w:rsidRPr="003E2940" w:rsidRDefault="00B12258" w:rsidP="00B12258">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Anti-HSV IgM</w:t>
            </w:r>
          </w:p>
        </w:tc>
        <w:tc>
          <w:tcPr>
            <w:tcW w:w="1134" w:type="dxa"/>
            <w:tcBorders>
              <w:top w:val="nil"/>
              <w:left w:val="nil"/>
              <w:bottom w:val="single" w:sz="4" w:space="0" w:color="auto"/>
              <w:right w:val="single" w:sz="4" w:space="0" w:color="auto"/>
            </w:tcBorders>
            <w:vAlign w:val="center"/>
          </w:tcPr>
          <w:p w14:paraId="17AF512B" w14:textId="0D64595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lastRenderedPageBreak/>
              <w:t>12</w:t>
            </w:r>
          </w:p>
        </w:tc>
        <w:tc>
          <w:tcPr>
            <w:tcW w:w="1567" w:type="dxa"/>
            <w:tcBorders>
              <w:top w:val="nil"/>
              <w:left w:val="nil"/>
              <w:bottom w:val="single" w:sz="4" w:space="0" w:color="auto"/>
              <w:right w:val="single" w:sz="4" w:space="0" w:color="auto"/>
            </w:tcBorders>
            <w:noWrap/>
            <w:vAlign w:val="center"/>
          </w:tcPr>
          <w:p w14:paraId="3BC996AB" w14:textId="5DC4704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w:t>
            </w:r>
          </w:p>
        </w:tc>
      </w:tr>
      <w:tr w:rsidR="00B12258" w:rsidRPr="003E2940" w14:paraId="79EAF401"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2F0812D1" w14:textId="77AEFC16"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{"citationID":"E1PYYsLk","properties":{"formattedCitation":"(36)","plainCitation":"(36)","dontUpdate":true,"noteIndex":0},"citationItems":[{"id":471,"uris":["http://zotero.org/users/14157373/items/4B33U6DD"],"itemData":{"id":471,"type":"article-journal","abstract":"Dengue and leptospirosis are frequently discussed separately, with dengue causing rash and leptospirosis causing jaundice. Currently, there are more and more reports of coinfections. The comparable clinical symptoms of both infections make it ...","container-title":"Cureus","DOI":"10.7759/cureus.52466","issue":"1","language":"en","note":"PMID: 38371008","page":"e52466","source":"pmc.ncbi.nlm.nih.gov","title":"Leptospirosis and Dengue Coinfection-Associated Multi-Organ Dysfunction Syndrome: A Case Report","title-short":"Leptospirosis and Dengue Coinfection-Associated Multi-Organ Dysfunction Syndrome","volume":"16","author":[{"family":"Shiddapur","given":"Govind"},{"family":"Reddy","given":"Vutukuru Kalyan Kumar"},{"family":"Kondapalli","given":"Mohith Prakash"},{"family":"Adapa","given":"Saimounika"},{"family":"Agarwal","given":"Sonali"}],"issued":{"date-parts":[["2024",1,17]]}}}],"schema":"https://github.com/citation-style-language/schema/raw/master/csl-citation.json"}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0F09C3A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4A42B5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291FBFF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421416E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17BFBA9E"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31670E4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599C5DB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p w14:paraId="5EC402B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Rickettsia</w:t>
            </w:r>
          </w:p>
          <w:p w14:paraId="63C69B9D" w14:textId="20A9A43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2835" w:type="dxa"/>
            <w:tcBorders>
              <w:top w:val="nil"/>
              <w:left w:val="nil"/>
              <w:bottom w:val="single" w:sz="4" w:space="0" w:color="auto"/>
              <w:right w:val="single" w:sz="4" w:space="0" w:color="auto"/>
            </w:tcBorders>
            <w:vAlign w:val="center"/>
          </w:tcPr>
          <w:p w14:paraId="270CA0A1"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 </w:t>
            </w: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rt-PCR (1)</w:t>
            </w:r>
          </w:p>
          <w:p w14:paraId="2A7AF62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RT-PCR (2), Dengue NS1Ag,</w:t>
            </w:r>
          </w:p>
          <w:p w14:paraId="4A4178A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(1) &amp; IgG ELISA</w:t>
            </w:r>
          </w:p>
          <w:p w14:paraId="4CBE73A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RDT</w:t>
            </w:r>
          </w:p>
          <w:p w14:paraId="41670D4E"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2976420E"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Weil-Felix</w:t>
            </w:r>
          </w:p>
          <w:p w14:paraId="554CBF02" w14:textId="38D0C8F6" w:rsidR="00B12258" w:rsidRPr="003E2940" w:rsidRDefault="00B12258" w:rsidP="00B12258">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 RT-PCR</w:t>
            </w:r>
          </w:p>
        </w:tc>
        <w:tc>
          <w:tcPr>
            <w:tcW w:w="1134" w:type="dxa"/>
            <w:tcBorders>
              <w:top w:val="nil"/>
              <w:left w:val="nil"/>
              <w:bottom w:val="single" w:sz="4" w:space="0" w:color="auto"/>
              <w:right w:val="single" w:sz="4" w:space="0" w:color="auto"/>
            </w:tcBorders>
            <w:vAlign w:val="center"/>
          </w:tcPr>
          <w:p w14:paraId="7C489BEB" w14:textId="3CBA4FD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10</w:t>
            </w:r>
          </w:p>
        </w:tc>
        <w:tc>
          <w:tcPr>
            <w:tcW w:w="1567" w:type="dxa"/>
            <w:tcBorders>
              <w:top w:val="nil"/>
              <w:left w:val="nil"/>
              <w:bottom w:val="single" w:sz="4" w:space="0" w:color="auto"/>
              <w:right w:val="single" w:sz="4" w:space="0" w:color="auto"/>
            </w:tcBorders>
            <w:noWrap/>
            <w:vAlign w:val="center"/>
          </w:tcPr>
          <w:p w14:paraId="089291AB" w14:textId="52960070"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B12258" w:rsidRPr="003E2940" w14:paraId="3B28235E"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FC40DBF" w14:textId="0C3B9E73"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A,2021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{"citationID":"i4TuqmKa","properties":{"formattedCitation":"(37)","plainCitation":"(37)","dontUpdate":true,"noteIndex":0},"citationItems":[{"id":482,"uris":["http://zotero.org/users/14157373/items/UPMX7P6P"],"itemData":{"id":482,"type":"article-journal","abstract":"(2021) Singh et al. Journal of Pharmaceutical Research International. Leptospirosis in pregnancy is often underdiagnosed and not commonly reported due to its unusual appearance and rarity. It looks...","container-title":"Journal of Pharmaceutical Research International","DOI":"10.9734/jpri/2021/v33i43b32567","ISSN":"undefined","language":"en-GB","page":"379-383","source":"www.mendeley.com","title":"Leptospirosis in COVID-19 Positive Pregnancy: A Rare Case Report Mimicking Hellp Syndrome","title-short":"Leptospirosis in COVID-19 Positive Pregnancy","author":[{"family":"Singh","given":"Aarshika"},{"family":"Tayade","given":"Surekha"},{"family":"Thadiboina","given":"Ooha"},{"family":"Srinidhi","given":"Cherukuri"}],"issued":{"date-parts":[["2021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(41)</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63A659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6958141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p w14:paraId="7307A61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077AFA1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13D8765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7241578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4FC7A10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A, B, C, E Virus</w:t>
            </w:r>
          </w:p>
          <w:p w14:paraId="4F503A2B" w14:textId="387A1C75"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CMV, EBV, HIV</w:t>
            </w:r>
          </w:p>
        </w:tc>
        <w:tc>
          <w:tcPr>
            <w:tcW w:w="2835" w:type="dxa"/>
            <w:tcBorders>
              <w:top w:val="nil"/>
              <w:left w:val="nil"/>
              <w:bottom w:val="single" w:sz="4" w:space="0" w:color="auto"/>
              <w:right w:val="single" w:sz="4" w:space="0" w:color="auto"/>
            </w:tcBorders>
            <w:vAlign w:val="center"/>
          </w:tcPr>
          <w:p w14:paraId="3FA278D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57029CC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 RT-PCR (1)</w:t>
            </w:r>
          </w:p>
          <w:p w14:paraId="1A44915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5388D92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Dengue, Malaria (NP*)]</w:t>
            </w:r>
          </w:p>
          <w:p w14:paraId="43FE79A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Serology for Hepatitis A, B, C, E Virus, CMV, EBV, HIV</w:t>
            </w:r>
          </w:p>
          <w:p w14:paraId="53D45F1C" w14:textId="148D5A54" w:rsidR="00B12258" w:rsidRPr="003E2940" w:rsidRDefault="00B12258" w:rsidP="00B12258">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&amp; Urine Culture</w:t>
            </w:r>
          </w:p>
        </w:tc>
        <w:tc>
          <w:tcPr>
            <w:tcW w:w="1134" w:type="dxa"/>
            <w:tcBorders>
              <w:top w:val="nil"/>
              <w:left w:val="nil"/>
              <w:bottom w:val="single" w:sz="4" w:space="0" w:color="auto"/>
              <w:right w:val="single" w:sz="4" w:space="0" w:color="auto"/>
            </w:tcBorders>
            <w:vAlign w:val="center"/>
          </w:tcPr>
          <w:p w14:paraId="155186B2" w14:textId="0DCF0283"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1567" w:type="dxa"/>
            <w:tcBorders>
              <w:top w:val="nil"/>
              <w:left w:val="nil"/>
              <w:bottom w:val="single" w:sz="4" w:space="0" w:color="auto"/>
              <w:right w:val="single" w:sz="4" w:space="0" w:color="auto"/>
            </w:tcBorders>
            <w:noWrap/>
            <w:vAlign w:val="center"/>
          </w:tcPr>
          <w:p w14:paraId="73A9261D" w14:textId="59A025B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r>
      <w:tr w:rsidR="00B12258" w:rsidRPr="003E2940" w14:paraId="2F8A2FE9"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0564577B" w14:textId="02C2811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Saboo K,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{"citationID":"FIbq1LMS","properties":{"formattedCitation":"(42)","plainCitation":"(42)","noteIndex":0},"citationItems":[{"id":489,"uris":["http://zotero.org/users/14157373/items/4IP83CF4"],"itemData":{"id":489,"type":"article-journal","abstract":"Malaria is referred to as a \"rainy season disease\" and is brought on by Plasmodium species. Leptospira interrogans, a spirochete, cause zoonosis leptospirosis. It is pretty uncommon for both diseases to coinfect one another. Before assuming a fever ...","container-title":"Cureus","DOI":"10.7759/cureus.43879","issue":"8","language":"en","note":"PMID: 37746455","page":"e43879","source":"pmc.ncbi.nlm.nih.gov","title":"Falciparum Malaria, Leptospirosis, and Vibrio mimicus Encephalitis in a Resilient Patient: A Remarkable Case of Triple Infection Survival","title-short":"Falciparum Malaria, Leptospirosis, and Vibrio mimicus Encephalitis in a Resilient Patient","volume":"15","author":[{"family":"Saboo","given":"Keyur"},{"family":"Gemnani","given":"Rinkle"},{"family":"Kumar","given":"Sunil"},{"family":"Acharya","given":"Sourya"},{"family":"Mishra","given":"Preeti"}],"issued":{"date-parts":[["2023",8,21]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7ADE20D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369EFD1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0C6097F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Meningitis </w:t>
            </w:r>
          </w:p>
          <w:p w14:paraId="70B2266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w:t>
            </w:r>
          </w:p>
          <w:p w14:paraId="757CB73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7D77670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 (1)</w:t>
            </w:r>
          </w:p>
          <w:p w14:paraId="68B840E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(1)</w:t>
            </w:r>
          </w:p>
          <w:p w14:paraId="7F9E8AC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CSF culture (1), </w:t>
            </w:r>
          </w:p>
          <w:p w14:paraId="003FACC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 (NP*)]</w:t>
            </w:r>
          </w:p>
          <w:p w14:paraId="4C8E89C8" w14:textId="25D2DFF3" w:rsidR="00B12258" w:rsidRPr="003E2940" w:rsidRDefault="00B12258" w:rsidP="00B12258">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Sputum, &amp; Urine culture</w:t>
            </w:r>
          </w:p>
        </w:tc>
        <w:tc>
          <w:tcPr>
            <w:tcW w:w="1134" w:type="dxa"/>
            <w:tcBorders>
              <w:top w:val="nil"/>
              <w:left w:val="nil"/>
              <w:bottom w:val="single" w:sz="4" w:space="0" w:color="auto"/>
              <w:right w:val="single" w:sz="4" w:space="0" w:color="auto"/>
            </w:tcBorders>
            <w:vAlign w:val="center"/>
          </w:tcPr>
          <w:p w14:paraId="1348A9C8" w14:textId="25E6287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1567" w:type="dxa"/>
            <w:tcBorders>
              <w:top w:val="nil"/>
              <w:left w:val="nil"/>
              <w:bottom w:val="single" w:sz="4" w:space="0" w:color="auto"/>
              <w:right w:val="single" w:sz="4" w:space="0" w:color="auto"/>
            </w:tcBorders>
            <w:noWrap/>
            <w:vAlign w:val="center"/>
          </w:tcPr>
          <w:p w14:paraId="09AB7ED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Malaria              </w:t>
            </w:r>
          </w:p>
          <w:p w14:paraId="65A61540" w14:textId="132E435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Vibrio mimicus</w:t>
            </w:r>
          </w:p>
        </w:tc>
      </w:tr>
      <w:tr w:rsidR="00B12258" w:rsidRPr="003E2940" w14:paraId="28CD7E1A"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1742E33F" w14:textId="0800BB13"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Kharibam P., 2021</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{"citationID":"vsORVhQ2","properties":{"formattedCitation":"(23)","plainCitation":"(23)","noteIndex":0},"citationItems":[{"id":496,"uris":["http://zotero.org/users/14157373/items/CCPTHD79"],"itemData":{"id":496,"type":"article-journal","abstract":"Dengue and Leptospirosis usually present with similar prodromal symptoms. Early diagnosis of co-infections and appropriate initiation of antibiotics can prevent fatality. An 18-year-old male, known case of chronic hepatitis B presented with fever and jaundice for 15 days, was diagnosed to have dengue and leptospirosis. He was started on Doxycycline along with hemodynamic support and renal replacement therapy and improved gradually, AKI resolved and was discharged. High index of suspicion with occupational exposure is needed to diagnose leptospirosis. Conjunctival suffusion is an important clinical sign, and often overlooked, should raise the possibility of leptospirosis in a patient with non-specific febrile illness. Renal failure, may require supportive renal replacement therapy in acute phase. All possible infections with similar presentation should be investigated, if not, other treatable co infections which are worsening the disease pattern may be missed.","container-title":"Journalof CardiovascularDiseaseResearch","issue":"06","language":"en","source":"Zotero","title":"Triple Co-Infection - Leading to Acute on Chronic Liver Disease","author":[{"family":"Kharibam","given":"Dr Prabin"}],"issued":{"date-parts":[["2021"]]}}}],"schema":"https://github.com/citation-style-language/schema/raw/master/csl-citation.json"}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(43)</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nil"/>
              <w:left w:val="nil"/>
              <w:bottom w:val="single" w:sz="4" w:space="0" w:color="auto"/>
              <w:right w:val="single" w:sz="4" w:space="0" w:color="auto"/>
            </w:tcBorders>
            <w:vAlign w:val="center"/>
          </w:tcPr>
          <w:p w14:paraId="1F15897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1847719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7DDCC7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7C14A45A" w14:textId="62FA529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w:t>
            </w:r>
          </w:p>
        </w:tc>
        <w:tc>
          <w:tcPr>
            <w:tcW w:w="2835" w:type="dxa"/>
            <w:tcBorders>
              <w:top w:val="nil"/>
              <w:left w:val="nil"/>
              <w:bottom w:val="single" w:sz="4" w:space="0" w:color="auto"/>
              <w:right w:val="single" w:sz="4" w:space="0" w:color="auto"/>
            </w:tcBorders>
            <w:vAlign w:val="center"/>
          </w:tcPr>
          <w:p w14:paraId="3840394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12E18C3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(1), Dengue NS1Ag (1)</w:t>
            </w:r>
          </w:p>
          <w:p w14:paraId="3EF200F0" w14:textId="71CD01C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HBsAg (1), HBeAg, HBV RNA</w:t>
            </w:r>
          </w:p>
        </w:tc>
        <w:tc>
          <w:tcPr>
            <w:tcW w:w="1134" w:type="dxa"/>
            <w:tcBorders>
              <w:top w:val="nil"/>
              <w:left w:val="nil"/>
              <w:bottom w:val="single" w:sz="4" w:space="0" w:color="auto"/>
              <w:right w:val="single" w:sz="4" w:space="0" w:color="auto"/>
            </w:tcBorders>
            <w:vAlign w:val="center"/>
          </w:tcPr>
          <w:p w14:paraId="37B4AE90" w14:textId="60C938E8"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1567" w:type="dxa"/>
            <w:tcBorders>
              <w:top w:val="nil"/>
              <w:left w:val="nil"/>
              <w:bottom w:val="single" w:sz="4" w:space="0" w:color="auto"/>
              <w:right w:val="single" w:sz="4" w:space="0" w:color="auto"/>
            </w:tcBorders>
            <w:noWrap/>
            <w:vAlign w:val="center"/>
          </w:tcPr>
          <w:p w14:paraId="2298F66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Dengue          </w:t>
            </w:r>
          </w:p>
          <w:p w14:paraId="0B461349" w14:textId="6132546A"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B</w:t>
            </w:r>
          </w:p>
        </w:tc>
      </w:tr>
      <w:tr w:rsidR="00B12258" w:rsidRPr="003E2940" w14:paraId="4F514F90"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7384A9D" w14:textId="4115439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Samanta,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{"citationID":"neh8ZX9v","properties":{"formattedCitation":"(54)","plainCitation":"(54)","noteIndex":0},"citationItems":[{"id":162,"uris":["http://zotero.org/users/14157373/items/CA4RRZSA"],"itemData":{"id":162,"type":"article-journal","abstract":"Malaria-leptospira co-infection is rarely detected. Emergency surgery in such patients has not been reported. We describe such a case of a 24-year-old primigravida at term pregnancy posted for emergency caesarean delivery who developed pulmonary haemorrhage, acute respiratory distress syndrome, acute kidney injury, and cerebral oedema. Here, we discuss the perioperative management, pain management (with transverse abdominis plane block), intensive care management (special reference to management of pulmonary haemorrhage with intra pulmonary factor VIIa) and the role of plasmapheresis in leptospira related jaundice with renal failure.","container-title":"Indian Journal of Anaesthesia","DOI":"10.4103/0019-5049.126797","ISSN":"0019-5049","issue":"1","language":"en-US","page":"55","source":"journals.lww.com","title":"Emergency caesarean delivery in a patient with cerebral malaria-leptospira co infection: Anaesthetic and critical care considerations","title-short":"Emergency caesarean delivery in a patient with cerebral malaria-leptospira co infection","volume":"58","author":[{"family":"Samanta","given":"Sukhen"},{"family":"Samanta","given":"Sujay"},{"family":"Haldar","given":"Rudrashish"}],"issued":{"date-parts":[["2014",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(51)</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nil"/>
              <w:left w:val="nil"/>
              <w:bottom w:val="single" w:sz="4" w:space="0" w:color="auto"/>
              <w:right w:val="single" w:sz="4" w:space="0" w:color="auto"/>
            </w:tcBorders>
            <w:vAlign w:val="center"/>
          </w:tcPr>
          <w:p w14:paraId="67CE144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67ECB24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7E7FF00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0D28637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w:t>
            </w:r>
          </w:p>
          <w:p w14:paraId="617D5A3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593464A" w14:textId="72BFB6A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20FA1B5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 (1)</w:t>
            </w:r>
          </w:p>
          <w:p w14:paraId="35F69C2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RDT (1)</w:t>
            </w:r>
          </w:p>
          <w:p w14:paraId="50D1B16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Weil-Felix test</w:t>
            </w:r>
          </w:p>
          <w:p w14:paraId="178F947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TyphiDot RDT</w:t>
            </w:r>
          </w:p>
          <w:p w14:paraId="7A3F36C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p w14:paraId="7DFC2732" w14:textId="6624535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&amp; Urine culture</w:t>
            </w:r>
          </w:p>
        </w:tc>
        <w:tc>
          <w:tcPr>
            <w:tcW w:w="1134" w:type="dxa"/>
            <w:tcBorders>
              <w:top w:val="nil"/>
              <w:left w:val="nil"/>
              <w:bottom w:val="single" w:sz="4" w:space="0" w:color="auto"/>
              <w:right w:val="single" w:sz="4" w:space="0" w:color="auto"/>
            </w:tcBorders>
            <w:vAlign w:val="center"/>
          </w:tcPr>
          <w:p w14:paraId="06B6D848" w14:textId="1A9D361A"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4FD11832" w14:textId="1C31379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r>
      <w:tr w:rsidR="00B12258" w:rsidRPr="003E2940" w14:paraId="665E7692"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5D2EAE5A" w14:textId="4BC53B26"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Chopdekar,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{"citationID":"eiwyC6cM","properties":{"formattedCitation":"(55)","plainCitation":"(55)","noteIndex":0},"citationItems":[{"id":506,"uris":["http://zotero.org/users/14157373/items/UX6YGKBG"],"itemData":{"id":506,"type":"article-journal","abstract":"Two cases of leptospirosis and dengue co-infection in paediatric patients are reported. Their coexistence is infrequently reported in literature. As both the conditions mimic each other, diagnosis is difficult for the physician. Serological testing for both the conditions in acute febrile illness plays a crucial role in diagnosis.","container-title":"Journal, Indian Academy of Clinical Medicine","journalAbbreviation":"Journal, Indian Academy of Clinical Medicine","source":"ResearchGate","title":"Concomitant leptospirosis and dengue infections: Case Report","title-short":"Concomitant leptospirosis and dengue infections","volume":"15","author":[{"family":"Chopdekar","given":"KA"},{"family":"Patil","given":"SS"},{"family":"Joshi","given":"Ameeta"},{"family":"Chowdhary","given":"Abhay"}],"issued":{"date-parts":[["2014",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87AF2B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4FBDAB5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A62510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p w14:paraId="68CAD35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481A254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A, B, E Virus</w:t>
            </w:r>
          </w:p>
          <w:p w14:paraId="62E38916"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2E1577A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(2)</w:t>
            </w:r>
          </w:p>
          <w:p w14:paraId="089D01F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0A620E1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6EC3779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MAC ELISA (2)</w:t>
            </w:r>
          </w:p>
          <w:p w14:paraId="4E0EFB64" w14:textId="5BD104D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Anti-HAV IgM, HBsAg, </w:t>
            </w:r>
            <w:r w:rsidRPr="003E2940">
              <w:rPr>
                <w:rFonts w:ascii="Times New Roman" w:eastAsia="Times New Roman" w:hAnsi="Times New Roman" w:cs="Times New Roman"/>
                <w:kern w:val="0"/>
                <w:sz w:val="18"/>
                <w:szCs w:val="18"/>
                <w:lang w:eastAsia="en-IN"/>
                <w14:ligatures w14:val="none"/>
              </w:rPr>
              <w:br/>
              <w:t>Anti-HEV IgM</w:t>
            </w:r>
          </w:p>
        </w:tc>
        <w:tc>
          <w:tcPr>
            <w:tcW w:w="1134" w:type="dxa"/>
            <w:tcBorders>
              <w:top w:val="nil"/>
              <w:left w:val="nil"/>
              <w:bottom w:val="single" w:sz="4" w:space="0" w:color="auto"/>
              <w:right w:val="single" w:sz="4" w:space="0" w:color="auto"/>
            </w:tcBorders>
            <w:vAlign w:val="center"/>
          </w:tcPr>
          <w:p w14:paraId="2FCF0279" w14:textId="7CB3DCDC"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339E98F3" w14:textId="1B2CD09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r>
      <w:tr w:rsidR="00B12258" w:rsidRPr="003E2940" w14:paraId="05936EC2"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7FF3CB28" w14:textId="422B34F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Baliga, K.V.,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{"citationID":"sWMcIvVY","properties":{"formattedCitation":"(56)","plainCitation":"(56)","noteIndex":0},"citationItems":[{"id":171,"uris":["http://zotero.org/users/14157373/items/ZSYHWUQM"],"itemData":{"id":171,"type":"article-journal","container-title":"Journal of Infection and Chemotherapy","DOI":"10.1007/s10156-011-0220-7","ISSN":"1341-321X, 1437-7780","issue":"5","journalAbbreviation":"Journal of Infection and Chemotherapy","language":"English","note":"publisher: Elsevier\nPMID: 21327689","page":"694-697","source":"www.jiac-j.com","title":"Acute febrile hepato-renal dysfunction in the tropics: co-infection of malaria and leptospirosis","title-short":"Acute febrile hepato-renal dysfunction in the tropics","volume":"17","author":[{"family":"Baliga","given":"Krishna Venkatesh"},{"family":"Uday","given":"Yanamandra"},{"family":"Sood","given":"Vivek"},{"family":"Nagpal","given":"Akhil"}],"issued":{"date-parts":[["2011",1,1]]}}}],"schema":"https://github.com/citation-style-language/schema/raw/master/csl-citation.json"}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(53)</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0E9C962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2838C0D1"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2449CE5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E7CE2B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5811CEB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3E34D6BE"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p w14:paraId="0C1F05B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46C5AED3" w14:textId="1D2A733B"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Brucellosis</w:t>
            </w:r>
          </w:p>
        </w:tc>
        <w:tc>
          <w:tcPr>
            <w:tcW w:w="2835" w:type="dxa"/>
            <w:tcBorders>
              <w:top w:val="nil"/>
              <w:left w:val="nil"/>
              <w:bottom w:val="single" w:sz="4" w:space="0" w:color="auto"/>
              <w:right w:val="single" w:sz="4" w:space="0" w:color="auto"/>
            </w:tcBorders>
            <w:vAlign w:val="center"/>
          </w:tcPr>
          <w:p w14:paraId="009351B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MAT (2), Dark Field Microscopy, </w:t>
            </w: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w:t>
            </w:r>
          </w:p>
          <w:p w14:paraId="2EB189B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 (1), QBC (1), ICT</w:t>
            </w:r>
          </w:p>
          <w:p w14:paraId="6BFCA42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IgG ELISA</w:t>
            </w:r>
          </w:p>
          <w:p w14:paraId="5631F80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5605A31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Weil-Felix test</w:t>
            </w:r>
          </w:p>
          <w:p w14:paraId="28D0A0B5" w14:textId="314DEB0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Brucella IgM ELISA</w:t>
            </w:r>
          </w:p>
        </w:tc>
        <w:tc>
          <w:tcPr>
            <w:tcW w:w="1134" w:type="dxa"/>
            <w:tcBorders>
              <w:top w:val="nil"/>
              <w:left w:val="nil"/>
              <w:bottom w:val="single" w:sz="4" w:space="0" w:color="auto"/>
              <w:right w:val="single" w:sz="4" w:space="0" w:color="auto"/>
            </w:tcBorders>
            <w:vAlign w:val="center"/>
          </w:tcPr>
          <w:p w14:paraId="66B2013D" w14:textId="153DCD80"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10</w:t>
            </w:r>
          </w:p>
        </w:tc>
        <w:tc>
          <w:tcPr>
            <w:tcW w:w="1567" w:type="dxa"/>
            <w:tcBorders>
              <w:top w:val="nil"/>
              <w:left w:val="nil"/>
              <w:bottom w:val="single" w:sz="4" w:space="0" w:color="auto"/>
              <w:right w:val="single" w:sz="4" w:space="0" w:color="auto"/>
            </w:tcBorders>
            <w:noWrap/>
            <w:vAlign w:val="center"/>
          </w:tcPr>
          <w:p w14:paraId="55E677EC" w14:textId="7F01613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r>
      <w:tr w:rsidR="00B12258" w:rsidRPr="003E2940" w14:paraId="06030879"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12CB8224" w14:textId="17A7132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Behera, B., 2010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{"citationID":"Z0GIXfuK","properties":{"formattedCitation":"(24)","plainCitation":"(24)","noteIndex":0},"citationItems":[{"id":510,"uris":["http://zotero.org/users/14157373/items/NQIJHQWE"],"itemData":{"id":510,"type":"article-journal","abstract":"A case of mixed infection due to leptospira, dengue and hepatitis E is reported. Similar clinical presentation and simultaneous transmission of these diseases during rainy season can cause substantial misdiagnosis. Serological tests play a mainstay in diagnosis. Early detection by appropriate serological tests and institution of therapy is crucial and life saving.","container-title":"Journal of Infection in Developing Countries","DOI":"10.3855/jidc.535","ISSN":"1972-2680","issue":"1","journalAbbreviation":"J Infect Dev Ctries","language":"eng","note":"PMID: 20130379","page":"48-50","source":"PubMed","title":"Co-infections due to leptospira, dengue and hepatitis E: a diagnostic challenge","title-short":"Co-infections due to leptospira, dengue and hepatitis E","volume":"4","author":[{"family":"Behera","given":"Bijayini"},{"family":"Chaudhry","given":"Rama"},{"family":"Pandey","given":"Anubhav"},{"family":"Mohan","given":"Anant"},{"family":"Dar","given":"Lalit"},{"family":"Premlatha","given":"Martha M."},{"family":"Gupta","given":"Ekta"},{"family":"Broor","given":"Shobha"},{"family":"Aggarwal","given":"Parveen"}],"issued":{"date-parts":[["2009",11,5]]}}}],"schema":"https://github.com/citation-style-language/schema/raw/master/csl-citation.json"}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(54)</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7F968FF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4E1CE30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453F1CC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w:t>
            </w:r>
          </w:p>
          <w:p w14:paraId="213EBFF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7F57A592"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 HCV, HEV</w:t>
            </w:r>
          </w:p>
          <w:p w14:paraId="6077C461"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244C673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nil"/>
              <w:left w:val="nil"/>
              <w:bottom w:val="single" w:sz="4" w:space="0" w:color="auto"/>
              <w:right w:val="single" w:sz="4" w:space="0" w:color="auto"/>
            </w:tcBorders>
            <w:vAlign w:val="center"/>
          </w:tcPr>
          <w:p w14:paraId="6DB59E4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6B859F85"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0045A53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0AE0A24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(1)</w:t>
            </w:r>
          </w:p>
          <w:p w14:paraId="66BE291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HBsAg, Anti-HCV IgM, Anti-HEV IgM (1)</w:t>
            </w:r>
          </w:p>
          <w:p w14:paraId="22213F91" w14:textId="283BB23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&amp; Urine culture</w:t>
            </w:r>
          </w:p>
        </w:tc>
        <w:tc>
          <w:tcPr>
            <w:tcW w:w="1134" w:type="dxa"/>
            <w:tcBorders>
              <w:top w:val="nil"/>
              <w:left w:val="nil"/>
              <w:bottom w:val="single" w:sz="4" w:space="0" w:color="auto"/>
              <w:right w:val="single" w:sz="4" w:space="0" w:color="auto"/>
            </w:tcBorders>
            <w:vAlign w:val="center"/>
          </w:tcPr>
          <w:p w14:paraId="70905E30" w14:textId="1530A22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1567" w:type="dxa"/>
            <w:tcBorders>
              <w:top w:val="nil"/>
              <w:left w:val="nil"/>
              <w:bottom w:val="single" w:sz="4" w:space="0" w:color="auto"/>
              <w:right w:val="single" w:sz="4" w:space="0" w:color="auto"/>
            </w:tcBorders>
            <w:noWrap/>
            <w:vAlign w:val="center"/>
          </w:tcPr>
          <w:p w14:paraId="6D7A4056" w14:textId="05C87DAB"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Hepatitis E</w:t>
            </w:r>
          </w:p>
        </w:tc>
      </w:tr>
      <w:tr w:rsidR="00B12258" w:rsidRPr="003E2940" w14:paraId="6B39B718"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D66EBE2" w14:textId="0825A78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{"citationID":"veKGs8JM","properties":{"formattedCitation":"(58)","plainCitation":"(58)","noteIndex":0},"citationItems":[{"id":554,"uris":["http://zotero.org/users/14157373/items/RS5BKM2H"],"itemData":{"id":554,"type":"article-journal","abstract":"Acute Disseminated Encephalomyelitis (ADEM) is a neurological disorder characterised by demyelination, where the immune system targets the Central Nervous...","container-title":"Journal of Clinical and Diagnostic Research","DOI":"10.7860/JCDR/2024/70148.19497","ISSN":"2249-782X, 0973-709X","issue":"06","language":"en","note":"publisher: JCDR Research and Publications Private Limited","page":"07-10","source":"doaj.org","title":"A Case of Acute Disseminated Encephalomyelitis in Adults: Unravelling the Influenza B and Leptospirosis Co-infection","title-short":"A Case of Acute Disseminated Encephalomyelitis in Adults","volume":"18","author":[{"family":"Shiddapur","given":"Govind"},{"family":"Adapa","given":"Sai Mounika"},{"family":"Vutukuru","given":"Kalyan Kumar Reddy"},{"family":"Kondapalli","given":"Mohith Prakash"},{"family":"Agarwal","given":"Sonali"}],"issued":{"date-parts":[["2024",6,1]]}}}],"schema":"https://github.com/citation-style-language/schema/raw/master/csl-citation.json"}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(55)</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2799863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20742747" w14:textId="47BEDC73"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Influenza B Virus</w:t>
            </w:r>
          </w:p>
        </w:tc>
        <w:tc>
          <w:tcPr>
            <w:tcW w:w="2835" w:type="dxa"/>
            <w:tcBorders>
              <w:top w:val="nil"/>
              <w:left w:val="nil"/>
              <w:bottom w:val="single" w:sz="4" w:space="0" w:color="auto"/>
              <w:right w:val="single" w:sz="4" w:space="0" w:color="auto"/>
            </w:tcBorders>
            <w:vAlign w:val="center"/>
          </w:tcPr>
          <w:p w14:paraId="001BF3E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2313911B" w14:textId="4B68D3B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Influenza RT-PCR (1)</w:t>
            </w:r>
          </w:p>
        </w:tc>
        <w:tc>
          <w:tcPr>
            <w:tcW w:w="1134" w:type="dxa"/>
            <w:tcBorders>
              <w:top w:val="nil"/>
              <w:left w:val="nil"/>
              <w:bottom w:val="single" w:sz="4" w:space="0" w:color="auto"/>
              <w:right w:val="single" w:sz="4" w:space="0" w:color="auto"/>
            </w:tcBorders>
            <w:vAlign w:val="center"/>
          </w:tcPr>
          <w:p w14:paraId="40B28922" w14:textId="0F8FC5F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1C43AC67" w14:textId="19A96CF8"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Influenza B</w:t>
            </w:r>
          </w:p>
        </w:tc>
      </w:tr>
      <w:tr w:rsidR="00B12258" w:rsidRPr="003E2940" w14:paraId="1F1AA83D"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D0EF392" w14:textId="515B2EFF"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Singh Y,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{"citationID":"aDxOmOTR","properties":{"formattedCitation":"(59)","plainCitation":"(59)","noteIndex":0},"citationItems":[{"id":555,"uris":["http://zotero.org/users/14157373/items/5X5PBVUU"],"itemData":{"id":555,"type":"article-journal","abstract":": Clinical manifestations of COVID-19 range from mild self-limiting illness to multi-organ dysfunction and acute respiratory distress syndrome (ARDS). Leptospirosis too manifests as mild or asymptomatic infection and only small number of patients progress to ARDS and develop systemic manifestation. COVID-19 and leptospira co infection can have fatal outcome because of augmented pathophysiological manifestations of both the disease. We here describe a case of leptospira and COVID-19 coinfection in a patient who had poor outcomes due to multi-organ involvement.","container-title":"Journal of Cellular &amp; Molecular Anesthesia","DOI":"10.22037/jcma.v7i2.36618","ISSN":"2476-5120","issue":"2","journalAbbreviation":"J Cell Mol Anesth","language":"en","license":"This open-access article is available under the Creative Commons Attribution 4.0 (CC BY 4.0) International License (https://creativecommons.org/licenses/by/4.0/), which allows for unrestricted use, distribution, and reproduction in any medium, provided that the original work is properly cited.","note":"number: 2\npublisher: Brieflands","source":"brieflands.com","title":"Leptospirosis and COVID-19 Co-Infection Manifesting as an Enhanced Thrombotic Phenomenon","URL":"https://brieflands.com/articles/jcma-149705#abstract","volume":"7","author":[{"family":"Singh","given":"Yudhyavir"},{"family":"Singh","given":"Abhishek"},{"family":"Soni","given":"Kapil"},{"family":"Trikha","given":"Anjan"}],"accessed":{"date-parts":[["2024",11,22]]},"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3226BAF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1A2FB83" w14:textId="12DE5BE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2835" w:type="dxa"/>
            <w:tcBorders>
              <w:top w:val="nil"/>
              <w:left w:val="nil"/>
              <w:bottom w:val="single" w:sz="4" w:space="0" w:color="auto"/>
              <w:right w:val="single" w:sz="4" w:space="0" w:color="auto"/>
            </w:tcBorders>
            <w:vAlign w:val="center"/>
          </w:tcPr>
          <w:p w14:paraId="7778C17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64979167" w14:textId="6EA42CC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 RT-PCR (1)</w:t>
            </w:r>
          </w:p>
        </w:tc>
        <w:tc>
          <w:tcPr>
            <w:tcW w:w="1134" w:type="dxa"/>
            <w:tcBorders>
              <w:top w:val="nil"/>
              <w:left w:val="nil"/>
              <w:bottom w:val="single" w:sz="4" w:space="0" w:color="auto"/>
              <w:right w:val="single" w:sz="4" w:space="0" w:color="auto"/>
            </w:tcBorders>
            <w:vAlign w:val="center"/>
          </w:tcPr>
          <w:p w14:paraId="25B1FAD5" w14:textId="2B55DFA0"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37F07739" w14:textId="1870CC2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r>
      <w:tr w:rsidR="00B12258" w:rsidRPr="003E2940" w14:paraId="42474853" w14:textId="77777777" w:rsidTr="00E43DB0">
        <w:trPr>
          <w:trHeight w:val="360"/>
        </w:trPr>
        <w:tc>
          <w:tcPr>
            <w:tcW w:w="1696" w:type="dxa"/>
            <w:tcBorders>
              <w:top w:val="nil"/>
              <w:left w:val="single" w:sz="4" w:space="0" w:color="auto"/>
              <w:bottom w:val="single" w:sz="4" w:space="0" w:color="auto"/>
              <w:right w:val="single" w:sz="4" w:space="0" w:color="auto"/>
            </w:tcBorders>
            <w:vAlign w:val="center"/>
          </w:tcPr>
          <w:p w14:paraId="6B59368A" w14:textId="5354664A"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 xml:space="preserve">Damodar T, 2013 </w:t>
            </w:r>
            <w:r w:rsidRPr="003E2940">
              <w:rPr>
                <w:rFonts w:ascii="Times New Roman" w:eastAsia="Times New Roman" w:hAnsi="Times New Roman" w:cs="Times New Roman"/>
                <w:kern w:val="0"/>
                <w:sz w:val="18"/>
                <w:szCs w:val="18"/>
                <w:lang w:eastAsia="en-IN"/>
                <w14:ligatures w14:val="none"/>
              </w:rPr>
              <w:t xml:space="preserve">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{"citationID":"jM8juMJ5","properties":{"formattedCitation":"(59)","plainCitation":"(59)","noteIndex":0},"citationItems":[{"id":551,"uris":["http://zotero.org/users/14157373/items/L8EUGS5Z"],"itemData":{"id":551,"type":"article-journal","abstract":"Undifferentiated Acute Febrile Illness (AFI) is a common clinical syndrome among patients seeking hospital care. Detection of co-infections at the time of presentation is a diagnostic challenge, especially with limited laboratory support. Even if detected, early treatment and cure of these co-infections can be difficult for the clinicians. We are presenting a rare case of Hepatitis B and leptospirosis co-infection with high titres of Salmonella paratyphi A and scrub typhus. There are a few reports of leptospirosis in Hepatitis -B infected individuals but no generalization can be made due to limited data. Prompt and accurate serological diagnosis of multiple infectious agents have becomes mandatory in a healthcare set-up.","container-title":"Journal of Clinical and Diagnostic Research : JCDR","DOI":"10.7860/JCDR/2013/6012.3490","ISSN":"2249-782X","issue":"10","journalAbbreviation":"J Clin Diagn Res","note":"PMID: 24298495\nPMCID: PMC3843418","page":"2270-2271","source":"PubMed Central","title":"Co–Infection: Weil’s Syndrome with Hepatitis B Infection- A Diagnostic and Therapeutic Hitch","title-short":"Co–Infection","volume":"7","author":[{"family":"Damodar","given":"Tina"},{"family":"Kuruvilla","given":"Thomas"},{"family":"Furtado","given":"Zevita"},{"family":"Hegde","given":"Roopa"}],"issued":{"date-parts":[["2013",10]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7E4FE7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704314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56E2E37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593CCC9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C822CA1"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w:t>
            </w:r>
          </w:p>
          <w:p w14:paraId="78F6D98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p w14:paraId="588E2A77" w14:textId="3104F7DA"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2835" w:type="dxa"/>
            <w:tcBorders>
              <w:top w:val="nil"/>
              <w:left w:val="nil"/>
              <w:bottom w:val="single" w:sz="4" w:space="0" w:color="auto"/>
              <w:right w:val="single" w:sz="4" w:space="0" w:color="auto"/>
            </w:tcBorders>
            <w:vAlign w:val="center"/>
          </w:tcPr>
          <w:p w14:paraId="26A522F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 Dark Field Microscopy (1)</w:t>
            </w:r>
          </w:p>
          <w:p w14:paraId="283B1D1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7ED8FB5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p w14:paraId="652FF51A"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HBsAg (1)</w:t>
            </w:r>
          </w:p>
          <w:p w14:paraId="7BDAC9D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61000B71" w14:textId="4A097B4D"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Weil-Felix test</w:t>
            </w:r>
          </w:p>
        </w:tc>
        <w:tc>
          <w:tcPr>
            <w:tcW w:w="1134" w:type="dxa"/>
            <w:tcBorders>
              <w:top w:val="nil"/>
              <w:left w:val="nil"/>
              <w:bottom w:val="single" w:sz="4" w:space="0" w:color="auto"/>
              <w:right w:val="single" w:sz="4" w:space="0" w:color="auto"/>
            </w:tcBorders>
            <w:vAlign w:val="center"/>
          </w:tcPr>
          <w:p w14:paraId="59C3E3B0" w14:textId="1B375D5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1567" w:type="dxa"/>
            <w:tcBorders>
              <w:top w:val="nil"/>
              <w:left w:val="nil"/>
              <w:bottom w:val="single" w:sz="4" w:space="0" w:color="auto"/>
              <w:right w:val="single" w:sz="4" w:space="0" w:color="auto"/>
            </w:tcBorders>
            <w:noWrap/>
            <w:vAlign w:val="center"/>
          </w:tcPr>
          <w:p w14:paraId="4B02B785" w14:textId="3604DEB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B</w:t>
            </w:r>
          </w:p>
        </w:tc>
      </w:tr>
      <w:tr w:rsidR="00B12258" w:rsidRPr="003E2940" w14:paraId="09E4A86F" w14:textId="77777777" w:rsidTr="00E43DB0">
        <w:trPr>
          <w:trHeight w:val="360"/>
        </w:trPr>
        <w:tc>
          <w:tcPr>
            <w:tcW w:w="1696" w:type="dxa"/>
            <w:tcBorders>
              <w:top w:val="single" w:sz="4" w:space="0" w:color="auto"/>
              <w:left w:val="single" w:sz="4" w:space="0" w:color="auto"/>
              <w:bottom w:val="single" w:sz="4" w:space="0" w:color="auto"/>
              <w:right w:val="single" w:sz="4" w:space="0" w:color="auto"/>
            </w:tcBorders>
            <w:vAlign w:val="center"/>
          </w:tcPr>
          <w:p w14:paraId="7005A161" w14:textId="2B05E1FF"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lastRenderedPageBreak/>
              <w:t xml:space="preserve">Mahajan S.K,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{"citationID":"ERvRRTFU","properties":{"formattedCitation":"(60)","plainCitation":"(60)","noteIndex":0},"citationItems":[{"id":169,"uris":["http://zotero.org/users/14157373/items/QQ8CMEJF"],"itemData":{"id":169,"type":"article-journal","abstract":"Scrub typhus and leptospirosis are both zoonosis and systemic febrile illnesses with diverse clinical manifestations and they may present with similar signs and symptoms. We present a case of co-infection of scrub typhus and leptospirosis from Himachal Pradesh in the Himalayan region of India.","container-title":"Tropical Doctor","DOI":"10.1258/td.2012.120041","ISSN":"0049-4755","issue":"3","journalAbbreviation":"Trop Doct","language":"en","note":"publisher: SAGE Publications","page":"176-177","source":"SAGE Journals","title":"Scrub typhus and leptospirosis co-infection in Himalayan region","volume":"42","author":[{"family":"Mahajan","given":"Sanjay K"},{"family":"Babu NM","given":"Sharath"},{"family":"Singh","given":"Digvijay"},{"family":"Kanga","given":"Anil"},{"family":"Kaushal","given":"Satinder S"}],"issued":{"date-parts":[["2012",7,1]]}}}],"schema":"https://github.com/citation-style-language/schema/raw/master/csl-citation.json"}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(58)</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1BBBC90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E1CFAA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08C78C1E"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p w14:paraId="6A57130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230CF369"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tc>
        <w:tc>
          <w:tcPr>
            <w:tcW w:w="2835" w:type="dxa"/>
            <w:tcBorders>
              <w:top w:val="single" w:sz="4" w:space="0" w:color="auto"/>
              <w:left w:val="nil"/>
              <w:bottom w:val="single" w:sz="4" w:space="0" w:color="auto"/>
              <w:right w:val="single" w:sz="4" w:space="0" w:color="auto"/>
            </w:tcBorders>
            <w:vAlign w:val="center"/>
          </w:tcPr>
          <w:p w14:paraId="2981828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(1)</w:t>
            </w:r>
          </w:p>
          <w:p w14:paraId="68795B7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w:t>
            </w:r>
          </w:p>
          <w:p w14:paraId="12B6F00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w:t>
            </w:r>
          </w:p>
          <w:p w14:paraId="0F23D3F4"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 (1)</w:t>
            </w:r>
          </w:p>
          <w:p w14:paraId="42E2CFA5" w14:textId="6C86F81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Blood &amp; Urine culture</w:t>
            </w:r>
          </w:p>
        </w:tc>
        <w:tc>
          <w:tcPr>
            <w:tcW w:w="1134" w:type="dxa"/>
            <w:tcBorders>
              <w:top w:val="single" w:sz="4" w:space="0" w:color="auto"/>
              <w:left w:val="nil"/>
              <w:bottom w:val="single" w:sz="4" w:space="0" w:color="auto"/>
              <w:right w:val="single" w:sz="4" w:space="0" w:color="auto"/>
            </w:tcBorders>
            <w:vAlign w:val="center"/>
          </w:tcPr>
          <w:p w14:paraId="1244D83E" w14:textId="10E7F933"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1567" w:type="dxa"/>
            <w:tcBorders>
              <w:top w:val="single" w:sz="4" w:space="0" w:color="auto"/>
              <w:left w:val="nil"/>
              <w:bottom w:val="single" w:sz="4" w:space="0" w:color="auto"/>
              <w:right w:val="single" w:sz="4" w:space="0" w:color="auto"/>
            </w:tcBorders>
            <w:noWrap/>
            <w:vAlign w:val="center"/>
          </w:tcPr>
          <w:p w14:paraId="76287A31" w14:textId="2E4FDC9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r>
      <w:tr w:rsidR="00B12258" w:rsidRPr="003E2940" w14:paraId="142D3A83" w14:textId="77777777" w:rsidTr="00E43DB0">
        <w:trPr>
          <w:trHeight w:val="360"/>
        </w:trPr>
        <w:tc>
          <w:tcPr>
            <w:tcW w:w="9500" w:type="dxa"/>
            <w:gridSpan w:val="5"/>
            <w:tcBorders>
              <w:top w:val="nil"/>
              <w:left w:val="single" w:sz="4" w:space="0" w:color="auto"/>
              <w:bottom w:val="single" w:sz="4" w:space="0" w:color="auto"/>
              <w:right w:val="single" w:sz="4" w:space="0" w:color="auto"/>
            </w:tcBorders>
            <w:vAlign w:val="center"/>
          </w:tcPr>
          <w:p w14:paraId="16BAB7E3" w14:textId="50CDD887" w:rsidR="00B12258" w:rsidRPr="003E2940" w:rsidRDefault="00B12258"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Case Series</w:t>
            </w:r>
          </w:p>
        </w:tc>
      </w:tr>
      <w:tr w:rsidR="00B12258" w:rsidRPr="003E2940" w14:paraId="27D4418B"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4A4415EE" w14:textId="5AF5CF8B"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Aina N,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{"citationID":"v8ag5H6c","properties":{"formattedCitation":"(19)","plainCitation":"(19)","dontUpdate":true,"noteIndex":0},"citationItems":[{"id":485,"uris":["http://zotero.org/users/14157373/items/9CB2KKM7"],"itemData":{"id":485,"type":"article-journal","abstract":"Background: Fever is defined as a rectal temperature of 100.4oF or more. It is a physiologic response characterized by an elevation of body temperature above normal variation. Fever is one of the common causes of medical consultation in children, responsible for 15%–25% of consultations in Pediatrics practice. Children with prolonged fever worry their parents and are a diagnostic challenge to pediatricians. Persistence of fever raises clinical queries towards diagnosis, especially in patients without identifiable focus. Children with a temperature of more than 38°C (100.4°F) recorded by a healthcare professional without any determined reason after at least 8 days of evaluation should be classified as having a “fever of unknown origin”. Most fevers with unknown causes usually have atypical presentations of common illnesses.  Case Presentation: We reviewed the case records of 9 children admitted to our pediatric ward with prolonged fever episodes from December 2021 to October 2022. They were diagnostic challenges for clinicians. In our cases, 2 children had scrub typhus, 1 was diagnosed with acute lymphoblastic leukemia, and 1 had multidrug-resistant typhoid fever. However, 2 patients remained with a fever of unknown origin. Three children were found to have coinfections and diagnosed with enteric fever with other coinfections like dengue, leptospirosis, and urinary tract infection. Cases 1, 2, and 9 had persistent fever despite appropriate antibiotics therapy based on sensitivity patterns, hence a significant diagnosis challenge. Cases 3 and 6 had initial diagnostic deviations due to their atypical presentations, and both cases were diagnosed as scrub typhus. After extensive evaluation, case 4 was diagnosed as malignancy (acute lymphoblastic leukemia). Cases 5 and 7 posed a diagnostic challenge: The causes were not found after extensive evaluation, and there was persistent fever after 10 days of admission. Hence, they were diagnosed as “fever of unknown origin”. Conclusions: A complete history and detailed examination are essential in evaluating pediatric illnesses. We have found that there might be deviators during disease evolution. We should not settle with a single diagnosis until a good clinical response is achieved and also consider alternative diagnoses or coinfections. Common causes of prolonged fever should be ruled out first. Coinfections should also be considered if there is no clinical response to treatment in a patient. A practical, systematic, and stepwise approach can be helpful with the assessment and management of prolonged fever in the pediatric age group.","container-title":"Journal of Pediatrics Review","DOI":"10.32598/jpr.11.3.1087.1","ISSN":"23224398, 23224401","issue":"3","journalAbbreviation":"JPR","page":"251-260","source":"Semantic Scholar","title":"Case Series of Prolonged Febrile Illness in Pediatric Age Group: A Diagnostic Challenge","title-short":"Case Series of Prolonged Febrile Illness in Pediatric Age Group","volume":"11","author":[{"literal":"Department of Pediatrics, Chettinad Hospital And Research Institute, Chettinad Academy of Research Education, Tamil Nadu, India."},{"family":"Aina","given":"Noorul"},{"family":"Dhayalan","given":"Indumathi"},{"literal":"Department of Pediatrics, Chettinad Hospital And Research Institute, Chettinad Academy of Research Education, Tamil Nadu, India."},{"family":"Vasudevan","given":"Jaishree"},{"literal":"Department of Pediatrics, Chettinad Hospital And Research Institute, Chettinad Academy of Research Education, Tamil Nadu, India."},{"family":"Mannu","given":"Alexander"},{"literal":"Department of Pediatrics, Chettinad Hospital And Research Institute, Chettinad Academy of Research Education, Tamil Nadu, India."},{"family":"Thiagarajan","given":"Kathir Subramanian"},{"literal":"Department of Pediatrics, Chettinad Hospital And Research Institute, Chettinad Academy of Research Education, Tamil Nadu, India."}],"issued":{"date-parts":[["2023",7,1]]}}}],"schema":"https://github.com/citation-style-language/schema/raw/master/csl-citation.json"}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2327EF2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4E0D5A1E"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w:t>
            </w:r>
          </w:p>
          <w:p w14:paraId="7147134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p>
          <w:p w14:paraId="4EBB779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p w14:paraId="08E7ABC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3AB6D06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310A3AA8" w14:textId="1266061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 H1N1 Influenza</w:t>
            </w:r>
          </w:p>
        </w:tc>
        <w:tc>
          <w:tcPr>
            <w:tcW w:w="2835" w:type="dxa"/>
            <w:tcBorders>
              <w:top w:val="nil"/>
              <w:left w:val="nil"/>
              <w:bottom w:val="single" w:sz="4" w:space="0" w:color="auto"/>
              <w:right w:val="single" w:sz="4" w:space="0" w:color="auto"/>
            </w:tcBorders>
            <w:vAlign w:val="center"/>
          </w:tcPr>
          <w:p w14:paraId="6F037D4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(2)</w:t>
            </w:r>
          </w:p>
          <w:p w14:paraId="73EB364F"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Widal test (3), Blood (1) &amp; Bone marrow (1) culture</w:t>
            </w:r>
          </w:p>
          <w:p w14:paraId="218F633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 RT-PCR (1)</w:t>
            </w:r>
          </w:p>
          <w:p w14:paraId="14DE3230"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IgM ELISA (2)</w:t>
            </w:r>
          </w:p>
          <w:p w14:paraId="2B3822EC"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 (1)</w:t>
            </w:r>
          </w:p>
          <w:p w14:paraId="23A07627"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 H1N1 (NP*)]</w:t>
            </w:r>
          </w:p>
          <w:p w14:paraId="707907C9" w14:textId="5DE17568"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Urine culture</w:t>
            </w:r>
          </w:p>
        </w:tc>
        <w:tc>
          <w:tcPr>
            <w:tcW w:w="1134" w:type="dxa"/>
            <w:tcBorders>
              <w:top w:val="nil"/>
              <w:left w:val="nil"/>
              <w:bottom w:val="single" w:sz="4" w:space="0" w:color="auto"/>
              <w:right w:val="single" w:sz="4" w:space="0" w:color="auto"/>
            </w:tcBorders>
            <w:vAlign w:val="center"/>
          </w:tcPr>
          <w:p w14:paraId="6E2C922B" w14:textId="2D61FC4F"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c>
          <w:tcPr>
            <w:tcW w:w="1567" w:type="dxa"/>
            <w:tcBorders>
              <w:top w:val="nil"/>
              <w:left w:val="nil"/>
              <w:bottom w:val="single" w:sz="4" w:space="0" w:color="auto"/>
              <w:right w:val="single" w:sz="4" w:space="0" w:color="auto"/>
            </w:tcBorders>
            <w:noWrap/>
            <w:vAlign w:val="center"/>
          </w:tcPr>
          <w:p w14:paraId="2319414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COVID-19       </w:t>
            </w:r>
          </w:p>
          <w:p w14:paraId="3EF0680B" w14:textId="1AE963A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tc>
      </w:tr>
      <w:tr w:rsidR="00B12258" w:rsidRPr="003E2940" w14:paraId="3EC8AD70"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29ECC5BB" w14:textId="06A1065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Gupta N.,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{"citationID":"lz3NhXfN","properties":{"formattedCitation":"(39)","plainCitation":"(39)","dontUpdate":true,"noteIndex":0},"citationItems":[{"id":131,"uris":["http://zotero.org/users/14157373/items/BK9GVSYQ"],"itemData":{"id":131,"type":"article-journal","abstract":"During the monsoon season of 2020, the coastal areas of South India were endemic to both leptospirosis and coronavirus disease 2019 (COVID-19). This study aimed to investigate the clinical features and outcomes of patients infected with both infections. A retrospective review of charts of all patients with COVID-19 who were also diagnosed with leptospirosis by immunoglobulin M enzyme-linked immunosorbent assay was undertaken. The clinical features, laboratory report, treatment details, and outcomes of all the included patients were recorded. The collected data were summarized as the frequency with percentage for categorical data and the mean or median for continuous data. Twenty-four cases of coinfections were admitted between July and November 2020. Most of these patients were categorized as severe COVID-19 (n = 15, 62.5%). Acute kidney injury was seen in 79.2% (n = 19) patients, while raised bilirubin was present in 79.2% (n = 19) of the patients. All patients had raised C-reactive protein, while all but one had raised procalcitonin. Thrombocytopenia, leucocytosis, and leukocytopenia were seen in 91.7% (n = 22), 45.8% (n = 11), and 12.5% (n = 3) of the patients. The median duration of hospital stay was 11 (8.25-15) days. A total of 79.2% (n = 19) of the patients improved and were discharged, while 20.8% (n = 5) died during the hospital stay. In conclusion, patients with fever and atypical manifestations such as hepatic dysfunction, renal dysfunction, and thrombocytopenia should be evaluated for leptospirosis even if they are COVID positive.","container-title":"Journal of Medical Virology","DOI":"10.1002/jmv.27816","ISSN":"1096-9071","issue":"9","journalAbbreviation":"J Med Virol","language":"eng","note":"PMID: 35474463\nPMCID: PMC9088407","page":"4508-4511","source":"PubMed","title":"Coinfection of leptospirosis and coronavirus disease 2019: A retrospective case series from a coastal region in South India","title-short":"Coinfection of leptospirosis and coronavirus disease 2019","volume":"94","author":[{"family":"Gupta","given":"Nitin"},{"family":"Wilson","given":"William"},{"family":"Ravindra","given":"Prithvishree"},{"family":"Raghu","given":"Roshini"},{"family":"Saravu","given":"Kavitha"}],"issued":{"date-parts":[["2022",9]]}}}],"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A7CF711"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B6A4D97" w14:textId="571F419C"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2835" w:type="dxa"/>
            <w:tcBorders>
              <w:top w:val="nil"/>
              <w:left w:val="nil"/>
              <w:bottom w:val="single" w:sz="4" w:space="0" w:color="auto"/>
              <w:right w:val="single" w:sz="4" w:space="0" w:color="auto"/>
            </w:tcBorders>
            <w:vAlign w:val="center"/>
          </w:tcPr>
          <w:p w14:paraId="6524CFDE" w14:textId="77777777" w:rsidR="00B12258" w:rsidRPr="003E2940" w:rsidRDefault="00B12258" w:rsidP="00B12258">
            <w:pPr>
              <w:spacing w:after="0" w:line="240" w:lineRule="auto"/>
              <w:jc w:val="center"/>
              <w:rPr>
                <w:rFonts w:ascii="Times New Roman" w:hAnsi="Times New Roman" w:cs="Times New Roman"/>
                <w:sz w:val="18"/>
                <w:szCs w:val="18"/>
              </w:rPr>
            </w:pPr>
            <w:r w:rsidRPr="003E2940">
              <w:rPr>
                <w:rFonts w:ascii="Times New Roman" w:hAnsi="Times New Roman" w:cs="Times New Roman"/>
                <w:i/>
                <w:iCs/>
                <w:sz w:val="18"/>
                <w:szCs w:val="18"/>
              </w:rPr>
              <w:t>Leptospira</w:t>
            </w:r>
            <w:r w:rsidRPr="003E2940">
              <w:rPr>
                <w:rFonts w:ascii="Times New Roman" w:hAnsi="Times New Roman" w:cs="Times New Roman"/>
                <w:sz w:val="18"/>
                <w:szCs w:val="18"/>
              </w:rPr>
              <w:t xml:space="preserve"> IgM ELISA (1)</w:t>
            </w:r>
          </w:p>
          <w:p w14:paraId="382F9A52" w14:textId="50475B7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COVID RT-PCR (1)</w:t>
            </w:r>
          </w:p>
        </w:tc>
        <w:tc>
          <w:tcPr>
            <w:tcW w:w="1134" w:type="dxa"/>
            <w:tcBorders>
              <w:top w:val="nil"/>
              <w:left w:val="nil"/>
              <w:bottom w:val="single" w:sz="4" w:space="0" w:color="auto"/>
              <w:right w:val="single" w:sz="4" w:space="0" w:color="auto"/>
            </w:tcBorders>
            <w:vAlign w:val="center"/>
          </w:tcPr>
          <w:p w14:paraId="154012C9" w14:textId="5C8C48E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561D5813" w14:textId="0CD4D47B"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r>
      <w:tr w:rsidR="00B12258" w:rsidRPr="003E2940" w14:paraId="372A6240"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3571BFF2" w14:textId="27AE6ABC"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Gurjar, M.,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{"citationID":"l003jVLJ","properties":{"formattedCitation":"(57)","plainCitation":"(57)","noteIndex":0},"citationItems":[{"id":508,"uris":["http://zotero.org/users/14157373/items/2KNTJRQG"],"itemData":{"id":508,"type":"article-journal","abstract":"Though both malaria and leptospirosis are frequent in the tropics, co-infections are under-recognized due to overlapping of clinical features. Here, we reviewed clinical manifestations of published co-infection along with our three cases. Out of a total of 18 patients, nine patients (50%) required ICU admission. Almost all patients had prodromal symptoms in the form of fever, headache and myalgia. Seven patients (37%) had altered sensorium, three patients (17%) had hypotension at admission, and 11 patients (61%) had acute kidney injury (AKI). Pulmonary manifestations in the form of pulmonary bleeding were present in four cases (22%). Three (17%) patients had acute lung injury/ acute respiratory distress syndrome. Almost 55% patients had DIC in the form of altered prothrombin time, activated partial thromboplastin time and low fibrinogen level. Four patients (22%) had subconjuctival suffusion, two of them had haematuria, while one presented with nasal bleeding. All patients had altered liver function tests. Of all the 18 patients, 17 (94%) survived, while one died.","container-title":"Tropical Doctor","DOI":"10.1258/td.2011.110082","ISSN":"1758-1133","issue":"3","journalAbbreviation":"Trop Doct","language":"eng","note":"PMID: 21724689","page":"175-178","source":"PubMed","title":"Clinical manifestations of co-infection with malaria and leptospirosis","volume":"41","author":[{"family":"Gurjar","given":"Mohan"},{"family":"Saigal","given":"Saurabh"},{"family":"Baronia","given":"Arvind K."},{"family":"Azim","given":"Afzal"},{"family":"Poddar","given":"Banani"},{"family":"Singh","given":"Ratender K."}],"issued":{"date-parts":[["2011",7]]}}}],"schema":"https://github.com/citation-style-language/schema/raw/master/csl-citation.json"}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(61)</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69417E1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108F49B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67DD861C" w14:textId="640BDA0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2835" w:type="dxa"/>
            <w:tcBorders>
              <w:top w:val="nil"/>
              <w:left w:val="nil"/>
              <w:bottom w:val="single" w:sz="4" w:space="0" w:color="auto"/>
              <w:right w:val="single" w:sz="4" w:space="0" w:color="auto"/>
            </w:tcBorders>
            <w:vAlign w:val="center"/>
          </w:tcPr>
          <w:p w14:paraId="35B7411D"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Leptospira</w:t>
            </w:r>
            <w:r w:rsidRPr="003E2940">
              <w:rPr>
                <w:rFonts w:ascii="Times New Roman" w:eastAsia="Times New Roman" w:hAnsi="Times New Roman" w:cs="Times New Roman"/>
                <w:kern w:val="0"/>
                <w:sz w:val="18"/>
                <w:szCs w:val="18"/>
                <w:lang w:eastAsia="en-IN"/>
                <w14:ligatures w14:val="none"/>
              </w:rPr>
              <w:t xml:space="preserve"> IgM ELISA (3)</w:t>
            </w:r>
          </w:p>
          <w:p w14:paraId="5249CCD3"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Peripheral Blood Smear(3), ICT (1)</w:t>
            </w:r>
          </w:p>
          <w:p w14:paraId="386EC494" w14:textId="7443ABF1"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IgM ELISA</w:t>
            </w:r>
          </w:p>
        </w:tc>
        <w:tc>
          <w:tcPr>
            <w:tcW w:w="1134" w:type="dxa"/>
            <w:tcBorders>
              <w:top w:val="nil"/>
              <w:left w:val="nil"/>
              <w:bottom w:val="single" w:sz="4" w:space="0" w:color="auto"/>
              <w:right w:val="single" w:sz="4" w:space="0" w:color="auto"/>
            </w:tcBorders>
            <w:vAlign w:val="center"/>
          </w:tcPr>
          <w:p w14:paraId="0C782488" w14:textId="63282EF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1567" w:type="dxa"/>
            <w:tcBorders>
              <w:top w:val="nil"/>
              <w:left w:val="nil"/>
              <w:bottom w:val="single" w:sz="4" w:space="0" w:color="auto"/>
              <w:right w:val="single" w:sz="4" w:space="0" w:color="auto"/>
            </w:tcBorders>
            <w:noWrap/>
            <w:vAlign w:val="center"/>
          </w:tcPr>
          <w:p w14:paraId="781E22CF" w14:textId="179EA1A9"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r>
      <w:tr w:rsidR="00B12258" w:rsidRPr="003E2940" w14:paraId="02B6203E" w14:textId="77777777" w:rsidTr="00FF4379">
        <w:trPr>
          <w:trHeight w:val="360"/>
        </w:trPr>
        <w:tc>
          <w:tcPr>
            <w:tcW w:w="1696" w:type="dxa"/>
            <w:tcBorders>
              <w:top w:val="nil"/>
              <w:left w:val="single" w:sz="4" w:space="0" w:color="auto"/>
              <w:bottom w:val="single" w:sz="4" w:space="0" w:color="auto"/>
              <w:right w:val="single" w:sz="4" w:space="0" w:color="auto"/>
            </w:tcBorders>
            <w:vAlign w:val="center"/>
          </w:tcPr>
          <w:p w14:paraId="6C1C3D3A" w14:textId="69BA82E6"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Sharma S,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{"citationID":"FUY2GPDG","properties":{"formattedCitation":"(61)","plainCitation":"(61)","noteIndex":0},"citationItems":[{"id":119,"uris":["http://zotero.org/users/14157373/items/T56ESUIM"],"itemData":{"id":119,"type":"article-journal","abstract":"Malaria and leptospirosis are endemic in Andaman and Nicobar Islands. Malaria is common in a tribal area called Nicobar district and leptospirosis is mostly confined to South, North and Middle Andaman district. There has been an outbreak of febrile illness in Nancowry groups of Island under Nicobar district suspecting malaria. Clinically there were cases which also resemble leptospirosis. Malaria and leptospirosis are the common infection of tropics and their co-infection occurs. Blood samples were collected from patients with the history of febrile illness attending Community Health Centre (CHC), Nancowry, Nicobar district. A total of 132 blood samples were collected in between the age group of 18 to 53 years. The clinical specimens were subjected to rapid test malaria and Microscopic Agglutination Test (MAT) for leptospirosis following standard procedure and manufacturer instructions. The subjects were labourers from West Bengal who has come to Nancowry groups of Island for re-habitation. Ninety four (71%) samples were malaria positive among 132 patients. Plasmodium falciparum infection was seen in 34 (36%) cases followed by plasmodium vivαx in 12 (13%) cases. Among 132 samples anti-leptospiral antibody by MAT was observed in 12 (9%) patients. In eight (6%) samples malaria and leptospirosis co-infection was observed and vomiting was found to be the common symptom in both the infection. In the present study it has been observed malaria and leptospirosis co-infection exists in malaria endemic zone. This gives an idea that in malaria endemic zone a malaria positive case cannot be the sole cause of the infection and differential diagnosis can be done for other febrile illness cases. © 2014 Academic Journals Inc.","archive":"Scopus","container-title":"Research Journal of Microbiology","DOI":"10.3923/jm.2014.104.110","ISSN":"1816-4935","issue":"2","language":"English","page":"104-110","source":"Scopus","title":"Investigation of Malaria among Patients of Febrile Illness and Co-Infection with Leptospirosis in Andaman and Nicobar Islands, India","volume":"9","author":[{"family":"Sharma","given":"S."},{"family":"Mandal","given":"A."},{"family":"Vijayachari","given":"P."}],"issued":{"date-parts":[["2014"]]}}}],"schema":"https://github.com/citation-style-language/schema/raw/master/csl-citation.json"}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333C97E8"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1265C479" w14:textId="369C7DC4"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2835" w:type="dxa"/>
            <w:tcBorders>
              <w:top w:val="nil"/>
              <w:left w:val="nil"/>
              <w:bottom w:val="single" w:sz="4" w:space="0" w:color="auto"/>
              <w:right w:val="single" w:sz="4" w:space="0" w:color="auto"/>
            </w:tcBorders>
            <w:vAlign w:val="center"/>
          </w:tcPr>
          <w:p w14:paraId="2C91A3EB" w14:textId="7777777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MAT (12)</w:t>
            </w:r>
          </w:p>
          <w:p w14:paraId="652F06BC" w14:textId="6A4A2E6F"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ICT (94)</w:t>
            </w:r>
          </w:p>
        </w:tc>
        <w:tc>
          <w:tcPr>
            <w:tcW w:w="1134" w:type="dxa"/>
            <w:tcBorders>
              <w:top w:val="nil"/>
              <w:left w:val="nil"/>
              <w:bottom w:val="single" w:sz="4" w:space="0" w:color="auto"/>
              <w:right w:val="single" w:sz="4" w:space="0" w:color="auto"/>
            </w:tcBorders>
            <w:vAlign w:val="center"/>
          </w:tcPr>
          <w:p w14:paraId="5C626114" w14:textId="3AE43DC7"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noWrap/>
            <w:vAlign w:val="center"/>
          </w:tcPr>
          <w:p w14:paraId="1338DB79" w14:textId="6122D2E2" w:rsidR="00B12258" w:rsidRPr="003E2940" w:rsidRDefault="00B12258" w:rsidP="00B1225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r>
    </w:tbl>
    <w:p w14:paraId="2D805E84" w14:textId="4165126B" w:rsidR="00826302" w:rsidRPr="003E2940" w:rsidRDefault="000F2024" w:rsidP="00E43DB0">
      <w:pPr>
        <w:spacing w:before="240" w:line="276" w:lineRule="auto"/>
        <w:rPr>
          <w:rFonts w:ascii="Times New Roman" w:hAnsi="Times New Roman" w:cs="Times New Roman"/>
          <w:sz w:val="18"/>
          <w:szCs w:val="18"/>
        </w:rPr>
      </w:pPr>
      <w:r w:rsidRPr="003E2940">
        <w:rPr>
          <w:rFonts w:ascii="Times New Roman" w:hAnsi="Times New Roman" w:cs="Times New Roman"/>
          <w:sz w:val="18"/>
          <w:szCs w:val="18"/>
        </w:rPr>
        <w:t>(RDT: Rapid Diagnostic Tests; PCR: Polymerase Chain Reaction; RT-PCR: Reverse Transcriptase Polymerase Chain Reaction; ICT: Immunochromatographic Test; QBC: Quantitative Buffy Coat; MAC ELISA: IgM Antibody Capture ELISA</w:t>
      </w:r>
      <w:r w:rsidR="00E86F24" w:rsidRPr="003E2940">
        <w:rPr>
          <w:rFonts w:ascii="Times New Roman" w:hAnsi="Times New Roman" w:cs="Times New Roman"/>
          <w:sz w:val="18"/>
          <w:szCs w:val="18"/>
        </w:rPr>
        <w:t>; MAT: Microscopic Agglutination Test</w:t>
      </w:r>
      <w:r w:rsidRPr="003E2940">
        <w:rPr>
          <w:rFonts w:ascii="Times New Roman" w:hAnsi="Times New Roman" w:cs="Times New Roman"/>
          <w:sz w:val="18"/>
          <w:szCs w:val="18"/>
        </w:rPr>
        <w:t>)</w:t>
      </w:r>
    </w:p>
    <w:p w14:paraId="3C57A44A" w14:textId="77777777" w:rsidR="007E364E" w:rsidRPr="003E2940" w:rsidRDefault="00826302">
      <w:pPr>
        <w:rPr>
          <w:rFonts w:ascii="Times New Roman" w:hAnsi="Times New Roman" w:cs="Times New Roman"/>
          <w:sz w:val="20"/>
          <w:szCs w:val="20"/>
        </w:rPr>
      </w:pPr>
      <w:r w:rsidRPr="003E2940">
        <w:rPr>
          <w:rFonts w:ascii="Times New Roman" w:hAnsi="Times New Roman" w:cs="Times New Roman"/>
          <w:sz w:val="20"/>
          <w:szCs w:val="20"/>
        </w:rPr>
        <w:t>(* NP: Not provided)</w:t>
      </w:r>
    </w:p>
    <w:p w14:paraId="444AEC1A" w14:textId="37DD356F" w:rsidR="0023754E" w:rsidRPr="003E2940" w:rsidDel="004D7233" w:rsidRDefault="00446455">
      <w:pPr>
        <w:rPr>
          <w:rFonts w:ascii="Times New Roman" w:hAnsi="Times New Roman" w:cs="Times New Roman"/>
        </w:rPr>
      </w:pPr>
      <w:r w:rsidRPr="003E2940">
        <w:rPr>
          <w:rFonts w:ascii="Times New Roman" w:hAnsi="Times New Roman" w:cs="Times New Roman"/>
        </w:rPr>
        <w:br w:type="page"/>
      </w:r>
    </w:p>
    <w:tbl>
      <w:tblPr>
        <w:tblpPr w:leftFromText="180" w:rightFromText="180" w:tblpX="-289" w:tblpY="587"/>
        <w:tblW w:w="9776" w:type="dxa"/>
        <w:tblLayout w:type="fixed"/>
        <w:tblLook w:val="04A0" w:firstRow="1" w:lastRow="0" w:firstColumn="1" w:lastColumn="0" w:noHBand="0" w:noVBand="1"/>
      </w:tblPr>
      <w:tblGrid>
        <w:gridCol w:w="1838"/>
        <w:gridCol w:w="2268"/>
        <w:gridCol w:w="1560"/>
        <w:gridCol w:w="2267"/>
        <w:gridCol w:w="1843"/>
      </w:tblGrid>
      <w:tr w:rsidR="00D07D49" w:rsidRPr="003E2940" w14:paraId="6F6B9B6D" w14:textId="77777777" w:rsidTr="00E43DB0">
        <w:trPr>
          <w:trHeight w:val="520"/>
        </w:trPr>
        <w:tc>
          <w:tcPr>
            <w:tcW w:w="1838" w:type="dxa"/>
            <w:tcBorders>
              <w:top w:val="single" w:sz="4" w:space="0" w:color="auto"/>
              <w:left w:val="single" w:sz="4" w:space="0" w:color="auto"/>
              <w:bottom w:val="single" w:sz="4" w:space="0" w:color="auto"/>
              <w:right w:val="single" w:sz="4" w:space="0" w:color="auto"/>
            </w:tcBorders>
            <w:vAlign w:val="center"/>
            <w:hideMark/>
          </w:tcPr>
          <w:p w14:paraId="095080AF" w14:textId="1A806998" w:rsidR="009D1820" w:rsidRPr="003E2940" w:rsidRDefault="007E364E" w:rsidP="007E364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noProof/>
                <w:kern w:val="0"/>
                <w:sz w:val="18"/>
                <w:szCs w:val="18"/>
                <w:lang w:eastAsia="en-IN"/>
              </w:rPr>
              <w:lastRenderedPageBreak/>
              <mc:AlternateContent>
                <mc:Choice Requires="wps">
                  <w:drawing>
                    <wp:anchor distT="0" distB="0" distL="114300" distR="114300" simplePos="0" relativeHeight="251660288" behindDoc="0" locked="0" layoutInCell="1" allowOverlap="1" wp14:anchorId="4B5FB9EB" wp14:editId="122F2451">
                      <wp:simplePos x="0" y="0"/>
                      <wp:positionH relativeFrom="column">
                        <wp:posOffset>-38100</wp:posOffset>
                      </wp:positionH>
                      <wp:positionV relativeFrom="paragraph">
                        <wp:posOffset>-497205</wp:posOffset>
                      </wp:positionV>
                      <wp:extent cx="6027420" cy="323215"/>
                      <wp:effectExtent l="0" t="0" r="0" b="635"/>
                      <wp:wrapNone/>
                      <wp:docPr id="465513805" name="Text Box 2"/>
                      <wp:cNvGraphicFramePr/>
                      <a:graphic xmlns:a="http://schemas.openxmlformats.org/drawingml/2006/main">
                        <a:graphicData uri="http://schemas.microsoft.com/office/word/2010/wordprocessingShape">
                          <wps:wsp>
                            <wps:cNvSpPr txBox="1"/>
                            <wps:spPr>
                              <a:xfrm>
                                <a:off x="0" y="0"/>
                                <a:ext cx="6027420" cy="323215"/>
                              </a:xfrm>
                              <a:prstGeom prst="rect">
                                <a:avLst/>
                              </a:prstGeom>
                              <a:solidFill>
                                <a:schemeClr val="lt1"/>
                              </a:solidFill>
                              <a:ln w="6350">
                                <a:noFill/>
                              </a:ln>
                            </wps:spPr>
                            <wps:txbx>
                              <w:txbxContent>
                                <w:p w14:paraId="17FD826B" w14:textId="592BBCA5" w:rsidR="007E364E" w:rsidRPr="00FF4379" w:rsidRDefault="007E364E" w:rsidP="007E364E">
                                  <w:r w:rsidRPr="00865BC7">
                                    <w:rPr>
                                      <w:rFonts w:ascii="Times New Roman" w:hAnsi="Times New Roman" w:cs="Times New Roman"/>
                                      <w:b/>
                                      <w:bCs/>
                                      <w:sz w:val="24"/>
                                      <w:szCs w:val="24"/>
                                      <w:lang w:val="en-IN"/>
                                    </w:rPr>
                                    <w:t xml:space="preserve">Table </w:t>
                                  </w:r>
                                  <w:r w:rsidR="00865BC7" w:rsidRPr="00865BC7">
                                    <w:rPr>
                                      <w:rFonts w:ascii="Times New Roman" w:hAnsi="Times New Roman" w:cs="Times New Roman"/>
                                      <w:b/>
                                      <w:bCs/>
                                      <w:sz w:val="24"/>
                                      <w:szCs w:val="24"/>
                                      <w:lang w:val="en-IN"/>
                                    </w:rPr>
                                    <w:t>S</w:t>
                                  </w:r>
                                  <w:r w:rsidRPr="00865BC7">
                                    <w:rPr>
                                      <w:rFonts w:ascii="Times New Roman" w:hAnsi="Times New Roman" w:cs="Times New Roman"/>
                                      <w:b/>
                                      <w:bCs/>
                                      <w:sz w:val="24"/>
                                      <w:szCs w:val="24"/>
                                      <w:lang w:val="en-IN"/>
                                    </w:rPr>
                                    <w:t>5: Distribution of studies with targeted pathogens vs detected pathogens</w:t>
                                  </w:r>
                                </w:p>
                                <w:p w14:paraId="7DDA110B" w14:textId="0157950B" w:rsidR="007E364E" w:rsidRDefault="007E36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FB9EB" id="Text Box 2" o:spid="_x0000_s1027" type="#_x0000_t202" style="position:absolute;left:0;text-align:left;margin-left:-3pt;margin-top:-39.15pt;width:474.6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" fillcolor="white [3201]" stroked="f" strokeweight=".5pt">
                      <v:textbox>
                        <w:txbxContent>
                          <w:p w14:paraId="17FD826B" w14:textId="592BBCA5" w:rsidR="007E364E" w:rsidRPr="00FF4379" w:rsidRDefault="007E364E" w:rsidP="007E364E">
                            <w:r w:rsidRPr="00865BC7">
                              <w:rPr>
                                <w:rFonts w:ascii="Times New Roman" w:hAnsi="Times New Roman" w:cs="Times New Roman"/>
                                <w:b/>
                                <w:bCs/>
                                <w:sz w:val="24"/>
                                <w:szCs w:val="24"/>
                                <w:lang w:val="en-IN"/>
                              </w:rPr>
                              <w:t xml:space="preserve">Table </w:t>
                            </w:r>
                            <w:r w:rsidR="00865BC7" w:rsidRPr="00865BC7">
                              <w:rPr>
                                <w:rFonts w:ascii="Times New Roman" w:hAnsi="Times New Roman" w:cs="Times New Roman"/>
                                <w:b/>
                                <w:bCs/>
                                <w:sz w:val="24"/>
                                <w:szCs w:val="24"/>
                                <w:lang w:val="en-IN"/>
                              </w:rPr>
                              <w:t>S</w:t>
                            </w:r>
                            <w:r w:rsidRPr="00865BC7">
                              <w:rPr>
                                <w:rFonts w:ascii="Times New Roman" w:hAnsi="Times New Roman" w:cs="Times New Roman"/>
                                <w:b/>
                                <w:bCs/>
                                <w:sz w:val="24"/>
                                <w:szCs w:val="24"/>
                                <w:lang w:val="en-IN"/>
                              </w:rPr>
                              <w:t>5: Distribution of studies with targeted pathogens vs detected pathogens</w:t>
                            </w:r>
                          </w:p>
                          <w:p w14:paraId="7DDA110B" w14:textId="0157950B" w:rsidR="007E364E" w:rsidRDefault="007E364E"/>
                        </w:txbxContent>
                      </v:textbox>
                    </v:shape>
                  </w:pict>
                </mc:Fallback>
              </mc:AlternateContent>
            </w:r>
            <w:r w:rsidR="009D1820" w:rsidRPr="003E2940">
              <w:rPr>
                <w:rFonts w:ascii="Times New Roman" w:eastAsia="Times New Roman" w:hAnsi="Times New Roman" w:cs="Times New Roman"/>
                <w:b/>
                <w:bCs/>
                <w:kern w:val="0"/>
                <w:sz w:val="18"/>
                <w:szCs w:val="18"/>
                <w:lang w:eastAsia="en-IN"/>
                <w14:ligatures w14:val="none"/>
              </w:rPr>
              <w:t>Author/Year (reference number)</w:t>
            </w:r>
          </w:p>
        </w:tc>
        <w:tc>
          <w:tcPr>
            <w:tcW w:w="2268" w:type="dxa"/>
            <w:tcBorders>
              <w:top w:val="single" w:sz="4" w:space="0" w:color="auto"/>
              <w:left w:val="nil"/>
              <w:bottom w:val="single" w:sz="4" w:space="0" w:color="auto"/>
              <w:right w:val="single" w:sz="4" w:space="0" w:color="auto"/>
            </w:tcBorders>
            <w:vAlign w:val="center"/>
            <w:hideMark/>
          </w:tcPr>
          <w:p w14:paraId="706567E1" w14:textId="26B101A3" w:rsidR="009D1820" w:rsidRPr="003E2940" w:rsidRDefault="009D1820" w:rsidP="007E364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Pathogens</w:t>
            </w:r>
            <w:r w:rsidR="007E364E" w:rsidRPr="003E2940">
              <w:rPr>
                <w:rFonts w:ascii="Times New Roman" w:eastAsia="Times New Roman" w:hAnsi="Times New Roman" w:cs="Times New Roman"/>
                <w:b/>
                <w:bCs/>
                <w:kern w:val="0"/>
                <w:sz w:val="18"/>
                <w:szCs w:val="18"/>
                <w:lang w:eastAsia="en-IN"/>
                <w14:ligatures w14:val="none"/>
              </w:rPr>
              <w:t>/Infection</w:t>
            </w:r>
            <w:r w:rsidRPr="003E2940">
              <w:rPr>
                <w:rFonts w:ascii="Times New Roman" w:eastAsia="Times New Roman" w:hAnsi="Times New Roman" w:cs="Times New Roman"/>
                <w:b/>
                <w:bCs/>
                <w:kern w:val="0"/>
                <w:sz w:val="18"/>
                <w:szCs w:val="18"/>
                <w:lang w:eastAsia="en-IN"/>
                <w14:ligatures w14:val="none"/>
              </w:rPr>
              <w:t xml:space="preserve"> targeted</w:t>
            </w:r>
          </w:p>
        </w:tc>
        <w:tc>
          <w:tcPr>
            <w:tcW w:w="1560" w:type="dxa"/>
            <w:tcBorders>
              <w:top w:val="single" w:sz="4" w:space="0" w:color="auto"/>
              <w:left w:val="nil"/>
              <w:bottom w:val="single" w:sz="4" w:space="0" w:color="auto"/>
              <w:right w:val="single" w:sz="4" w:space="0" w:color="auto"/>
            </w:tcBorders>
            <w:vAlign w:val="center"/>
            <w:hideMark/>
          </w:tcPr>
          <w:p w14:paraId="7D4F0651" w14:textId="609FB9CC" w:rsidR="009D1820" w:rsidRPr="003E2940" w:rsidRDefault="009D1820" w:rsidP="007E364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No. of pathogens targeted</w:t>
            </w:r>
          </w:p>
        </w:tc>
        <w:tc>
          <w:tcPr>
            <w:tcW w:w="2267" w:type="dxa"/>
            <w:tcBorders>
              <w:top w:val="single" w:sz="4" w:space="0" w:color="auto"/>
              <w:left w:val="nil"/>
              <w:bottom w:val="single" w:sz="4" w:space="0" w:color="auto"/>
              <w:right w:val="single" w:sz="4" w:space="0" w:color="auto"/>
            </w:tcBorders>
            <w:vAlign w:val="center"/>
          </w:tcPr>
          <w:p w14:paraId="5BB23AB3" w14:textId="376EE9D0" w:rsidR="009D1820" w:rsidRPr="003E2940" w:rsidRDefault="009D1820" w:rsidP="007E364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Pathogen</w:t>
            </w:r>
            <w:r w:rsidR="007E364E" w:rsidRPr="003E2940">
              <w:rPr>
                <w:rFonts w:ascii="Times New Roman" w:eastAsia="Times New Roman" w:hAnsi="Times New Roman" w:cs="Times New Roman"/>
                <w:b/>
                <w:bCs/>
                <w:kern w:val="0"/>
                <w:sz w:val="18"/>
                <w:szCs w:val="18"/>
                <w:lang w:eastAsia="en-IN"/>
                <w14:ligatures w14:val="none"/>
              </w:rPr>
              <w:t>/Infection</w:t>
            </w:r>
            <w:r w:rsidRPr="003E2940">
              <w:rPr>
                <w:rFonts w:ascii="Times New Roman" w:eastAsia="Times New Roman" w:hAnsi="Times New Roman" w:cs="Times New Roman"/>
                <w:b/>
                <w:bCs/>
                <w:kern w:val="0"/>
                <w:sz w:val="18"/>
                <w:szCs w:val="18"/>
                <w:lang w:eastAsia="en-IN"/>
                <w14:ligatures w14:val="none"/>
              </w:rPr>
              <w:t xml:space="preserve"> detected</w:t>
            </w:r>
            <w:r w:rsidR="009B403B" w:rsidRPr="003E2940">
              <w:rPr>
                <w:rFonts w:ascii="Times New Roman" w:eastAsia="Times New Roman" w:hAnsi="Times New Roman" w:cs="Times New Roman"/>
                <w:b/>
                <w:bCs/>
                <w:kern w:val="0"/>
                <w:sz w:val="18"/>
                <w:szCs w:val="18"/>
                <w:lang w:eastAsia="en-IN"/>
                <w14:ligatures w14:val="none"/>
              </w:rPr>
              <w:t xml:space="preserve"> (n)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82C6CF" w14:textId="2A70FDC5" w:rsidR="009D1820" w:rsidRPr="003E2940" w:rsidRDefault="009D1820" w:rsidP="007E364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 xml:space="preserve">Total </w:t>
            </w:r>
            <w:r w:rsidR="009B403B" w:rsidRPr="003E2940">
              <w:rPr>
                <w:rFonts w:ascii="Times New Roman" w:eastAsia="Times New Roman" w:hAnsi="Times New Roman" w:cs="Times New Roman"/>
                <w:b/>
                <w:bCs/>
                <w:kern w:val="0"/>
                <w:sz w:val="18"/>
                <w:szCs w:val="18"/>
                <w:lang w:eastAsia="en-IN"/>
                <w14:ligatures w14:val="none"/>
              </w:rPr>
              <w:t>number</w:t>
            </w:r>
            <w:r w:rsidRPr="003E2940">
              <w:rPr>
                <w:rFonts w:ascii="Times New Roman" w:eastAsia="Times New Roman" w:hAnsi="Times New Roman" w:cs="Times New Roman"/>
                <w:b/>
                <w:bCs/>
                <w:kern w:val="0"/>
                <w:sz w:val="18"/>
                <w:szCs w:val="18"/>
                <w:lang w:eastAsia="en-IN"/>
                <w14:ligatures w14:val="none"/>
              </w:rPr>
              <w:t xml:space="preserve"> of pathogens detected</w:t>
            </w:r>
          </w:p>
        </w:tc>
      </w:tr>
      <w:tr w:rsidR="00604DB3" w:rsidRPr="003E2940" w14:paraId="55375D46" w14:textId="77777777" w:rsidTr="00E43DB0">
        <w:trPr>
          <w:trHeight w:val="451"/>
        </w:trPr>
        <w:tc>
          <w:tcPr>
            <w:tcW w:w="9776" w:type="dxa"/>
            <w:gridSpan w:val="5"/>
            <w:tcBorders>
              <w:top w:val="single" w:sz="4" w:space="0" w:color="auto"/>
              <w:left w:val="single" w:sz="4" w:space="0" w:color="auto"/>
              <w:bottom w:val="single" w:sz="4" w:space="0" w:color="auto"/>
              <w:right w:val="single" w:sz="4" w:space="0" w:color="auto"/>
            </w:tcBorders>
            <w:vAlign w:val="center"/>
          </w:tcPr>
          <w:p w14:paraId="21B26E1F" w14:textId="461318BA" w:rsidR="00604DB3" w:rsidRPr="003E2940" w:rsidRDefault="005B72D8"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Observational Studies</w:t>
            </w:r>
          </w:p>
        </w:tc>
      </w:tr>
      <w:tr w:rsidR="00604DB3" w:rsidRPr="003E2940" w14:paraId="047AAD24" w14:textId="77777777" w:rsidTr="00E43DB0">
        <w:trPr>
          <w:trHeight w:val="345"/>
        </w:trPr>
        <w:tc>
          <w:tcPr>
            <w:tcW w:w="1838" w:type="dxa"/>
            <w:tcBorders>
              <w:top w:val="single" w:sz="4" w:space="0" w:color="auto"/>
              <w:left w:val="single" w:sz="4" w:space="0" w:color="auto"/>
              <w:bottom w:val="single" w:sz="4" w:space="0" w:color="auto"/>
              <w:right w:val="single" w:sz="4" w:space="0" w:color="auto"/>
            </w:tcBorders>
            <w:vAlign w:val="center"/>
          </w:tcPr>
          <w:p w14:paraId="68327FFB" w14:textId="215A66E0" w:rsidR="00604DB3" w:rsidRPr="003E2940" w:rsidRDefault="00604DB3" w:rsidP="00604DB3">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Kumar A,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{"citationID":"qPlnKB5p","properties":{"formattedCitation":"(33)","plainCitation":"(33)","dontUpdate":true,"noteIndex":0},"citationItems":[{"id":166,"uris":["http://zotero.org/users/14157373/items/SAAR5MYG"],"itemData":{"id":166,"type":"article-journal","abstract":"Background: Concurrent epidemics of both dengue fever and leptospirosis are known to occur in the tropics; however, it is unclear whether coinfection is associated with different clinical manifestations and outcomes. Materials and Methods: Medical records for patients with serological evidence of leptospirosis, dengue, and coinfection from January 2007 to December 2008 were abstracted using a standardized abstraction form. The patients' demographic data, underlying diseases, clinical manifestations, laboratory data, and disease outcomes were retrospectively analyzed. Results: The frequency of leptospirosis was 15.8% (287/1814), while that of dengue was 14.8% (239/1610) and coinfection was seen in 1.3% (17/1309). Highest mortality of 29.6% (5/17) was seen in coinfected cases, followed by leptospirosis (14.6%) and dengue (3.7%). Conclusion: In the tropics, leptospirosis and dengue can coexist and increased awareness of coinfection, and an enhanced ability to diagnose it early in illness, will help guide the appropriate use antibiotics and supportive measures to reduce mortality.","container-title":"Annals of Tropical Medicine and Public Health","DOI":"10.4103/1755-6783.102012","journalAbbreviation":"Annals of Tropical Medicine and Public Health","page":"286-290","source":"ResearchGate","title":"Serological evidence of leptospirosis and dengue coinfection in an endemic region in South India","volume":"5","author":[{"family":"Kumar","given":"Anil"},{"family":"Balachandran","given":"Vinodh"},{"family":"Dominic","given":"Arya"},{"family":"Dinesh","given":"Kavitha"},{"family":"Karim","given":"Sofwah"},{"family":"Rao","given":"Ganapathi"}],"issued":{"date-parts":[["2012",7,6]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24296942" w14:textId="33CA18CD"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464A316" w14:textId="63B7C032"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560" w:type="dxa"/>
            <w:tcBorders>
              <w:top w:val="single" w:sz="4" w:space="0" w:color="auto"/>
              <w:left w:val="nil"/>
              <w:bottom w:val="single" w:sz="4" w:space="0" w:color="auto"/>
              <w:right w:val="single" w:sz="4" w:space="0" w:color="auto"/>
            </w:tcBorders>
            <w:vAlign w:val="center"/>
          </w:tcPr>
          <w:p w14:paraId="53D17A34" w14:textId="1B553959"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2F85D67D" w14:textId="073301CB"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(287)</w:t>
            </w:r>
          </w:p>
          <w:p w14:paraId="2649F66F" w14:textId="3C823401"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(239)</w:t>
            </w:r>
          </w:p>
        </w:tc>
        <w:tc>
          <w:tcPr>
            <w:tcW w:w="1843" w:type="dxa"/>
            <w:tcBorders>
              <w:top w:val="single" w:sz="4" w:space="0" w:color="auto"/>
              <w:left w:val="single" w:sz="4" w:space="0" w:color="auto"/>
              <w:bottom w:val="single" w:sz="4" w:space="0" w:color="auto"/>
              <w:right w:val="single" w:sz="4" w:space="0" w:color="auto"/>
            </w:tcBorders>
            <w:vAlign w:val="center"/>
          </w:tcPr>
          <w:p w14:paraId="7E7FB61F" w14:textId="6A11E5D9"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04DB3" w:rsidRPr="003E2940" w14:paraId="72C9CEC7" w14:textId="77777777" w:rsidTr="00E43DB0">
        <w:trPr>
          <w:trHeight w:val="493"/>
        </w:trPr>
        <w:tc>
          <w:tcPr>
            <w:tcW w:w="1838" w:type="dxa"/>
            <w:tcBorders>
              <w:top w:val="single" w:sz="4" w:space="0" w:color="auto"/>
              <w:left w:val="single" w:sz="4" w:space="0" w:color="auto"/>
              <w:bottom w:val="single" w:sz="4" w:space="0" w:color="auto"/>
              <w:right w:val="single" w:sz="4" w:space="0" w:color="auto"/>
            </w:tcBorders>
            <w:vAlign w:val="center"/>
          </w:tcPr>
          <w:p w14:paraId="0C3DDBE1" w14:textId="58CB9027" w:rsidR="00604DB3" w:rsidRPr="003E2940" w:rsidRDefault="00604DB3" w:rsidP="00604DB3">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Ananthi B,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{"citationID":"rXMfWtyV","properties":{"formattedCitation":"(41)","plainCitation":"(41)","noteIndex":0},"citationItems":[{"id":465,"uris":["http://zotero.org/users/14157373/items/VJ9BCDHR"],"itemData":{"id":465,"type":"article-journal","abstract":"BACKGROUND: Concomitant infection of leptospirosis with dengue has been reported in places where these diseases are endemic and leptospirosis may be overlooked in such cases. Recognition of leptospirosis is especially important since antimicrobial agents can reduce its severity and duration. Failure to identify leptospirosis in these patients will result in high mortality rate for this infection. Hence this study was conducted to have a detailed knowledge and awareness about the concomitant infection of leptospirosis with dengue. MATERIALS AND METHODS: Patients admitted to the medical ward of Government General Hospital, Chennai with fever of ≥ 5days and of the age group twelve years and above were evaluated for leptospirosis by doing the screening test MSAT (Macroscopic Slide Agglutination Test). All patients who tested positive for MSAT were further confirmed by MAT (Microscopic Agglutination Test). Those patients who tested positive for leptospirosis were investigated for concomitant infection with dengue utilising IgM ELISA. Patients positive for both leptospirosis and dengue were taken up for the study and were evaluated for relevant clinical features and laboratory profile. RESULTS: 143 patients were found to be positive for leptospirosis and among them 4 (2.8%) patients were positive for the concomitant dengue infection. In the four concomitant infection patients, two were males and two were females, all in the age group of 20 to 30 years. Fever and myalgia were the predominant symptoms in these patients. Thrombocytopenia was seen in 3 (75%) patients. With fluid resuscitation, platelet transfusion, appropriate drug and supportive therapy all the four patients recovered. No mortality was observed in this study. CONCLUSION: Increased awareness of concomitant infection and an enhanced ability to diagnose it early in illness is necessary so that appropriate treatment and supportive measures can be given to reduce the morbidity and mortality. Leptospiral illness may be a significant component in patients with concomitant infections and hence it is essential to evaluate for leptospirosis in all","container-title":"Journal of Evolution of Medical and Dental Sciences","DOI":"10.14260/jemds/2014/2063","ISSN":"22784748, 22784802","issue":"8","journalAbbreviation":"jemds","page":"1823-1827","source":"Semantic Scholar","title":"CONCOMITANT INFECTION OF LEPTOSPIROSIS WITH DENGUE AT A TERTIARY CARE HOSPITAL IN CHENNAI","volume":"3","author":[{"family":"B","given":"Ananthi"},{"family":"G","given":"Sumathi"}],"issued":{"date-parts":[["2014",2,18]]}}}],"schema":"https://github.com/citation-style-language/schema/raw/master/csl-citation.json"}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(27)</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146604EF"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Leptospira</w:t>
            </w:r>
          </w:p>
          <w:p w14:paraId="3C28F665" w14:textId="28D7F35B"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560" w:type="dxa"/>
            <w:tcBorders>
              <w:top w:val="single" w:sz="4" w:space="0" w:color="auto"/>
              <w:left w:val="nil"/>
              <w:bottom w:val="single" w:sz="4" w:space="0" w:color="auto"/>
              <w:right w:val="single" w:sz="4" w:space="0" w:color="auto"/>
            </w:tcBorders>
            <w:vAlign w:val="center"/>
          </w:tcPr>
          <w:p w14:paraId="0A814840" w14:textId="7F9FBC2D"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2E030D8C"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Leptospira (143)</w:t>
            </w:r>
          </w:p>
          <w:p w14:paraId="1CBD84A3" w14:textId="462B8FCC"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(4)</w:t>
            </w:r>
          </w:p>
        </w:tc>
        <w:tc>
          <w:tcPr>
            <w:tcW w:w="1843" w:type="dxa"/>
            <w:tcBorders>
              <w:top w:val="single" w:sz="4" w:space="0" w:color="auto"/>
              <w:left w:val="single" w:sz="4" w:space="0" w:color="auto"/>
              <w:bottom w:val="single" w:sz="4" w:space="0" w:color="auto"/>
              <w:right w:val="single" w:sz="4" w:space="0" w:color="auto"/>
            </w:tcBorders>
            <w:vAlign w:val="center"/>
          </w:tcPr>
          <w:p w14:paraId="2D961C56" w14:textId="10385A15"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04DB3" w:rsidRPr="003E2940" w14:paraId="771EABD5"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428FAF2B" w14:textId="6EE34846" w:rsidR="00604DB3" w:rsidRPr="003E2940" w:rsidRDefault="00604DB3" w:rsidP="00604DB3">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Dhanashree, B., 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{"citationID":"AstP8dOY","properties":{"formattedCitation":"(46)","plainCitation":"(46)","noteIndex":0},"citationItems":[{"id":492,"uris":["http://zotero.org/users/14157373/items/LINC8L4F"],"itemData":{"id":492,"type":"article-journal","abstract":"INTRODUCTION: Presentation of febrile illness with nonspecific features, overlapping manifestations of dengue and leptospirosis, limited laboratory diagnostic tests, make the clinical diagnosis of pyrexia a challenge. The present study aimed to determine the prevalence of Leptospira and dengue IgM co-infection among acute febrile illness patients.\nMETHODS: This is a retrospective hospital-based study which included patient data collected from June 2016 to May 2017. Inpatients' samples (n=2139) were tested for dengue and/or Leptospira IgM at the Microbiology Laboratory. Data like duration of fever, platelet count, hemoglobin, white blood cell count, erythrocyte sedimentation rate, results of liver and renal function tests, mode of treatment, were collected from medical records of laboratory-confirmed co-infection cases.\nRESULTS: Among 1612 serum samples tested for dengue IgM by ELISA, 382 (23.7%) were positive, 17 equivocal and 1213 were negative. Of the 811 Leptospira IgM ELISA done, 119 (14.7%) were positive, 17 equivocal and 675 negative. Two hundred eighty-four samples were tested for both infections and nine (3.2%) were positive for both and 275 were negative. These nine patients positive for dual infections showed elevated transaminases, alkaline phosphatase, serum bilirubin, creatinine, and blood urea, thrombocytopenia and leukocytosis. They received effective antibiotics along with supportive treatment and were cured of the infection.\nCONCLUSIONS: The study emphasizes the possibility of leptospirosis and dengue co-infection (3.2%) and need for confirmation by a highly specific test like PCR. If co-infection is suspected, treatment with specific antibiotics for leptospirosis and supportive treatment for dengue is mandatory, with due attention to complexity of organ involvement.","container-title":"Germs","DOI":"10.18683/germs.2021.1253","ISSN":"2248-2997","issue":"2","journalAbbreviation":"Germs","language":"eng","note":"PMID: 34422688\nPMCID: PMC8373406","page":"155-162","source":"PubMed","title":"Seropositivity for dengue and Leptospira IgM among patients with acute febrile illness: an indicator of co-infection?","title-short":"Seropositivity for dengue and Leptospira IgM among patients with acute febrile illness","volume":"11","author":[{"family":"Dhanashree","given":"Biranthabail"},{"family":"Shenoy","given":"Shalini"}],"issued":{"date-parts":[["2021",6]]}}}],"schema":"https://github.com/citation-style-language/schema/raw/master/csl-citation.json"}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(19)</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single" w:sz="4" w:space="0" w:color="auto"/>
              <w:left w:val="nil"/>
              <w:bottom w:val="single" w:sz="4" w:space="0" w:color="auto"/>
              <w:right w:val="single" w:sz="4" w:space="0" w:color="auto"/>
            </w:tcBorders>
            <w:vAlign w:val="center"/>
          </w:tcPr>
          <w:p w14:paraId="2058AB2E"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4ABC008"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4BF2AED9"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82AA0A9"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w:t>
            </w:r>
          </w:p>
          <w:p w14:paraId="56624777"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B, C, E</w:t>
            </w:r>
          </w:p>
          <w:p w14:paraId="135C726E"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p w14:paraId="1D3FD925" w14:textId="5C9EA367"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357A0FB9" w14:textId="4CEF7E29"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2267" w:type="dxa"/>
            <w:tcBorders>
              <w:top w:val="single" w:sz="4" w:space="0" w:color="auto"/>
              <w:left w:val="nil"/>
              <w:bottom w:val="single" w:sz="4" w:space="0" w:color="auto"/>
              <w:right w:val="single" w:sz="4" w:space="0" w:color="auto"/>
            </w:tcBorders>
            <w:vAlign w:val="center"/>
          </w:tcPr>
          <w:p w14:paraId="1AC7B946"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(119)</w:t>
            </w:r>
          </w:p>
          <w:p w14:paraId="7B1B65C1"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(382)</w:t>
            </w:r>
          </w:p>
          <w:p w14:paraId="26B9F749" w14:textId="114BE40A"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47508582" w14:textId="2C3AAF3F"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04DB3" w:rsidRPr="003E2940" w14:paraId="7F0527D9" w14:textId="77777777" w:rsidTr="00E43DB0">
        <w:trPr>
          <w:trHeight w:val="380"/>
        </w:trPr>
        <w:tc>
          <w:tcPr>
            <w:tcW w:w="1838" w:type="dxa"/>
            <w:tcBorders>
              <w:top w:val="single" w:sz="4" w:space="0" w:color="auto"/>
              <w:left w:val="single" w:sz="4" w:space="0" w:color="auto"/>
              <w:bottom w:val="single" w:sz="4" w:space="0" w:color="auto"/>
              <w:right w:val="single" w:sz="4" w:space="0" w:color="auto"/>
            </w:tcBorders>
            <w:vAlign w:val="center"/>
          </w:tcPr>
          <w:p w14:paraId="034E4FE7" w14:textId="59E37FD6" w:rsidR="00604DB3" w:rsidRPr="003E2940" w:rsidRDefault="00604DB3" w:rsidP="00604DB3">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Sachu A., 2018 (4)</w:t>
            </w:r>
          </w:p>
        </w:tc>
        <w:tc>
          <w:tcPr>
            <w:tcW w:w="2268" w:type="dxa"/>
            <w:tcBorders>
              <w:top w:val="single" w:sz="4" w:space="0" w:color="auto"/>
              <w:left w:val="nil"/>
              <w:bottom w:val="single" w:sz="4" w:space="0" w:color="auto"/>
              <w:right w:val="single" w:sz="4" w:space="0" w:color="auto"/>
            </w:tcBorders>
            <w:vAlign w:val="center"/>
          </w:tcPr>
          <w:p w14:paraId="07AC2D3B"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6E5C1241" w14:textId="734FE6E7"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560" w:type="dxa"/>
            <w:tcBorders>
              <w:top w:val="single" w:sz="4" w:space="0" w:color="auto"/>
              <w:left w:val="nil"/>
              <w:bottom w:val="single" w:sz="4" w:space="0" w:color="auto"/>
              <w:right w:val="single" w:sz="4" w:space="0" w:color="auto"/>
            </w:tcBorders>
            <w:vAlign w:val="center"/>
          </w:tcPr>
          <w:p w14:paraId="5D353070" w14:textId="5B5A2E24"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2DA90F98" w14:textId="77777777" w:rsidR="00604DB3" w:rsidRPr="003E2940" w:rsidRDefault="00604DB3" w:rsidP="00604DB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(193)</w:t>
            </w:r>
          </w:p>
          <w:p w14:paraId="5C902DF3" w14:textId="49C7FF01"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(350)</w:t>
            </w:r>
          </w:p>
        </w:tc>
        <w:tc>
          <w:tcPr>
            <w:tcW w:w="1843" w:type="dxa"/>
            <w:tcBorders>
              <w:top w:val="single" w:sz="4" w:space="0" w:color="auto"/>
              <w:left w:val="single" w:sz="4" w:space="0" w:color="auto"/>
              <w:bottom w:val="single" w:sz="4" w:space="0" w:color="auto"/>
              <w:right w:val="single" w:sz="4" w:space="0" w:color="auto"/>
            </w:tcBorders>
            <w:vAlign w:val="center"/>
          </w:tcPr>
          <w:p w14:paraId="223FA762" w14:textId="188E9977" w:rsidR="00604DB3" w:rsidRPr="003E2940" w:rsidRDefault="00604DB3" w:rsidP="00604DB3">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33</w:t>
            </w:r>
          </w:p>
        </w:tc>
      </w:tr>
      <w:tr w:rsidR="008723A2" w:rsidRPr="003E2940" w14:paraId="55EDF2F1"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593EEB6B" w14:textId="2CDA115F"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Chaudhry R, 2017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{"citationID":"L9lUcPaV","properties":{"formattedCitation":"(65)","plainCitation":"(65)","noteIndex":0},"citationItems":[{"id":627,"uris":["http://zotero.org/users/14157373/items/F2DA9J4E"],"itemData":{"id":627,"type":"article-journal","abstract":"Leptospirosis has been recognised as an emerging global public health problem. The aim of our study was to explore the epidemiological and clinical pattern of disease occurrence in suspected cases and to search for any existing co-infections. Ours was a retrospective study in patients with acute febrile illness in north India over a period of three years (April 2011 to June 2014). Serological diagnosis of leptospirosis was made using the PanBio IgM ELISA kit. Using modified Faine’s criteria, presumptive and possible diagnosis was made in 57% and 34% cases, respectively. Most of the affected population was resident in north and central India. Nineteen patients showed co-infection with other common pathogens prevailing locally. There is a need to increase awareness and understand the local sero-epidemiological pattern of leptospirosis so that timely preventive and curative action may be taken by healthcare authorities.","container-title":"Tropical Doctor","DOI":"10.1177/0049475516687431","ISSN":"0049-4755","issue":"2","journalAbbreviation":"Trop Doct","language":"EN","note":"publisher: SAGE Publications","page":"128-132","source":"SAGE Journals","title":"Varied presentations of leptospirosis: experience from a tertiary care hospital in north India","title-short":"Varied presentations of leptospirosis","volume":"47","author":[{"family":"Chaudhry","given":"Rama"},{"family":"Saigal","given":"Karnika"},{"family":"Bahadur","given":"Tej"},{"family":"Kant","given":"Kamla"},{"family":"Chourasia","given":"Bishwanath"},{"family":"Gupta","given":"Nitin"}],"issued":{"date-parts":[["2017",4,1]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(28)</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44D92D3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5AA9AB84"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w:t>
            </w:r>
          </w:p>
          <w:p w14:paraId="3A25DACB"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5947708A"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p w14:paraId="5DDA6081" w14:textId="24B55353"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Scrub typhus</w:t>
            </w:r>
          </w:p>
        </w:tc>
        <w:tc>
          <w:tcPr>
            <w:tcW w:w="1560" w:type="dxa"/>
            <w:tcBorders>
              <w:top w:val="single" w:sz="4" w:space="0" w:color="auto"/>
              <w:left w:val="nil"/>
              <w:bottom w:val="single" w:sz="4" w:space="0" w:color="auto"/>
              <w:right w:val="single" w:sz="4" w:space="0" w:color="auto"/>
            </w:tcBorders>
            <w:vAlign w:val="center"/>
          </w:tcPr>
          <w:p w14:paraId="1DB51FA3" w14:textId="5B4A4DEC"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2267" w:type="dxa"/>
            <w:tcBorders>
              <w:top w:val="single" w:sz="4" w:space="0" w:color="auto"/>
              <w:left w:val="nil"/>
              <w:bottom w:val="single" w:sz="4" w:space="0" w:color="auto"/>
              <w:right w:val="single" w:sz="4" w:space="0" w:color="auto"/>
            </w:tcBorders>
            <w:vAlign w:val="center"/>
          </w:tcPr>
          <w:p w14:paraId="4C9C4E78"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(144)</w:t>
            </w:r>
          </w:p>
          <w:p w14:paraId="237B357A"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(5)</w:t>
            </w:r>
          </w:p>
          <w:p w14:paraId="48BF41AB"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 (1)</w:t>
            </w:r>
          </w:p>
          <w:p w14:paraId="6C47075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 (9)</w:t>
            </w:r>
          </w:p>
          <w:p w14:paraId="488B83D6" w14:textId="7BF2C7EF"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Scrub typhus (4)</w:t>
            </w:r>
          </w:p>
        </w:tc>
        <w:tc>
          <w:tcPr>
            <w:tcW w:w="1843" w:type="dxa"/>
            <w:tcBorders>
              <w:top w:val="single" w:sz="4" w:space="0" w:color="auto"/>
              <w:left w:val="single" w:sz="4" w:space="0" w:color="auto"/>
              <w:bottom w:val="single" w:sz="4" w:space="0" w:color="auto"/>
              <w:right w:val="single" w:sz="4" w:space="0" w:color="auto"/>
            </w:tcBorders>
            <w:vAlign w:val="center"/>
          </w:tcPr>
          <w:p w14:paraId="2B4D777E" w14:textId="2BED28EA"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5</w:t>
            </w:r>
          </w:p>
        </w:tc>
      </w:tr>
      <w:tr w:rsidR="008723A2" w:rsidRPr="003E2940" w14:paraId="79D7290F"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742437C8" w14:textId="30287763"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Ravindar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{"citationID":"NiLVcRFr","properties":{"formattedCitation":"(68)","plainCitation":"(68)","noteIndex":0},"citationItems":[{"id":150,"uris":["http://zotero.org/users/14157373/items/5BVDY2Y5"],"itemData":{"id":150,"type":"webpage","title":"Co-infection of dengue and leptospirosis in patients presenting to a tertiary care hospital with acute febrile illness: A cross-sectional study - Record details - Embase","URL":"https://www.embase.com/records?subaction=viewrecord&amp;rid=1&amp;page=1&amp;id=L622392197","accessed":{"date-parts":[["2024",5,24]]}}}],"schema":"https://github.com/citation-style-language/schema/raw/master/csl-citation.json"}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(29)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1B78D0BB"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2C7CF01D" w14:textId="04EC5F84"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560" w:type="dxa"/>
            <w:tcBorders>
              <w:top w:val="single" w:sz="4" w:space="0" w:color="auto"/>
              <w:left w:val="nil"/>
              <w:bottom w:val="single" w:sz="4" w:space="0" w:color="auto"/>
              <w:right w:val="single" w:sz="4" w:space="0" w:color="auto"/>
            </w:tcBorders>
            <w:vAlign w:val="center"/>
          </w:tcPr>
          <w:p w14:paraId="50145722" w14:textId="7B190CA9"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2</w:t>
            </w:r>
          </w:p>
        </w:tc>
        <w:tc>
          <w:tcPr>
            <w:tcW w:w="2267" w:type="dxa"/>
            <w:tcBorders>
              <w:top w:val="single" w:sz="4" w:space="0" w:color="auto"/>
              <w:left w:val="nil"/>
              <w:bottom w:val="single" w:sz="4" w:space="0" w:color="auto"/>
              <w:right w:val="single" w:sz="4" w:space="0" w:color="auto"/>
            </w:tcBorders>
            <w:vAlign w:val="center"/>
          </w:tcPr>
          <w:p w14:paraId="0B07BB10"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(18) </w:t>
            </w:r>
          </w:p>
          <w:p w14:paraId="375FA1F2" w14:textId="42A01E78"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(29)</w:t>
            </w:r>
          </w:p>
        </w:tc>
        <w:tc>
          <w:tcPr>
            <w:tcW w:w="1843" w:type="dxa"/>
            <w:tcBorders>
              <w:top w:val="single" w:sz="4" w:space="0" w:color="auto"/>
              <w:left w:val="single" w:sz="4" w:space="0" w:color="auto"/>
              <w:bottom w:val="single" w:sz="4" w:space="0" w:color="auto"/>
              <w:right w:val="single" w:sz="4" w:space="0" w:color="auto"/>
            </w:tcBorders>
            <w:vAlign w:val="center"/>
          </w:tcPr>
          <w:p w14:paraId="6AD49EA6" w14:textId="13BDAA47"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2</w:t>
            </w:r>
          </w:p>
        </w:tc>
      </w:tr>
      <w:tr w:rsidR="008723A2" w:rsidRPr="003E2940" w14:paraId="29A20294"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1C6C04D3" w14:textId="43CDA7D8"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Chaudhry R,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{"citationID":"mOr0oHKr","properties":{"formattedCitation":"(25)","plainCitation":"(25)","noteIndex":0},"citationItems":[{"id":633,"uris":["http://zotero.org/users/14157373/items/UX72RWAI"],"itemData":{"id":633,"type":"article-journal","abstract":"Background &amp; objectives:\nLeptospirosis, a spirochetal zoonosis, is underreported from the northern States of India. This study reports results of a 10-year retrospective sero-epidemiological survey of leptospirosis conducted in a tertiary care hospital in New Delhi, India.\n\nMethod:\nA total of 1453 patients clinically suspected for leptospirosis were included and investigated initially by IgM ELISA. A proportion of these were subjected to culture, microscopic agglutination test (MAT) and polymerase chain reaction (PCR).\n\nResults:\nOf the 1453 patients, 391 (26.90%) were positive serologically by IgM ELISA. Seropositive and seronegative patients revealed no significant difference in clinical features and laboratory parameters. Amongst the IgM seropositive cases, culture for leptospires was positive in 5 of 192 (2.6%), MAT in 50 of 138 (36.23%), PCR from blood and urine in 10 of 115 (8.7%) and 10 of 38 (26.31%) cases, respectively. In Leptospira spp. positive patients co-infections with viral hepatitis E, malaria and dengue fever were diagnosed in 27 cases.\n\nInterpretation &amp; conclusions:\nThe overall seropositivity for leptospirosis was 26.9 per cent in our study. A decreasing trend in seropositivity was observed in recent years. Co-infections with malaria, dengue, hepatitis A and E were also seen. Since leptospirosis is a treatable disease, correct and rapid diagnosis may help in effective management of patients.","container-title":"The Indian Journal of Medical Research","ISSN":"0971-5916","issue":"4","journalAbbreviation":"Indian J Med Res","note":"PMID: 23703348\nPMCID: PMC3724261","page":"785-790","source":"PubMed Central","title":"Serological &amp; molecular approaches for diagnosis of leptospirosis in a tertiary care hospital in north India: A 10-year study","title-short":"Serological &amp; molecular approaches for diagnosis of leptospirosis in a tertiary care hospital in north India","volume":"137","author":[{"family":"Chaudhry","given":"R."},{"family":"Das","given":"A."},{"family":"Premlatha","given":"M.M."},{"family":"Choudhary","given":"A."},{"family":"Chourasia","given":"B.K."},{"family":"Chandel","given":"D.S."},{"family":"Dey","given":"A.B."}],"issued":{"date-parts":[["2013",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43ACE88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5B62565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66964D3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7701D9D5" w14:textId="2F1E5257"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Hepatitis A, E Virus</w:t>
            </w:r>
          </w:p>
        </w:tc>
        <w:tc>
          <w:tcPr>
            <w:tcW w:w="1560" w:type="dxa"/>
            <w:tcBorders>
              <w:top w:val="single" w:sz="4" w:space="0" w:color="auto"/>
              <w:left w:val="nil"/>
              <w:bottom w:val="single" w:sz="4" w:space="0" w:color="auto"/>
              <w:right w:val="single" w:sz="4" w:space="0" w:color="auto"/>
            </w:tcBorders>
            <w:vAlign w:val="center"/>
          </w:tcPr>
          <w:p w14:paraId="1D0EAFA6" w14:textId="39498F06"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5</w:t>
            </w:r>
          </w:p>
        </w:tc>
        <w:tc>
          <w:tcPr>
            <w:tcW w:w="2267" w:type="dxa"/>
            <w:tcBorders>
              <w:top w:val="single" w:sz="4" w:space="0" w:color="auto"/>
              <w:left w:val="nil"/>
              <w:bottom w:val="single" w:sz="4" w:space="0" w:color="auto"/>
              <w:right w:val="single" w:sz="4" w:space="0" w:color="auto"/>
            </w:tcBorders>
            <w:vAlign w:val="center"/>
          </w:tcPr>
          <w:p w14:paraId="5600B497"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(414)</w:t>
            </w:r>
          </w:p>
          <w:p w14:paraId="741CF5C5"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(5)</w:t>
            </w:r>
          </w:p>
          <w:p w14:paraId="160D7C82"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 (70</w:t>
            </w:r>
          </w:p>
          <w:p w14:paraId="5775431A" w14:textId="55A01E32"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Hepatitis E (13) Virus</w:t>
            </w:r>
          </w:p>
        </w:tc>
        <w:tc>
          <w:tcPr>
            <w:tcW w:w="1843" w:type="dxa"/>
            <w:tcBorders>
              <w:top w:val="single" w:sz="4" w:space="0" w:color="auto"/>
              <w:left w:val="single" w:sz="4" w:space="0" w:color="auto"/>
              <w:bottom w:val="single" w:sz="4" w:space="0" w:color="auto"/>
              <w:right w:val="single" w:sz="4" w:space="0" w:color="auto"/>
            </w:tcBorders>
            <w:vAlign w:val="center"/>
          </w:tcPr>
          <w:p w14:paraId="489C2771" w14:textId="0544E346"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4</w:t>
            </w:r>
          </w:p>
        </w:tc>
      </w:tr>
      <w:tr w:rsidR="008723A2" w:rsidRPr="003E2940" w14:paraId="4FC76EF9" w14:textId="77777777" w:rsidTr="00E43DB0">
        <w:trPr>
          <w:trHeight w:val="422"/>
        </w:trPr>
        <w:tc>
          <w:tcPr>
            <w:tcW w:w="1838" w:type="dxa"/>
            <w:tcBorders>
              <w:top w:val="single" w:sz="4" w:space="0" w:color="auto"/>
              <w:left w:val="single" w:sz="4" w:space="0" w:color="auto"/>
              <w:bottom w:val="single" w:sz="4" w:space="0" w:color="auto"/>
              <w:right w:val="single" w:sz="4" w:space="0" w:color="auto"/>
            </w:tcBorders>
            <w:vAlign w:val="center"/>
          </w:tcPr>
          <w:p w14:paraId="6217D2A7" w14:textId="7B7D2DCD"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Husain U,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{"citationID":"nXprZLtO","properties":{"formattedCitation":"(66)","plainCitation":"(66)","noteIndex":0},"citationItems":[{"id":134,"uris":["http://zotero.org/users/14157373/items/98PLWTBA"],"itemData":{"id":134,"type":"article-journal","abstract":"The diagnosis of Scrub Typhus is now improving with the availability of an array of serological tests at the majority of diagnostic centres and of molecular tests at advanced laboratories. Our study focuses on evaluating the spectrum of Scrub Typhus and its coinfection with Leptospirosis in patients presenting with acute febrile illness. A total of 1743 blood samples were collected from both In and Out Patient Department (OPD) patients and analyzed for anti Orientia tsutsugamushi and anti-Leptospira IgM antibodies. Our study showed the presence of Scrub Typhus IgM antibodies in 20.7% of all the cases of acute febrile illness. We also found an interesting correlation of Scrub Typhus with Leptospirosis owing to the presence of co-infection in 8.4% of Scrub Typhus cases paving a way for future research in this regard.","container-title":"Tropical Doctor","DOI":"10.1177/00494755221077744","ISSN":"1758-1133","issue":"2","journalAbbreviation":"Trop Doct","language":"eng","note":"PMID: 35164614","page":"302-303","source":"PubMed","title":"Scrub Typhus and its co-infection with Leptospirosis at a tertiary care hospital in Uttar Pradesh","volume":"52","author":[{"family":"Husain","given":"Uneza"},{"family":"Kalyan","given":"Raj Kumar"},{"family":"Jahan","given":"Asmat"},{"family":"Gupta","given":"Kamlesh Kumar"},{"family":"Verma","given":"Sanjeev Kumar"}],"issued":{"date-parts":[["2022",4]]}}}],"schema":"https://github.com/citation-style-language/schema/raw/master/csl-citation.json"}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(37)</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0C5311D4"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Leptospirosis </w:t>
            </w:r>
          </w:p>
          <w:p w14:paraId="46F94B07" w14:textId="69DFAB55"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Scrub typhus</w:t>
            </w:r>
          </w:p>
        </w:tc>
        <w:tc>
          <w:tcPr>
            <w:tcW w:w="1560" w:type="dxa"/>
            <w:tcBorders>
              <w:top w:val="single" w:sz="4" w:space="0" w:color="auto"/>
              <w:left w:val="nil"/>
              <w:bottom w:val="single" w:sz="4" w:space="0" w:color="auto"/>
              <w:right w:val="single" w:sz="4" w:space="0" w:color="auto"/>
            </w:tcBorders>
            <w:vAlign w:val="center"/>
          </w:tcPr>
          <w:p w14:paraId="64C016C5" w14:textId="44BCDA5C"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2</w:t>
            </w:r>
          </w:p>
        </w:tc>
        <w:tc>
          <w:tcPr>
            <w:tcW w:w="2267" w:type="dxa"/>
            <w:tcBorders>
              <w:top w:val="single" w:sz="4" w:space="0" w:color="auto"/>
              <w:left w:val="nil"/>
              <w:bottom w:val="single" w:sz="4" w:space="0" w:color="auto"/>
              <w:right w:val="single" w:sz="4" w:space="0" w:color="auto"/>
            </w:tcBorders>
            <w:vAlign w:val="center"/>
          </w:tcPr>
          <w:p w14:paraId="1C11C647"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(23)</w:t>
            </w:r>
          </w:p>
          <w:p w14:paraId="38366B7E" w14:textId="70F056E0"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Scrub typhus (361)</w:t>
            </w:r>
          </w:p>
        </w:tc>
        <w:tc>
          <w:tcPr>
            <w:tcW w:w="1843" w:type="dxa"/>
            <w:tcBorders>
              <w:top w:val="single" w:sz="4" w:space="0" w:color="auto"/>
              <w:left w:val="single" w:sz="4" w:space="0" w:color="auto"/>
              <w:bottom w:val="single" w:sz="4" w:space="0" w:color="auto"/>
              <w:right w:val="single" w:sz="4" w:space="0" w:color="auto"/>
            </w:tcBorders>
            <w:vAlign w:val="center"/>
          </w:tcPr>
          <w:p w14:paraId="1AC69824" w14:textId="4F41BB59"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8723A2" w:rsidRPr="003E2940" w14:paraId="5A2BF6E6"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2E702E63" w14:textId="648D33A8"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Kammili N, 2013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{"citationID":"q6e4EcQt","properties":{"formattedCitation":"(64)","plainCitation":"(64)","noteIndex":0},"citationItems":[{"id":620,"uris":["http://zotero.org/users/14157373/items/HNW9375C"],"itemData":{"id":620,"type":"article-journal","abstract":"Dengue fever , scrub typhus ,chikungunya and leptospirosis are common infections in Asia that often present as acute febrile illness of unclear aetiology. Though dengue fever is often considered and investigated by the physicians in all such cases, other infections are often ignored . There is a need to investigate for scrub typhus which is a re-emerging disease in India. The present pilot study was undertaken to elucidate etiology of acute undifferentiated fevers and prevalence of scrub typhus among these patients admitted to the tertiary care hospital. Among the 100 patients studied ,39 samples were positive for dengue serology ,19 were found to be positive for antibodies to Orientia Tsusugamushi by Rapid immuno chromatography and","container-title":"Journal of Evolution of Medical and Dental Sciences","DOI":"10.14260/jemds/595","ISSN":"22784748, 22784802","issue":"16","journalAbbreviation":"jemds","page":"2661-2664","source":"Semantic Scholar","title":"PREVALENCE OF SCRUB TYPHUS AMONG ACUTE UNDIFFERENTIATED FEBRILE ILLNESS CASES PROVISIONALLY DIAGNOSED AS DENGUE FEVER","volume":"2","author":[{"family":"Kammili","given":"Nagamani"},{"family":"A","given":"Swathi"},{"family":"Devara","given":"Sudha Madhuri"},{"family":"P.R.","given":"Anuradha"}],"issued":{"date-parts":[["2013",4,20]]}}}],"schema":"https://github.com/citation-style-language/schema/raw/master/csl-citation.json"}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(35)</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1803A3C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5EADCFEB"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Dengue</w:t>
            </w:r>
          </w:p>
          <w:p w14:paraId="4D0E5C09"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w:t>
            </w:r>
          </w:p>
          <w:p w14:paraId="3AEDB42A"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p w14:paraId="4C25828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20B04656" w14:textId="560C6122"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Scrub typhus</w:t>
            </w:r>
          </w:p>
        </w:tc>
        <w:tc>
          <w:tcPr>
            <w:tcW w:w="1560" w:type="dxa"/>
            <w:tcBorders>
              <w:top w:val="single" w:sz="4" w:space="0" w:color="auto"/>
              <w:left w:val="nil"/>
              <w:bottom w:val="single" w:sz="4" w:space="0" w:color="auto"/>
              <w:right w:val="single" w:sz="4" w:space="0" w:color="auto"/>
            </w:tcBorders>
            <w:vAlign w:val="center"/>
          </w:tcPr>
          <w:p w14:paraId="258717D4" w14:textId="33F74020"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6</w:t>
            </w:r>
          </w:p>
        </w:tc>
        <w:tc>
          <w:tcPr>
            <w:tcW w:w="2267" w:type="dxa"/>
            <w:tcBorders>
              <w:top w:val="single" w:sz="4" w:space="0" w:color="auto"/>
              <w:left w:val="nil"/>
              <w:bottom w:val="single" w:sz="4" w:space="0" w:color="auto"/>
              <w:right w:val="single" w:sz="4" w:space="0" w:color="auto"/>
            </w:tcBorders>
            <w:vAlign w:val="center"/>
          </w:tcPr>
          <w:p w14:paraId="2F63DF3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(9)</w:t>
            </w:r>
          </w:p>
          <w:p w14:paraId="257842A3"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Dengue (39)</w:t>
            </w:r>
          </w:p>
          <w:p w14:paraId="71BCAE18"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 (1)</w:t>
            </w:r>
          </w:p>
          <w:p w14:paraId="6E6FB239"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 (7)</w:t>
            </w:r>
          </w:p>
          <w:p w14:paraId="4AA9D78A" w14:textId="4E1516F0"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Scrub typhus (19)</w:t>
            </w:r>
          </w:p>
        </w:tc>
        <w:tc>
          <w:tcPr>
            <w:tcW w:w="1843" w:type="dxa"/>
            <w:tcBorders>
              <w:top w:val="single" w:sz="4" w:space="0" w:color="auto"/>
              <w:left w:val="single" w:sz="4" w:space="0" w:color="auto"/>
              <w:bottom w:val="single" w:sz="4" w:space="0" w:color="auto"/>
              <w:right w:val="single" w:sz="4" w:space="0" w:color="auto"/>
            </w:tcBorders>
            <w:vAlign w:val="center"/>
          </w:tcPr>
          <w:p w14:paraId="70BE9376" w14:textId="1A1DD420"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r>
      <w:tr w:rsidR="008723A2" w:rsidRPr="003E2940" w14:paraId="2A50C23A"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78B62183" w14:textId="31322E46"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Pandey S,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{"citationID":"6p3SIged","properties":{"formattedCitation":"(67)","plainCitation":"(67)","noteIndex":0},"citationItems":[{"id":631,"uris":["http://zotero.org/users/14157373/items/8DN955Y6"],"itemData":{"id":631,"type":"article-journal","abstract":"INTRODUCTION: Co-infection with different agents such as bacterial, viral, and Rickettsia is being increasingly recognized due to greater availability and utilization of the diagnostic tests among malaria patients.\nMETHODS: Consecutive admitted malarial cases were included and were subjected to test for general investigations, bacteria, typhoid, dengue, chikungunya, and rest for specific diagnosis. All patients were followed up till discharge or death and appropriate statistical tests were performed.\nRESULTS: A total of 152 malaria patients were recruited and 27 (18.8%) had concurrent infections. It included 40.7% dengue only, 18.7% pneumonia, 11.1% urinary tract infection (UTI), 7.4% enteric fever, 3.7% leptospirosis, chikungunya, and tuberculous meningitis each, and 3.7% each of dengue with pneumonia and UTI. The organisms isolated were Streptococcus pneumoniae, Klebsiella pneumoniae, Escherichia coli, Salmonella typhi, and Mycobacterium tuberculosis. The mean duration of fever was 6.33 ± 3.63 days with a range of 3-20 days. Blood culture grew in 2 cases S. typhi and K. pneumonia,e. Dengue co-infections had significantly higher clinical and laboratory features of dengue and complications such as bleeding, jaundice, and cholecystitis, whereas rest concurrent infections had a significantly higher proportion of nausea and vomiting, convulsion, altered sensorium, productive cough, urinary symptoms, shock, acute kidney injury, anemia, and mean neutrophil count. There was significantly higher mortality among malaria-dengue concurrent infection group with 2 (15.4%) than malaria mono-infection group 3 (2.4%).\nCONCLUSION: Co-infections with malaria are not uncommon, especially dengue fever and other bacterial infections. The dominant clinical picture is of the superimposed infection. Decision should be clinically guided adjunct with specific diagnostic tests, and timely treatment has favorable outcome.","container-title":"Journal of Global Infectious Diseases","DOI":"10.4103/jgid.jgid_279_21","ISSN":"0974-777X","issue":"2","journalAbbreviation":"J Glob Infect Dis","language":"eng","note":"PMID: 35910822\nPMCID: PMC9336604","page":"57-63","source":"PubMed","title":"Outcome of Adult Malarial Co-infections in Eastern India","volume":"14","author":[{"family":"Pandey","given":"Saurabh"},{"family":"Rai","given":"Priyanka"},{"family":"Guha","given":"Subhasish Kamal"},{"family":"Maji","given":"Ardhendu"},{"family":"Ghosh","given":"Subir"},{"family":"Halder","given":"Prantiki"},{"family":"Gupta","given":"Manoj Kumar"},{"family":"Halder","given":"Soumen Nath"},{"family":"Modak","given":"Dolanchampa"}],"issued":{"date-parts":[["2022"]]}}}],"schema":"https://github.com/citation-style-language/schema/raw/master/csl-citation.json"}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(38)</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6D25FF2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65BB7A0D"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Dengue</w:t>
            </w:r>
          </w:p>
          <w:p w14:paraId="644625C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w:t>
            </w:r>
          </w:p>
          <w:p w14:paraId="72233F9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w:t>
            </w:r>
          </w:p>
          <w:p w14:paraId="7E308CA8" w14:textId="4D4A9171"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Malaria</w:t>
            </w:r>
          </w:p>
        </w:tc>
        <w:tc>
          <w:tcPr>
            <w:tcW w:w="1560" w:type="dxa"/>
            <w:tcBorders>
              <w:top w:val="single" w:sz="4" w:space="0" w:color="auto"/>
              <w:left w:val="nil"/>
              <w:bottom w:val="single" w:sz="4" w:space="0" w:color="auto"/>
              <w:right w:val="single" w:sz="4" w:space="0" w:color="auto"/>
            </w:tcBorders>
            <w:vAlign w:val="center"/>
          </w:tcPr>
          <w:p w14:paraId="279102CB" w14:textId="40BA67F4"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5</w:t>
            </w:r>
          </w:p>
        </w:tc>
        <w:tc>
          <w:tcPr>
            <w:tcW w:w="2267" w:type="dxa"/>
            <w:tcBorders>
              <w:top w:val="single" w:sz="4" w:space="0" w:color="auto"/>
              <w:left w:val="nil"/>
              <w:bottom w:val="single" w:sz="4" w:space="0" w:color="auto"/>
              <w:right w:val="single" w:sz="4" w:space="0" w:color="auto"/>
            </w:tcBorders>
            <w:vAlign w:val="center"/>
          </w:tcPr>
          <w:p w14:paraId="4A32D58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(1)</w:t>
            </w:r>
          </w:p>
          <w:p w14:paraId="1B37813B"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 Dengue (1)</w:t>
            </w:r>
          </w:p>
          <w:p w14:paraId="3B656357"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 (1)</w:t>
            </w:r>
          </w:p>
          <w:p w14:paraId="3BA0CF35"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Enteric fever (1)</w:t>
            </w:r>
          </w:p>
          <w:p w14:paraId="0124DFAB" w14:textId="2339EC7D"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Malaria (125)</w:t>
            </w:r>
          </w:p>
        </w:tc>
        <w:tc>
          <w:tcPr>
            <w:tcW w:w="1843" w:type="dxa"/>
            <w:tcBorders>
              <w:top w:val="single" w:sz="4" w:space="0" w:color="auto"/>
              <w:left w:val="single" w:sz="4" w:space="0" w:color="auto"/>
              <w:bottom w:val="single" w:sz="4" w:space="0" w:color="auto"/>
              <w:right w:val="single" w:sz="4" w:space="0" w:color="auto"/>
            </w:tcBorders>
            <w:vAlign w:val="center"/>
          </w:tcPr>
          <w:p w14:paraId="7EA56641" w14:textId="00322EC9"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5</w:t>
            </w:r>
          </w:p>
        </w:tc>
      </w:tr>
      <w:tr w:rsidR="008723A2" w:rsidRPr="003E2940" w14:paraId="58C7529E"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3D9A2D1D" w14:textId="47DB12A7"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Das BK, 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{"citationID":"EfA3a0xi","properties":{"formattedCitation":"(62)","plainCitation":"(62)","noteIndex":0},"citationItems":[{"id":613,"uris":["http://zotero.org/users/14157373/items/HCK6MYJQ"],"itemData":{"id":613,"type":"article-journal","abstract":"Acute encephalitis syndrome (AES) is a major public health concern in India, causing febrile illness principally associated with viral infection. Bacteria-like scrub typhus and leptospirosis also cause acute febrile illness. Therefore, this study was conceived to address the possible etiological agents contributing to sporadic AES in a tertiary care center in Odisha, India.This was a prospective hospital-based study that enrolled 92 consecutive patients with clinically diagnosed AES whose blood/cerebrospinal fluid samples were tested for IgM antibodies to dengue, Japanese encephalitis (JE), herpes simplex virus (HSV), Epstein-Barr virus (EBV), leptospirosis and scrub typhus.Viral antibodies to dengue were detected in three (3.26%) cases, HSV1 in four (4.34%) and HSV2 in three (3.26%) cases. Significantly, antibodies to EBV in 22 (23.591%) and to JE in 27 (29.34%) cases were detected. Notably, 30 (32.60%) and 11(12.0%) of patients had IgM antibodies to leptospirosis and scrub typhus, respectively.This observation indicates an association of leptospirosis and scrub typhus infection in sporadic cases of AES, besides other viruses.","container-title":"Transactions of The Royal Society of Tropical Medicine and Hygiene","DOI":"10.1093/trstmh/trab063","ISSN":"0035-9203","issue":"9","journalAbbreviation":"Transactions of The Royal Society of Tropical Medicine and Hygiene","page":"1088-1090","source":"Silverchair","title":"Association of leptospirosis and scrub typhus in acute encephalitis syndrome in a tertiary care hospital in Odisha, India","volume":"115","author":[{"family":"Das","given":"Bidyut Kumar"},{"family":"Mohanty","given":"Sriprasad"},{"family":"Sahoo","given":"Prakash Kumar"}],"issued":{"date-parts":[["2021",9,1]]}}}],"schema":"https://github.com/citation-style-language/schema/raw/master/csl-citation.json"}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3A677C6A"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2F1CCFF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7F6402C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HSV 1 &amp; 2</w:t>
            </w:r>
          </w:p>
          <w:p w14:paraId="3ACCC09A"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Epstein-Barr Virus</w:t>
            </w:r>
          </w:p>
          <w:p w14:paraId="5C05A218"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Cytomegalovirus</w:t>
            </w:r>
          </w:p>
          <w:p w14:paraId="5F285DDD"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Japanese encephalitis</w:t>
            </w:r>
          </w:p>
          <w:p w14:paraId="2AA5DDC0"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Parvo B19</w:t>
            </w:r>
          </w:p>
          <w:p w14:paraId="5EC18DEC" w14:textId="3838C8E5"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426E6F26" w14:textId="757FD13B"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9</w:t>
            </w:r>
          </w:p>
        </w:tc>
        <w:tc>
          <w:tcPr>
            <w:tcW w:w="2267" w:type="dxa"/>
            <w:tcBorders>
              <w:top w:val="single" w:sz="4" w:space="0" w:color="auto"/>
              <w:left w:val="nil"/>
              <w:bottom w:val="single" w:sz="4" w:space="0" w:color="auto"/>
              <w:right w:val="single" w:sz="4" w:space="0" w:color="auto"/>
            </w:tcBorders>
            <w:vAlign w:val="center"/>
          </w:tcPr>
          <w:p w14:paraId="438AAEA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(30)</w:t>
            </w:r>
          </w:p>
          <w:p w14:paraId="3A5C38E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(3)</w:t>
            </w:r>
          </w:p>
          <w:p w14:paraId="7F00D5A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HSV 1 (4) &amp; 2 (3)</w:t>
            </w:r>
          </w:p>
          <w:p w14:paraId="5E107327"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Epstein-Barr Virus (22)</w:t>
            </w:r>
          </w:p>
          <w:p w14:paraId="381E8E23"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Cytomegalovirus (10)</w:t>
            </w:r>
          </w:p>
          <w:p w14:paraId="073FAEEF"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Japanese encephalitis (27)</w:t>
            </w:r>
          </w:p>
          <w:p w14:paraId="21AAEB89" w14:textId="340581D2"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(11)</w:t>
            </w:r>
          </w:p>
        </w:tc>
        <w:tc>
          <w:tcPr>
            <w:tcW w:w="1843" w:type="dxa"/>
            <w:tcBorders>
              <w:top w:val="single" w:sz="4" w:space="0" w:color="auto"/>
              <w:left w:val="single" w:sz="4" w:space="0" w:color="auto"/>
              <w:bottom w:val="single" w:sz="4" w:space="0" w:color="auto"/>
              <w:right w:val="single" w:sz="4" w:space="0" w:color="auto"/>
            </w:tcBorders>
            <w:vAlign w:val="center"/>
          </w:tcPr>
          <w:p w14:paraId="351A9B5F" w14:textId="52522563"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r>
      <w:tr w:rsidR="008723A2" w:rsidRPr="003E2940" w14:paraId="55389B23"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1C77C4E4" w14:textId="5ED3DB80"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Mandage R, 2020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{"citationID":"bjnQHk4Z","properties":{"formattedCitation":"(26)","plainCitation":"(26)","noteIndex":0},"citationItems":[{"id":143,"uris":["http://zotero.org/users/14157373/items/TJJJ8UAA"],"itemData":{"id":143,"type":"article-journal","abstract":"Plasmodium infections are co-endemic with infections caused by other agents of acute febrile illnesses, such as dengue virus (DENV), chikungunya virus, Leptospira spp., and Orientia tsutsugamushi. However, co-infections may influence disease severity, treatment outcomes, and development of drug resistance. When we analyzed cases of acute febrile illness at the All India Institute of Medical Sciences, New Delhi, India, from July 2017 through September 2018, we found that most patients with malaria harbored co-infections (Plasmodium mixed species and other pathogens). DENV was the most common malaria co-infection (44% of total infections). DENV serotype 4 was associated with mild malaria, and Leptospira was associated with severe malaria. We also found the presence of P. knowlesi in our study population. Therefore, in areas with a large number of severe malaria cases, diagnostic screening for all 4 DENV serotypes, Leptospira, and all Plasmodium species should be performed.","container-title":"Emerging Infectious Diseases","DOI":"10.3201/eid2608.191214","ISSN":"1080-6059","issue":"8","journalAbbreviation":"Emerg Infect Dis","language":"eng","note":"PMID: 32687019\nPMCID: PMC7392441","page":"1645-1653","source":"PubMed","title":"Association of Dengue Virus and Leptospira Co-Infections with Malaria Severity","volume":"26","author":[{"family":"Mandage","given":"Rajendra"},{"family":"Kaur","given":"Charandeep"},{"family":"Pramanik","given":"Atreyi"},{"family":"Kumar","given":"Vinod"},{"family":"Kodan","given":"Parul"},{"family":"Singh","given":"Adarsh"},{"family":"Saha","given":"Sounak"},{"family":"Pandey","given":"Shivam"},{"family":"Wig","given":"Naveet"},{"family":"Pandey","given":"Ravindra Mohan"},{"family":"Soneja","given":"Manish"},{"family":"Acharya","given":"Pragyan"}],"issued":{"date-parts":[["2020",8]]}}}],"schema":"https://github.com/citation-style-language/schema/raw/master/csl-citation.json"}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0098A5A8"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7B17BD93"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58D09C4D"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Chikungunya</w:t>
            </w:r>
          </w:p>
          <w:p w14:paraId="56090A91"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w:t>
            </w:r>
          </w:p>
          <w:p w14:paraId="39C92350" w14:textId="33E7394A"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i/>
                <w:iCs/>
                <w:sz w:val="18"/>
                <w:szCs w:val="18"/>
              </w:rPr>
              <w:t>P. falciparum, P. vivax, P. malaria, P. ovale, and P. knowlesi</w:t>
            </w:r>
          </w:p>
        </w:tc>
        <w:tc>
          <w:tcPr>
            <w:tcW w:w="1560" w:type="dxa"/>
            <w:tcBorders>
              <w:top w:val="single" w:sz="4" w:space="0" w:color="auto"/>
              <w:left w:val="nil"/>
              <w:bottom w:val="single" w:sz="4" w:space="0" w:color="auto"/>
              <w:right w:val="single" w:sz="4" w:space="0" w:color="auto"/>
            </w:tcBorders>
            <w:vAlign w:val="center"/>
          </w:tcPr>
          <w:p w14:paraId="745C8EA6" w14:textId="488D92D7"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9</w:t>
            </w:r>
          </w:p>
        </w:tc>
        <w:tc>
          <w:tcPr>
            <w:tcW w:w="2267" w:type="dxa"/>
            <w:tcBorders>
              <w:top w:val="single" w:sz="4" w:space="0" w:color="auto"/>
              <w:left w:val="nil"/>
              <w:bottom w:val="single" w:sz="4" w:space="0" w:color="auto"/>
              <w:right w:val="single" w:sz="4" w:space="0" w:color="auto"/>
            </w:tcBorders>
            <w:vAlign w:val="center"/>
          </w:tcPr>
          <w:p w14:paraId="7A471C77"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(11)</w:t>
            </w:r>
          </w:p>
          <w:p w14:paraId="3EF4E89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 (5)</w:t>
            </w:r>
          </w:p>
          <w:p w14:paraId="1DD9674D" w14:textId="2CD02A5E"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i/>
                <w:iCs/>
                <w:sz w:val="18"/>
                <w:szCs w:val="18"/>
              </w:rPr>
              <w:t>P. falciparum</w:t>
            </w:r>
            <w:r w:rsidRPr="003E2940">
              <w:rPr>
                <w:rFonts w:ascii="Times New Roman" w:hAnsi="Times New Roman" w:cs="Times New Roman"/>
                <w:sz w:val="18"/>
                <w:szCs w:val="18"/>
              </w:rPr>
              <w:t xml:space="preserve"> (23)</w:t>
            </w:r>
            <w:r w:rsidRPr="003E2940">
              <w:rPr>
                <w:rFonts w:ascii="Times New Roman" w:hAnsi="Times New Roman" w:cs="Times New Roman"/>
                <w:i/>
                <w:iCs/>
                <w:sz w:val="18"/>
                <w:szCs w:val="18"/>
              </w:rPr>
              <w:t>, P. vivax</w:t>
            </w:r>
            <w:r w:rsidRPr="003E2940">
              <w:rPr>
                <w:rFonts w:ascii="Times New Roman" w:hAnsi="Times New Roman" w:cs="Times New Roman"/>
                <w:sz w:val="18"/>
                <w:szCs w:val="18"/>
              </w:rPr>
              <w:t xml:space="preserve"> (50)</w:t>
            </w:r>
            <w:r w:rsidRPr="003E2940">
              <w:rPr>
                <w:rFonts w:ascii="Times New Roman" w:hAnsi="Times New Roman" w:cs="Times New Roman"/>
                <w:i/>
                <w:iCs/>
                <w:sz w:val="18"/>
                <w:szCs w:val="18"/>
              </w:rPr>
              <w:t>, and P. knowlesi</w:t>
            </w:r>
            <w:r w:rsidRPr="003E2940">
              <w:rPr>
                <w:rFonts w:ascii="Times New Roman" w:hAnsi="Times New Roman" w:cs="Times New Roman"/>
                <w:sz w:val="18"/>
                <w:szCs w:val="18"/>
              </w:rPr>
              <w:t xml:space="preserve"> (12)</w:t>
            </w:r>
          </w:p>
        </w:tc>
        <w:tc>
          <w:tcPr>
            <w:tcW w:w="1843" w:type="dxa"/>
            <w:tcBorders>
              <w:top w:val="single" w:sz="4" w:space="0" w:color="auto"/>
              <w:left w:val="single" w:sz="4" w:space="0" w:color="auto"/>
              <w:bottom w:val="single" w:sz="4" w:space="0" w:color="auto"/>
              <w:right w:val="single" w:sz="4" w:space="0" w:color="auto"/>
            </w:tcBorders>
            <w:vAlign w:val="center"/>
          </w:tcPr>
          <w:p w14:paraId="385CA527" w14:textId="384AB098"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r>
      <w:tr w:rsidR="008723A2" w:rsidRPr="003E2940" w14:paraId="0EA16BD9"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292EFB59" w14:textId="32A9EE22"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Borkakoty B, 2016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{"citationID":"HUHkuTQR","properties":{"formattedCitation":"(63)","plainCitation":"(63)","noteIndex":0},"citationItems":[{"id":157,"uris":["http://zotero.org/users/14157373/items/NCL7HHVQ"],"itemData":{"id":157,"type":"article-journal","abstract":"Background: Scrub typhus and leptospirosis are bacterial zoonotic disease causing high morbidity and mortality. The seasonal outbreak of pyrexia is common in Arunachal Pradesh (AP); many times the disease remains undiagnosed. Objective: An outbreak of pyrexia of unknown origin (PUO) occurred in Longding district of Arunachal Pradesh in 2013, with 108 deaths, which was investigated to elucidate the cause of illness. Methodology: Blood samples from the affected region with acute pyrexia were collected, and screened for the malaria parasite, scrub typhus IgM and leptospira IgM. Results: Scrub typhus IgM was reactive in 97% (30/31), and 25% (8/31) cases were co-infected with leptospira. Incidentally, scrub typhus reactive (67%) and leptospira co-infection (62.7%) were higher in females. Record of previous 3 years (2011–2013) from Longding, Community Health Centre showed an increase in indoor pyrexia cases by 2-fold or more during October and November. Conclusion: The present study is the first report of co-infection of scrub typhus with leptospirosis from Northeast India. Medical officers in this region should take scrub typhus and leptospirosis in their differential diagnosis of patients with PUO for early diagnosis and effective treatment.","container-title":"Indian Journal of Medical Microbiology","DOI":"10.4103/0255-0857.174116","ISSN":"0255-0857","issue":"1","journalAbbreviation":"Indian Journal of Medical Microbiology","page":"88-91","source":"ScienceDirect","title":"Co-infection of scrub typhus and leptospirosis in patients with pyrexia of unknown origin in Longding district of Arunachal Pradesh in 2013","volume":"34","author":[{"family":"Borkakoty","given":"Biswajyoti"},{"family":"Jakharia","given":"Aniruddha"},{"family":"Biswas","given":"Dipankar"},{"family":"Mahanta","given":"Jagadish"}],"issued":{"date-parts":[["2016",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(33)</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3C216DE3"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Leptospirosis </w:t>
            </w:r>
          </w:p>
          <w:p w14:paraId="698167A4"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w:t>
            </w:r>
          </w:p>
          <w:p w14:paraId="0A6D5309" w14:textId="2471F80A"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Malaria</w:t>
            </w:r>
          </w:p>
        </w:tc>
        <w:tc>
          <w:tcPr>
            <w:tcW w:w="1560" w:type="dxa"/>
            <w:tcBorders>
              <w:top w:val="single" w:sz="4" w:space="0" w:color="auto"/>
              <w:left w:val="nil"/>
              <w:bottom w:val="single" w:sz="4" w:space="0" w:color="auto"/>
              <w:right w:val="single" w:sz="4" w:space="0" w:color="auto"/>
            </w:tcBorders>
            <w:vAlign w:val="center"/>
          </w:tcPr>
          <w:p w14:paraId="1F17419C" w14:textId="43455BF8"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3</w:t>
            </w:r>
          </w:p>
        </w:tc>
        <w:tc>
          <w:tcPr>
            <w:tcW w:w="2267" w:type="dxa"/>
            <w:tcBorders>
              <w:top w:val="single" w:sz="4" w:space="0" w:color="auto"/>
              <w:left w:val="nil"/>
              <w:bottom w:val="single" w:sz="4" w:space="0" w:color="auto"/>
              <w:right w:val="single" w:sz="4" w:space="0" w:color="auto"/>
            </w:tcBorders>
            <w:vAlign w:val="center"/>
          </w:tcPr>
          <w:p w14:paraId="56E605BF"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(8)</w:t>
            </w:r>
          </w:p>
          <w:p w14:paraId="5A3CC022" w14:textId="6B485BC3" w:rsidR="008723A2" w:rsidRPr="003E2940" w:rsidRDefault="008723A2" w:rsidP="00D12FBB">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Scrub typhus (30)</w:t>
            </w:r>
          </w:p>
        </w:tc>
        <w:tc>
          <w:tcPr>
            <w:tcW w:w="1843" w:type="dxa"/>
            <w:tcBorders>
              <w:top w:val="single" w:sz="4" w:space="0" w:color="auto"/>
              <w:left w:val="single" w:sz="4" w:space="0" w:color="auto"/>
              <w:bottom w:val="single" w:sz="4" w:space="0" w:color="auto"/>
              <w:right w:val="single" w:sz="4" w:space="0" w:color="auto"/>
            </w:tcBorders>
            <w:vAlign w:val="center"/>
          </w:tcPr>
          <w:p w14:paraId="67A3B69C" w14:textId="51FC2E95"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2</w:t>
            </w:r>
          </w:p>
        </w:tc>
      </w:tr>
      <w:tr w:rsidR="008723A2" w:rsidRPr="003E2940" w14:paraId="189FC841" w14:textId="77777777" w:rsidTr="00E43DB0">
        <w:trPr>
          <w:trHeight w:val="419"/>
        </w:trPr>
        <w:tc>
          <w:tcPr>
            <w:tcW w:w="1838" w:type="dxa"/>
            <w:tcBorders>
              <w:top w:val="single" w:sz="4" w:space="0" w:color="auto"/>
              <w:left w:val="single" w:sz="4" w:space="0" w:color="auto"/>
              <w:bottom w:val="single" w:sz="4" w:space="0" w:color="auto"/>
              <w:right w:val="single" w:sz="4" w:space="0" w:color="auto"/>
            </w:tcBorders>
            <w:vAlign w:val="center"/>
          </w:tcPr>
          <w:p w14:paraId="1B05DCA4" w14:textId="1C969F40"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Raina S,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{"citationID":"Q8d7jWxQ","properties":{"formattedCitation":"(48)","plainCitation":"(48)","noteIndex":0},"citationItems":[{"id":497,"uris":["http://zotero.org/users/14157373/items/SKWZKMGL"],"itemData":{"id":497,"type":"article-journal","abstract":"Background &amp; objectives: \n          In India, certain geographic regions witness simultaneous outbreaks of two or more diseases like scrub typhus, dengue fever, malaria, leptospirosis and chikungunya during monsoon and post-monsoon period, sharing common indication of acute febrile illness. The objective of the present study was to assess the prevalence of coinfections among patients with acute undifferentiated fevers (AUF) admitted in a tertiary care hospital in the northern hilly state of Himachal Pradesh, India.\n          Methods: \n          This was a hospital based open cohort study conducted over a period of two months (September and October) in 2016. All the patients above the age of 18 yr admitted in medical wards and fulfilling the definition of AUF were included. The patients diagnosed with dual infections were the subjects of the study. Standard guidelines were used for case definitions of scrub typhus, dengue, chikungunya, malaria and leptospirosis.\n          Results: \n          Dual infections were noted in 16 patients admitted with AUF. The most common coinfection was scrub typhus and dengue, reported in 10 patients. Scrub typhus and leptospirosis coinfection was observed in three patients. Dengue and chikungunya was observed in one patient. Scrub typhus, dengue and vivax malaria was detected in one patient. Scrub typhus and vivax malaria was detected in one patient. Out of the 10 cases positive for both scrub and dengue, four had no history of travel outside Himachal Pradesh. All three cases positive for both scrub and leptospirosis were indigenous without any history of travel outside Kangra, Himachal Pradesh. The outcome of all the patients was with full recovery.\n          Interpretation &amp; conclusion: \n          The study established the presence of coinfections (mainly dengue fever and leptospirosis) as a cause of AUF in the study area, which is a nonendemic region. The role of easily available and widely performed serological tests in the aetiological diagnosis of AUF is significant. Studies are required to determine the normal titres in the local population before using the imported commercially available serological tests in the diagnosis of AUF.","container-title":"Journal of Vector Borne Diseases","DOI":"10.4103/0972-9062.242560","ISSN":"xxxx-xxxx","issue":"2","language":"en-US","page":"130","source":"journals.lww.com","title":"Coinfections as an aetiology of acute undifferentiated febrile illness among adult patients in the sub-Himalayan region of north India","volume":"55","author":[{"family":"Raina","given":"Sujeet"},{"family":"Raina","given":"Rashmi Kaul"},{"family":"Agarwala","given":"Niraj"},{"family":"Raina","given":"Sunil Kumar"},{"family":"Sharma","given":"Rajesh"}],"issued":{"date-parts":[["2018",6]]}}}],"schema":"https://github.com/citation-style-language/schema/raw/master/csl-citation.json"}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(31)</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5968294C"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0C053AA7"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3FA7DDAD"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25F01ADA"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Chikungunya</w:t>
            </w:r>
          </w:p>
          <w:p w14:paraId="4AEE3C6B" w14:textId="0742F158"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1560" w:type="dxa"/>
            <w:tcBorders>
              <w:top w:val="single" w:sz="4" w:space="0" w:color="auto"/>
              <w:left w:val="nil"/>
              <w:bottom w:val="single" w:sz="4" w:space="0" w:color="auto"/>
              <w:right w:val="single" w:sz="4" w:space="0" w:color="auto"/>
            </w:tcBorders>
            <w:vAlign w:val="center"/>
          </w:tcPr>
          <w:p w14:paraId="3090C198" w14:textId="2E316FC6"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2267" w:type="dxa"/>
            <w:tcBorders>
              <w:top w:val="single" w:sz="4" w:space="0" w:color="auto"/>
              <w:left w:val="nil"/>
              <w:bottom w:val="single" w:sz="4" w:space="0" w:color="auto"/>
              <w:right w:val="single" w:sz="4" w:space="0" w:color="auto"/>
            </w:tcBorders>
            <w:vAlign w:val="center"/>
          </w:tcPr>
          <w:p w14:paraId="3999B840"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(8)</w:t>
            </w:r>
          </w:p>
          <w:p w14:paraId="593E475D"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(262)</w:t>
            </w:r>
          </w:p>
          <w:p w14:paraId="4544AC00"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(91)</w:t>
            </w:r>
          </w:p>
          <w:p w14:paraId="76876772" w14:textId="77777777" w:rsidR="008723A2" w:rsidRPr="003E2940" w:rsidRDefault="008723A2" w:rsidP="008723A2">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Chikungunya (7)</w:t>
            </w:r>
          </w:p>
          <w:p w14:paraId="3C5FAD33" w14:textId="43986C63"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(2)</w:t>
            </w:r>
          </w:p>
        </w:tc>
        <w:tc>
          <w:tcPr>
            <w:tcW w:w="1843" w:type="dxa"/>
            <w:tcBorders>
              <w:top w:val="single" w:sz="4" w:space="0" w:color="auto"/>
              <w:left w:val="single" w:sz="4" w:space="0" w:color="auto"/>
              <w:bottom w:val="single" w:sz="4" w:space="0" w:color="auto"/>
              <w:right w:val="single" w:sz="4" w:space="0" w:color="auto"/>
            </w:tcBorders>
            <w:vAlign w:val="center"/>
          </w:tcPr>
          <w:p w14:paraId="3D845438" w14:textId="4982E210"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r>
      <w:tr w:rsidR="008723A2" w:rsidRPr="003E2940" w14:paraId="4DD36546" w14:textId="77777777" w:rsidTr="007E364E">
        <w:trPr>
          <w:trHeight w:val="520"/>
        </w:trPr>
        <w:tc>
          <w:tcPr>
            <w:tcW w:w="1838" w:type="dxa"/>
            <w:tcBorders>
              <w:top w:val="single" w:sz="4" w:space="0" w:color="auto"/>
              <w:left w:val="single" w:sz="4" w:space="0" w:color="auto"/>
              <w:bottom w:val="single" w:sz="4" w:space="0" w:color="auto"/>
              <w:right w:val="single" w:sz="4" w:space="0" w:color="auto"/>
            </w:tcBorders>
            <w:vAlign w:val="center"/>
          </w:tcPr>
          <w:p w14:paraId="6A18B1F3" w14:textId="333D4806" w:rsidR="008723A2" w:rsidRPr="003E2940" w:rsidRDefault="008723A2" w:rsidP="008723A2">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hAnsi="Times New Roman" w:cs="Times New Roman"/>
                <w:sz w:val="18"/>
                <w:szCs w:val="18"/>
              </w:rPr>
              <w:lastRenderedPageBreak/>
              <w:t xml:space="preserve">Raja JM, 2016 </w:t>
            </w:r>
            <w:r w:rsidRPr="003E2940">
              <w:rPr>
                <w:rFonts w:ascii="Times New Roman" w:hAnsi="Times New Roman" w:cs="Times New Roman"/>
                <w:sz w:val="18"/>
                <w:szCs w:val="18"/>
              </w:rPr>
              <w:fldChar w:fldCharType="begin"/>
            </w:r>
            <w:r w:rsidRPr="003E2940">
              <w:rPr>
                <w:rFonts w:ascii="Times New Roman" w:hAnsi="Times New Roman" w:cs="Times New Roman"/>
                <w:sz w:val="18"/>
                <w:szCs w:val="18"/>
              </w:rPr>
              <w:instrText xml:space="preserve"> ADDIN ZOTERO_ITEM CSL_CITATION {"citationID":"Mw3MHBRo","properties":{"formattedCitation":"(19)","plainCitation":"(19)","noteIndex":0},"citationItems":[{"id":638,"uris":["http://zotero.org/users/14157373/items/V5FUBAME"],"itemData":{"id":638,"type":"article-journal","abstract":"Co-existing infections (Malaria and dengue) go undetected due to lack of clinical suspicion and overlapping\nsymptoms. Co-existing infections are on the rise in tropics. This study is undertaken to assess the prevalence of coinfections\nof some common tropical infections like malaria, dengue, typhoid, and leptospirosis in pyrexia cases. Also\nany associated complications with dual infections are dealt within this study. A cross-sectional study was\nundertaken including inpatient A.C.S. Medical college and hospital from May, 2013 to January, 2014 Suffering from\nfever of 100° and above with additional symptoms like Abdominal pain, Vomiting, Bleeding in both men and women\nbetween ages 5 and above and up to sixty years of age. A total of 100 pyrexia cases were studied. Of those 100 cases\npyrexia, the percentage of a single infection, dual infection, triplet infection and other causes were 20%, 9%, 1%\nand 69% respectively. Among the dual infections, coinfection with malaria and dengue, dengue and typhoid,\nmalaria and typhoid, dengue and leptospirosis were 33.33%, 22.22%, 22.22% and 22.22% respectively. One triplet\ninfection with Malaria, leptospirosis and typhoid was also detected. There is prevalence of coexisting infections with\ntropical infections like malaria, dengue, leptospirosis and typhoid. Prompt detection of these dual infections can\nlead to decreased morbidity and mortality. A clinical suspicion must be present to detect these coexisting infections\nin pyrexia cases.","container-title":"International Journal of Medical Research and Health Sciences","issue":"8","journalAbbreviation":"International Journal of Medical Research and Health Sciences","page":"150-155","source":"IngentaConnect","title":"A Study on Dual Infections in Pyrexia Cases","volume":"5","author":[{"literal":"Joel Mukesh Raja"},{"literal":"Annapoorna Mary"},{"literal":"S. Usha"}],"issued":{"date-parts":[["2016",1,1]]}}}],"schema":"https://github.com/citation-style-language/schema/raw/master/csl-citation.json"} </w:instrText>
            </w:r>
            <w:r w:rsidRPr="003E2940">
              <w:rPr>
                <w:rFonts w:ascii="Times New Roman" w:hAnsi="Times New Roman" w:cs="Times New Roman"/>
                <w:sz w:val="18"/>
                <w:szCs w:val="18"/>
              </w:rPr>
              <w:fldChar w:fldCharType="separate"/>
            </w:r>
            <w:r w:rsidRPr="003E2940">
              <w:rPr>
                <w:rFonts w:ascii="Times New Roman" w:hAnsi="Times New Roman" w:cs="Times New Roman"/>
                <w:sz w:val="18"/>
              </w:rPr>
              <w:t>(34)</w:t>
            </w:r>
            <w:r w:rsidRPr="003E2940">
              <w:rPr>
                <w:rFonts w:ascii="Times New Roman" w:hAnsi="Times New Roman" w:cs="Times New Roman"/>
                <w:sz w:val="18"/>
                <w:szCs w:val="18"/>
              </w:rPr>
              <w:fldChar w:fldCharType="end"/>
            </w:r>
          </w:p>
        </w:tc>
        <w:tc>
          <w:tcPr>
            <w:tcW w:w="2268" w:type="dxa"/>
            <w:tcBorders>
              <w:top w:val="single" w:sz="4" w:space="0" w:color="auto"/>
              <w:left w:val="nil"/>
              <w:bottom w:val="single" w:sz="4" w:space="0" w:color="auto"/>
              <w:right w:val="single" w:sz="4" w:space="0" w:color="auto"/>
            </w:tcBorders>
            <w:vAlign w:val="center"/>
          </w:tcPr>
          <w:p w14:paraId="5100E206"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29EBE3D6"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w:t>
            </w:r>
          </w:p>
          <w:p w14:paraId="5990528C"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w:t>
            </w:r>
          </w:p>
          <w:p w14:paraId="506FA2CC" w14:textId="10BB9B7B"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Enteric fever</w:t>
            </w:r>
          </w:p>
        </w:tc>
        <w:tc>
          <w:tcPr>
            <w:tcW w:w="1560" w:type="dxa"/>
            <w:tcBorders>
              <w:top w:val="single" w:sz="4" w:space="0" w:color="auto"/>
              <w:left w:val="nil"/>
              <w:bottom w:val="single" w:sz="4" w:space="0" w:color="auto"/>
              <w:right w:val="single" w:sz="4" w:space="0" w:color="auto"/>
            </w:tcBorders>
            <w:vAlign w:val="center"/>
          </w:tcPr>
          <w:p w14:paraId="65C55F0C" w14:textId="08487044"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4</w:t>
            </w:r>
          </w:p>
        </w:tc>
        <w:tc>
          <w:tcPr>
            <w:tcW w:w="2267" w:type="dxa"/>
            <w:tcBorders>
              <w:top w:val="single" w:sz="4" w:space="0" w:color="auto"/>
              <w:left w:val="nil"/>
              <w:bottom w:val="single" w:sz="4" w:space="0" w:color="auto"/>
              <w:right w:val="single" w:sz="4" w:space="0" w:color="auto"/>
            </w:tcBorders>
            <w:vAlign w:val="center"/>
          </w:tcPr>
          <w:p w14:paraId="5E07851E"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(3)</w:t>
            </w:r>
          </w:p>
          <w:p w14:paraId="618AB460"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(12)</w:t>
            </w:r>
          </w:p>
          <w:p w14:paraId="2136B6F8" w14:textId="77777777" w:rsidR="008723A2" w:rsidRPr="003E2940" w:rsidRDefault="008723A2" w:rsidP="008723A2">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Malaria (4)</w:t>
            </w:r>
          </w:p>
          <w:p w14:paraId="5FDC41A0" w14:textId="4B1617BE"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Enteric fever (4)</w:t>
            </w:r>
          </w:p>
        </w:tc>
        <w:tc>
          <w:tcPr>
            <w:tcW w:w="1843" w:type="dxa"/>
            <w:tcBorders>
              <w:top w:val="single" w:sz="4" w:space="0" w:color="auto"/>
              <w:left w:val="single" w:sz="4" w:space="0" w:color="auto"/>
              <w:bottom w:val="single" w:sz="4" w:space="0" w:color="auto"/>
              <w:right w:val="single" w:sz="4" w:space="0" w:color="auto"/>
            </w:tcBorders>
            <w:vAlign w:val="center"/>
          </w:tcPr>
          <w:p w14:paraId="1FCE710B" w14:textId="2999B116" w:rsidR="008723A2" w:rsidRPr="003E2940" w:rsidRDefault="008723A2" w:rsidP="008723A2">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4</w:t>
            </w:r>
          </w:p>
        </w:tc>
      </w:tr>
      <w:tr w:rsidR="005B72D8" w:rsidRPr="003E2940" w14:paraId="28D9205A" w14:textId="77777777" w:rsidTr="00E43DB0">
        <w:trPr>
          <w:trHeight w:val="430"/>
        </w:trPr>
        <w:tc>
          <w:tcPr>
            <w:tcW w:w="9776" w:type="dxa"/>
            <w:gridSpan w:val="5"/>
            <w:tcBorders>
              <w:top w:val="single" w:sz="4" w:space="0" w:color="auto"/>
              <w:left w:val="single" w:sz="4" w:space="0" w:color="auto"/>
              <w:bottom w:val="single" w:sz="4" w:space="0" w:color="auto"/>
              <w:right w:val="single" w:sz="4" w:space="0" w:color="auto"/>
            </w:tcBorders>
            <w:vAlign w:val="center"/>
          </w:tcPr>
          <w:p w14:paraId="6A5A64C7" w14:textId="688AFED7" w:rsidR="005B72D8" w:rsidRPr="003E2940" w:rsidRDefault="005B72D8"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Case Reports</w:t>
            </w:r>
          </w:p>
        </w:tc>
      </w:tr>
      <w:tr w:rsidR="0061703E" w:rsidRPr="003E2940" w14:paraId="34EF26D4" w14:textId="77777777" w:rsidTr="00E43DB0">
        <w:trPr>
          <w:trHeight w:val="465"/>
        </w:trPr>
        <w:tc>
          <w:tcPr>
            <w:tcW w:w="1838" w:type="dxa"/>
            <w:tcBorders>
              <w:top w:val="single" w:sz="4" w:space="0" w:color="auto"/>
              <w:left w:val="single" w:sz="4" w:space="0" w:color="auto"/>
              <w:bottom w:val="single" w:sz="4" w:space="0" w:color="auto"/>
              <w:right w:val="single" w:sz="4" w:space="0" w:color="auto"/>
            </w:tcBorders>
            <w:vAlign w:val="center"/>
          </w:tcPr>
          <w:p w14:paraId="1002A97F" w14:textId="6A116708"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Dev N.,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{"citationID":"iGCd9yaK","properties":{"formattedCitation":"(47)","plainCitation":"(47)","noteIndex":0},"citationItems":[{"id":146,"uris":["http://zotero.org/users/14157373/items/K2JU4TFK"],"itemData":{"id":146,"type":"article-journal","abstract":"Guillain-Barré syndrome (GBS) is a potentially life-threatening immune-mediated acute inflammatory polyneuropathy associated with several antecedent infections. We report a 20-year-old man with GBS associated with concurrent leptospirosis and scrub typhus infection. GBS was confirmed with clinical examination and nerve conduction studies. There have been case reports of GBS in association with Leptospira and Orienta tsusugamushi separately. However, this may be the first case report of GBS associated with concurrent diseases.","container-title":"Tropical Doctor","DOI":"10.1177/0049475519836038","ISSN":"1758-1133","issue":"3","journalAbbreviation":"Trop Doct","language":"eng","note":"PMID: 30895887","page":"248-249","source":"PubMed","title":"Guillain-Barre syndrome: a rare complication of leptospirosis and scrub typhus co-infection","title-short":"Guillain-Barre syndrome","volume":"49","author":[{"family":"Dev","given":"Nishant"},{"family":"Kumar","given":"Rahul"},{"family":"Kumar","given":"Dilip"}],"issued":{"date-parts":[["2019",7]]}}}],"schema":"https://github.com/citation-style-language/schema/raw/master/csl-citation.json"}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(44)</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single" w:sz="4" w:space="0" w:color="auto"/>
              <w:left w:val="nil"/>
              <w:bottom w:val="single" w:sz="4" w:space="0" w:color="auto"/>
              <w:right w:val="single" w:sz="4" w:space="0" w:color="auto"/>
            </w:tcBorders>
          </w:tcPr>
          <w:p w14:paraId="38AA853C"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12D2F39" w14:textId="00C614C9"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4D797F7D" w14:textId="4A180928"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tcPr>
          <w:p w14:paraId="17242ED5"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491CB9D3" w14:textId="62256483"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(1)</w:t>
            </w:r>
          </w:p>
        </w:tc>
        <w:tc>
          <w:tcPr>
            <w:tcW w:w="1843" w:type="dxa"/>
            <w:tcBorders>
              <w:top w:val="single" w:sz="4" w:space="0" w:color="auto"/>
              <w:left w:val="single" w:sz="4" w:space="0" w:color="auto"/>
              <w:bottom w:val="single" w:sz="4" w:space="0" w:color="auto"/>
              <w:right w:val="single" w:sz="4" w:space="0" w:color="auto"/>
            </w:tcBorders>
            <w:vAlign w:val="center"/>
          </w:tcPr>
          <w:p w14:paraId="6E119E34" w14:textId="4F8DEC33"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6AF1B9C4" w14:textId="77777777" w:rsidTr="00E43DB0">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02A9E8EE" w14:textId="4F001100"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Singh R,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{"citationID":"pOH6ZfDM","properties":{"formattedCitation":"(22)","plainCitation":"(22)","noteIndex":0},"citationItems":[{"id":125,"uris":["http://zotero.org/users/14157373/items/ET2LHEFW"],"itemData":{"id":125,"type":"article-journal","abstract":"Co-infection in immunocompetent patients is rare. Though co-infection with dengue and leptospira cases is increasingly reported, a co-infection of this combination along with hepatitis E is rarely thought of. Until date only two case of triple co-infection have been reported world-wide. Here, we are reporting a patient with co-infection of dengue, leptospirosis and hepatitis E admitted to our intensive care unit. Early septic shock and increasing procalcitonin in dengue patient raised suspicion of co-infection. Our aim is to educate intensivists about this rare co-infection and hence that timely initiation of appropriate diagnostic, therapeutic and supportive measures can alter outcome favorably.","container-title":"Annals of Medical and Health Sciences Research","DOI":"10.4103/2141-9248.131707","ISSN":"2141-9248","issue":"Suppl 1","journalAbbreviation":"Ann Med Health Sci Res","language":"eng","note":"PMID: 25031903\nPMCID: PMC4083711","page":"S32-34","source":"PubMed","title":"Comparison between Three Rare Cases of Co-Infection with Dengue, Leptospira and Hepatitis E: Is Early Endothelial Involvement the Culprit in Mortality?","title-short":"Comparison between Three Rare Cases of Co-Infection with Dengue, Leptospira and Hepatitis E","volume":"4","author":[{"family":"Singh","given":"Rk"},{"family":"Ghatak","given":"T."},{"family":"Saigal","given":"S."},{"family":"Baronia","given":"Ak"}],"issued":{"date-parts":[["2014",3]]}}}],"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(45)</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5099045E"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19495C0C"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w:t>
            </w:r>
          </w:p>
          <w:p w14:paraId="2E5D004B"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Hepatitis E Virus</w:t>
            </w:r>
          </w:p>
          <w:p w14:paraId="4B59A81C" w14:textId="40E0FF1C"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Malaria, Enteric fever, HIV, Hepatitis A, B, C Virus</w:t>
            </w:r>
          </w:p>
        </w:tc>
        <w:tc>
          <w:tcPr>
            <w:tcW w:w="1560" w:type="dxa"/>
            <w:tcBorders>
              <w:top w:val="single" w:sz="4" w:space="0" w:color="auto"/>
              <w:left w:val="nil"/>
              <w:bottom w:val="single" w:sz="4" w:space="0" w:color="auto"/>
              <w:right w:val="single" w:sz="4" w:space="0" w:color="auto"/>
            </w:tcBorders>
            <w:vAlign w:val="center"/>
          </w:tcPr>
          <w:p w14:paraId="4993161C" w14:textId="12A7A20D"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2267" w:type="dxa"/>
            <w:tcBorders>
              <w:top w:val="single" w:sz="4" w:space="0" w:color="auto"/>
              <w:left w:val="nil"/>
              <w:bottom w:val="single" w:sz="4" w:space="0" w:color="auto"/>
              <w:right w:val="single" w:sz="4" w:space="0" w:color="auto"/>
            </w:tcBorders>
            <w:vAlign w:val="center"/>
          </w:tcPr>
          <w:p w14:paraId="44008E23"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(1)</w:t>
            </w:r>
          </w:p>
          <w:p w14:paraId="64599E25"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Dengue (1)</w:t>
            </w:r>
          </w:p>
          <w:p w14:paraId="2AC41C25" w14:textId="194AB93C" w:rsidR="0061703E" w:rsidRPr="003E2940" w:rsidRDefault="0061703E" w:rsidP="00D12FBB">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Hepatitis E Virus (1</w:t>
            </w:r>
            <w:r w:rsidR="00D12FBB" w:rsidRPr="003E2940">
              <w:rPr>
                <w:rFonts w:ascii="Times New Roman" w:hAnsi="Times New Roman" w:cs="Times New Roman"/>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40788777" w14:textId="110DF7F9"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r>
      <w:tr w:rsidR="0061703E" w:rsidRPr="003E2940" w14:paraId="4AEEA4F6"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4668A75F" w14:textId="57EC091F"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Mehta V, 2019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{"citationID":"QRxdGRK0","properties":{"formattedCitation":"(49)","plainCitation":"(49)","noteIndex":0},"citationItems":[{"id":128,"uris":["http://zotero.org/users/14157373/items/YXIYBDCT"],"itemData":{"id":128,"type":"article-journal","abstract":"Scrub typhus and leptospirosis are zoonosis and systemic febrile illnesses with diverse, nonspecific clinical manifestations, and shared risk factors for coinfection. Diagnosis of the coinfection is dependent on laboratory serological tests, which are under used. A coinfection from Uttarakhand Himalayan region is not yet reported. A 25-year-old man from altitude of 2126 feet above sea level presented with fever, myalgia, jaundice, oliguria, mental confusion, and tender hepatomegaly. Investigations revealed leukocytosis, thrombocytopenia, impaired liver function tests, renal dysfunction with neurological involvement. Leptospira immunoglobulin IgM enzyme linked immunosorbent assay (ELISA) and scrub typhus immunochromatography test were positive. This coinfection is first to be documented in this holy Indian Himalayas. Clinical suspicion, early laboratory diagnosis, and early treatment could prevent complications and fatal outcomes. Coinfection of this type may be considered when there is persistence of fever and a treatment response to doxycycline.","container-title":"Journal of Family Medicine and Primary Care","DOI":"10.4103/jfmpc.jfmpc_614_19","ISSN":"2249-4863","issue":"10","journalAbbreviation":"J Family Med Prim Care","language":"eng","note":"PMID: 31742180\nPMCID: PMC6857365","page":"3416-3418","source":"PubMed","title":"A coinfection of severe leptospirosis and scrub typhus in Indian Himalayas","volume":"8","author":[{"family":"Mehta","given":"Vibha"},{"family":"Bhasi","given":"Ankith"},{"family":"Panda","given":"Prasan Kumar"},{"family":"Gupta","given":"Pratima"}],"issued":{"date-parts":[["2019",10]]}}}],"schema":"https://github.com/citation-style-language/schema/raw/master/csl-citation.json"}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1526CBE5"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37E9CEEA" w14:textId="0C68DDAC"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1FB3B3F6" w14:textId="2E0CBBEB"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3991F532"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4C0BACBF" w14:textId="2F785C4D"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(1)</w:t>
            </w:r>
          </w:p>
        </w:tc>
        <w:tc>
          <w:tcPr>
            <w:tcW w:w="1843" w:type="dxa"/>
            <w:tcBorders>
              <w:top w:val="single" w:sz="4" w:space="0" w:color="auto"/>
              <w:left w:val="single" w:sz="4" w:space="0" w:color="auto"/>
              <w:bottom w:val="single" w:sz="4" w:space="0" w:color="auto"/>
              <w:right w:val="single" w:sz="4" w:space="0" w:color="auto"/>
            </w:tcBorders>
            <w:vAlign w:val="center"/>
          </w:tcPr>
          <w:p w14:paraId="76EF070E" w14:textId="3779C758"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4781583A"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0ED24B70" w14:textId="1E2EB286"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Hareshkumar CN,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{"citationID":"oohRoI72","properties":{"formattedCitation":"(50)","plainCitation":"(50)","noteIndex":0},"citationItems":[{"id":499,"uris":["http://zotero.org/users/14157373/items/SXJ4IC6J"],"itemData":{"id":499,"type":"article-journal","abstract":"Weil's syndrome, a severe form of the disease, may present with symptoms such as jaundice, renal dysfunction, and hemorrhagic diathesis and it can progress to multi-organ failure leading to death. In patients with coinfection of tuberculosis with leptospirosis, there may be severe hepatic and renal dysfunction rendering the standard antitubercular therapy (ATT) regimen useless, thus requiring alternate drug selection and dose modification of antitubercular drugs. We present a case of a 57-year-old female who presented with high-grade fever and yellowish discoloration of the eyes. She was diagnosed with Weil's disease and started on treatment. She later developed altered sensorium and lumbar puncture was suggestive of tubercular meningitis. Due to her deranged renal and hepatic function tests, she was started on a modified regimen of ATT with intermittent dialysis. The patient responded to treatment and was shifted to the standard Isoniazid, Rifampicin, Pyrazinamide, Ethambutol (HRZE) regimen once renal and hepatic functions returned to normal.","container-title":"International Journal of Mycobacteriology","DOI":"10.4103/ijmy.ijmy_56_22","ISSN":"2212-554X","issue":"2","journalAbbreviation":"Int J Mycobacteriol","language":"eng","note":"PMID: 35775555","page":"205-207","source":"PubMed","title":"Tubercular meningitis complicated by weil's Syndrome - Management of tuberculosis in a patient with concurrent hepatic and renal dysfunction","volume":"11","author":[{"family":"Hareshkumar","given":"Chaudhary Niraliben"},{"family":"Gopal","given":"Prashant"},{"family":"Diggikar","given":"Pradnya Mukund"}],"issued":{"date-parts":[["2022"]]}}}],"schema":"https://github.com/citation-style-language/schema/raw/master/csl-citation.json"}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(47)</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008392E7"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2A761B0" w14:textId="77777777" w:rsidR="0061703E" w:rsidRPr="003E2940" w:rsidRDefault="0061703E" w:rsidP="0061703E">
            <w:pPr>
              <w:spacing w:after="0" w:line="240" w:lineRule="auto"/>
              <w:jc w:val="center"/>
              <w:rPr>
                <w:rFonts w:ascii="Times New Roman" w:eastAsia="Times New Roman" w:hAnsi="Times New Roman" w:cs="Times New Roman"/>
                <w:i/>
                <w:iCs/>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Mycobacterium tuberculosis</w:t>
            </w:r>
          </w:p>
          <w:p w14:paraId="7A5B787F"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 COVID-19</w:t>
            </w:r>
          </w:p>
          <w:p w14:paraId="222AAA75"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34A4CC79" w14:textId="59DA09F8"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B &amp; C Virus</w:t>
            </w:r>
          </w:p>
        </w:tc>
        <w:tc>
          <w:tcPr>
            <w:tcW w:w="1560" w:type="dxa"/>
            <w:tcBorders>
              <w:top w:val="single" w:sz="4" w:space="0" w:color="auto"/>
              <w:left w:val="nil"/>
              <w:bottom w:val="single" w:sz="4" w:space="0" w:color="auto"/>
              <w:right w:val="single" w:sz="4" w:space="0" w:color="auto"/>
            </w:tcBorders>
            <w:vAlign w:val="center"/>
          </w:tcPr>
          <w:p w14:paraId="31450E0E" w14:textId="1CBD432A"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2267" w:type="dxa"/>
            <w:tcBorders>
              <w:top w:val="single" w:sz="4" w:space="0" w:color="auto"/>
              <w:left w:val="nil"/>
              <w:bottom w:val="single" w:sz="4" w:space="0" w:color="auto"/>
              <w:right w:val="single" w:sz="4" w:space="0" w:color="auto"/>
            </w:tcBorders>
            <w:vAlign w:val="center"/>
          </w:tcPr>
          <w:p w14:paraId="23C67475"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41390F98" w14:textId="297903E2" w:rsidR="0061703E" w:rsidRPr="003E2940" w:rsidRDefault="0061703E"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i/>
                <w:iCs/>
                <w:kern w:val="0"/>
                <w:sz w:val="18"/>
                <w:szCs w:val="18"/>
                <w:lang w:eastAsia="en-IN"/>
                <w14:ligatures w14:val="none"/>
              </w:rPr>
              <w:t xml:space="preserve">Mycobacterium tuberculosis </w:t>
            </w:r>
            <w:r w:rsidRPr="003E2940">
              <w:rPr>
                <w:rFonts w:ascii="Times New Roman" w:eastAsia="Times New Roman" w:hAnsi="Times New Roman" w:cs="Times New Roman"/>
                <w:kern w:val="0"/>
                <w:sz w:val="18"/>
                <w:szCs w:val="18"/>
                <w:lang w:eastAsia="en-IN"/>
                <w14:ligatures w14:val="none"/>
              </w:rPr>
              <w:t>(1)</w:t>
            </w:r>
          </w:p>
        </w:tc>
        <w:tc>
          <w:tcPr>
            <w:tcW w:w="1843" w:type="dxa"/>
            <w:tcBorders>
              <w:top w:val="single" w:sz="4" w:space="0" w:color="auto"/>
              <w:left w:val="single" w:sz="4" w:space="0" w:color="auto"/>
              <w:bottom w:val="single" w:sz="4" w:space="0" w:color="auto"/>
              <w:right w:val="single" w:sz="4" w:space="0" w:color="auto"/>
            </w:tcBorders>
            <w:vAlign w:val="center"/>
          </w:tcPr>
          <w:p w14:paraId="45181242" w14:textId="187E8BB2"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2B24515C"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679D84B6" w14:textId="16937CD9"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Nazeera NN,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{"citationID":"gx2r4G7l","properties":{"formattedCitation":"(51)","plainCitation":"(51)","noteIndex":0},"citationItems":[{"id":501,"uris":["http://zotero.org/users/14157373/items/PKUIJPN7"],"itemData":{"id":501,"type":"article-journal","abstract":"A 34-year-old male, with no history of known previous disease, employed at a ginger farm in South India, presented with a four-day history of high-grade fever and headache. Initially, he received symptomatic treatment but was referred due to ...","container-title":"Cureus","DOI":"10.7759/cureus.60732","issue":"5","language":"en","note":"PMID: 38903293","page":"e60732","source":"pmc.ncbi.nlm.nih.gov","title":"Double Blow in the Tropics: A Case of Concurrent Leptospirosis and Scrub Typhus","title-short":"Double Blow in the Tropics","volume":"16","author":[{"family":"Nazeera","given":"Nahas N."},{"family":"M","given":"Sreelakshmi"},{"family":"Mathew","given":"Abin"},{"family":"Basheer","given":"Aneesh"}],"issued":{"date-parts":[["2024",5,21]]}}}],"schema":"https://github.com/citation-style-language/schema/raw/master/csl-citation.json"}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(48)</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single" w:sz="4" w:space="0" w:color="auto"/>
              <w:left w:val="nil"/>
              <w:bottom w:val="single" w:sz="4" w:space="0" w:color="auto"/>
              <w:right w:val="single" w:sz="4" w:space="0" w:color="auto"/>
            </w:tcBorders>
            <w:vAlign w:val="center"/>
          </w:tcPr>
          <w:p w14:paraId="33295C83"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4CED299"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1D721C96"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20F9154F" w14:textId="3DBF7AA3"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0EB32D5A" w14:textId="75D09860"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2267" w:type="dxa"/>
            <w:tcBorders>
              <w:top w:val="single" w:sz="4" w:space="0" w:color="auto"/>
              <w:left w:val="nil"/>
              <w:bottom w:val="single" w:sz="4" w:space="0" w:color="auto"/>
              <w:right w:val="single" w:sz="4" w:space="0" w:color="auto"/>
            </w:tcBorders>
            <w:vAlign w:val="center"/>
          </w:tcPr>
          <w:p w14:paraId="5E72A0EC"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0ADF8B46" w14:textId="6894BCB2"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(1)</w:t>
            </w:r>
          </w:p>
        </w:tc>
        <w:tc>
          <w:tcPr>
            <w:tcW w:w="1843" w:type="dxa"/>
            <w:tcBorders>
              <w:top w:val="single" w:sz="4" w:space="0" w:color="auto"/>
              <w:left w:val="single" w:sz="4" w:space="0" w:color="auto"/>
              <w:bottom w:val="single" w:sz="4" w:space="0" w:color="auto"/>
              <w:right w:val="single" w:sz="4" w:space="0" w:color="auto"/>
            </w:tcBorders>
            <w:vAlign w:val="center"/>
          </w:tcPr>
          <w:p w14:paraId="3CEEAB09" w14:textId="2D17E503"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41604B26"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653193DB" w14:textId="1A86A47E"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Negi, A., 2018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{"citationID":"rrJyRVWJ","properties":{"formattedCitation":"(52)","plainCitation":"(52)","noteIndex":0},"citationItems":[{"id":504,"uris":["http://zotero.org/users/14157373/items/J9RDMR4V"],"itemData":{"id":504,"type":"article-journal","abstract":"Semantic Scholar extracted view of \"Coinfection by Salmonella and Leptospira Presenting as Subacute Intestinal Obstruction with Colitis: A Diagnostic Dilemma\" by A. Negi et al.","container-title":"JOURNAL OF CLINICAL AND DIAGNOSTIC RESEARCH","DOI":"10.7860/JCDR/2018/32611.11272","ISSN":"2249782X","journalAbbreviation":"JCDR","source":"Semantic Scholar","title":"Coinfection by Salmonella and Leptospira Presenting as Subacute Intestinal Obstruction with Colitis: A Diagnostic Dilemma","title-short":"Coinfection by Salmonella and Leptospira Presenting as Subacute Intestinal Obstruction with Colitis","URL":"http://jcdr.net/article_fulltext.asp?issn=0973-709x&amp;year=2018&amp;volume=12&amp;issue=3&amp;page=DD01&amp;issn=0973-709x&amp;id=11272","author":[{"family":"Negi","given":"Arti"},{"family":"Tejan","given":"Nidhi"},{"family":"Sahu","given":"Chinmoy"},{"family":"Dhole","given":"Tapankumar Nirodchand"}],"accessed":{"date-parts":[["2024",11,13]]},"issued":{"date-parts":[["2018"]]}}}],"schema":"https://github.com/citation-style-language/schema/raw/master/csl-citation.json"}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3A61395C"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3EE2521E"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A Virus</w:t>
            </w:r>
          </w:p>
          <w:p w14:paraId="0B751E9F"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E Virus</w:t>
            </w:r>
          </w:p>
          <w:p w14:paraId="27246572"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w:t>
            </w:r>
          </w:p>
          <w:p w14:paraId="3A021F10" w14:textId="3A549C48"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Enteric fever </w:t>
            </w:r>
          </w:p>
        </w:tc>
        <w:tc>
          <w:tcPr>
            <w:tcW w:w="1560" w:type="dxa"/>
            <w:tcBorders>
              <w:top w:val="single" w:sz="4" w:space="0" w:color="auto"/>
              <w:left w:val="nil"/>
              <w:bottom w:val="single" w:sz="4" w:space="0" w:color="auto"/>
              <w:right w:val="single" w:sz="4" w:space="0" w:color="auto"/>
            </w:tcBorders>
            <w:vAlign w:val="center"/>
          </w:tcPr>
          <w:p w14:paraId="7E6E6EDE" w14:textId="5AFC5623"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2267" w:type="dxa"/>
            <w:tcBorders>
              <w:top w:val="single" w:sz="4" w:space="0" w:color="auto"/>
              <w:left w:val="nil"/>
              <w:bottom w:val="single" w:sz="4" w:space="0" w:color="auto"/>
              <w:right w:val="single" w:sz="4" w:space="0" w:color="auto"/>
            </w:tcBorders>
            <w:vAlign w:val="center"/>
          </w:tcPr>
          <w:p w14:paraId="1D8170B5"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6DA0347B" w14:textId="32C4B668"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 (1)</w:t>
            </w:r>
          </w:p>
        </w:tc>
        <w:tc>
          <w:tcPr>
            <w:tcW w:w="1843" w:type="dxa"/>
            <w:tcBorders>
              <w:top w:val="single" w:sz="4" w:space="0" w:color="auto"/>
              <w:left w:val="single" w:sz="4" w:space="0" w:color="auto"/>
              <w:bottom w:val="single" w:sz="4" w:space="0" w:color="auto"/>
              <w:right w:val="single" w:sz="4" w:space="0" w:color="auto"/>
            </w:tcBorders>
            <w:vAlign w:val="center"/>
          </w:tcPr>
          <w:p w14:paraId="360A3A03" w14:textId="3F9694D0"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2F440D82"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22F6A153" w14:textId="401A127B"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Diwan, A.G.,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{"citationID":"9MhmlHg9","properties":{"formattedCitation":"(53)","plainCitation":"(53)","noteIndex":0},"citationItems":[{"id":159,"uris":["http://zotero.org/users/14157373/items/G9A9594I"],"itemData":{"id":159,"type":"article-journal","abstract":"Macrophage activation syndrome is a potentially life threatening phenomenon characterised by aggressive proliferation of macrophages and T lymphocytes leading to haemophagocytosis of other blood cells and multi organ failure. Here we present a very unusual combination of leptospirosis and scrub typhus infection leading to macrophage activation syndrome. Scrub typhus associated with macrophage activation syndrome has rarely been reported in India. A 40 year old female presented with high grade fever, seizures, bodyache, arthralgia and severe breathlessness. Investigations revealed persistent thrombocytopenia, impaired liver function tests, renal dysfunction, leptospiral IgM ELISA positive and a positive Weil Felix test. There was evidence of haemophagocytosis in bone marrow. Macrophage activation syndrome if left untreated has been associated with rapidly fatal outcome and early treatment can help us save that one precious thing..called life..!","container-title":"The Journal of the Association of Physicians of India","journalAbbreviation":"The Journal of the Association of Physicians of India","page":"58-61","source":"ResearchGate","title":"Triple trouble - Macrophage activation syndrome in a case of severe leptospirosis and scrub typhus co-infection","volume":"62","author":[{"family":"Diwan","given":"Arundhati"},{"family":"Shewale","given":"Rahul"},{"family":"Iyer","given":"Shivakumar"},{"family":"Nisal","given":"Amit"},{"family":"Agrawa","given":"Prakhar"}],"issued":{"date-parts":[["2014",10,20]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4343D9A4"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Leptospirosis </w:t>
            </w:r>
          </w:p>
          <w:p w14:paraId="1D014411"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49D11B2"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28BCCB7B"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Scrub typhus </w:t>
            </w:r>
          </w:p>
          <w:p w14:paraId="6DD70426"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w:t>
            </w:r>
          </w:p>
          <w:p w14:paraId="6A97B502" w14:textId="6CC7172B"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 HAV, HEV</w:t>
            </w:r>
          </w:p>
        </w:tc>
        <w:tc>
          <w:tcPr>
            <w:tcW w:w="1560" w:type="dxa"/>
            <w:tcBorders>
              <w:top w:val="single" w:sz="4" w:space="0" w:color="auto"/>
              <w:left w:val="nil"/>
              <w:bottom w:val="single" w:sz="4" w:space="0" w:color="auto"/>
              <w:right w:val="single" w:sz="4" w:space="0" w:color="auto"/>
            </w:tcBorders>
            <w:vAlign w:val="center"/>
          </w:tcPr>
          <w:p w14:paraId="5907EEFB" w14:textId="2CD0C615"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c>
          <w:tcPr>
            <w:tcW w:w="2267" w:type="dxa"/>
            <w:tcBorders>
              <w:top w:val="single" w:sz="4" w:space="0" w:color="auto"/>
              <w:left w:val="nil"/>
              <w:bottom w:val="single" w:sz="4" w:space="0" w:color="auto"/>
              <w:right w:val="single" w:sz="4" w:space="0" w:color="auto"/>
            </w:tcBorders>
            <w:vAlign w:val="center"/>
          </w:tcPr>
          <w:p w14:paraId="604BD809"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20680A8C" w14:textId="37EFE2ED" w:rsidR="0061703E" w:rsidRPr="003E2940" w:rsidRDefault="0061703E"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(1)</w:t>
            </w:r>
          </w:p>
        </w:tc>
        <w:tc>
          <w:tcPr>
            <w:tcW w:w="1843" w:type="dxa"/>
            <w:tcBorders>
              <w:top w:val="single" w:sz="4" w:space="0" w:color="auto"/>
              <w:left w:val="single" w:sz="4" w:space="0" w:color="auto"/>
              <w:bottom w:val="single" w:sz="4" w:space="0" w:color="auto"/>
              <w:right w:val="single" w:sz="4" w:space="0" w:color="auto"/>
            </w:tcBorders>
            <w:vAlign w:val="center"/>
          </w:tcPr>
          <w:p w14:paraId="52695DE5" w14:textId="42580CCA"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426FE631"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78D24540" w14:textId="38E644FB"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Singh MP,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{"citationID":"63DAuqTq","properties":{"formattedCitation":"(42)","plainCitation":"(42)","noteIndex":0},"citationItems":[{"id":469,"uris":["http://zotero.org/users/14157373/items/BJ3JJNS2"],"itemData":{"id":469,"type":"article-journal","abstract":"India is endemic for both Leptospira and hepatitis E virus (HEV). The clinical presentations of these diseases have overlapping features. We report a case of superinfection of HEV in a patient with resolving leptospirosis with underlying Hodgkin lymphoma. The diagnosis of HEV in our case was established by HEV-RNA PCR as our patient was immunosuppressed. The present study highlights the need for molecular diagnosis in the case of HEV infection with strong clinical suspicion and negative serological results.","container-title":"Indian Journal of Medical Microbiology","DOI":"10.4103/0255-0857.93067","ISSN":"0255-0857","issue":"1","journalAbbreviation":"Indian Journal of Medical Microbiology","page":"103-106","source":"ScienceDirect","title":"Prolonged jaundice attributed to super infection of hepatitis E virus in a case of resolving leptospirosis","volume":"30","author":[{"family":"Singh","given":"MP"},{"family":"Majumdar","given":"M"},{"family":"Sharma","given":"A"},{"family":"Chawla","given":"Y"},{"family":"Ratho","given":"RK"}],"issued":{"date-parts":[["2012",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(39)</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single" w:sz="4" w:space="0" w:color="auto"/>
              <w:left w:val="nil"/>
              <w:bottom w:val="single" w:sz="4" w:space="0" w:color="auto"/>
              <w:right w:val="single" w:sz="4" w:space="0" w:color="auto"/>
            </w:tcBorders>
            <w:vAlign w:val="center"/>
          </w:tcPr>
          <w:p w14:paraId="74F12553"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w:t>
            </w:r>
          </w:p>
          <w:p w14:paraId="6231E0AE"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Dengue </w:t>
            </w:r>
          </w:p>
          <w:p w14:paraId="2E85530C"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Hepatitis A, B, C, E Virus</w:t>
            </w:r>
          </w:p>
          <w:p w14:paraId="4BCFB30C"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Epstein-Barr Virus</w:t>
            </w:r>
          </w:p>
          <w:p w14:paraId="7A14BC55"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CMV</w:t>
            </w:r>
          </w:p>
          <w:p w14:paraId="35B797BF" w14:textId="0889F514"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hAnsi="Times New Roman" w:cs="Times New Roman"/>
                <w:sz w:val="18"/>
                <w:szCs w:val="18"/>
              </w:rPr>
              <w:t xml:space="preserve">HSV </w:t>
            </w:r>
          </w:p>
        </w:tc>
        <w:tc>
          <w:tcPr>
            <w:tcW w:w="1560" w:type="dxa"/>
            <w:tcBorders>
              <w:top w:val="single" w:sz="4" w:space="0" w:color="auto"/>
              <w:left w:val="nil"/>
              <w:bottom w:val="single" w:sz="4" w:space="0" w:color="auto"/>
              <w:right w:val="single" w:sz="4" w:space="0" w:color="auto"/>
            </w:tcBorders>
            <w:vAlign w:val="center"/>
          </w:tcPr>
          <w:p w14:paraId="5F4538A7" w14:textId="2F8BBED5"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2267" w:type="dxa"/>
            <w:tcBorders>
              <w:top w:val="single" w:sz="4" w:space="0" w:color="auto"/>
              <w:left w:val="nil"/>
              <w:bottom w:val="single" w:sz="4" w:space="0" w:color="auto"/>
              <w:right w:val="single" w:sz="4" w:space="0" w:color="auto"/>
            </w:tcBorders>
            <w:vAlign w:val="center"/>
          </w:tcPr>
          <w:p w14:paraId="1F24BE8F" w14:textId="77777777" w:rsidR="0061703E" w:rsidRPr="003E2940" w:rsidRDefault="0061703E" w:rsidP="0061703E">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Leptospirosis (1)</w:t>
            </w:r>
          </w:p>
          <w:p w14:paraId="7D9B3655" w14:textId="73BFC4FD" w:rsidR="0061703E" w:rsidRPr="003E2940" w:rsidRDefault="00D12FBB" w:rsidP="00D12FBB">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 xml:space="preserve">Hepatitis </w:t>
            </w:r>
            <w:r w:rsidR="0061703E" w:rsidRPr="003E2940">
              <w:rPr>
                <w:rFonts w:ascii="Times New Roman" w:hAnsi="Times New Roman" w:cs="Times New Roman"/>
                <w:sz w:val="18"/>
                <w:szCs w:val="18"/>
              </w:rPr>
              <w:t>E (1) Virus</w:t>
            </w:r>
          </w:p>
        </w:tc>
        <w:tc>
          <w:tcPr>
            <w:tcW w:w="1843" w:type="dxa"/>
            <w:tcBorders>
              <w:top w:val="single" w:sz="4" w:space="0" w:color="auto"/>
              <w:left w:val="single" w:sz="4" w:space="0" w:color="auto"/>
              <w:bottom w:val="single" w:sz="4" w:space="0" w:color="auto"/>
              <w:right w:val="single" w:sz="4" w:space="0" w:color="auto"/>
            </w:tcBorders>
            <w:vAlign w:val="center"/>
          </w:tcPr>
          <w:p w14:paraId="468048A6" w14:textId="0EED869D"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461F9471"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1DFEF638" w14:textId="04B5D83F"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{"citationID":"E1PYYsLk","properties":{"formattedCitation":"(36)","plainCitation":"(36)","dontUpdate":true,"noteIndex":0},"citationItems":[{"id":471,"uris":["http://zotero.org/users/14157373/items/4B33U6DD"],"itemData":{"id":471,"type":"article-journal","abstract":"Dengue and leptospirosis are frequently discussed separately, with dengue causing rash and leptospirosis causing jaundice. Currently, there are more and more reports of coinfections. The comparable clinical symptoms of both infections make it ...","container-title":"Cureus","DOI":"10.7759/cureus.52466","issue":"1","language":"en","note":"PMID: 38371008","page":"e52466","source":"pmc.ncbi.nlm.nih.gov","title":"Leptospirosis and Dengue Coinfection-Associated Multi-Organ Dysfunction Syndrome: A Case Report","title-short":"Leptospirosis and Dengue Coinfection-Associated Multi-Organ Dysfunction Syndrome","volume":"16","author":[{"family":"Shiddapur","given":"Govind"},{"family":"Reddy","given":"Vutukuru Kalyan Kumar"},{"family":"Kondapalli","given":"Mohith Prakash"},{"family":"Adapa","given":"Saimounika"},{"family":"Agarwal","given":"Sonali"}],"issued":{"date-parts":[["2024",1,17]]}}}],"schema":"https://github.com/citation-style-language/schema/raw/master/csl-citation.json"}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4F35AE7F"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9740E29"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450146F"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1F2CC27D"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p w14:paraId="132DF8EC"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Rickettsia</w:t>
            </w:r>
          </w:p>
          <w:p w14:paraId="593887F3" w14:textId="65B34275"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1560" w:type="dxa"/>
            <w:tcBorders>
              <w:top w:val="single" w:sz="4" w:space="0" w:color="auto"/>
              <w:left w:val="nil"/>
              <w:bottom w:val="single" w:sz="4" w:space="0" w:color="auto"/>
              <w:right w:val="single" w:sz="4" w:space="0" w:color="auto"/>
            </w:tcBorders>
            <w:vAlign w:val="center"/>
          </w:tcPr>
          <w:p w14:paraId="68C46BA9" w14:textId="290982B5"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2267" w:type="dxa"/>
            <w:tcBorders>
              <w:top w:val="single" w:sz="4" w:space="0" w:color="auto"/>
              <w:left w:val="nil"/>
              <w:bottom w:val="single" w:sz="4" w:space="0" w:color="auto"/>
              <w:right w:val="single" w:sz="4" w:space="0" w:color="auto"/>
            </w:tcBorders>
            <w:vAlign w:val="center"/>
          </w:tcPr>
          <w:p w14:paraId="6CE82B6C"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5263324C" w14:textId="1DADFCAC" w:rsidR="0061703E" w:rsidRPr="003E2940" w:rsidRDefault="0061703E"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(1</w:t>
            </w:r>
          </w:p>
        </w:tc>
        <w:tc>
          <w:tcPr>
            <w:tcW w:w="1843" w:type="dxa"/>
            <w:tcBorders>
              <w:top w:val="single" w:sz="4" w:space="0" w:color="auto"/>
              <w:left w:val="single" w:sz="4" w:space="0" w:color="auto"/>
              <w:bottom w:val="single" w:sz="4" w:space="0" w:color="auto"/>
              <w:right w:val="single" w:sz="4" w:space="0" w:color="auto"/>
            </w:tcBorders>
            <w:vAlign w:val="center"/>
          </w:tcPr>
          <w:p w14:paraId="428D69C5" w14:textId="052E98A0"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19070C63"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13994947" w14:textId="703DEC7E"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Singh A,2021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{"citationID":"i4TuqmKa","properties":{"formattedCitation":"(37)","plainCitation":"(37)","dontUpdate":true,"noteIndex":0},"citationItems":[{"id":482,"uris":["http://zotero.org/users/14157373/items/UPMX7P6P"],"itemData":{"id":482,"type":"article-journal","abstract":"(2021) Singh et al. Journal of Pharmaceutical Research International. Leptospirosis in pregnancy is often underdiagnosed and not commonly reported due to its unusual appearance and rarity. It looks...","container-title":"Journal of Pharmaceutical Research International","DOI":"10.9734/jpri/2021/v33i43b32567","ISSN":"undefined","language":"en-GB","page":"379-383","source":"www.mendeley.com","title":"Leptospirosis in COVID-19 Positive Pregnancy: A Rare Case Report Mimicking Hellp Syndrome","title-short":"Leptospirosis in COVID-19 Positive Pregnancy","author":[{"family":"Singh","given":"Aarshika"},{"family":"Tayade","given":"Surekha"},{"family":"Thadiboina","given":"Ooha"},{"family":"Srinidhi","given":"Cherukuri"}],"issued":{"date-parts":[["2021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(41)</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12A69909"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1C499A1B"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p w14:paraId="4EA9BB40"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60815DFD"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DFFA7A6"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33CF64FF"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A, B, C, E Virus</w:t>
            </w:r>
          </w:p>
          <w:p w14:paraId="7A9CF285" w14:textId="36624E5F"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CMV, EBV, HIV</w:t>
            </w:r>
          </w:p>
        </w:tc>
        <w:tc>
          <w:tcPr>
            <w:tcW w:w="1560" w:type="dxa"/>
            <w:tcBorders>
              <w:top w:val="single" w:sz="4" w:space="0" w:color="auto"/>
              <w:left w:val="nil"/>
              <w:bottom w:val="single" w:sz="4" w:space="0" w:color="auto"/>
              <w:right w:val="single" w:sz="4" w:space="0" w:color="auto"/>
            </w:tcBorders>
            <w:vAlign w:val="center"/>
          </w:tcPr>
          <w:p w14:paraId="7210CE53" w14:textId="74657424"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12</w:t>
            </w:r>
          </w:p>
        </w:tc>
        <w:tc>
          <w:tcPr>
            <w:tcW w:w="2267" w:type="dxa"/>
            <w:tcBorders>
              <w:top w:val="single" w:sz="4" w:space="0" w:color="auto"/>
              <w:left w:val="nil"/>
              <w:bottom w:val="single" w:sz="4" w:space="0" w:color="auto"/>
              <w:right w:val="single" w:sz="4" w:space="0" w:color="auto"/>
            </w:tcBorders>
            <w:vAlign w:val="center"/>
          </w:tcPr>
          <w:p w14:paraId="73257CEA"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09C849A8" w14:textId="5FB885DA" w:rsidR="0061703E" w:rsidRPr="003E2940" w:rsidRDefault="0061703E"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 (1</w:t>
            </w:r>
          </w:p>
        </w:tc>
        <w:tc>
          <w:tcPr>
            <w:tcW w:w="1843" w:type="dxa"/>
            <w:tcBorders>
              <w:top w:val="single" w:sz="4" w:space="0" w:color="auto"/>
              <w:left w:val="single" w:sz="4" w:space="0" w:color="auto"/>
              <w:bottom w:val="single" w:sz="4" w:space="0" w:color="auto"/>
              <w:right w:val="single" w:sz="4" w:space="0" w:color="auto"/>
            </w:tcBorders>
            <w:vAlign w:val="center"/>
          </w:tcPr>
          <w:p w14:paraId="63BE5D1D" w14:textId="64131E25"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61703E" w:rsidRPr="003E2940" w14:paraId="529C82DC"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246E0978" w14:textId="45879773" w:rsidR="0061703E" w:rsidRPr="003E2940" w:rsidRDefault="0061703E" w:rsidP="0061703E">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Saboo K,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{"citationID":"FIbq1LMS","properties":{"formattedCitation":"(42)","plainCitation":"(42)","noteIndex":0},"citationItems":[{"id":489,"uris":["http://zotero.org/users/14157373/items/4IP83CF4"],"itemData":{"id":489,"type":"article-journal","abstract":"Malaria is referred to as a \"rainy season disease\" and is brought on by Plasmodium species. Leptospira interrogans, a spirochete, cause zoonosis leptospirosis. It is pretty uncommon for both diseases to coinfect one another. Before assuming a fever ...","container-title":"Cureus","DOI":"10.7759/cureus.43879","issue":"8","language":"en","note":"PMID: 37746455","page":"e43879","source":"pmc.ncbi.nlm.nih.gov","title":"Falciparum Malaria, Leptospirosis, and Vibrio mimicus Encephalitis in a Resilient Patient: A Remarkable Case of Triple Infection Survival","title-short":"Falciparum Malaria, Leptospirosis, and Vibrio mimicus Encephalitis in a Resilient Patient","volume":"15","author":[{"family":"Saboo","given":"Keyur"},{"family":"Gemnani","given":"Rinkle"},{"family":"Kumar","given":"Sunil"},{"family":"Acharya","given":"Sourya"},{"family":"Mishra","given":"Preeti"}],"issued":{"date-parts":[["2023",8,21]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7DC9EBF8"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466E7717"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16DB79B6"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Meningitis </w:t>
            </w:r>
          </w:p>
          <w:p w14:paraId="2C6E00F5" w14:textId="7CD8F21C"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HIV</w:t>
            </w:r>
          </w:p>
        </w:tc>
        <w:tc>
          <w:tcPr>
            <w:tcW w:w="1560" w:type="dxa"/>
            <w:tcBorders>
              <w:top w:val="single" w:sz="4" w:space="0" w:color="auto"/>
              <w:left w:val="nil"/>
              <w:bottom w:val="single" w:sz="4" w:space="0" w:color="auto"/>
              <w:right w:val="single" w:sz="4" w:space="0" w:color="auto"/>
            </w:tcBorders>
            <w:vAlign w:val="center"/>
          </w:tcPr>
          <w:p w14:paraId="132791F8" w14:textId="29CD28D0"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2267" w:type="dxa"/>
            <w:tcBorders>
              <w:top w:val="single" w:sz="4" w:space="0" w:color="auto"/>
              <w:left w:val="nil"/>
              <w:bottom w:val="single" w:sz="4" w:space="0" w:color="auto"/>
              <w:right w:val="single" w:sz="4" w:space="0" w:color="auto"/>
            </w:tcBorders>
            <w:vAlign w:val="center"/>
          </w:tcPr>
          <w:p w14:paraId="3EA38B27"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231E3DF9" w14:textId="77777777" w:rsidR="0061703E" w:rsidRPr="003E2940" w:rsidRDefault="0061703E" w:rsidP="0061703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(1)</w:t>
            </w:r>
          </w:p>
          <w:p w14:paraId="70179E33" w14:textId="49E9AAD3" w:rsidR="0061703E" w:rsidRPr="003E2940" w:rsidRDefault="0061703E"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Meningitis (1) </w:t>
            </w:r>
          </w:p>
        </w:tc>
        <w:tc>
          <w:tcPr>
            <w:tcW w:w="1843" w:type="dxa"/>
            <w:tcBorders>
              <w:top w:val="single" w:sz="4" w:space="0" w:color="auto"/>
              <w:left w:val="single" w:sz="4" w:space="0" w:color="auto"/>
              <w:bottom w:val="single" w:sz="4" w:space="0" w:color="auto"/>
              <w:right w:val="single" w:sz="4" w:space="0" w:color="auto"/>
            </w:tcBorders>
            <w:vAlign w:val="center"/>
          </w:tcPr>
          <w:p w14:paraId="551CF2D4" w14:textId="5345F3B8" w:rsidR="0061703E" w:rsidRPr="003E2940" w:rsidRDefault="0061703E" w:rsidP="0061703E">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r>
      <w:tr w:rsidR="005B72D8" w:rsidRPr="003E2940" w14:paraId="09C391F1"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7B7BB30F" w14:textId="688DFFA1"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Kharibam P., 2021</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{"citationID":"vsORVhQ2","properties":{"formattedCitation":"(23)","plainCitation":"(23)","noteIndex":0},"citationItems":[{"id":496,"uris":["http://zotero.org/users/14157373/items/CCPTHD79"],"itemData":{"id":496,"type":"article-journal","abstract":"Dengue and Leptospirosis usually present with similar prodromal symptoms. Early diagnosis of co-infections and appropriate initiation of antibiotics can prevent fatality. An 18-year-old male, known case of chronic hepatitis B presented with fever and jaundice for 15 days, was diagnosed to have dengue and leptospirosis. He was started on Doxycycline along with hemodynamic support and renal replacement therapy and improved gradually, AKI resolved and was discharged. High index of suspicion with occupational exposure is needed to diagnose leptospirosis. Conjunctival suffusion is an important clinical sign, and often overlooked, should raise the possibility of leptospirosis in a patient with non-specific febrile illness. Renal failure, may require supportive renal replacement therapy in acute phase. All possible infections with similar presentation should be investigated, if not, other treatable co infections which are worsening the disease pattern may be missed.","container-title":"Journalof CardiovascularDiseaseResearch","issue":"06","language":"en","source":"Zotero","title":"Triple Co-Infection - Leading to Acute on Chronic Liver Disease","author":[{"family":"Kharibam","given":"Dr Prabin"}],"issued":{"date-parts":[["2021"]]}}}],"schema":"https://github.com/citation-style-language/schema/raw/master/csl-citation.json"}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(43)</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single" w:sz="4" w:space="0" w:color="auto"/>
              <w:left w:val="nil"/>
              <w:bottom w:val="single" w:sz="4" w:space="0" w:color="auto"/>
              <w:right w:val="single" w:sz="4" w:space="0" w:color="auto"/>
            </w:tcBorders>
            <w:vAlign w:val="center"/>
          </w:tcPr>
          <w:p w14:paraId="2A94B1C9"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25752DE2"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53913AD0" w14:textId="1B6E03FB"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w:t>
            </w:r>
          </w:p>
        </w:tc>
        <w:tc>
          <w:tcPr>
            <w:tcW w:w="1560" w:type="dxa"/>
            <w:tcBorders>
              <w:top w:val="single" w:sz="4" w:space="0" w:color="auto"/>
              <w:left w:val="nil"/>
              <w:bottom w:val="single" w:sz="4" w:space="0" w:color="auto"/>
              <w:right w:val="single" w:sz="4" w:space="0" w:color="auto"/>
            </w:tcBorders>
            <w:vAlign w:val="center"/>
          </w:tcPr>
          <w:p w14:paraId="058A1ADA" w14:textId="669B7598"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2267" w:type="dxa"/>
            <w:tcBorders>
              <w:top w:val="single" w:sz="4" w:space="0" w:color="auto"/>
              <w:left w:val="nil"/>
              <w:bottom w:val="single" w:sz="4" w:space="0" w:color="auto"/>
              <w:right w:val="single" w:sz="4" w:space="0" w:color="auto"/>
            </w:tcBorders>
            <w:vAlign w:val="center"/>
          </w:tcPr>
          <w:p w14:paraId="74FB3802"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64A0A53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(1)</w:t>
            </w:r>
          </w:p>
          <w:p w14:paraId="1E34D625" w14:textId="01EF8FB2"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 (1)</w:t>
            </w:r>
          </w:p>
        </w:tc>
        <w:tc>
          <w:tcPr>
            <w:tcW w:w="1843" w:type="dxa"/>
            <w:tcBorders>
              <w:top w:val="single" w:sz="4" w:space="0" w:color="auto"/>
              <w:left w:val="single" w:sz="4" w:space="0" w:color="auto"/>
              <w:bottom w:val="single" w:sz="4" w:space="0" w:color="auto"/>
              <w:right w:val="single" w:sz="4" w:space="0" w:color="auto"/>
            </w:tcBorders>
            <w:vAlign w:val="center"/>
          </w:tcPr>
          <w:p w14:paraId="6C07FEB7" w14:textId="5E68492C"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r>
      <w:tr w:rsidR="005B72D8" w:rsidRPr="003E2940" w14:paraId="2F9C11A8"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640749D4" w14:textId="209C47A5"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Samanta,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{"citationID":"neh8ZX9v","properties":{"formattedCitation":"(54)","plainCitation":"(54)","noteIndex":0},"citationItems":[{"id":162,"uris":["http://zotero.org/users/14157373/items/CA4RRZSA"],"itemData":{"id":162,"type":"article-journal","abstract":"Malaria-leptospira co-infection is rarely detected. Emergency surgery in such patients has not been reported. We describe such a case of a 24-year-old primigravida at term pregnancy posted for emergency caesarean delivery who developed pulmonary haemorrhage, acute respiratory distress syndrome, acute kidney injury, and cerebral oedema. Here, we discuss the perioperative management, pain management (with transverse abdominis plane block), intensive care management (special reference to management of pulmonary haemorrhage with intra pulmonary factor VIIa) and the role of plasmapheresis in leptospira related jaundice with renal failure.","container-title":"Indian Journal of Anaesthesia","DOI":"10.4103/0019-5049.126797","ISSN":"0019-5049","issue":"1","language":"en-US","page":"55","source":"journals.lww.com","title":"Emergency caesarean delivery in a patient with cerebral malaria-leptospira co infection: Anaesthetic and critical care considerations","title-short":"Emergency caesarean delivery in a patient with cerebral malaria-leptospira co infection","volume":"58","author":[{"family":"Samanta","given":"Sukhen"},{"family":"Samanta","given":"Sujay"},{"family":"Haldar","given":"Rudrashish"}],"issued":{"date-parts":[["2014",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(51)</w:t>
            </w:r>
            <w:r w:rsidRPr="003E2940">
              <w:rPr>
                <w:rFonts w:ascii="Times New Roman" w:eastAsia="Times New Roman" w:hAnsi="Times New Roman" w:cs="Times New Roman"/>
                <w:kern w:val="0"/>
                <w:sz w:val="18"/>
                <w:szCs w:val="18"/>
                <w:lang w:eastAsia="en-IN"/>
                <w14:ligatures w14:val="none"/>
              </w:rPr>
              <w:fldChar w:fldCharType="end"/>
            </w:r>
            <w:r w:rsidRPr="003E2940">
              <w:rPr>
                <w:rFonts w:ascii="Times New Roman" w:eastAsia="Times New Roman" w:hAnsi="Times New Roman" w:cs="Times New Roman"/>
                <w:kern w:val="0"/>
                <w:sz w:val="18"/>
                <w:szCs w:val="18"/>
                <w:lang w:eastAsia="en-IN"/>
                <w14:ligatures w14:val="none"/>
              </w:rPr>
              <w:t xml:space="preserve"> </w:t>
            </w:r>
          </w:p>
        </w:tc>
        <w:tc>
          <w:tcPr>
            <w:tcW w:w="2268" w:type="dxa"/>
            <w:tcBorders>
              <w:top w:val="single" w:sz="4" w:space="0" w:color="auto"/>
              <w:left w:val="nil"/>
              <w:bottom w:val="single" w:sz="4" w:space="0" w:color="auto"/>
              <w:right w:val="single" w:sz="4" w:space="0" w:color="auto"/>
            </w:tcBorders>
            <w:vAlign w:val="center"/>
          </w:tcPr>
          <w:p w14:paraId="26753C17"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A8F0C34"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5CD41C87"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505747C6"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w:t>
            </w:r>
          </w:p>
          <w:p w14:paraId="06A848D6" w14:textId="3F6963E0"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560" w:type="dxa"/>
            <w:tcBorders>
              <w:top w:val="single" w:sz="4" w:space="0" w:color="auto"/>
              <w:left w:val="nil"/>
              <w:bottom w:val="single" w:sz="4" w:space="0" w:color="auto"/>
              <w:right w:val="single" w:sz="4" w:space="0" w:color="auto"/>
            </w:tcBorders>
            <w:vAlign w:val="center"/>
          </w:tcPr>
          <w:p w14:paraId="00FEEA73" w14:textId="49296643"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2267" w:type="dxa"/>
            <w:tcBorders>
              <w:top w:val="single" w:sz="4" w:space="0" w:color="auto"/>
              <w:left w:val="nil"/>
              <w:bottom w:val="single" w:sz="4" w:space="0" w:color="auto"/>
              <w:right w:val="single" w:sz="4" w:space="0" w:color="auto"/>
            </w:tcBorders>
            <w:vAlign w:val="center"/>
          </w:tcPr>
          <w:p w14:paraId="5444E2AB"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4E74F3CD" w14:textId="6D944B4F" w:rsidR="005B72D8" w:rsidRPr="003E2940" w:rsidRDefault="005B72D8"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(1)</w:t>
            </w:r>
          </w:p>
        </w:tc>
        <w:tc>
          <w:tcPr>
            <w:tcW w:w="1843" w:type="dxa"/>
            <w:tcBorders>
              <w:top w:val="single" w:sz="4" w:space="0" w:color="auto"/>
              <w:left w:val="single" w:sz="4" w:space="0" w:color="auto"/>
              <w:bottom w:val="single" w:sz="4" w:space="0" w:color="auto"/>
              <w:right w:val="single" w:sz="4" w:space="0" w:color="auto"/>
            </w:tcBorders>
            <w:vAlign w:val="center"/>
          </w:tcPr>
          <w:p w14:paraId="77B9D7E3" w14:textId="1E2AABE4"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49433360" w14:textId="77777777" w:rsidTr="00E43DB0">
        <w:trPr>
          <w:trHeight w:val="1128"/>
        </w:trPr>
        <w:tc>
          <w:tcPr>
            <w:tcW w:w="1838" w:type="dxa"/>
            <w:tcBorders>
              <w:top w:val="single" w:sz="4" w:space="0" w:color="auto"/>
              <w:left w:val="single" w:sz="4" w:space="0" w:color="auto"/>
              <w:bottom w:val="single" w:sz="4" w:space="0" w:color="auto"/>
              <w:right w:val="single" w:sz="4" w:space="0" w:color="auto"/>
            </w:tcBorders>
            <w:vAlign w:val="center"/>
          </w:tcPr>
          <w:p w14:paraId="618C9E8B" w14:textId="7F0D01BF"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lastRenderedPageBreak/>
              <w:t xml:space="preserve">Chopdekar,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{"citationID":"eiwyC6cM","properties":{"formattedCitation":"(55)","plainCitation":"(55)","noteIndex":0},"citationItems":[{"id":506,"uris":["http://zotero.org/users/14157373/items/UX6YGKBG"],"itemData":{"id":506,"type":"article-journal","abstract":"Two cases of leptospirosis and dengue co-infection in paediatric patients are reported. Their coexistence is infrequently reported in literature. As both the conditions mimic each other, diagnosis is difficult for the physician. Serological testing for both the conditions in acute febrile illness plays a crucial role in diagnosis.","container-title":"Journal, Indian Academy of Clinical Medicine","journalAbbreviation":"Journal, Indian Academy of Clinical Medicine","source":"ResearchGate","title":"Concomitant leptospirosis and dengue infections: Case Report","title-short":"Concomitant leptospirosis and dengue infections","volume":"15","author":[{"family":"Chopdekar","given":"KA"},{"family":"Patil","given":"SS"},{"family":"Joshi","given":"Ameeta"},{"family":"Chowdhary","given":"Abhay"}],"issued":{"date-parts":[["2014",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31090B6D"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430824FF"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2A8020A8"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p w14:paraId="10719497"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6AAB3587" w14:textId="50459D93" w:rsidR="005B72D8" w:rsidRPr="003E2940" w:rsidRDefault="005B72D8" w:rsidP="009764E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Hepatitis A, B, E Virus</w:t>
            </w:r>
          </w:p>
        </w:tc>
        <w:tc>
          <w:tcPr>
            <w:tcW w:w="1560" w:type="dxa"/>
            <w:tcBorders>
              <w:top w:val="single" w:sz="4" w:space="0" w:color="auto"/>
              <w:left w:val="nil"/>
              <w:bottom w:val="single" w:sz="4" w:space="0" w:color="auto"/>
              <w:right w:val="single" w:sz="4" w:space="0" w:color="auto"/>
            </w:tcBorders>
            <w:vAlign w:val="center"/>
          </w:tcPr>
          <w:p w14:paraId="45315F9F" w14:textId="31E2FBD2" w:rsidR="005B72D8" w:rsidRPr="003E2940" w:rsidRDefault="009764E0"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7</w:t>
            </w:r>
          </w:p>
        </w:tc>
        <w:tc>
          <w:tcPr>
            <w:tcW w:w="2267" w:type="dxa"/>
            <w:tcBorders>
              <w:top w:val="single" w:sz="4" w:space="0" w:color="auto"/>
              <w:left w:val="nil"/>
              <w:bottom w:val="single" w:sz="4" w:space="0" w:color="auto"/>
              <w:right w:val="single" w:sz="4" w:space="0" w:color="auto"/>
            </w:tcBorders>
            <w:vAlign w:val="center"/>
          </w:tcPr>
          <w:p w14:paraId="677713A4" w14:textId="751747DF" w:rsidR="009764E0" w:rsidRPr="003E2940" w:rsidRDefault="009764E0" w:rsidP="009764E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122E3FF7" w14:textId="7CA21C05" w:rsidR="005B72D8" w:rsidRPr="003E2940" w:rsidRDefault="009764E0" w:rsidP="00E43DB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(1</w:t>
            </w:r>
          </w:p>
        </w:tc>
        <w:tc>
          <w:tcPr>
            <w:tcW w:w="1843" w:type="dxa"/>
            <w:tcBorders>
              <w:top w:val="single" w:sz="4" w:space="0" w:color="auto"/>
              <w:left w:val="single" w:sz="4" w:space="0" w:color="auto"/>
              <w:bottom w:val="single" w:sz="4" w:space="0" w:color="auto"/>
              <w:right w:val="single" w:sz="4" w:space="0" w:color="auto"/>
            </w:tcBorders>
            <w:vAlign w:val="center"/>
          </w:tcPr>
          <w:p w14:paraId="13589B1C" w14:textId="45A52048" w:rsidR="005B72D8" w:rsidRPr="003E2940" w:rsidRDefault="009764E0"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05DE92E2"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0EE922AB" w14:textId="5E2277D9"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Baliga, K.V.,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{"citationID":"sWMcIvVY","properties":{"formattedCitation":"(56)","plainCitation":"(56)","noteIndex":0},"citationItems":[{"id":171,"uris":["http://zotero.org/users/14157373/items/ZSYHWUQM"],"itemData":{"id":171,"type":"article-journal","container-title":"Journal of Infection and Chemotherapy","DOI":"10.1007/s10156-011-0220-7","ISSN":"1341-321X, 1437-7780","issue":"5","journalAbbreviation":"Journal of Infection and Chemotherapy","language":"English","note":"publisher: Elsevier\nPMID: 21327689","page":"694-697","source":"www.jiac-j.com","title":"Acute febrile hepato-renal dysfunction in the tropics: co-infection of malaria and leptospirosis","title-short":"Acute febrile hepato-renal dysfunction in the tropics","volume":"17","author":[{"family":"Baliga","given":"Krishna Venkatesh"},{"family":"Uday","given":"Yanamandra"},{"family":"Sood","given":"Vivek"},{"family":"Nagpal","given":"Akhil"}],"issued":{"date-parts":[["2011",1,1]]}}}],"schema":"https://github.com/citation-style-language/schema/raw/master/csl-citation.json"}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(53)</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6B5CA0DD"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B9420BD"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5CB8E693"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3C726F2B"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w:t>
            </w:r>
          </w:p>
          <w:p w14:paraId="0D1F8F54"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20E3A0DC" w14:textId="0ECA40AB"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Brucellosis</w:t>
            </w:r>
          </w:p>
        </w:tc>
        <w:tc>
          <w:tcPr>
            <w:tcW w:w="1560" w:type="dxa"/>
            <w:tcBorders>
              <w:top w:val="single" w:sz="4" w:space="0" w:color="auto"/>
              <w:left w:val="nil"/>
              <w:bottom w:val="single" w:sz="4" w:space="0" w:color="auto"/>
              <w:right w:val="single" w:sz="4" w:space="0" w:color="auto"/>
            </w:tcBorders>
            <w:vAlign w:val="center"/>
          </w:tcPr>
          <w:p w14:paraId="579EEE3D" w14:textId="001F879D"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2267" w:type="dxa"/>
            <w:tcBorders>
              <w:top w:val="single" w:sz="4" w:space="0" w:color="auto"/>
              <w:left w:val="nil"/>
              <w:bottom w:val="single" w:sz="4" w:space="0" w:color="auto"/>
              <w:right w:val="single" w:sz="4" w:space="0" w:color="auto"/>
            </w:tcBorders>
            <w:vAlign w:val="center"/>
          </w:tcPr>
          <w:p w14:paraId="54A23AF2"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(2)</w:t>
            </w:r>
          </w:p>
          <w:p w14:paraId="07267D98" w14:textId="228A12A5" w:rsidR="005B72D8" w:rsidRPr="003E2940" w:rsidRDefault="005B72D8"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(2)</w:t>
            </w:r>
          </w:p>
        </w:tc>
        <w:tc>
          <w:tcPr>
            <w:tcW w:w="1843" w:type="dxa"/>
            <w:tcBorders>
              <w:top w:val="single" w:sz="4" w:space="0" w:color="auto"/>
              <w:left w:val="single" w:sz="4" w:space="0" w:color="auto"/>
              <w:bottom w:val="single" w:sz="4" w:space="0" w:color="auto"/>
              <w:right w:val="single" w:sz="4" w:space="0" w:color="auto"/>
            </w:tcBorders>
            <w:vAlign w:val="center"/>
          </w:tcPr>
          <w:p w14:paraId="6AACE51E" w14:textId="7768F31B"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78ECACFC"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2A0B5433" w14:textId="10433E09"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Behera, B., 2010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{"citationID":"Z0GIXfuK","properties":{"formattedCitation":"(24)","plainCitation":"(24)","noteIndex":0},"citationItems":[{"id":510,"uris":["http://zotero.org/users/14157373/items/NQIJHQWE"],"itemData":{"id":510,"type":"article-journal","abstract":"A case of mixed infection due to leptospira, dengue and hepatitis E is reported. Similar clinical presentation and simultaneous transmission of these diseases during rainy season can cause substantial misdiagnosis. Serological tests play a mainstay in diagnosis. Early detection by appropriate serological tests and institution of therapy is crucial and life saving.","container-title":"Journal of Infection in Developing Countries","DOI":"10.3855/jidc.535","ISSN":"1972-2680","issue":"1","journalAbbreviation":"J Infect Dev Ctries","language":"eng","note":"PMID: 20130379","page":"48-50","source":"PubMed","title":"Co-infections due to leptospira, dengue and hepatitis E: a diagnostic challenge","title-short":"Co-infections due to leptospira, dengue and hepatitis E","volume":"4","author":[{"family":"Behera","given":"Bijayini"},{"family":"Chaudhry","given":"Rama"},{"family":"Pandey","given":"Anubhav"},{"family":"Mohan","given":"Anant"},{"family":"Dar","given":"Lalit"},{"family":"Premlatha","given":"Martha M."},{"family":"Gupta","given":"Ekta"},{"family":"Broor","given":"Shobha"},{"family":"Aggarwal","given":"Parveen"}],"issued":{"date-parts":[["2009",11,5]]}}}],"schema":"https://github.com/citation-style-language/schema/raw/master/csl-citation.json"}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(54)</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7EAF900B"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3035FFB7"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229FE3ED"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w:t>
            </w:r>
          </w:p>
          <w:p w14:paraId="6AF7C9C5"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0FA9F09D" w14:textId="3F048021"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 HCV, HEV</w:t>
            </w:r>
          </w:p>
        </w:tc>
        <w:tc>
          <w:tcPr>
            <w:tcW w:w="1560" w:type="dxa"/>
            <w:tcBorders>
              <w:top w:val="single" w:sz="4" w:space="0" w:color="auto"/>
              <w:left w:val="nil"/>
              <w:bottom w:val="single" w:sz="4" w:space="0" w:color="auto"/>
              <w:right w:val="single" w:sz="4" w:space="0" w:color="auto"/>
            </w:tcBorders>
            <w:vAlign w:val="center"/>
          </w:tcPr>
          <w:p w14:paraId="05806079" w14:textId="2AB44BAE"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2267" w:type="dxa"/>
            <w:tcBorders>
              <w:top w:val="single" w:sz="4" w:space="0" w:color="auto"/>
              <w:left w:val="nil"/>
              <w:bottom w:val="single" w:sz="4" w:space="0" w:color="auto"/>
              <w:right w:val="single" w:sz="4" w:space="0" w:color="auto"/>
            </w:tcBorders>
            <w:vAlign w:val="center"/>
          </w:tcPr>
          <w:p w14:paraId="61C815F2"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3F46D40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(1)</w:t>
            </w:r>
          </w:p>
          <w:p w14:paraId="2901C698" w14:textId="1168927F"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w:t>
            </w:r>
            <w:r w:rsidR="00D12FBB" w:rsidRPr="003E2940">
              <w:rPr>
                <w:rFonts w:ascii="Times New Roman" w:eastAsia="Times New Roman" w:hAnsi="Times New Roman" w:cs="Times New Roman"/>
                <w:kern w:val="0"/>
                <w:sz w:val="18"/>
                <w:szCs w:val="18"/>
                <w:lang w:eastAsia="en-IN"/>
                <w14:ligatures w14:val="none"/>
              </w:rPr>
              <w:t xml:space="preserve">epatitis </w:t>
            </w:r>
            <w:r w:rsidRPr="003E2940">
              <w:rPr>
                <w:rFonts w:ascii="Times New Roman" w:eastAsia="Times New Roman" w:hAnsi="Times New Roman" w:cs="Times New Roman"/>
                <w:kern w:val="0"/>
                <w:sz w:val="18"/>
                <w:szCs w:val="18"/>
                <w:lang w:eastAsia="en-IN"/>
                <w14:ligatures w14:val="none"/>
              </w:rPr>
              <w:t>E</w:t>
            </w:r>
            <w:r w:rsidR="00D12FBB" w:rsidRPr="003E2940">
              <w:rPr>
                <w:rFonts w:ascii="Times New Roman" w:eastAsia="Times New Roman" w:hAnsi="Times New Roman" w:cs="Times New Roman"/>
                <w:kern w:val="0"/>
                <w:sz w:val="18"/>
                <w:szCs w:val="18"/>
                <w:lang w:eastAsia="en-IN"/>
                <w14:ligatures w14:val="none"/>
              </w:rPr>
              <w:t xml:space="preserve"> </w:t>
            </w:r>
            <w:r w:rsidRPr="003E2940">
              <w:rPr>
                <w:rFonts w:ascii="Times New Roman" w:eastAsia="Times New Roman" w:hAnsi="Times New Roman" w:cs="Times New Roman"/>
                <w:kern w:val="0"/>
                <w:sz w:val="18"/>
                <w:szCs w:val="18"/>
                <w:lang w:eastAsia="en-IN"/>
                <w14:ligatures w14:val="none"/>
              </w:rPr>
              <w:t>V</w:t>
            </w:r>
            <w:r w:rsidR="00D12FBB" w:rsidRPr="003E2940">
              <w:rPr>
                <w:rFonts w:ascii="Times New Roman" w:eastAsia="Times New Roman" w:hAnsi="Times New Roman" w:cs="Times New Roman"/>
                <w:kern w:val="0"/>
                <w:sz w:val="18"/>
                <w:szCs w:val="18"/>
                <w:lang w:eastAsia="en-IN"/>
                <w14:ligatures w14:val="none"/>
              </w:rPr>
              <w:t>irus</w:t>
            </w:r>
            <w:r w:rsidRPr="003E2940">
              <w:rPr>
                <w:rFonts w:ascii="Times New Roman" w:eastAsia="Times New Roman" w:hAnsi="Times New Roman" w:cs="Times New Roman"/>
                <w:kern w:val="0"/>
                <w:sz w:val="18"/>
                <w:szCs w:val="18"/>
                <w:lang w:eastAsia="en-IN"/>
                <w14:ligatures w14:val="none"/>
              </w:rPr>
              <w:t xml:space="preserve"> (1)</w:t>
            </w:r>
          </w:p>
        </w:tc>
        <w:tc>
          <w:tcPr>
            <w:tcW w:w="1843" w:type="dxa"/>
            <w:tcBorders>
              <w:top w:val="single" w:sz="4" w:space="0" w:color="auto"/>
              <w:left w:val="single" w:sz="4" w:space="0" w:color="auto"/>
              <w:bottom w:val="single" w:sz="4" w:space="0" w:color="auto"/>
              <w:right w:val="single" w:sz="4" w:space="0" w:color="auto"/>
            </w:tcBorders>
            <w:vAlign w:val="center"/>
          </w:tcPr>
          <w:p w14:paraId="442C7761" w14:textId="34080F83"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r>
      <w:tr w:rsidR="005B72D8" w:rsidRPr="003E2940" w14:paraId="655BABA1"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7A463B99" w14:textId="2FCFF41E"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Shiddapur G, 2024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{"citationID":"veKGs8JM","properties":{"formattedCitation":"(58)","plainCitation":"(58)","noteIndex":0},"citationItems":[{"id":554,"uris":["http://zotero.org/users/14157373/items/RS5BKM2H"],"itemData":{"id":554,"type":"article-journal","abstract":"Acute Disseminated Encephalomyelitis (ADEM) is a neurological disorder characterised by demyelination, where the immune system targets the Central Nervous...","container-title":"Journal of Clinical and Diagnostic Research","DOI":"10.7860/JCDR/2024/70148.19497","ISSN":"2249-782X, 0973-709X","issue":"06","language":"en","note":"publisher: JCDR Research and Publications Private Limited","page":"07-10","source":"doaj.org","title":"A Case of Acute Disseminated Encephalomyelitis in Adults: Unravelling the Influenza B and Leptospirosis Co-infection","title-short":"A Case of Acute Disseminated Encephalomyelitis in Adults","volume":"18","author":[{"family":"Shiddapur","given":"Govind"},{"family":"Adapa","given":"Sai Mounika"},{"family":"Vutukuru","given":"Kalyan Kumar Reddy"},{"family":"Kondapalli","given":"Mohith Prakash"},{"family":"Agarwal","given":"Sonali"}],"issued":{"date-parts":[["2024",6,1]]}}}],"schema":"https://github.com/citation-style-language/schema/raw/master/csl-citation.json"}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(55)</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57D4E9C8"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36956A3" w14:textId="1E19710E"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Influenza B Virus</w:t>
            </w:r>
          </w:p>
        </w:tc>
        <w:tc>
          <w:tcPr>
            <w:tcW w:w="1560" w:type="dxa"/>
            <w:tcBorders>
              <w:top w:val="single" w:sz="4" w:space="0" w:color="auto"/>
              <w:left w:val="nil"/>
              <w:bottom w:val="single" w:sz="4" w:space="0" w:color="auto"/>
              <w:right w:val="single" w:sz="4" w:space="0" w:color="auto"/>
            </w:tcBorders>
            <w:vAlign w:val="center"/>
          </w:tcPr>
          <w:p w14:paraId="2B2DA75F" w14:textId="5112DFEE"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5C258FFE"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117AC09B" w14:textId="2811D7A5"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Influenza B Virus (1)</w:t>
            </w:r>
          </w:p>
        </w:tc>
        <w:tc>
          <w:tcPr>
            <w:tcW w:w="1843" w:type="dxa"/>
            <w:tcBorders>
              <w:top w:val="single" w:sz="4" w:space="0" w:color="auto"/>
              <w:left w:val="single" w:sz="4" w:space="0" w:color="auto"/>
              <w:bottom w:val="single" w:sz="4" w:space="0" w:color="auto"/>
              <w:right w:val="single" w:sz="4" w:space="0" w:color="auto"/>
            </w:tcBorders>
            <w:vAlign w:val="center"/>
          </w:tcPr>
          <w:p w14:paraId="2D3BACA9" w14:textId="4F8A9CA6"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1FC85490"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239AC0BD" w14:textId="0FFFA968"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Singh Y,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{"citationID":"aDxOmOTR","properties":{"formattedCitation":"(59)","plainCitation":"(59)","noteIndex":0},"citationItems":[{"id":555,"uris":["http://zotero.org/users/14157373/items/5X5PBVUU"],"itemData":{"id":555,"type":"article-journal","abstract":": Clinical manifestations of COVID-19 range from mild self-limiting illness to multi-organ dysfunction and acute respiratory distress syndrome (ARDS). Leptospirosis too manifests as mild or asymptomatic infection and only small number of patients progress to ARDS and develop systemic manifestation. COVID-19 and leptospira co infection can have fatal outcome because of augmented pathophysiological manifestations of both the disease. We here describe a case of leptospira and COVID-19 coinfection in a patient who had poor outcomes due to multi-organ involvement.","container-title":"Journal of Cellular &amp; Molecular Anesthesia","DOI":"10.22037/jcma.v7i2.36618","ISSN":"2476-5120","issue":"2","journalAbbreviation":"J Cell Mol Anesth","language":"en","license":"This open-access article is available under the Creative Commons Attribution 4.0 (CC BY 4.0) International License (https://creativecommons.org/licenses/by/4.0/), which allows for unrestricted use, distribution, and reproduction in any medium, provided that the original work is properly cited.","note":"number: 2\npublisher: Brieflands","source":"brieflands.com","title":"Leptospirosis and COVID-19 Co-Infection Manifesting as an Enhanced Thrombotic Phenomenon","URL":"https://brieflands.com/articles/jcma-149705#abstract","volume":"7","author":[{"family":"Singh","given":"Yudhyavir"},{"family":"Singh","given":"Abhishek"},{"family":"Soni","given":"Kapil"},{"family":"Trikha","given":"Anjan"}],"accessed":{"date-parts":[["2024",11,22]]},"issued":{"date-parts":[["2022"]]}}}],"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(56)</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5E12B61F"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2E0E636" w14:textId="0EE1BE13"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tc>
        <w:tc>
          <w:tcPr>
            <w:tcW w:w="1560" w:type="dxa"/>
            <w:tcBorders>
              <w:top w:val="single" w:sz="4" w:space="0" w:color="auto"/>
              <w:left w:val="nil"/>
              <w:bottom w:val="single" w:sz="4" w:space="0" w:color="auto"/>
              <w:right w:val="single" w:sz="4" w:space="0" w:color="auto"/>
            </w:tcBorders>
            <w:vAlign w:val="center"/>
          </w:tcPr>
          <w:p w14:paraId="08EC470A" w14:textId="05458738"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5761182E"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6B6DFE8F" w14:textId="42E97653"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 (1)</w:t>
            </w:r>
          </w:p>
        </w:tc>
        <w:tc>
          <w:tcPr>
            <w:tcW w:w="1843" w:type="dxa"/>
            <w:tcBorders>
              <w:top w:val="single" w:sz="4" w:space="0" w:color="auto"/>
              <w:left w:val="single" w:sz="4" w:space="0" w:color="auto"/>
              <w:bottom w:val="single" w:sz="4" w:space="0" w:color="auto"/>
              <w:right w:val="single" w:sz="4" w:space="0" w:color="auto"/>
            </w:tcBorders>
            <w:vAlign w:val="center"/>
          </w:tcPr>
          <w:p w14:paraId="75CBA00F" w14:textId="116D3149"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1C505820"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48B8168A" w14:textId="7CAA0216"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 xml:space="preserve">Damodar T, 2013 </w:t>
            </w:r>
            <w:r w:rsidRPr="003E2940">
              <w:rPr>
                <w:rFonts w:ascii="Times New Roman" w:eastAsia="Times New Roman" w:hAnsi="Times New Roman" w:cs="Times New Roman"/>
                <w:kern w:val="0"/>
                <w:sz w:val="18"/>
                <w:szCs w:val="18"/>
                <w:lang w:eastAsia="en-IN"/>
                <w14:ligatures w14:val="none"/>
              </w:rPr>
              <w:t xml:space="preserve">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{"citationID":"jM8juMJ5","properties":{"formattedCitation":"(59)","plainCitation":"(59)","noteIndex":0},"citationItems":[{"id":551,"uris":["http://zotero.org/users/14157373/items/L8EUGS5Z"],"itemData":{"id":551,"type":"article-journal","abstract":"Undifferentiated Acute Febrile Illness (AFI) is a common clinical syndrome among patients seeking hospital care. Detection of co-infections at the time of presentation is a diagnostic challenge, especially with limited laboratory support. Even if detected, early treatment and cure of these co-infections can be difficult for the clinicians. We are presenting a rare case of Hepatitis B and leptospirosis co-infection with high titres of Salmonella paratyphi A and scrub typhus. There are a few reports of leptospirosis in Hepatitis -B infected individuals but no generalization can be made due to limited data. Prompt and accurate serological diagnosis of multiple infectious agents have becomes mandatory in a healthcare set-up.","container-title":"Journal of Clinical and Diagnostic Research : JCDR","DOI":"10.7860/JCDR/2013/6012.3490","ISSN":"2249-782X","issue":"10","journalAbbreviation":"J Clin Diagn Res","note":"PMID: 24298495\nPMCID: PMC3843418","page":"2270-2271","source":"PubMed Central","title":"Co–Infection: Weil’s Syndrome with Hepatitis B Infection- A Diagnostic and Therapeutic Hitch","title-short":"Co–Infection","volume":"7","author":[{"family":"Damodar","given":"Tina"},{"family":"Kuruvilla","given":"Thomas"},{"family":"Furtado","given":"Zevita"},{"family":"Hegde","given":"Roopa"}],"issued":{"date-parts":[["2013",10]]}}}],"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211F00B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3D6BA76D"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6602E1D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179F5F8F"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HBV</w:t>
            </w:r>
          </w:p>
          <w:p w14:paraId="5821B1FC"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p w14:paraId="59458A77" w14:textId="1FB603DD"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5BDDEB5E" w14:textId="24BEFDAB"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2267" w:type="dxa"/>
            <w:tcBorders>
              <w:top w:val="single" w:sz="4" w:space="0" w:color="auto"/>
              <w:left w:val="nil"/>
              <w:bottom w:val="single" w:sz="4" w:space="0" w:color="auto"/>
              <w:right w:val="single" w:sz="4" w:space="0" w:color="auto"/>
            </w:tcBorders>
            <w:vAlign w:val="center"/>
          </w:tcPr>
          <w:p w14:paraId="4E164E6E"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6B9B63D1" w14:textId="144A919F" w:rsidR="005B72D8" w:rsidRPr="003E2940" w:rsidRDefault="005B72D8"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w:t>
            </w:r>
            <w:r w:rsidR="00D12FBB" w:rsidRPr="003E2940">
              <w:rPr>
                <w:rFonts w:ascii="Times New Roman" w:eastAsia="Times New Roman" w:hAnsi="Times New Roman" w:cs="Times New Roman"/>
                <w:kern w:val="0"/>
                <w:sz w:val="18"/>
                <w:szCs w:val="18"/>
                <w:lang w:eastAsia="en-IN"/>
                <w14:ligatures w14:val="none"/>
              </w:rPr>
              <w:t xml:space="preserve">epatitis </w:t>
            </w:r>
            <w:r w:rsidRPr="003E2940">
              <w:rPr>
                <w:rFonts w:ascii="Times New Roman" w:eastAsia="Times New Roman" w:hAnsi="Times New Roman" w:cs="Times New Roman"/>
                <w:kern w:val="0"/>
                <w:sz w:val="18"/>
                <w:szCs w:val="18"/>
                <w:lang w:eastAsia="en-IN"/>
                <w14:ligatures w14:val="none"/>
              </w:rPr>
              <w:t>B</w:t>
            </w:r>
            <w:r w:rsidR="00D12FBB" w:rsidRPr="003E2940">
              <w:rPr>
                <w:rFonts w:ascii="Times New Roman" w:eastAsia="Times New Roman" w:hAnsi="Times New Roman" w:cs="Times New Roman"/>
                <w:kern w:val="0"/>
                <w:sz w:val="18"/>
                <w:szCs w:val="18"/>
                <w:lang w:eastAsia="en-IN"/>
                <w14:ligatures w14:val="none"/>
              </w:rPr>
              <w:t xml:space="preserve"> </w:t>
            </w:r>
            <w:r w:rsidRPr="003E2940">
              <w:rPr>
                <w:rFonts w:ascii="Times New Roman" w:eastAsia="Times New Roman" w:hAnsi="Times New Roman" w:cs="Times New Roman"/>
                <w:kern w:val="0"/>
                <w:sz w:val="18"/>
                <w:szCs w:val="18"/>
                <w:lang w:eastAsia="en-IN"/>
                <w14:ligatures w14:val="none"/>
              </w:rPr>
              <w:t>V</w:t>
            </w:r>
            <w:r w:rsidR="00D12FBB" w:rsidRPr="003E2940">
              <w:rPr>
                <w:rFonts w:ascii="Times New Roman" w:eastAsia="Times New Roman" w:hAnsi="Times New Roman" w:cs="Times New Roman"/>
                <w:kern w:val="0"/>
                <w:sz w:val="18"/>
                <w:szCs w:val="18"/>
                <w:lang w:eastAsia="en-IN"/>
                <w14:ligatures w14:val="none"/>
              </w:rPr>
              <w:t>irus</w:t>
            </w:r>
            <w:r w:rsidRPr="003E2940">
              <w:rPr>
                <w:rFonts w:ascii="Times New Roman" w:eastAsia="Times New Roman" w:hAnsi="Times New Roman" w:cs="Times New Roman"/>
                <w:kern w:val="0"/>
                <w:sz w:val="18"/>
                <w:szCs w:val="18"/>
                <w:lang w:eastAsia="en-IN"/>
                <w14:ligatures w14:val="none"/>
              </w:rPr>
              <w:t xml:space="preserve"> (1)</w:t>
            </w:r>
          </w:p>
        </w:tc>
        <w:tc>
          <w:tcPr>
            <w:tcW w:w="1843" w:type="dxa"/>
            <w:tcBorders>
              <w:top w:val="single" w:sz="4" w:space="0" w:color="auto"/>
              <w:left w:val="single" w:sz="4" w:space="0" w:color="auto"/>
              <w:bottom w:val="single" w:sz="4" w:space="0" w:color="auto"/>
              <w:right w:val="single" w:sz="4" w:space="0" w:color="auto"/>
            </w:tcBorders>
            <w:vAlign w:val="center"/>
          </w:tcPr>
          <w:p w14:paraId="43512DA1" w14:textId="3205C7D2"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3989D929" w14:textId="77777777" w:rsidTr="0061703E">
        <w:trPr>
          <w:trHeight w:val="274"/>
        </w:trPr>
        <w:tc>
          <w:tcPr>
            <w:tcW w:w="1838" w:type="dxa"/>
            <w:tcBorders>
              <w:top w:val="single" w:sz="4" w:space="0" w:color="auto"/>
              <w:left w:val="single" w:sz="4" w:space="0" w:color="auto"/>
              <w:bottom w:val="single" w:sz="4" w:space="0" w:color="auto"/>
              <w:right w:val="single" w:sz="4" w:space="0" w:color="auto"/>
            </w:tcBorders>
            <w:vAlign w:val="center"/>
          </w:tcPr>
          <w:p w14:paraId="57A14F05" w14:textId="0E21BC08" w:rsidR="005B72D8" w:rsidRPr="003E2940" w:rsidRDefault="005B72D8" w:rsidP="005B72D8">
            <w:pPr>
              <w:spacing w:after="0" w:line="240" w:lineRule="auto"/>
              <w:jc w:val="center"/>
              <w:rPr>
                <w:rFonts w:ascii="Times New Roman" w:eastAsia="Times New Roman" w:hAnsi="Times New Roman" w:cs="Times New Roman"/>
                <w:b/>
                <w:bCs/>
                <w:noProof/>
                <w:kern w:val="0"/>
                <w:sz w:val="18"/>
                <w:szCs w:val="18"/>
                <w:lang w:eastAsia="en-IN"/>
              </w:rPr>
            </w:pPr>
            <w:r w:rsidRPr="003E2940">
              <w:rPr>
                <w:rFonts w:ascii="Times New Roman" w:eastAsia="Times New Roman" w:hAnsi="Times New Roman" w:cs="Times New Roman"/>
                <w:kern w:val="0"/>
                <w:sz w:val="18"/>
                <w:szCs w:val="18"/>
                <w:lang w:eastAsia="en-IN"/>
                <w14:ligatures w14:val="none"/>
              </w:rPr>
              <w:t xml:space="preserve">Mahajan S.K, 2012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{"citationID":"ERvRRTFU","properties":{"formattedCitation":"(60)","plainCitation":"(60)","noteIndex":0},"citationItems":[{"id":169,"uris":["http://zotero.org/users/14157373/items/QQ8CMEJF"],"itemData":{"id":169,"type":"article-journal","abstract":"Scrub typhus and leptospirosis are both zoonosis and systemic febrile illnesses with diverse clinical manifestations and they may present with similar signs and symptoms. We present a case of co-infection of scrub typhus and leptospirosis from Himachal Pradesh in the Himalayan region of India.","container-title":"Tropical Doctor","DOI":"10.1258/td.2012.120041","ISSN":"0049-4755","issue":"3","journalAbbreviation":"Trop Doct","language":"en","note":"publisher: SAGE Publications","page":"176-177","source":"SAGE Journals","title":"Scrub typhus and leptospirosis co-infection in Himalayan region","volume":"42","author":[{"family":"Mahajan","given":"Sanjay K"},{"family":"Babu NM","given":"Sharath"},{"family":"Singh","given":"Digvijay"},{"family":"Kanga","given":"Anil"},{"family":"Kaushal","given":"Satinder S"}],"issued":{"date-parts":[["2012",7,1]]}}}],"schema":"https://github.com/citation-style-language/schema/raw/master/csl-citation.json"}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(58)</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3F37389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4483408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7A4FCABE"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Typhoid fever</w:t>
            </w:r>
          </w:p>
          <w:p w14:paraId="6261483C" w14:textId="6221C858"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tc>
        <w:tc>
          <w:tcPr>
            <w:tcW w:w="1560" w:type="dxa"/>
            <w:tcBorders>
              <w:top w:val="single" w:sz="4" w:space="0" w:color="auto"/>
              <w:left w:val="nil"/>
              <w:bottom w:val="single" w:sz="4" w:space="0" w:color="auto"/>
              <w:right w:val="single" w:sz="4" w:space="0" w:color="auto"/>
            </w:tcBorders>
            <w:vAlign w:val="center"/>
          </w:tcPr>
          <w:p w14:paraId="491D0255" w14:textId="450FB268"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2267" w:type="dxa"/>
            <w:tcBorders>
              <w:top w:val="single" w:sz="4" w:space="0" w:color="auto"/>
              <w:left w:val="nil"/>
              <w:bottom w:val="single" w:sz="4" w:space="0" w:color="auto"/>
              <w:right w:val="single" w:sz="4" w:space="0" w:color="auto"/>
            </w:tcBorders>
            <w:vAlign w:val="center"/>
          </w:tcPr>
          <w:p w14:paraId="063C22D7"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w:t>
            </w:r>
          </w:p>
          <w:p w14:paraId="78EF5D3A" w14:textId="11157CA6"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(1)</w:t>
            </w:r>
          </w:p>
        </w:tc>
        <w:tc>
          <w:tcPr>
            <w:tcW w:w="1843" w:type="dxa"/>
            <w:tcBorders>
              <w:top w:val="single" w:sz="4" w:space="0" w:color="auto"/>
              <w:left w:val="single" w:sz="4" w:space="0" w:color="auto"/>
              <w:bottom w:val="single" w:sz="4" w:space="0" w:color="auto"/>
              <w:right w:val="single" w:sz="4" w:space="0" w:color="auto"/>
            </w:tcBorders>
            <w:vAlign w:val="center"/>
          </w:tcPr>
          <w:p w14:paraId="11D87EEC" w14:textId="005BACE6" w:rsidR="005B72D8" w:rsidRPr="003E2940" w:rsidRDefault="005B72D8" w:rsidP="005B72D8">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6ECBEF38" w14:textId="77777777" w:rsidTr="00E43DB0">
        <w:trPr>
          <w:trHeight w:val="360"/>
        </w:trPr>
        <w:tc>
          <w:tcPr>
            <w:tcW w:w="9776" w:type="dxa"/>
            <w:gridSpan w:val="5"/>
            <w:tcBorders>
              <w:top w:val="nil"/>
              <w:left w:val="single" w:sz="4" w:space="0" w:color="auto"/>
              <w:bottom w:val="single" w:sz="4" w:space="0" w:color="auto"/>
              <w:right w:val="single" w:sz="4" w:space="0" w:color="auto"/>
            </w:tcBorders>
            <w:vAlign w:val="center"/>
          </w:tcPr>
          <w:p w14:paraId="274194D1" w14:textId="4EFE9E33" w:rsidR="005B72D8" w:rsidRPr="003E2940" w:rsidRDefault="005B72D8" w:rsidP="00E43DB0">
            <w:pPr>
              <w:spacing w:after="0" w:line="240" w:lineRule="auto"/>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Case Series</w:t>
            </w:r>
          </w:p>
        </w:tc>
      </w:tr>
      <w:tr w:rsidR="005B72D8" w:rsidRPr="003E2940" w14:paraId="7444BCAC" w14:textId="77777777" w:rsidTr="00E43DB0">
        <w:trPr>
          <w:trHeight w:val="360"/>
        </w:trPr>
        <w:tc>
          <w:tcPr>
            <w:tcW w:w="1838" w:type="dxa"/>
            <w:tcBorders>
              <w:top w:val="nil"/>
              <w:left w:val="single" w:sz="4" w:space="0" w:color="auto"/>
              <w:bottom w:val="single" w:sz="4" w:space="0" w:color="auto"/>
              <w:right w:val="single" w:sz="4" w:space="0" w:color="auto"/>
            </w:tcBorders>
            <w:vAlign w:val="center"/>
          </w:tcPr>
          <w:p w14:paraId="4C1D7C64"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Aina N, 2023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{"citationID":"v8ag5H6c","properties":{"formattedCitation":"(19)","plainCitation":"(19)","dontUpdate":true,"noteIndex":0},"citationItems":[{"id":485,"uris":["http://zotero.org/users/14157373/items/9CB2KKM7"],"itemData":{"id":485,"type":"article-journal","abstract":"Background: Fever is defined as a rectal temperature of 100.4oF or more. It is a physiologic response characterized by an elevation of body temperature above normal variation. Fever is one of the common causes of medical consultation in children, responsible for 15%–25% of consultations in Pediatrics practice. Children with prolonged fever worry their parents and are a diagnostic challenge to pediatricians. Persistence of fever raises clinical queries towards diagnosis, especially in patients without identifiable focus. Children with a temperature of more than 38°C (100.4°F) recorded by a healthcare professional without any determined reason after at least 8 days of evaluation should be classified as having a “fever of unknown origin”. Most fevers with unknown causes usually have atypical presentations of common illnesses.  Case Presentation: We reviewed the case records of 9 children admitted to our pediatric ward with prolonged fever episodes from December 2021 to October 2022. They were diagnostic challenges for clinicians. In our cases, 2 children had scrub typhus, 1 was diagnosed with acute lymphoblastic leukemia, and 1 had multidrug-resistant typhoid fever. However, 2 patients remained with a fever of unknown origin. Three children were found to have coinfections and diagnosed with enteric fever with other coinfections like dengue, leptospirosis, and urinary tract infection. Cases 1, 2, and 9 had persistent fever despite appropriate antibiotics therapy based on sensitivity patterns, hence a significant diagnosis challenge. Cases 3 and 6 had initial diagnostic deviations due to their atypical presentations, and both cases were diagnosed as scrub typhus. After extensive evaluation, case 4 was diagnosed as malignancy (acute lymphoblastic leukemia). Cases 5 and 7 posed a diagnostic challenge: The causes were not found after extensive evaluation, and there was persistent fever after 10 days of admission. Hence, they were diagnosed as “fever of unknown origin”. Conclusions: A complete history and detailed examination are essential in evaluating pediatric illnesses. We have found that there might be deviators during disease evolution. We should not settle with a single diagnosis until a good clinical response is achieved and also consider alternative diagnoses or coinfections. Common causes of prolonged fever should be ruled out first. Coinfections should also be considered if there is no clinical response to treatment in a patient. A practical, systematic, and stepwise approach can be helpful with the assessment and management of prolonged fever in the pediatric age group.","container-title":"Journal of Pediatrics Review","DOI":"10.32598/jpr.11.3.1087.1","ISSN":"23224398, 23224401","issue":"3","journalAbbreviation":"JPR","page":"251-260","source":"Semantic Scholar","title":"Case Series of Prolonged Febrile Illness in Pediatric Age Group: A Diagnostic Challenge","title-short":"Case Series of Prolonged Febrile Illness in Pediatric Age Group","volume":"11","author":[{"literal":"Department of Pediatrics, Chettinad Hospital And Research Institute, Chettinad Academy of Research Education, Tamil Nadu, India."},{"family":"Aina","given":"Noorul"},{"family":"Dhayalan","given":"Indumathi"},{"literal":"Department of Pediatrics, Chettinad Hospital And Research Institute, Chettinad Academy of Research Education, Tamil Nadu, India."},{"family":"Vasudevan","given":"Jaishree"},{"literal":"Department of Pediatrics, Chettinad Hospital And Research Institute, Chettinad Academy of Research Education, Tamil Nadu, India."},{"family":"Mannu","given":"Alexander"},{"literal":"Department of Pediatrics, Chettinad Hospital And Research Institute, Chettinad Academy of Research Education, Tamil Nadu, India."},{"family":"Thiagarajan","given":"Kathir Subramanian"},{"literal":"Department of Pediatrics, Chettinad Hospital And Research Institute, Chettinad Academy of Research Education, Tamil Nadu, India."}],"issued":{"date-parts":[["2023",7,1]]}}}],"schema":"https://github.com/citation-style-language/schema/raw/master/csl-citation.json"}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(59)</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vAlign w:val="center"/>
          </w:tcPr>
          <w:p w14:paraId="0E8E526D"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71939913" w14:textId="4BF964A2"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w:t>
            </w:r>
          </w:p>
          <w:p w14:paraId="46645022"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w:t>
            </w:r>
          </w:p>
          <w:p w14:paraId="1163074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w:t>
            </w:r>
          </w:p>
          <w:p w14:paraId="1F1B5AAE"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p w14:paraId="2239D309" w14:textId="777292E9"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Tuberculosis, H1N1 Influenza</w:t>
            </w:r>
          </w:p>
        </w:tc>
        <w:tc>
          <w:tcPr>
            <w:tcW w:w="1560" w:type="dxa"/>
            <w:tcBorders>
              <w:top w:val="nil"/>
              <w:left w:val="nil"/>
              <w:bottom w:val="single" w:sz="4" w:space="0" w:color="auto"/>
              <w:right w:val="single" w:sz="4" w:space="0" w:color="auto"/>
            </w:tcBorders>
            <w:vAlign w:val="center"/>
          </w:tcPr>
          <w:p w14:paraId="1F61B76B" w14:textId="5E83A27E"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2267" w:type="dxa"/>
            <w:tcBorders>
              <w:top w:val="nil"/>
              <w:left w:val="nil"/>
              <w:bottom w:val="single" w:sz="4" w:space="0" w:color="auto"/>
              <w:right w:val="single" w:sz="4" w:space="0" w:color="auto"/>
            </w:tcBorders>
            <w:vAlign w:val="center"/>
          </w:tcPr>
          <w:p w14:paraId="09B598BB" w14:textId="13452AD4"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(2)</w:t>
            </w:r>
          </w:p>
          <w:p w14:paraId="16B0F0AA" w14:textId="1628896F"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Enteric fever (2)</w:t>
            </w:r>
          </w:p>
          <w:p w14:paraId="1D0D5C1D" w14:textId="33556AB4"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 (1)</w:t>
            </w:r>
          </w:p>
          <w:p w14:paraId="24937A69" w14:textId="2492FE4D"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Scrub typhus (2)</w:t>
            </w:r>
          </w:p>
          <w:p w14:paraId="02C651BA" w14:textId="4D6F715B" w:rsidR="005B72D8" w:rsidRPr="003E2940" w:rsidRDefault="005B72D8"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 (1)</w:t>
            </w:r>
          </w:p>
        </w:tc>
        <w:tc>
          <w:tcPr>
            <w:tcW w:w="1843" w:type="dxa"/>
            <w:tcBorders>
              <w:top w:val="nil"/>
              <w:left w:val="single" w:sz="4" w:space="0" w:color="auto"/>
              <w:bottom w:val="single" w:sz="4" w:space="0" w:color="auto"/>
              <w:right w:val="single" w:sz="4" w:space="0" w:color="auto"/>
            </w:tcBorders>
            <w:vAlign w:val="center"/>
          </w:tcPr>
          <w:p w14:paraId="0D39F57C" w14:textId="3960221B"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r>
      <w:tr w:rsidR="005B72D8" w:rsidRPr="003E2940" w14:paraId="3DDBF929" w14:textId="77777777" w:rsidTr="00E43DB0">
        <w:trPr>
          <w:trHeight w:val="360"/>
        </w:trPr>
        <w:tc>
          <w:tcPr>
            <w:tcW w:w="1838" w:type="dxa"/>
            <w:tcBorders>
              <w:top w:val="nil"/>
              <w:left w:val="single" w:sz="4" w:space="0" w:color="auto"/>
              <w:bottom w:val="single" w:sz="4" w:space="0" w:color="auto"/>
              <w:right w:val="single" w:sz="4" w:space="0" w:color="auto"/>
            </w:tcBorders>
            <w:vAlign w:val="center"/>
          </w:tcPr>
          <w:p w14:paraId="0C06F684"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Gupta N., 2022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{"citationID":"lz3NhXfN","properties":{"formattedCitation":"(39)","plainCitation":"(39)","dontUpdate":true,"noteIndex":0},"citationItems":[{"id":131,"uris":["http://zotero.org/users/14157373/items/BK9GVSYQ"],"itemData":{"id":131,"type":"article-journal","abstract":"During the monsoon season of 2020, the coastal areas of South India were endemic to both leptospirosis and coronavirus disease 2019 (COVID-19). This study aimed to investigate the clinical features and outcomes of patients infected with both infections. A retrospective review of charts of all patients with COVID-19 who were also diagnosed with leptospirosis by immunoglobulin M enzyme-linked immunosorbent assay was undertaken. The clinical features, laboratory report, treatment details, and outcomes of all the included patients were recorded. The collected data were summarized as the frequency with percentage for categorical data and the mean or median for continuous data. Twenty-four cases of coinfections were admitted between July and November 2020. Most of these patients were categorized as severe COVID-19 (n = 15, 62.5%). Acute kidney injury was seen in 79.2% (n = 19) patients, while raised bilirubin was present in 79.2% (n = 19) of the patients. All patients had raised C-reactive protein, while all but one had raised procalcitonin. Thrombocytopenia, leucocytosis, and leukocytopenia were seen in 91.7% (n = 22), 45.8% (n = 11), and 12.5% (n = 3) of the patients. The median duration of hospital stay was 11 (8.25-15) days. A total of 79.2% (n = 19) of the patients improved and were discharged, while 20.8% (n = 5) died during the hospital stay. In conclusion, patients with fever and atypical manifestations such as hepatic dysfunction, renal dysfunction, and thrombocytopenia should be evaluated for leptospirosis even if they are COVID positive.","container-title":"Journal of Medical Virology","DOI":"10.1002/jmv.27816","ISSN":"1096-9071","issue":"9","journalAbbreviation":"J Med Virol","language":"eng","note":"PMID: 35474463\nPMCID: PMC9088407","page":"4508-4511","source":"PubMed","title":"Coinfection of leptospirosis and coronavirus disease 2019: A retrospective case series from a coastal region in South India","title-short":"Coinfection of leptospirosis and coronavirus disease 2019","volume":"94","author":[{"family":"Gupta","given":"Nitin"},{"family":"Wilson","given":"William"},{"family":"Ravindra","given":"Prithvishree"},{"family":"Raghu","given":"Roshini"},{"family":"Saravu","given":"Kavitha"}],"issued":{"date-parts":[["2022",9]]}}}],"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(60)</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nil"/>
              <w:left w:val="nil"/>
              <w:bottom w:val="single" w:sz="4" w:space="0" w:color="auto"/>
              <w:right w:val="single" w:sz="4" w:space="0" w:color="auto"/>
            </w:tcBorders>
            <w:noWrap/>
            <w:vAlign w:val="center"/>
          </w:tcPr>
          <w:p w14:paraId="616404CB"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022BEC51" w14:textId="5518BE02" w:rsidR="005B72D8" w:rsidRPr="003E2940" w:rsidRDefault="005B72D8" w:rsidP="005B72D8">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COVID-19</w:t>
            </w:r>
          </w:p>
        </w:tc>
        <w:tc>
          <w:tcPr>
            <w:tcW w:w="1560" w:type="dxa"/>
            <w:tcBorders>
              <w:top w:val="nil"/>
              <w:left w:val="nil"/>
              <w:bottom w:val="single" w:sz="4" w:space="0" w:color="auto"/>
              <w:right w:val="single" w:sz="4" w:space="0" w:color="auto"/>
            </w:tcBorders>
            <w:noWrap/>
            <w:vAlign w:val="center"/>
          </w:tcPr>
          <w:p w14:paraId="6A15820A" w14:textId="6CF55894" w:rsidR="005B72D8" w:rsidRPr="003E2940" w:rsidRDefault="005B72D8" w:rsidP="005B72D8">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nil"/>
              <w:left w:val="nil"/>
              <w:bottom w:val="single" w:sz="4" w:space="0" w:color="auto"/>
              <w:right w:val="single" w:sz="4" w:space="0" w:color="auto"/>
            </w:tcBorders>
            <w:vAlign w:val="center"/>
          </w:tcPr>
          <w:p w14:paraId="67D6A0C9" w14:textId="6F6E138B"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(87)</w:t>
            </w:r>
          </w:p>
          <w:p w14:paraId="562AB6B0" w14:textId="3F2B498A"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COVID-19 (50)</w:t>
            </w:r>
          </w:p>
        </w:tc>
        <w:tc>
          <w:tcPr>
            <w:tcW w:w="1843" w:type="dxa"/>
            <w:tcBorders>
              <w:top w:val="nil"/>
              <w:left w:val="single" w:sz="4" w:space="0" w:color="auto"/>
              <w:bottom w:val="single" w:sz="4" w:space="0" w:color="auto"/>
              <w:right w:val="single" w:sz="4" w:space="0" w:color="auto"/>
            </w:tcBorders>
            <w:noWrap/>
            <w:vAlign w:val="center"/>
          </w:tcPr>
          <w:p w14:paraId="3FAF74D9" w14:textId="7AB56C81" w:rsidR="005B72D8" w:rsidRPr="003E2940" w:rsidRDefault="005B72D8" w:rsidP="005B72D8">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79DDBB6D" w14:textId="77777777" w:rsidTr="00E43DB0">
        <w:trPr>
          <w:trHeight w:val="360"/>
        </w:trPr>
        <w:tc>
          <w:tcPr>
            <w:tcW w:w="1838" w:type="dxa"/>
            <w:tcBorders>
              <w:top w:val="single" w:sz="4" w:space="0" w:color="auto"/>
              <w:left w:val="single" w:sz="4" w:space="0" w:color="auto"/>
              <w:bottom w:val="single" w:sz="4" w:space="0" w:color="auto"/>
              <w:right w:val="single" w:sz="4" w:space="0" w:color="auto"/>
            </w:tcBorders>
            <w:vAlign w:val="center"/>
          </w:tcPr>
          <w:p w14:paraId="13BCE8F3" w14:textId="461E1A93"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Gurjar, M., 2011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{"citationID":"l003jVLJ","properties":{"formattedCitation":"(57)","plainCitation":"(57)","noteIndex":0},"citationItems":[{"id":508,"uris":["http://zotero.org/users/14157373/items/2KNTJRQG"],"itemData":{"id":508,"type":"article-journal","abstract":"Though both malaria and leptospirosis are frequent in the tropics, co-infections are under-recognized due to overlapping of clinical features. Here, we reviewed clinical manifestations of published co-infection along with our three cases. Out of a total of 18 patients, nine patients (50%) required ICU admission. Almost all patients had prodromal symptoms in the form of fever, headache and myalgia. Seven patients (37%) had altered sensorium, three patients (17%) had hypotension at admission, and 11 patients (61%) had acute kidney injury (AKI). Pulmonary manifestations in the form of pulmonary bleeding were present in four cases (22%). Three (17%) patients had acute lung injury/ acute respiratory distress syndrome. Almost 55% patients had DIC in the form of altered prothrombin time, activated partial thromboplastin time and low fibrinogen level. Four patients (22%) had subconjuctival suffusion, two of them had haematuria, while one presented with nasal bleeding. All patients had altered liver function tests. Of all the 18 patients, 17 (94%) survived, while one died.","container-title":"Tropical Doctor","DOI":"10.1258/td.2011.110082","ISSN":"1758-1133","issue":"3","journalAbbreviation":"Trop Doct","language":"eng","note":"PMID: 21724689","page":"175-178","source":"PubMed","title":"Clinical manifestations of co-infection with malaria and leptospirosis","volume":"41","author":[{"family":"Gurjar","given":"Mohan"},{"family":"Saigal","given":"Saurabh"},{"family":"Baronia","given":"Arvind K."},{"family":"Azim","given":"Afzal"},{"family":"Poddar","given":"Banani"},{"family":"Singh","given":"Ratender K."}],"issued":{"date-parts":[["2011",7]]}}}],"schema":"https://github.com/citation-style-language/schema/raw/master/csl-citation.json"}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(61)</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0BEE5C50"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5258138C"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p w14:paraId="51415EC9" w14:textId="17F2BB54"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Dengue</w:t>
            </w:r>
          </w:p>
        </w:tc>
        <w:tc>
          <w:tcPr>
            <w:tcW w:w="1560" w:type="dxa"/>
            <w:tcBorders>
              <w:top w:val="single" w:sz="4" w:space="0" w:color="auto"/>
              <w:left w:val="nil"/>
              <w:bottom w:val="single" w:sz="4" w:space="0" w:color="auto"/>
              <w:right w:val="single" w:sz="4" w:space="0" w:color="auto"/>
            </w:tcBorders>
            <w:vAlign w:val="center"/>
          </w:tcPr>
          <w:p w14:paraId="53DE1AD0" w14:textId="56093458"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2267" w:type="dxa"/>
            <w:tcBorders>
              <w:top w:val="single" w:sz="4" w:space="0" w:color="auto"/>
              <w:left w:val="nil"/>
              <w:bottom w:val="single" w:sz="4" w:space="0" w:color="auto"/>
              <w:right w:val="single" w:sz="4" w:space="0" w:color="auto"/>
            </w:tcBorders>
            <w:vAlign w:val="center"/>
          </w:tcPr>
          <w:p w14:paraId="3A2A01F7"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(3)</w:t>
            </w:r>
          </w:p>
          <w:p w14:paraId="0AB77695" w14:textId="1541A608" w:rsidR="005B72D8" w:rsidRPr="003E2940" w:rsidRDefault="005B72D8" w:rsidP="00D12FB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(3)</w:t>
            </w:r>
          </w:p>
        </w:tc>
        <w:tc>
          <w:tcPr>
            <w:tcW w:w="1843" w:type="dxa"/>
            <w:tcBorders>
              <w:top w:val="single" w:sz="4" w:space="0" w:color="auto"/>
              <w:left w:val="single" w:sz="4" w:space="0" w:color="auto"/>
              <w:bottom w:val="single" w:sz="4" w:space="0" w:color="auto"/>
              <w:right w:val="single" w:sz="4" w:space="0" w:color="auto"/>
            </w:tcBorders>
            <w:vAlign w:val="center"/>
          </w:tcPr>
          <w:p w14:paraId="3B4CDD83" w14:textId="6795DF56"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5B72D8" w:rsidRPr="003E2940" w14:paraId="38497E8A" w14:textId="77777777" w:rsidTr="00E43DB0">
        <w:trPr>
          <w:trHeight w:val="360"/>
        </w:trPr>
        <w:tc>
          <w:tcPr>
            <w:tcW w:w="1838" w:type="dxa"/>
            <w:tcBorders>
              <w:top w:val="single" w:sz="4" w:space="0" w:color="auto"/>
              <w:left w:val="single" w:sz="4" w:space="0" w:color="auto"/>
              <w:bottom w:val="single" w:sz="4" w:space="0" w:color="auto"/>
              <w:right w:val="single" w:sz="4" w:space="0" w:color="auto"/>
            </w:tcBorders>
            <w:vAlign w:val="center"/>
          </w:tcPr>
          <w:p w14:paraId="128CBB1A"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Sharma S, 2014 </w:t>
            </w:r>
            <w:r w:rsidRPr="003E2940">
              <w:rPr>
                <w:rFonts w:ascii="Times New Roman" w:eastAsia="Times New Roman" w:hAnsi="Times New Roman" w:cs="Times New Roman"/>
                <w:kern w:val="0"/>
                <w:sz w:val="18"/>
                <w:szCs w:val="18"/>
                <w:lang w:eastAsia="en-IN"/>
                <w14:ligatures w14:val="none"/>
              </w:rPr>
              <w:fldChar w:fldCharType="begin"/>
            </w:r>
            <w:r w:rsidRPr="003E2940">
              <w:rPr>
                <w:rFonts w:ascii="Times New Roman" w:eastAsia="Times New Roman" w:hAnsi="Times New Roman" w:cs="Times New Roman"/>
                <w:kern w:val="0"/>
                <w:sz w:val="18"/>
                <w:szCs w:val="18"/>
                <w:lang w:eastAsia="en-IN"/>
                <w14:ligatures w14:val="none"/>
              </w:rPr>
              <w:instrText xml:space="preserve"> ADDIN ZOTERO_ITEM CSL_CITATION {"citationID":"FUY2GPDG","properties":{"formattedCitation":"(61)","plainCitation":"(61)","noteIndex":0},"citationItems":[{"id":119,"uris":["http://zotero.org/users/14157373/items/T56ESUIM"],"itemData":{"id":119,"type":"article-journal","abstract":"Malaria and leptospirosis are endemic in Andaman and Nicobar Islands. Malaria is common in a tribal area called Nicobar district and leptospirosis is mostly confined to South, North and Middle Andaman district. There has been an outbreak of febrile illness in Nancowry groups of Island under Nicobar district suspecting malaria. Clinically there were cases which also resemble leptospirosis. Malaria and leptospirosis are the common infection of tropics and their co-infection occurs. Blood samples were collected from patients with the history of febrile illness attending Community Health Centre (CHC), Nancowry, Nicobar district. A total of 132 blood samples were collected in between the age group of 18 to 53 years. The clinical specimens were subjected to rapid test malaria and Microscopic Agglutination Test (MAT) for leptospirosis following standard procedure and manufacturer instructions. The subjects were labourers from West Bengal who has come to Nancowry groups of Island for re-habitation. Ninety four (71%) samples were malaria positive among 132 patients. Plasmodium falciparum infection was seen in 34 (36%) cases followed by plasmodium vivαx in 12 (13%) cases. Among 132 samples anti-leptospiral antibody by MAT was observed in 12 (9%) patients. In eight (6%) samples malaria and leptospirosis co-infection was observed and vomiting was found to be the common symptom in both the infection. In the present study it has been observed malaria and leptospirosis co-infection exists in malaria endemic zone. This gives an idea that in malaria endemic zone a malaria positive case cannot be the sole cause of the infection and differential diagnosis can be done for other febrile illness cases. © 2014 Academic Journals Inc.","archive":"Scopus","container-title":"Research Journal of Microbiology","DOI":"10.3923/jm.2014.104.110","ISSN":"1816-4935","issue":"2","language":"English","page":"104-110","source":"Scopus","title":"Investigation of Malaria among Patients of Febrile Illness and Co-Infection with Leptospirosis in Andaman and Nicobar Islands, India","volume":"9","author":[{"family":"Sharma","given":"S."},{"family":"Mandal","given":"A."},{"family":"Vijayachari","given":"P."}],"issued":{"date-parts":[["2014"]]}}}],"schema":"https://github.com/citation-style-language/schema/raw/master/csl-citation.json"} </w:instrText>
            </w:r>
            <w:r w:rsidRPr="003E2940">
              <w:rPr>
                <w:rFonts w:ascii="Times New Roman" w:eastAsia="Times New Roman" w:hAnsi="Times New Roman" w:cs="Times New Roman"/>
                <w:kern w:val="0"/>
                <w:sz w:val="18"/>
                <w:szCs w:val="18"/>
                <w:lang w:eastAsia="en-IN"/>
                <w14:ligatures w14:val="none"/>
              </w:rPr>
              <w:fldChar w:fldCharType="separate"/>
            </w:r>
            <w:r w:rsidRPr="003E2940">
              <w:rPr>
                <w:rFonts w:ascii="Times New Roman" w:hAnsi="Times New Roman" w:cs="Times New Roman"/>
                <w:sz w:val="18"/>
              </w:rPr>
              <w:t>(62)</w:t>
            </w:r>
            <w:r w:rsidRPr="003E2940">
              <w:rPr>
                <w:rFonts w:ascii="Times New Roman" w:eastAsia="Times New Roman" w:hAnsi="Times New Roman" w:cs="Times New Roman"/>
                <w:kern w:val="0"/>
                <w:sz w:val="18"/>
                <w:szCs w:val="18"/>
                <w:lang w:eastAsia="en-IN"/>
                <w14:ligatures w14:val="none"/>
              </w:rPr>
              <w:fldChar w:fldCharType="end"/>
            </w:r>
          </w:p>
        </w:tc>
        <w:tc>
          <w:tcPr>
            <w:tcW w:w="2268" w:type="dxa"/>
            <w:tcBorders>
              <w:top w:val="single" w:sz="4" w:space="0" w:color="auto"/>
              <w:left w:val="nil"/>
              <w:bottom w:val="single" w:sz="4" w:space="0" w:color="auto"/>
              <w:right w:val="single" w:sz="4" w:space="0" w:color="auto"/>
            </w:tcBorders>
            <w:vAlign w:val="center"/>
          </w:tcPr>
          <w:p w14:paraId="50E28AD6" w14:textId="77777777"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w:t>
            </w:r>
          </w:p>
          <w:p w14:paraId="3BF28047" w14:textId="1DF51B4C"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w:t>
            </w:r>
          </w:p>
        </w:tc>
        <w:tc>
          <w:tcPr>
            <w:tcW w:w="1560" w:type="dxa"/>
            <w:tcBorders>
              <w:top w:val="single" w:sz="4" w:space="0" w:color="auto"/>
              <w:left w:val="nil"/>
              <w:bottom w:val="single" w:sz="4" w:space="0" w:color="auto"/>
              <w:right w:val="single" w:sz="4" w:space="0" w:color="auto"/>
            </w:tcBorders>
            <w:vAlign w:val="center"/>
          </w:tcPr>
          <w:p w14:paraId="61300799" w14:textId="15B5039A"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2267" w:type="dxa"/>
            <w:tcBorders>
              <w:top w:val="single" w:sz="4" w:space="0" w:color="auto"/>
              <w:left w:val="nil"/>
              <w:bottom w:val="single" w:sz="4" w:space="0" w:color="auto"/>
              <w:right w:val="single" w:sz="4" w:space="0" w:color="auto"/>
            </w:tcBorders>
            <w:vAlign w:val="center"/>
          </w:tcPr>
          <w:p w14:paraId="67606098" w14:textId="4536AA39"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Leptospirosis (12)</w:t>
            </w:r>
          </w:p>
          <w:p w14:paraId="0AA05054" w14:textId="2F125202"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Malaria (94)</w:t>
            </w:r>
          </w:p>
        </w:tc>
        <w:tc>
          <w:tcPr>
            <w:tcW w:w="1843" w:type="dxa"/>
            <w:tcBorders>
              <w:top w:val="single" w:sz="4" w:space="0" w:color="auto"/>
              <w:left w:val="single" w:sz="4" w:space="0" w:color="auto"/>
              <w:bottom w:val="single" w:sz="4" w:space="0" w:color="auto"/>
              <w:right w:val="single" w:sz="4" w:space="0" w:color="auto"/>
            </w:tcBorders>
            <w:vAlign w:val="center"/>
          </w:tcPr>
          <w:p w14:paraId="43364E87" w14:textId="5734C0C6" w:rsidR="005B72D8" w:rsidRPr="003E2940" w:rsidRDefault="005B72D8" w:rsidP="005B72D8">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bl>
    <w:p w14:paraId="75F4C998" w14:textId="77777777" w:rsidR="003D2B55" w:rsidRPr="003E2940" w:rsidRDefault="003D2B55"/>
    <w:p w14:paraId="2CC74CC8" w14:textId="77777777" w:rsidR="003D2B55" w:rsidRPr="003E2940" w:rsidRDefault="003D2B55" w:rsidP="00B77C7B">
      <w:pPr>
        <w:rPr>
          <w:rFonts w:ascii="Times New Roman" w:hAnsi="Times New Roman" w:cs="Times New Roman"/>
          <w:b/>
          <w:bCs/>
          <w:sz w:val="24"/>
          <w:szCs w:val="24"/>
        </w:rPr>
      </w:pPr>
    </w:p>
    <w:p w14:paraId="511B1638" w14:textId="77777777" w:rsidR="003D2B55" w:rsidRPr="003E2940" w:rsidRDefault="003D2B55" w:rsidP="00B77C7B">
      <w:pPr>
        <w:rPr>
          <w:rFonts w:ascii="Times New Roman" w:hAnsi="Times New Roman" w:cs="Times New Roman"/>
          <w:b/>
          <w:bCs/>
          <w:sz w:val="24"/>
          <w:szCs w:val="24"/>
        </w:rPr>
      </w:pPr>
    </w:p>
    <w:p w14:paraId="2FE66FBB" w14:textId="77777777" w:rsidR="003D2B55" w:rsidRPr="003E2940" w:rsidRDefault="003D2B55" w:rsidP="00B77C7B">
      <w:pPr>
        <w:rPr>
          <w:rFonts w:ascii="Times New Roman" w:hAnsi="Times New Roman" w:cs="Times New Roman"/>
          <w:b/>
          <w:bCs/>
          <w:sz w:val="24"/>
          <w:szCs w:val="24"/>
        </w:rPr>
      </w:pPr>
    </w:p>
    <w:p w14:paraId="15C73592" w14:textId="77777777" w:rsidR="003D2B55" w:rsidRPr="003E2940" w:rsidRDefault="003D2B55" w:rsidP="00B77C7B">
      <w:pPr>
        <w:rPr>
          <w:rFonts w:ascii="Times New Roman" w:hAnsi="Times New Roman" w:cs="Times New Roman"/>
          <w:b/>
          <w:bCs/>
          <w:sz w:val="24"/>
          <w:szCs w:val="24"/>
        </w:rPr>
      </w:pPr>
    </w:p>
    <w:p w14:paraId="719F20C4" w14:textId="77777777" w:rsidR="003D2B55" w:rsidRPr="003E2940" w:rsidRDefault="003D2B55" w:rsidP="00B77C7B">
      <w:pPr>
        <w:rPr>
          <w:rFonts w:ascii="Times New Roman" w:hAnsi="Times New Roman" w:cs="Times New Roman"/>
          <w:b/>
          <w:bCs/>
          <w:sz w:val="24"/>
          <w:szCs w:val="24"/>
        </w:rPr>
      </w:pPr>
    </w:p>
    <w:p w14:paraId="50AD12AC" w14:textId="77777777" w:rsidR="003D2B55" w:rsidRPr="003E2940" w:rsidRDefault="003D2B55" w:rsidP="00B77C7B">
      <w:pPr>
        <w:rPr>
          <w:rFonts w:ascii="Times New Roman" w:hAnsi="Times New Roman" w:cs="Times New Roman"/>
          <w:b/>
          <w:bCs/>
          <w:sz w:val="24"/>
          <w:szCs w:val="24"/>
        </w:rPr>
      </w:pPr>
    </w:p>
    <w:p w14:paraId="42561509" w14:textId="77777777" w:rsidR="003D2B55" w:rsidRPr="003E2940" w:rsidRDefault="003D2B55" w:rsidP="00B77C7B">
      <w:pPr>
        <w:rPr>
          <w:rFonts w:ascii="Times New Roman" w:hAnsi="Times New Roman" w:cs="Times New Roman"/>
          <w:b/>
          <w:bCs/>
          <w:sz w:val="24"/>
          <w:szCs w:val="24"/>
        </w:rPr>
      </w:pPr>
    </w:p>
    <w:p w14:paraId="58BAC9A7" w14:textId="77777777" w:rsidR="003D2B55" w:rsidRPr="003E2940" w:rsidRDefault="003D2B55" w:rsidP="00B77C7B">
      <w:pPr>
        <w:rPr>
          <w:rFonts w:ascii="Times New Roman" w:hAnsi="Times New Roman" w:cs="Times New Roman"/>
          <w:b/>
          <w:bCs/>
          <w:sz w:val="24"/>
          <w:szCs w:val="24"/>
        </w:rPr>
      </w:pPr>
    </w:p>
    <w:p w14:paraId="31D316E4" w14:textId="77777777" w:rsidR="005C10B9" w:rsidRPr="003E2940" w:rsidRDefault="005C10B9" w:rsidP="00B77C7B">
      <w:pPr>
        <w:rPr>
          <w:rFonts w:ascii="Times New Roman" w:hAnsi="Times New Roman" w:cs="Times New Roman"/>
          <w:b/>
          <w:bCs/>
          <w:sz w:val="24"/>
          <w:szCs w:val="24"/>
        </w:rPr>
      </w:pPr>
    </w:p>
    <w:p w14:paraId="49AEE1D3" w14:textId="7DF0DC2E" w:rsidR="00B77C7B" w:rsidRPr="003E2940" w:rsidRDefault="00B77C7B" w:rsidP="00B77C7B">
      <w:pPr>
        <w:rPr>
          <w:rFonts w:ascii="Times New Roman" w:hAnsi="Times New Roman" w:cs="Times New Roman"/>
          <w:b/>
          <w:bCs/>
          <w:sz w:val="24"/>
          <w:szCs w:val="24"/>
        </w:rPr>
      </w:pPr>
      <w:r w:rsidRPr="003E2940">
        <w:rPr>
          <w:rFonts w:ascii="Times New Roman" w:hAnsi="Times New Roman" w:cs="Times New Roman"/>
          <w:b/>
          <w:bCs/>
          <w:sz w:val="24"/>
          <w:szCs w:val="24"/>
        </w:rPr>
        <w:lastRenderedPageBreak/>
        <w:t xml:space="preserve">Table </w:t>
      </w:r>
      <w:r w:rsidR="00865BC7">
        <w:rPr>
          <w:rFonts w:ascii="Times New Roman" w:hAnsi="Times New Roman" w:cs="Times New Roman"/>
          <w:b/>
          <w:bCs/>
          <w:sz w:val="24"/>
          <w:szCs w:val="24"/>
        </w:rPr>
        <w:t>S</w:t>
      </w:r>
      <w:r w:rsidR="001F6CBB" w:rsidRPr="003E2940">
        <w:rPr>
          <w:rFonts w:ascii="Times New Roman" w:hAnsi="Times New Roman" w:cs="Times New Roman"/>
          <w:b/>
          <w:bCs/>
          <w:sz w:val="24"/>
          <w:szCs w:val="24"/>
        </w:rPr>
        <w:t>6</w:t>
      </w:r>
      <w:r w:rsidRPr="003E2940">
        <w:rPr>
          <w:rFonts w:ascii="Times New Roman" w:hAnsi="Times New Roman" w:cs="Times New Roman"/>
          <w:b/>
          <w:bCs/>
          <w:sz w:val="24"/>
          <w:szCs w:val="24"/>
        </w:rPr>
        <w:t>: Clinical symptoms in patients with leptospirosis coinfection</w:t>
      </w:r>
    </w:p>
    <w:p w14:paraId="309FC717" w14:textId="77777777" w:rsidR="00D12FBB" w:rsidRPr="003E2940" w:rsidRDefault="00D12FBB" w:rsidP="00092C68">
      <w:pPr>
        <w:rPr>
          <w:rFonts w:ascii="Times New Roman" w:hAnsi="Times New Roman" w:cs="Times New Roman"/>
          <w:b/>
          <w:bCs/>
          <w:sz w:val="24"/>
          <w:szCs w:val="24"/>
        </w:rPr>
      </w:pPr>
    </w:p>
    <w:tbl>
      <w:tblPr>
        <w:tblStyle w:val="TableGrid"/>
        <w:tblpPr w:leftFromText="180" w:rightFromText="180" w:vertAnchor="page" w:horzAnchor="margin" w:tblpXSpec="center" w:tblpY="1755"/>
        <w:tblW w:w="10761" w:type="dxa"/>
        <w:tblLayout w:type="fixed"/>
        <w:tblLook w:val="04A0" w:firstRow="1" w:lastRow="0" w:firstColumn="1" w:lastColumn="0" w:noHBand="0" w:noVBand="1"/>
      </w:tblPr>
      <w:tblGrid>
        <w:gridCol w:w="1271"/>
        <w:gridCol w:w="851"/>
        <w:gridCol w:w="992"/>
        <w:gridCol w:w="567"/>
        <w:gridCol w:w="426"/>
        <w:gridCol w:w="425"/>
        <w:gridCol w:w="567"/>
        <w:gridCol w:w="550"/>
        <w:gridCol w:w="567"/>
        <w:gridCol w:w="567"/>
        <w:gridCol w:w="562"/>
        <w:gridCol w:w="571"/>
        <w:gridCol w:w="560"/>
        <w:gridCol w:w="584"/>
        <w:gridCol w:w="567"/>
        <w:gridCol w:w="567"/>
        <w:gridCol w:w="567"/>
      </w:tblGrid>
      <w:tr w:rsidR="005C10B9" w:rsidRPr="003E2940" w14:paraId="2E35FFF9" w14:textId="77777777" w:rsidTr="005C10B9">
        <w:trPr>
          <w:cantSplit/>
          <w:trHeight w:val="1266"/>
        </w:trPr>
        <w:tc>
          <w:tcPr>
            <w:tcW w:w="1271" w:type="dxa"/>
            <w:textDirection w:val="btLr"/>
            <w:vAlign w:val="center"/>
            <w:hideMark/>
          </w:tcPr>
          <w:p w14:paraId="536BB876"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Author/Year</w:t>
            </w:r>
          </w:p>
        </w:tc>
        <w:tc>
          <w:tcPr>
            <w:tcW w:w="851" w:type="dxa"/>
            <w:textDirection w:val="btLr"/>
            <w:vAlign w:val="center"/>
            <w:hideMark/>
          </w:tcPr>
          <w:p w14:paraId="669062A7"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Leptospirosis positive cases (n=879)</w:t>
            </w:r>
          </w:p>
        </w:tc>
        <w:tc>
          <w:tcPr>
            <w:tcW w:w="992" w:type="dxa"/>
            <w:textDirection w:val="btLr"/>
            <w:vAlign w:val="center"/>
            <w:hideMark/>
          </w:tcPr>
          <w:p w14:paraId="4C258E10"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No. of patients with Co-infections (n=121)</w:t>
            </w:r>
          </w:p>
        </w:tc>
        <w:tc>
          <w:tcPr>
            <w:tcW w:w="567" w:type="dxa"/>
            <w:textDirection w:val="btLr"/>
            <w:vAlign w:val="center"/>
            <w:hideMark/>
          </w:tcPr>
          <w:p w14:paraId="57C7DD25"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Fever</w:t>
            </w:r>
          </w:p>
        </w:tc>
        <w:tc>
          <w:tcPr>
            <w:tcW w:w="426" w:type="dxa"/>
            <w:textDirection w:val="btLr"/>
            <w:vAlign w:val="center"/>
            <w:hideMark/>
          </w:tcPr>
          <w:p w14:paraId="297BAC69"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Chills</w:t>
            </w:r>
          </w:p>
        </w:tc>
        <w:tc>
          <w:tcPr>
            <w:tcW w:w="425" w:type="dxa"/>
            <w:textDirection w:val="btLr"/>
            <w:vAlign w:val="center"/>
            <w:hideMark/>
          </w:tcPr>
          <w:p w14:paraId="0891F511"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Cough</w:t>
            </w:r>
          </w:p>
        </w:tc>
        <w:tc>
          <w:tcPr>
            <w:tcW w:w="567" w:type="dxa"/>
            <w:textDirection w:val="btLr"/>
            <w:vAlign w:val="center"/>
            <w:hideMark/>
          </w:tcPr>
          <w:p w14:paraId="62733423"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Headache</w:t>
            </w:r>
          </w:p>
        </w:tc>
        <w:tc>
          <w:tcPr>
            <w:tcW w:w="550" w:type="dxa"/>
            <w:textDirection w:val="btLr"/>
            <w:vAlign w:val="center"/>
            <w:hideMark/>
          </w:tcPr>
          <w:p w14:paraId="78A40DEF"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Vomiting</w:t>
            </w:r>
          </w:p>
        </w:tc>
        <w:tc>
          <w:tcPr>
            <w:tcW w:w="567" w:type="dxa"/>
            <w:textDirection w:val="btLr"/>
            <w:vAlign w:val="center"/>
            <w:hideMark/>
          </w:tcPr>
          <w:p w14:paraId="48B78741"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Abdominal pain</w:t>
            </w:r>
          </w:p>
        </w:tc>
        <w:tc>
          <w:tcPr>
            <w:tcW w:w="567" w:type="dxa"/>
            <w:textDirection w:val="btLr"/>
            <w:vAlign w:val="center"/>
            <w:hideMark/>
          </w:tcPr>
          <w:p w14:paraId="43CCA526"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Diarrhea</w:t>
            </w:r>
          </w:p>
        </w:tc>
        <w:tc>
          <w:tcPr>
            <w:tcW w:w="562" w:type="dxa"/>
            <w:textDirection w:val="btLr"/>
            <w:vAlign w:val="center"/>
            <w:hideMark/>
          </w:tcPr>
          <w:p w14:paraId="1CE88929"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Dyspnea</w:t>
            </w:r>
          </w:p>
        </w:tc>
        <w:tc>
          <w:tcPr>
            <w:tcW w:w="571" w:type="dxa"/>
            <w:textDirection w:val="btLr"/>
            <w:vAlign w:val="center"/>
            <w:hideMark/>
          </w:tcPr>
          <w:p w14:paraId="1FE2A205"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Oliguria</w:t>
            </w:r>
          </w:p>
        </w:tc>
        <w:tc>
          <w:tcPr>
            <w:tcW w:w="560" w:type="dxa"/>
            <w:textDirection w:val="btLr"/>
            <w:vAlign w:val="center"/>
            <w:hideMark/>
          </w:tcPr>
          <w:p w14:paraId="546E4F2A"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Altered sensorium</w:t>
            </w:r>
          </w:p>
        </w:tc>
        <w:tc>
          <w:tcPr>
            <w:tcW w:w="584" w:type="dxa"/>
            <w:textDirection w:val="btLr"/>
            <w:vAlign w:val="center"/>
            <w:hideMark/>
          </w:tcPr>
          <w:p w14:paraId="26DFE4B0"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Lymphadenopathy</w:t>
            </w:r>
          </w:p>
        </w:tc>
        <w:tc>
          <w:tcPr>
            <w:tcW w:w="567" w:type="dxa"/>
            <w:textDirection w:val="btLr"/>
          </w:tcPr>
          <w:p w14:paraId="7654F306"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AKI</w:t>
            </w:r>
          </w:p>
        </w:tc>
        <w:tc>
          <w:tcPr>
            <w:tcW w:w="567" w:type="dxa"/>
            <w:textDirection w:val="btLr"/>
          </w:tcPr>
          <w:p w14:paraId="33FC2B23"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DM</w:t>
            </w:r>
          </w:p>
        </w:tc>
        <w:tc>
          <w:tcPr>
            <w:tcW w:w="567" w:type="dxa"/>
            <w:textDirection w:val="btLr"/>
          </w:tcPr>
          <w:p w14:paraId="6C0F9E3A" w14:textId="77777777" w:rsidR="005C10B9" w:rsidRPr="003E2940" w:rsidRDefault="005C10B9" w:rsidP="005C10B9">
            <w:pPr>
              <w:ind w:left="113" w:right="113"/>
              <w:jc w:val="center"/>
              <w:rPr>
                <w:rFonts w:ascii="Times New Roman" w:hAnsi="Times New Roman" w:cs="Times New Roman"/>
                <w:b/>
                <w:bCs/>
                <w:sz w:val="18"/>
                <w:szCs w:val="18"/>
              </w:rPr>
            </w:pPr>
            <w:r w:rsidRPr="003E2940">
              <w:rPr>
                <w:rFonts w:ascii="Times New Roman" w:hAnsi="Times New Roman" w:cs="Times New Roman"/>
                <w:b/>
                <w:bCs/>
                <w:sz w:val="18"/>
                <w:szCs w:val="18"/>
              </w:rPr>
              <w:t>HTN</w:t>
            </w:r>
          </w:p>
        </w:tc>
      </w:tr>
      <w:tr w:rsidR="005C10B9" w:rsidRPr="003E2940" w14:paraId="351C5D3F" w14:textId="77777777" w:rsidTr="005C10B9">
        <w:trPr>
          <w:trHeight w:val="290"/>
        </w:trPr>
        <w:tc>
          <w:tcPr>
            <w:tcW w:w="1271" w:type="dxa"/>
            <w:vAlign w:val="center"/>
          </w:tcPr>
          <w:p w14:paraId="68A9B25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Shiddapur, G, 2024 </w:t>
            </w:r>
          </w:p>
        </w:tc>
        <w:tc>
          <w:tcPr>
            <w:tcW w:w="851" w:type="dxa"/>
            <w:vAlign w:val="center"/>
          </w:tcPr>
          <w:p w14:paraId="512ADCD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7466F0E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C34D51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01DFA0E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7B2CBE0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E839D1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1A2D635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A4852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38D03F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73DD10E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02DF9F9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57FABDA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84" w:type="dxa"/>
            <w:vAlign w:val="center"/>
          </w:tcPr>
          <w:p w14:paraId="494B4A7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873FBE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49312B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94131B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0E3F767C" w14:textId="77777777" w:rsidTr="005C10B9">
        <w:trPr>
          <w:trHeight w:val="360"/>
        </w:trPr>
        <w:tc>
          <w:tcPr>
            <w:tcW w:w="1271" w:type="dxa"/>
            <w:vAlign w:val="center"/>
          </w:tcPr>
          <w:p w14:paraId="1C31FCB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Nazeera NN, 2024 </w:t>
            </w:r>
          </w:p>
        </w:tc>
        <w:tc>
          <w:tcPr>
            <w:tcW w:w="851" w:type="dxa"/>
            <w:vAlign w:val="center"/>
          </w:tcPr>
          <w:p w14:paraId="44B91FF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0D0B5F7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85ABFF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1C83F94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0DFE93E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A7DA5F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50" w:type="dxa"/>
            <w:vAlign w:val="center"/>
          </w:tcPr>
          <w:p w14:paraId="4155D24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470888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C33106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0E099D2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21DDE70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58F51B4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4E23AEC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9F4250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63CCA7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52F2F8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64B2C58A" w14:textId="77777777" w:rsidTr="005C10B9">
        <w:trPr>
          <w:trHeight w:val="290"/>
        </w:trPr>
        <w:tc>
          <w:tcPr>
            <w:tcW w:w="1271" w:type="dxa"/>
            <w:vAlign w:val="center"/>
          </w:tcPr>
          <w:p w14:paraId="33B1331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Shiddapur, G, 2024 </w:t>
            </w:r>
          </w:p>
        </w:tc>
        <w:tc>
          <w:tcPr>
            <w:tcW w:w="851" w:type="dxa"/>
            <w:vAlign w:val="center"/>
          </w:tcPr>
          <w:p w14:paraId="30029EA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6F8C37B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1424E4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17C2021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08D6EF6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8ABA52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50" w:type="dxa"/>
            <w:vAlign w:val="center"/>
          </w:tcPr>
          <w:p w14:paraId="2BEB955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7CE2CF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B9EBB5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385F5B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71" w:type="dxa"/>
            <w:vAlign w:val="center"/>
          </w:tcPr>
          <w:p w14:paraId="2531142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66DFC4E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3190F75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16D3A9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66C997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F48BE2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2B4E7E88" w14:textId="77777777" w:rsidTr="005C10B9">
        <w:trPr>
          <w:trHeight w:val="290"/>
        </w:trPr>
        <w:tc>
          <w:tcPr>
            <w:tcW w:w="1271" w:type="dxa"/>
            <w:vAlign w:val="center"/>
          </w:tcPr>
          <w:p w14:paraId="395118E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Aina, N, 2023 </w:t>
            </w:r>
          </w:p>
        </w:tc>
        <w:tc>
          <w:tcPr>
            <w:tcW w:w="851" w:type="dxa"/>
            <w:noWrap/>
            <w:vAlign w:val="center"/>
          </w:tcPr>
          <w:p w14:paraId="7734FA4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992" w:type="dxa"/>
            <w:noWrap/>
            <w:vAlign w:val="center"/>
          </w:tcPr>
          <w:p w14:paraId="4671937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567" w:type="dxa"/>
            <w:vAlign w:val="center"/>
          </w:tcPr>
          <w:p w14:paraId="0E33F04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426" w:type="dxa"/>
            <w:vAlign w:val="center"/>
          </w:tcPr>
          <w:p w14:paraId="7995099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59EAC9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351087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50" w:type="dxa"/>
            <w:vAlign w:val="center"/>
          </w:tcPr>
          <w:p w14:paraId="26BF43C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567" w:type="dxa"/>
            <w:vAlign w:val="center"/>
          </w:tcPr>
          <w:p w14:paraId="1298151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6F6EE1F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2" w:type="dxa"/>
            <w:vAlign w:val="center"/>
          </w:tcPr>
          <w:p w14:paraId="0BE0625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3A290C0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53BE53E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47A4F6E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EA16BD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1B2E21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6991F3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6F30A9C2" w14:textId="77777777" w:rsidTr="005C10B9">
        <w:trPr>
          <w:trHeight w:val="290"/>
        </w:trPr>
        <w:tc>
          <w:tcPr>
            <w:tcW w:w="1271" w:type="dxa"/>
            <w:vAlign w:val="center"/>
          </w:tcPr>
          <w:p w14:paraId="7D58F82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Saboo K, 2023 </w:t>
            </w:r>
          </w:p>
        </w:tc>
        <w:tc>
          <w:tcPr>
            <w:tcW w:w="851" w:type="dxa"/>
            <w:noWrap/>
            <w:vAlign w:val="center"/>
          </w:tcPr>
          <w:p w14:paraId="5935CF3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005AFDA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DC1712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411F4A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8751F3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03C433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50" w:type="dxa"/>
            <w:vAlign w:val="center"/>
          </w:tcPr>
          <w:p w14:paraId="52ECAAC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C60FE9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013E6B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6859CC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2EDBF93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47F3E5E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84" w:type="dxa"/>
            <w:vAlign w:val="center"/>
          </w:tcPr>
          <w:p w14:paraId="72C6C61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EAA935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0E4080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71441E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285D8E02" w14:textId="77777777" w:rsidTr="005C10B9">
        <w:trPr>
          <w:trHeight w:val="290"/>
        </w:trPr>
        <w:tc>
          <w:tcPr>
            <w:tcW w:w="1271" w:type="dxa"/>
            <w:vAlign w:val="center"/>
          </w:tcPr>
          <w:p w14:paraId="38ED6C4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Hareshkumar CN, 2022 </w:t>
            </w:r>
          </w:p>
        </w:tc>
        <w:tc>
          <w:tcPr>
            <w:tcW w:w="851" w:type="dxa"/>
            <w:noWrap/>
            <w:vAlign w:val="center"/>
          </w:tcPr>
          <w:p w14:paraId="0760339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10A8FAF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DB14D1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55E675D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0544A6A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5BB43A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6C1FC48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9C3148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BF6922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D527EB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10D53A6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5F2F6E1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84" w:type="dxa"/>
            <w:vAlign w:val="center"/>
          </w:tcPr>
          <w:p w14:paraId="399F6A4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3BD24A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A33BBA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DB2330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r>
      <w:tr w:rsidR="005C10B9" w:rsidRPr="003E2940" w14:paraId="24639950" w14:textId="77777777" w:rsidTr="005C10B9">
        <w:trPr>
          <w:trHeight w:val="290"/>
        </w:trPr>
        <w:tc>
          <w:tcPr>
            <w:tcW w:w="1271" w:type="dxa"/>
            <w:vAlign w:val="center"/>
          </w:tcPr>
          <w:p w14:paraId="281DA81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Gupta, N., 2022 </w:t>
            </w:r>
          </w:p>
        </w:tc>
        <w:tc>
          <w:tcPr>
            <w:tcW w:w="851" w:type="dxa"/>
            <w:noWrap/>
            <w:vAlign w:val="center"/>
          </w:tcPr>
          <w:p w14:paraId="14C71BA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87</w:t>
            </w:r>
          </w:p>
        </w:tc>
        <w:tc>
          <w:tcPr>
            <w:tcW w:w="992" w:type="dxa"/>
            <w:vAlign w:val="center"/>
          </w:tcPr>
          <w:p w14:paraId="357CBB9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24</w:t>
            </w:r>
          </w:p>
        </w:tc>
        <w:tc>
          <w:tcPr>
            <w:tcW w:w="567" w:type="dxa"/>
            <w:vAlign w:val="center"/>
          </w:tcPr>
          <w:p w14:paraId="0D34AB1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24</w:t>
            </w:r>
          </w:p>
        </w:tc>
        <w:tc>
          <w:tcPr>
            <w:tcW w:w="426" w:type="dxa"/>
            <w:vAlign w:val="center"/>
          </w:tcPr>
          <w:p w14:paraId="3893EC5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1DDEA9C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224583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4759FC4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230A4C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11</w:t>
            </w:r>
          </w:p>
        </w:tc>
        <w:tc>
          <w:tcPr>
            <w:tcW w:w="567" w:type="dxa"/>
            <w:vAlign w:val="center"/>
          </w:tcPr>
          <w:p w14:paraId="7F2F88B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7</w:t>
            </w:r>
          </w:p>
        </w:tc>
        <w:tc>
          <w:tcPr>
            <w:tcW w:w="562" w:type="dxa"/>
            <w:vAlign w:val="center"/>
          </w:tcPr>
          <w:p w14:paraId="5D9BD2E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16</w:t>
            </w:r>
          </w:p>
        </w:tc>
        <w:tc>
          <w:tcPr>
            <w:tcW w:w="571" w:type="dxa"/>
            <w:vAlign w:val="center"/>
          </w:tcPr>
          <w:p w14:paraId="3DF7CC3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6661B54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4D73CB6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E4EA56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A2D283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16D2CF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0C1B9818" w14:textId="77777777" w:rsidTr="005C10B9">
        <w:trPr>
          <w:trHeight w:val="290"/>
        </w:trPr>
        <w:tc>
          <w:tcPr>
            <w:tcW w:w="1271" w:type="dxa"/>
            <w:vAlign w:val="center"/>
          </w:tcPr>
          <w:p w14:paraId="1BFD5CC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Singh Y, 2022</w:t>
            </w:r>
          </w:p>
        </w:tc>
        <w:tc>
          <w:tcPr>
            <w:tcW w:w="851" w:type="dxa"/>
            <w:noWrap/>
            <w:vAlign w:val="center"/>
          </w:tcPr>
          <w:p w14:paraId="61DCA8B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6941425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79A862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4E1966C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3F87B2C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53E1A29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1227DDE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E78358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4AAD47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28A4965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71" w:type="dxa"/>
            <w:vAlign w:val="center"/>
          </w:tcPr>
          <w:p w14:paraId="4D2876A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245C9F7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105F487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26ADC3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488ED03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9D5DA1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r>
      <w:tr w:rsidR="005C10B9" w:rsidRPr="003E2940" w14:paraId="73424C96" w14:textId="77777777" w:rsidTr="005C10B9">
        <w:trPr>
          <w:trHeight w:val="290"/>
        </w:trPr>
        <w:tc>
          <w:tcPr>
            <w:tcW w:w="1271" w:type="dxa"/>
            <w:vAlign w:val="center"/>
          </w:tcPr>
          <w:p w14:paraId="19A6830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Singh, A,2021 </w:t>
            </w:r>
          </w:p>
        </w:tc>
        <w:tc>
          <w:tcPr>
            <w:tcW w:w="851" w:type="dxa"/>
            <w:noWrap/>
            <w:vAlign w:val="center"/>
          </w:tcPr>
          <w:p w14:paraId="23FC45E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noWrap/>
            <w:vAlign w:val="center"/>
          </w:tcPr>
          <w:p w14:paraId="2012A3E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625DD5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75A8E39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B30E0C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D2C8EC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416F648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9716EC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FB2D3C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4A73683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4870CCA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2A6927D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1F2A743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ABA422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688543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712B1F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2B4CD579" w14:textId="77777777" w:rsidTr="005C10B9">
        <w:trPr>
          <w:trHeight w:val="290"/>
        </w:trPr>
        <w:tc>
          <w:tcPr>
            <w:tcW w:w="1271" w:type="dxa"/>
            <w:vAlign w:val="center"/>
          </w:tcPr>
          <w:p w14:paraId="5180F9F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Dhanashree, B., 2021 </w:t>
            </w:r>
          </w:p>
        </w:tc>
        <w:tc>
          <w:tcPr>
            <w:tcW w:w="851" w:type="dxa"/>
            <w:vAlign w:val="center"/>
          </w:tcPr>
          <w:p w14:paraId="5C038DD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119</w:t>
            </w:r>
          </w:p>
        </w:tc>
        <w:tc>
          <w:tcPr>
            <w:tcW w:w="992" w:type="dxa"/>
            <w:vAlign w:val="center"/>
          </w:tcPr>
          <w:p w14:paraId="0F665C8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9</w:t>
            </w:r>
          </w:p>
        </w:tc>
        <w:tc>
          <w:tcPr>
            <w:tcW w:w="567" w:type="dxa"/>
            <w:vAlign w:val="center"/>
          </w:tcPr>
          <w:p w14:paraId="64F7BF6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9</w:t>
            </w:r>
          </w:p>
        </w:tc>
        <w:tc>
          <w:tcPr>
            <w:tcW w:w="426" w:type="dxa"/>
            <w:vAlign w:val="center"/>
          </w:tcPr>
          <w:p w14:paraId="0F773DB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C8696A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24D647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50" w:type="dxa"/>
            <w:vAlign w:val="center"/>
          </w:tcPr>
          <w:p w14:paraId="6E14429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A4C2D8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77C1A5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F0C5F1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48A7DDA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6AEE23D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4CE2758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6C2B3E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567" w:type="dxa"/>
            <w:vAlign w:val="center"/>
          </w:tcPr>
          <w:p w14:paraId="167C56D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B1B8F1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713AA5EF" w14:textId="77777777" w:rsidTr="005C10B9">
        <w:trPr>
          <w:trHeight w:val="370"/>
        </w:trPr>
        <w:tc>
          <w:tcPr>
            <w:tcW w:w="1271" w:type="dxa"/>
            <w:vAlign w:val="center"/>
          </w:tcPr>
          <w:p w14:paraId="3DA6495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Kharibam, P., 2021 </w:t>
            </w:r>
          </w:p>
        </w:tc>
        <w:tc>
          <w:tcPr>
            <w:tcW w:w="851" w:type="dxa"/>
            <w:vAlign w:val="center"/>
          </w:tcPr>
          <w:p w14:paraId="2F57716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48A6797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58EF6D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48A1694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7351BA3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160B00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154D1E3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4A8CBD2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1441829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303AE91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F0DE1B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3298FDB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32499C2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CF8AC7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AFCDCF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1B6E9F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76514064" w14:textId="77777777" w:rsidTr="005C10B9">
        <w:trPr>
          <w:trHeight w:val="370"/>
        </w:trPr>
        <w:tc>
          <w:tcPr>
            <w:tcW w:w="1271" w:type="dxa"/>
            <w:vAlign w:val="center"/>
          </w:tcPr>
          <w:p w14:paraId="71FCAFA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Dev, N., 2019 </w:t>
            </w:r>
          </w:p>
        </w:tc>
        <w:tc>
          <w:tcPr>
            <w:tcW w:w="851" w:type="dxa"/>
            <w:vAlign w:val="center"/>
          </w:tcPr>
          <w:p w14:paraId="05EC180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4D6377F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BFE6FB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6B10744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714AB06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95F023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2CE4CFD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1077A5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6EC939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CE73F6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7E7939B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0BA760A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2F34557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5BF8BC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062FB9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05A613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52D2B495" w14:textId="77777777" w:rsidTr="005C10B9">
        <w:trPr>
          <w:trHeight w:val="320"/>
        </w:trPr>
        <w:tc>
          <w:tcPr>
            <w:tcW w:w="1271" w:type="dxa"/>
            <w:vAlign w:val="center"/>
          </w:tcPr>
          <w:p w14:paraId="2620375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Mehta. V, 2019 </w:t>
            </w:r>
          </w:p>
        </w:tc>
        <w:tc>
          <w:tcPr>
            <w:tcW w:w="851" w:type="dxa"/>
            <w:vAlign w:val="center"/>
          </w:tcPr>
          <w:p w14:paraId="3CF8A82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2A57B0F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12BE00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0B3F05A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0BC9851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D04382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35EC3D5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42F97E0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863D8E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2" w:type="dxa"/>
            <w:vAlign w:val="center"/>
          </w:tcPr>
          <w:p w14:paraId="29862A3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1B0EF85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285B0D4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84" w:type="dxa"/>
            <w:vAlign w:val="center"/>
          </w:tcPr>
          <w:p w14:paraId="481A5D6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67DF9C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19E349F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F985A7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0BD06324" w14:textId="77777777" w:rsidTr="005C10B9">
        <w:trPr>
          <w:trHeight w:val="389"/>
        </w:trPr>
        <w:tc>
          <w:tcPr>
            <w:tcW w:w="1271" w:type="dxa"/>
            <w:vAlign w:val="center"/>
          </w:tcPr>
          <w:p w14:paraId="7866AAE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Negi, A., 2018</w:t>
            </w:r>
          </w:p>
        </w:tc>
        <w:tc>
          <w:tcPr>
            <w:tcW w:w="851" w:type="dxa"/>
            <w:noWrap/>
            <w:vAlign w:val="center"/>
          </w:tcPr>
          <w:p w14:paraId="15B7DDB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49C0FE4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BE708D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394AD1E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06648FA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AE7944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012FE10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4D97C3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467F820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2" w:type="dxa"/>
            <w:vAlign w:val="center"/>
          </w:tcPr>
          <w:p w14:paraId="24AB49E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A3EE38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39AABBB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65F0D60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350270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4F733B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A88592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1467F334" w14:textId="77777777" w:rsidTr="005C10B9">
        <w:trPr>
          <w:trHeight w:val="420"/>
        </w:trPr>
        <w:tc>
          <w:tcPr>
            <w:tcW w:w="1271" w:type="dxa"/>
            <w:vAlign w:val="center"/>
          </w:tcPr>
          <w:p w14:paraId="5478243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Sachu, A., 2018 </w:t>
            </w:r>
          </w:p>
        </w:tc>
        <w:tc>
          <w:tcPr>
            <w:tcW w:w="851" w:type="dxa"/>
            <w:vAlign w:val="center"/>
          </w:tcPr>
          <w:p w14:paraId="2012E89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193</w:t>
            </w:r>
          </w:p>
        </w:tc>
        <w:tc>
          <w:tcPr>
            <w:tcW w:w="992" w:type="dxa"/>
            <w:vAlign w:val="center"/>
          </w:tcPr>
          <w:p w14:paraId="1070C33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33</w:t>
            </w:r>
          </w:p>
        </w:tc>
        <w:tc>
          <w:tcPr>
            <w:tcW w:w="567" w:type="dxa"/>
            <w:vAlign w:val="center"/>
          </w:tcPr>
          <w:p w14:paraId="50FCF15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6" w:type="dxa"/>
            <w:vAlign w:val="center"/>
          </w:tcPr>
          <w:p w14:paraId="12C3557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AB2C5A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75517B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467CB4D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14</w:t>
            </w:r>
          </w:p>
        </w:tc>
        <w:tc>
          <w:tcPr>
            <w:tcW w:w="567" w:type="dxa"/>
            <w:vAlign w:val="center"/>
          </w:tcPr>
          <w:p w14:paraId="39321CE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10</w:t>
            </w:r>
          </w:p>
        </w:tc>
        <w:tc>
          <w:tcPr>
            <w:tcW w:w="567" w:type="dxa"/>
            <w:vAlign w:val="center"/>
          </w:tcPr>
          <w:p w14:paraId="528CB03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7A516BC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20A0687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44D384E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019E613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403756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3BB0F9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A52C54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771F1E20" w14:textId="77777777" w:rsidTr="005C10B9">
        <w:trPr>
          <w:trHeight w:val="360"/>
        </w:trPr>
        <w:tc>
          <w:tcPr>
            <w:tcW w:w="1271" w:type="dxa"/>
            <w:vAlign w:val="center"/>
          </w:tcPr>
          <w:p w14:paraId="72E9D3F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Raina S, 2018 </w:t>
            </w:r>
          </w:p>
        </w:tc>
        <w:tc>
          <w:tcPr>
            <w:tcW w:w="851" w:type="dxa"/>
            <w:vAlign w:val="center"/>
          </w:tcPr>
          <w:p w14:paraId="0F75FF9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11</w:t>
            </w:r>
          </w:p>
        </w:tc>
        <w:tc>
          <w:tcPr>
            <w:tcW w:w="992" w:type="dxa"/>
            <w:vAlign w:val="center"/>
          </w:tcPr>
          <w:p w14:paraId="3CDB926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567" w:type="dxa"/>
            <w:vAlign w:val="center"/>
          </w:tcPr>
          <w:p w14:paraId="4E8D7DD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426" w:type="dxa"/>
            <w:vAlign w:val="center"/>
          </w:tcPr>
          <w:p w14:paraId="2521B94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425" w:type="dxa"/>
            <w:vAlign w:val="center"/>
          </w:tcPr>
          <w:p w14:paraId="19CDFBF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E48E3E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550" w:type="dxa"/>
            <w:vAlign w:val="center"/>
          </w:tcPr>
          <w:p w14:paraId="1D5C5B0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B1CFF4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567" w:type="dxa"/>
            <w:vAlign w:val="center"/>
          </w:tcPr>
          <w:p w14:paraId="2279F13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3B272A8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6897B10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1E6EF23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214E38C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0E561F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AEB3C1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D6DC4A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6CCCE549" w14:textId="77777777" w:rsidTr="005C10B9">
        <w:trPr>
          <w:trHeight w:val="420"/>
        </w:trPr>
        <w:tc>
          <w:tcPr>
            <w:tcW w:w="1271" w:type="dxa"/>
            <w:vAlign w:val="center"/>
          </w:tcPr>
          <w:p w14:paraId="7FD3A66F" w14:textId="77777777" w:rsidR="005C10B9" w:rsidRPr="003E2940" w:rsidRDefault="005C10B9" w:rsidP="005C10B9">
            <w:pPr>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 xml:space="preserve">Sharma S, 2014  </w:t>
            </w:r>
          </w:p>
        </w:tc>
        <w:tc>
          <w:tcPr>
            <w:tcW w:w="851" w:type="dxa"/>
            <w:vAlign w:val="center"/>
          </w:tcPr>
          <w:p w14:paraId="75A4F76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12</w:t>
            </w:r>
          </w:p>
        </w:tc>
        <w:tc>
          <w:tcPr>
            <w:tcW w:w="992" w:type="dxa"/>
            <w:noWrap/>
            <w:vAlign w:val="center"/>
          </w:tcPr>
          <w:p w14:paraId="54B4B0E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567" w:type="dxa"/>
            <w:vAlign w:val="center"/>
          </w:tcPr>
          <w:p w14:paraId="32F2FFC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426" w:type="dxa"/>
            <w:vAlign w:val="center"/>
          </w:tcPr>
          <w:p w14:paraId="2F4A82A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425" w:type="dxa"/>
            <w:vAlign w:val="center"/>
          </w:tcPr>
          <w:p w14:paraId="58831DF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920F8F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550" w:type="dxa"/>
            <w:vAlign w:val="center"/>
          </w:tcPr>
          <w:p w14:paraId="40FB5DE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567" w:type="dxa"/>
            <w:vAlign w:val="center"/>
          </w:tcPr>
          <w:p w14:paraId="064EB97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52DF3C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1EEEFD0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16EC60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21B08A8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0CBF6AE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674340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2FC8E7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DF14AB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5CBC4754" w14:textId="77777777" w:rsidTr="005C10B9">
        <w:trPr>
          <w:trHeight w:val="370"/>
        </w:trPr>
        <w:tc>
          <w:tcPr>
            <w:tcW w:w="1271" w:type="dxa"/>
            <w:vAlign w:val="center"/>
          </w:tcPr>
          <w:p w14:paraId="0B851D4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Diwan, A.G., 2014</w:t>
            </w:r>
          </w:p>
        </w:tc>
        <w:tc>
          <w:tcPr>
            <w:tcW w:w="851" w:type="dxa"/>
            <w:vAlign w:val="center"/>
          </w:tcPr>
          <w:p w14:paraId="0CC1EF8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070E349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4703F04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7D24A2F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018C9DC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A8E5A4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50" w:type="dxa"/>
            <w:vAlign w:val="center"/>
          </w:tcPr>
          <w:p w14:paraId="122A0DF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267911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A36105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571C8CF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7D592A5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60BA051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5B61900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8DF4C7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986191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87E9F9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4A11EC9D" w14:textId="77777777" w:rsidTr="005C10B9">
        <w:trPr>
          <w:trHeight w:val="360"/>
        </w:trPr>
        <w:tc>
          <w:tcPr>
            <w:tcW w:w="1271" w:type="dxa"/>
            <w:vAlign w:val="center"/>
          </w:tcPr>
          <w:p w14:paraId="3E09508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Samanta, 2014.</w:t>
            </w:r>
          </w:p>
        </w:tc>
        <w:tc>
          <w:tcPr>
            <w:tcW w:w="851" w:type="dxa"/>
            <w:vAlign w:val="center"/>
          </w:tcPr>
          <w:p w14:paraId="06645F2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53A2656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181825C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716D766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0F64B2C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52B2FE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04DA29F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089535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F4EB2D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3930404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0B1E604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276022A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84" w:type="dxa"/>
            <w:vAlign w:val="center"/>
          </w:tcPr>
          <w:p w14:paraId="2E1EA74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905231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521103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076D68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193B2686" w14:textId="77777777" w:rsidTr="005C10B9">
        <w:trPr>
          <w:trHeight w:val="400"/>
        </w:trPr>
        <w:tc>
          <w:tcPr>
            <w:tcW w:w="1271" w:type="dxa"/>
            <w:vAlign w:val="center"/>
          </w:tcPr>
          <w:p w14:paraId="2CAF138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Singh R, 2014 </w:t>
            </w:r>
          </w:p>
        </w:tc>
        <w:tc>
          <w:tcPr>
            <w:tcW w:w="851" w:type="dxa"/>
            <w:vAlign w:val="center"/>
          </w:tcPr>
          <w:p w14:paraId="538C3F3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4661E46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3484A2A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5F5FD87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7AFF851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7A106D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378F3C6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D0CB89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C1196A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09CC4CF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7DB0AB1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7D9F8C2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6CCFCFF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B6AFC7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52636BA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B26594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33A42CF4" w14:textId="77777777" w:rsidTr="005C10B9">
        <w:trPr>
          <w:trHeight w:val="400"/>
        </w:trPr>
        <w:tc>
          <w:tcPr>
            <w:tcW w:w="1271" w:type="dxa"/>
            <w:vAlign w:val="center"/>
          </w:tcPr>
          <w:p w14:paraId="0D41AB9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Chopdekar, 2014</w:t>
            </w:r>
          </w:p>
        </w:tc>
        <w:tc>
          <w:tcPr>
            <w:tcW w:w="851" w:type="dxa"/>
            <w:vAlign w:val="center"/>
          </w:tcPr>
          <w:p w14:paraId="2B60693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992" w:type="dxa"/>
            <w:vAlign w:val="center"/>
          </w:tcPr>
          <w:p w14:paraId="2CB1470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567" w:type="dxa"/>
            <w:vAlign w:val="center"/>
          </w:tcPr>
          <w:p w14:paraId="27FE04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426" w:type="dxa"/>
            <w:vAlign w:val="center"/>
          </w:tcPr>
          <w:p w14:paraId="56FA98E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66C8174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531DE5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052B06B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5EACADC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192D62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2" w:type="dxa"/>
            <w:vAlign w:val="center"/>
          </w:tcPr>
          <w:p w14:paraId="192F490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461057D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7C07DBC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548846D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B12EAF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FCBFFE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02557C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521094F2" w14:textId="77777777" w:rsidTr="005C10B9">
        <w:trPr>
          <w:trHeight w:val="400"/>
        </w:trPr>
        <w:tc>
          <w:tcPr>
            <w:tcW w:w="1271" w:type="dxa"/>
            <w:vAlign w:val="center"/>
          </w:tcPr>
          <w:p w14:paraId="3C5D5C1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Ananthi, B, 2014 </w:t>
            </w:r>
          </w:p>
        </w:tc>
        <w:tc>
          <w:tcPr>
            <w:tcW w:w="851" w:type="dxa"/>
            <w:vAlign w:val="center"/>
          </w:tcPr>
          <w:p w14:paraId="64A1CEB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143</w:t>
            </w:r>
          </w:p>
        </w:tc>
        <w:tc>
          <w:tcPr>
            <w:tcW w:w="992" w:type="dxa"/>
            <w:vAlign w:val="center"/>
          </w:tcPr>
          <w:p w14:paraId="2E843AD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567" w:type="dxa"/>
            <w:vAlign w:val="center"/>
          </w:tcPr>
          <w:p w14:paraId="21D132D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426" w:type="dxa"/>
            <w:vAlign w:val="center"/>
          </w:tcPr>
          <w:p w14:paraId="7197ACC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2CB5BB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E8AD2E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1EC9A3B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89A550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3BC0A0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2FD9F31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74F311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141C002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113D964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2BA122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7575A8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D37D5C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3EB696E2" w14:textId="77777777" w:rsidTr="005C10B9">
        <w:trPr>
          <w:trHeight w:val="360"/>
        </w:trPr>
        <w:tc>
          <w:tcPr>
            <w:tcW w:w="1271" w:type="dxa"/>
            <w:vAlign w:val="center"/>
          </w:tcPr>
          <w:p w14:paraId="612EF27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Damodar T, 2013</w:t>
            </w:r>
          </w:p>
        </w:tc>
        <w:tc>
          <w:tcPr>
            <w:tcW w:w="851" w:type="dxa"/>
            <w:vAlign w:val="center"/>
          </w:tcPr>
          <w:p w14:paraId="61187DF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03A4880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5A03499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4B2ADF8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46CEF8D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D2C468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769AE31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F06C3B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18F461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0805E1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37A720C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21A14C8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4400E5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16C7F0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A51D94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10959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2995C800" w14:textId="77777777" w:rsidTr="005C10B9">
        <w:trPr>
          <w:trHeight w:val="360"/>
        </w:trPr>
        <w:tc>
          <w:tcPr>
            <w:tcW w:w="1271" w:type="dxa"/>
            <w:vAlign w:val="center"/>
          </w:tcPr>
          <w:p w14:paraId="7DC7423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Singh, MP, 2012 </w:t>
            </w:r>
          </w:p>
        </w:tc>
        <w:tc>
          <w:tcPr>
            <w:tcW w:w="851" w:type="dxa"/>
            <w:vAlign w:val="center"/>
          </w:tcPr>
          <w:p w14:paraId="60449B0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42FBAA5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4BC1B24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60E21BB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5D4F5E2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8DCE4D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5D4446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F4CC02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5E741B2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2742FE4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022232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48ABEAA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065523A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B46104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9EBD76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7B443B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132ECB5C" w14:textId="77777777" w:rsidTr="005C10B9">
        <w:trPr>
          <w:trHeight w:val="380"/>
        </w:trPr>
        <w:tc>
          <w:tcPr>
            <w:tcW w:w="1271" w:type="dxa"/>
            <w:vAlign w:val="center"/>
          </w:tcPr>
          <w:p w14:paraId="722674A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Mahajan S.K, 2012</w:t>
            </w:r>
          </w:p>
        </w:tc>
        <w:tc>
          <w:tcPr>
            <w:tcW w:w="851" w:type="dxa"/>
            <w:vAlign w:val="center"/>
          </w:tcPr>
          <w:p w14:paraId="4855FD8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25EC6D1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A2158D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6C5A931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69C8ADF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2C7D9B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57F91A2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A6D12A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570506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10C955D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16EDD09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3C6854B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0987209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1FF9089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FCC096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191D89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63C8711E" w14:textId="77777777" w:rsidTr="005C10B9">
        <w:trPr>
          <w:trHeight w:val="380"/>
        </w:trPr>
        <w:tc>
          <w:tcPr>
            <w:tcW w:w="1271" w:type="dxa"/>
            <w:vAlign w:val="center"/>
          </w:tcPr>
          <w:p w14:paraId="053C4C3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 xml:space="preserve">Kumar, A, 2012 </w:t>
            </w:r>
          </w:p>
        </w:tc>
        <w:tc>
          <w:tcPr>
            <w:tcW w:w="851" w:type="dxa"/>
            <w:vAlign w:val="center"/>
          </w:tcPr>
          <w:p w14:paraId="75455C0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287</w:t>
            </w:r>
          </w:p>
        </w:tc>
        <w:tc>
          <w:tcPr>
            <w:tcW w:w="992" w:type="dxa"/>
            <w:vAlign w:val="center"/>
          </w:tcPr>
          <w:p w14:paraId="00E88EA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17</w:t>
            </w:r>
          </w:p>
        </w:tc>
        <w:tc>
          <w:tcPr>
            <w:tcW w:w="567" w:type="dxa"/>
            <w:vAlign w:val="center"/>
          </w:tcPr>
          <w:p w14:paraId="74B4635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17</w:t>
            </w:r>
          </w:p>
        </w:tc>
        <w:tc>
          <w:tcPr>
            <w:tcW w:w="426" w:type="dxa"/>
            <w:vAlign w:val="center"/>
          </w:tcPr>
          <w:p w14:paraId="475505C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23CBBFF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5A905FA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17</w:t>
            </w:r>
          </w:p>
        </w:tc>
        <w:tc>
          <w:tcPr>
            <w:tcW w:w="550" w:type="dxa"/>
            <w:vAlign w:val="center"/>
          </w:tcPr>
          <w:p w14:paraId="6FB2DD0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BD6B22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67C929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6410E60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77556A5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22DD769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251BDA7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899165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63FB054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005A64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79FAC1B8" w14:textId="77777777" w:rsidTr="005C10B9">
        <w:trPr>
          <w:trHeight w:val="250"/>
        </w:trPr>
        <w:tc>
          <w:tcPr>
            <w:tcW w:w="1271" w:type="dxa"/>
            <w:vAlign w:val="center"/>
          </w:tcPr>
          <w:p w14:paraId="1BA873C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Baliga, K.V., 2011</w:t>
            </w:r>
          </w:p>
        </w:tc>
        <w:tc>
          <w:tcPr>
            <w:tcW w:w="851" w:type="dxa"/>
            <w:vAlign w:val="center"/>
          </w:tcPr>
          <w:p w14:paraId="286D5D2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069B50D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0F78763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426" w:type="dxa"/>
            <w:vAlign w:val="center"/>
          </w:tcPr>
          <w:p w14:paraId="1B5BBB0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5" w:type="dxa"/>
            <w:vAlign w:val="center"/>
          </w:tcPr>
          <w:p w14:paraId="2921D07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147E49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550" w:type="dxa"/>
            <w:vAlign w:val="center"/>
          </w:tcPr>
          <w:p w14:paraId="0E19298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765B147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1F2D96D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3301709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948C4D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0" w:type="dxa"/>
            <w:vAlign w:val="center"/>
          </w:tcPr>
          <w:p w14:paraId="57B5501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61CE5B3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48E5D8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4A6798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19205F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116D582C" w14:textId="77777777" w:rsidTr="005C10B9">
        <w:trPr>
          <w:trHeight w:val="345"/>
        </w:trPr>
        <w:tc>
          <w:tcPr>
            <w:tcW w:w="1271" w:type="dxa"/>
            <w:vAlign w:val="center"/>
          </w:tcPr>
          <w:p w14:paraId="23E6A18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Gurjar, M., 2011</w:t>
            </w:r>
          </w:p>
        </w:tc>
        <w:tc>
          <w:tcPr>
            <w:tcW w:w="851" w:type="dxa"/>
            <w:vAlign w:val="center"/>
          </w:tcPr>
          <w:p w14:paraId="61CEE73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992" w:type="dxa"/>
            <w:vAlign w:val="center"/>
          </w:tcPr>
          <w:p w14:paraId="598843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567" w:type="dxa"/>
            <w:vAlign w:val="center"/>
          </w:tcPr>
          <w:p w14:paraId="5B8DAE6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426" w:type="dxa"/>
            <w:vAlign w:val="center"/>
          </w:tcPr>
          <w:p w14:paraId="6567F71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w:t>
            </w:r>
          </w:p>
        </w:tc>
        <w:tc>
          <w:tcPr>
            <w:tcW w:w="425" w:type="dxa"/>
            <w:vAlign w:val="center"/>
          </w:tcPr>
          <w:p w14:paraId="607FE3A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54C9E5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0764077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567" w:type="dxa"/>
            <w:vAlign w:val="center"/>
          </w:tcPr>
          <w:p w14:paraId="237F241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5F995C1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2" w:type="dxa"/>
            <w:vAlign w:val="center"/>
          </w:tcPr>
          <w:p w14:paraId="196F3D0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5B85A28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c>
          <w:tcPr>
            <w:tcW w:w="560" w:type="dxa"/>
            <w:vAlign w:val="center"/>
          </w:tcPr>
          <w:p w14:paraId="30B9764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84" w:type="dxa"/>
            <w:vAlign w:val="center"/>
          </w:tcPr>
          <w:p w14:paraId="55FB5C1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70866C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085A946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15FC76F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r>
      <w:tr w:rsidR="005C10B9" w:rsidRPr="003E2940" w14:paraId="1E358CD3" w14:textId="77777777" w:rsidTr="005C10B9">
        <w:trPr>
          <w:trHeight w:val="290"/>
        </w:trPr>
        <w:tc>
          <w:tcPr>
            <w:tcW w:w="1271" w:type="dxa"/>
            <w:vAlign w:val="center"/>
          </w:tcPr>
          <w:p w14:paraId="2ADC536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Behera, B., 2010</w:t>
            </w:r>
          </w:p>
        </w:tc>
        <w:tc>
          <w:tcPr>
            <w:tcW w:w="851" w:type="dxa"/>
            <w:vAlign w:val="center"/>
          </w:tcPr>
          <w:p w14:paraId="61791BF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992" w:type="dxa"/>
            <w:vAlign w:val="center"/>
          </w:tcPr>
          <w:p w14:paraId="7E33BD3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21EF781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26" w:type="dxa"/>
            <w:vAlign w:val="center"/>
          </w:tcPr>
          <w:p w14:paraId="7ADF0DB4"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25" w:type="dxa"/>
            <w:vAlign w:val="center"/>
          </w:tcPr>
          <w:p w14:paraId="5A1D9C3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3CFDC98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50" w:type="dxa"/>
            <w:vAlign w:val="center"/>
          </w:tcPr>
          <w:p w14:paraId="6F2A50E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56ECBF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4692B98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2" w:type="dxa"/>
            <w:vAlign w:val="center"/>
          </w:tcPr>
          <w:p w14:paraId="05E4A69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71" w:type="dxa"/>
            <w:vAlign w:val="center"/>
          </w:tcPr>
          <w:p w14:paraId="2FD6F4CC"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0" w:type="dxa"/>
            <w:vAlign w:val="center"/>
          </w:tcPr>
          <w:p w14:paraId="647A141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84" w:type="dxa"/>
            <w:vAlign w:val="center"/>
          </w:tcPr>
          <w:p w14:paraId="3A60C7D6"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2DDF39A8"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67B39E7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67" w:type="dxa"/>
            <w:vAlign w:val="center"/>
          </w:tcPr>
          <w:p w14:paraId="70D45E60"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5C10B9" w:rsidRPr="003E2940" w14:paraId="1C73A4A9" w14:textId="77777777" w:rsidTr="005C10B9">
        <w:trPr>
          <w:trHeight w:val="290"/>
        </w:trPr>
        <w:tc>
          <w:tcPr>
            <w:tcW w:w="1271" w:type="dxa"/>
            <w:vAlign w:val="center"/>
          </w:tcPr>
          <w:p w14:paraId="07684F8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Total</w:t>
            </w:r>
          </w:p>
        </w:tc>
        <w:tc>
          <w:tcPr>
            <w:tcW w:w="851" w:type="dxa"/>
            <w:vAlign w:val="center"/>
          </w:tcPr>
          <w:p w14:paraId="47C07FF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879</w:t>
            </w:r>
          </w:p>
        </w:tc>
        <w:tc>
          <w:tcPr>
            <w:tcW w:w="992" w:type="dxa"/>
            <w:vAlign w:val="center"/>
          </w:tcPr>
          <w:p w14:paraId="3EFA9D0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121</w:t>
            </w:r>
          </w:p>
        </w:tc>
        <w:tc>
          <w:tcPr>
            <w:tcW w:w="567" w:type="dxa"/>
            <w:vAlign w:val="center"/>
          </w:tcPr>
          <w:p w14:paraId="2F66A4AE"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88</w:t>
            </w:r>
          </w:p>
        </w:tc>
        <w:tc>
          <w:tcPr>
            <w:tcW w:w="426" w:type="dxa"/>
            <w:vAlign w:val="center"/>
          </w:tcPr>
          <w:p w14:paraId="0FC87537"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17</w:t>
            </w:r>
          </w:p>
        </w:tc>
        <w:tc>
          <w:tcPr>
            <w:tcW w:w="425" w:type="dxa"/>
            <w:vAlign w:val="center"/>
          </w:tcPr>
          <w:p w14:paraId="184575D5"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567" w:type="dxa"/>
            <w:vAlign w:val="center"/>
          </w:tcPr>
          <w:p w14:paraId="3BC61E5B"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32</w:t>
            </w:r>
          </w:p>
        </w:tc>
        <w:tc>
          <w:tcPr>
            <w:tcW w:w="550" w:type="dxa"/>
            <w:vAlign w:val="center"/>
          </w:tcPr>
          <w:p w14:paraId="3A8768D1"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30</w:t>
            </w:r>
          </w:p>
        </w:tc>
        <w:tc>
          <w:tcPr>
            <w:tcW w:w="567" w:type="dxa"/>
            <w:vAlign w:val="center"/>
          </w:tcPr>
          <w:p w14:paraId="77CCF90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29</w:t>
            </w:r>
          </w:p>
        </w:tc>
        <w:tc>
          <w:tcPr>
            <w:tcW w:w="567" w:type="dxa"/>
            <w:vAlign w:val="center"/>
          </w:tcPr>
          <w:p w14:paraId="0D79AED3"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12</w:t>
            </w:r>
          </w:p>
        </w:tc>
        <w:tc>
          <w:tcPr>
            <w:tcW w:w="562" w:type="dxa"/>
            <w:vAlign w:val="center"/>
          </w:tcPr>
          <w:p w14:paraId="10349A1D"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18</w:t>
            </w:r>
          </w:p>
        </w:tc>
        <w:tc>
          <w:tcPr>
            <w:tcW w:w="571" w:type="dxa"/>
            <w:vAlign w:val="center"/>
          </w:tcPr>
          <w:p w14:paraId="4D090C9F"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13</w:t>
            </w:r>
          </w:p>
        </w:tc>
        <w:tc>
          <w:tcPr>
            <w:tcW w:w="560" w:type="dxa"/>
            <w:vAlign w:val="center"/>
          </w:tcPr>
          <w:p w14:paraId="6F36118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6</w:t>
            </w:r>
          </w:p>
        </w:tc>
        <w:tc>
          <w:tcPr>
            <w:tcW w:w="584" w:type="dxa"/>
            <w:vAlign w:val="center"/>
          </w:tcPr>
          <w:p w14:paraId="084BDCE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567" w:type="dxa"/>
            <w:vAlign w:val="center"/>
          </w:tcPr>
          <w:p w14:paraId="6166A132"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12</w:t>
            </w:r>
          </w:p>
        </w:tc>
        <w:tc>
          <w:tcPr>
            <w:tcW w:w="567" w:type="dxa"/>
            <w:vAlign w:val="center"/>
          </w:tcPr>
          <w:p w14:paraId="3942F11A"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567" w:type="dxa"/>
            <w:vAlign w:val="center"/>
          </w:tcPr>
          <w:p w14:paraId="58284889" w14:textId="77777777" w:rsidR="005C10B9" w:rsidRPr="003E2940" w:rsidRDefault="005C10B9" w:rsidP="005C10B9">
            <w:pPr>
              <w:jc w:val="center"/>
              <w:rPr>
                <w:rFonts w:ascii="Times New Roman" w:hAnsi="Times New Roman" w:cs="Times New Roman"/>
                <w:sz w:val="18"/>
                <w:szCs w:val="18"/>
              </w:rPr>
            </w:pPr>
            <w:r w:rsidRPr="003E2940">
              <w:rPr>
                <w:rFonts w:ascii="Times New Roman" w:hAnsi="Times New Roman" w:cs="Times New Roman"/>
                <w:sz w:val="18"/>
                <w:szCs w:val="18"/>
              </w:rPr>
              <w:t>3</w:t>
            </w:r>
          </w:p>
        </w:tc>
      </w:tr>
    </w:tbl>
    <w:p w14:paraId="2E423227" w14:textId="1C3BD38A" w:rsidR="00092C68" w:rsidRPr="003E2940" w:rsidRDefault="00092C68" w:rsidP="00092C68">
      <w:pPr>
        <w:rPr>
          <w:rFonts w:ascii="Times New Roman" w:hAnsi="Times New Roman" w:cs="Times New Roman"/>
          <w:b/>
          <w:bCs/>
          <w:sz w:val="24"/>
          <w:szCs w:val="24"/>
        </w:rPr>
      </w:pPr>
      <w:r w:rsidRPr="003E2940">
        <w:rPr>
          <w:rFonts w:ascii="Times New Roman" w:hAnsi="Times New Roman" w:cs="Times New Roman"/>
          <w:b/>
          <w:bCs/>
          <w:sz w:val="24"/>
          <w:szCs w:val="24"/>
        </w:rPr>
        <w:lastRenderedPageBreak/>
        <w:t xml:space="preserve">Table </w:t>
      </w:r>
      <w:r w:rsidR="00865BC7">
        <w:rPr>
          <w:rFonts w:ascii="Times New Roman" w:hAnsi="Times New Roman" w:cs="Times New Roman"/>
          <w:b/>
          <w:bCs/>
          <w:sz w:val="24"/>
          <w:szCs w:val="24"/>
        </w:rPr>
        <w:t>S</w:t>
      </w:r>
      <w:r w:rsidR="001F6CBB" w:rsidRPr="003E2940">
        <w:rPr>
          <w:rFonts w:ascii="Times New Roman" w:hAnsi="Times New Roman" w:cs="Times New Roman"/>
          <w:b/>
          <w:bCs/>
          <w:sz w:val="24"/>
          <w:szCs w:val="24"/>
        </w:rPr>
        <w:t>7</w:t>
      </w:r>
      <w:r w:rsidRPr="003E2940">
        <w:rPr>
          <w:rFonts w:ascii="Times New Roman" w:hAnsi="Times New Roman" w:cs="Times New Roman"/>
          <w:b/>
          <w:bCs/>
          <w:sz w:val="24"/>
          <w:szCs w:val="24"/>
        </w:rPr>
        <w:t>: Physical examination findings in patients with leptospirosis co-infection</w:t>
      </w:r>
    </w:p>
    <w:tbl>
      <w:tblPr>
        <w:tblpPr w:leftFromText="180" w:rightFromText="180" w:vertAnchor="page" w:horzAnchor="margin" w:tblpY="1591"/>
        <w:tblW w:w="9559" w:type="dxa"/>
        <w:tblLayout w:type="fixed"/>
        <w:tblLook w:val="04A0" w:firstRow="1" w:lastRow="0" w:firstColumn="1" w:lastColumn="0" w:noHBand="0" w:noVBand="1"/>
      </w:tblPr>
      <w:tblGrid>
        <w:gridCol w:w="1272"/>
        <w:gridCol w:w="1270"/>
        <w:gridCol w:w="747"/>
        <w:gridCol w:w="747"/>
        <w:gridCol w:w="746"/>
        <w:gridCol w:w="741"/>
        <w:gridCol w:w="452"/>
        <w:gridCol w:w="741"/>
        <w:gridCol w:w="603"/>
        <w:gridCol w:w="597"/>
        <w:gridCol w:w="897"/>
        <w:gridCol w:w="746"/>
      </w:tblGrid>
      <w:tr w:rsidR="00FA7C26" w:rsidRPr="003E2940" w14:paraId="1AA4C62E" w14:textId="77777777" w:rsidTr="00FA7C26">
        <w:trPr>
          <w:cantSplit/>
          <w:trHeight w:val="1409"/>
        </w:trPr>
        <w:tc>
          <w:tcPr>
            <w:tcW w:w="1272" w:type="dxa"/>
            <w:tcBorders>
              <w:top w:val="single" w:sz="4" w:space="0" w:color="auto"/>
              <w:left w:val="single" w:sz="4" w:space="0" w:color="auto"/>
              <w:bottom w:val="single" w:sz="4" w:space="0" w:color="auto"/>
              <w:right w:val="single" w:sz="4" w:space="0" w:color="auto"/>
            </w:tcBorders>
            <w:textDirection w:val="btLr"/>
            <w:vAlign w:val="center"/>
            <w:hideMark/>
          </w:tcPr>
          <w:p w14:paraId="69212091"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Author/Year</w:t>
            </w:r>
          </w:p>
        </w:tc>
        <w:tc>
          <w:tcPr>
            <w:tcW w:w="1270" w:type="dxa"/>
            <w:tcBorders>
              <w:top w:val="single" w:sz="4" w:space="0" w:color="auto"/>
              <w:left w:val="nil"/>
              <w:bottom w:val="single" w:sz="4" w:space="0" w:color="auto"/>
              <w:right w:val="single" w:sz="4" w:space="0" w:color="auto"/>
            </w:tcBorders>
            <w:textDirection w:val="btLr"/>
            <w:vAlign w:val="center"/>
            <w:hideMark/>
          </w:tcPr>
          <w:p w14:paraId="36EB564F"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Location of the study</w:t>
            </w:r>
          </w:p>
        </w:tc>
        <w:tc>
          <w:tcPr>
            <w:tcW w:w="747" w:type="dxa"/>
            <w:tcBorders>
              <w:top w:val="single" w:sz="4" w:space="0" w:color="auto"/>
              <w:left w:val="nil"/>
              <w:bottom w:val="single" w:sz="4" w:space="0" w:color="auto"/>
              <w:right w:val="single" w:sz="4" w:space="0" w:color="auto"/>
            </w:tcBorders>
            <w:textDirection w:val="btLr"/>
            <w:vAlign w:val="center"/>
            <w:hideMark/>
          </w:tcPr>
          <w:p w14:paraId="7D5AE34C"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Leptospirosis positive cases</w:t>
            </w:r>
          </w:p>
        </w:tc>
        <w:tc>
          <w:tcPr>
            <w:tcW w:w="747" w:type="dxa"/>
            <w:tcBorders>
              <w:top w:val="single" w:sz="4" w:space="0" w:color="auto"/>
              <w:left w:val="nil"/>
              <w:bottom w:val="single" w:sz="4" w:space="0" w:color="auto"/>
              <w:right w:val="single" w:sz="4" w:space="0" w:color="auto"/>
            </w:tcBorders>
            <w:textDirection w:val="btLr"/>
            <w:vAlign w:val="center"/>
            <w:hideMark/>
          </w:tcPr>
          <w:p w14:paraId="22CEC935"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Patients with Co-infections</w:t>
            </w:r>
          </w:p>
        </w:tc>
        <w:tc>
          <w:tcPr>
            <w:tcW w:w="746" w:type="dxa"/>
            <w:tcBorders>
              <w:top w:val="single" w:sz="4" w:space="0" w:color="auto"/>
              <w:left w:val="nil"/>
              <w:bottom w:val="single" w:sz="4" w:space="0" w:color="auto"/>
              <w:right w:val="single" w:sz="4" w:space="0" w:color="auto"/>
            </w:tcBorders>
            <w:textDirection w:val="btLr"/>
            <w:vAlign w:val="center"/>
            <w:hideMark/>
          </w:tcPr>
          <w:p w14:paraId="7209ADA0"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Yellowish eyes</w:t>
            </w:r>
          </w:p>
        </w:tc>
        <w:tc>
          <w:tcPr>
            <w:tcW w:w="741" w:type="dxa"/>
            <w:tcBorders>
              <w:top w:val="single" w:sz="4" w:space="0" w:color="auto"/>
              <w:left w:val="nil"/>
              <w:bottom w:val="single" w:sz="4" w:space="0" w:color="auto"/>
              <w:right w:val="single" w:sz="4" w:space="0" w:color="auto"/>
            </w:tcBorders>
            <w:textDirection w:val="btLr"/>
            <w:vAlign w:val="center"/>
            <w:hideMark/>
          </w:tcPr>
          <w:p w14:paraId="7856B5E1"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Rashes</w:t>
            </w:r>
          </w:p>
        </w:tc>
        <w:tc>
          <w:tcPr>
            <w:tcW w:w="452" w:type="dxa"/>
            <w:tcBorders>
              <w:top w:val="single" w:sz="4" w:space="0" w:color="auto"/>
              <w:left w:val="nil"/>
              <w:bottom w:val="single" w:sz="4" w:space="0" w:color="auto"/>
              <w:right w:val="single" w:sz="4" w:space="0" w:color="auto"/>
            </w:tcBorders>
            <w:textDirection w:val="btLr"/>
            <w:vAlign w:val="center"/>
            <w:hideMark/>
          </w:tcPr>
          <w:p w14:paraId="318C622A"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Icterus</w:t>
            </w:r>
          </w:p>
        </w:tc>
        <w:tc>
          <w:tcPr>
            <w:tcW w:w="741" w:type="dxa"/>
            <w:tcBorders>
              <w:top w:val="single" w:sz="4" w:space="0" w:color="auto"/>
              <w:left w:val="nil"/>
              <w:bottom w:val="single" w:sz="4" w:space="0" w:color="auto"/>
              <w:right w:val="single" w:sz="4" w:space="0" w:color="auto"/>
            </w:tcBorders>
            <w:textDirection w:val="btLr"/>
            <w:vAlign w:val="center"/>
            <w:hideMark/>
          </w:tcPr>
          <w:p w14:paraId="719EAE9C"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Redness of eyes</w:t>
            </w:r>
          </w:p>
        </w:tc>
        <w:tc>
          <w:tcPr>
            <w:tcW w:w="603" w:type="dxa"/>
            <w:tcBorders>
              <w:top w:val="single" w:sz="4" w:space="0" w:color="auto"/>
              <w:left w:val="nil"/>
              <w:bottom w:val="single" w:sz="4" w:space="0" w:color="auto"/>
              <w:right w:val="single" w:sz="4" w:space="0" w:color="auto"/>
            </w:tcBorders>
            <w:textDirection w:val="btLr"/>
            <w:vAlign w:val="center"/>
            <w:hideMark/>
          </w:tcPr>
          <w:p w14:paraId="6F9D9034"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Muscle tenderness</w:t>
            </w:r>
          </w:p>
        </w:tc>
        <w:tc>
          <w:tcPr>
            <w:tcW w:w="597" w:type="dxa"/>
            <w:tcBorders>
              <w:top w:val="single" w:sz="4" w:space="0" w:color="auto"/>
              <w:left w:val="nil"/>
              <w:bottom w:val="single" w:sz="4" w:space="0" w:color="auto"/>
              <w:right w:val="single" w:sz="4" w:space="0" w:color="auto"/>
            </w:tcBorders>
            <w:textDirection w:val="btLr"/>
            <w:vAlign w:val="center"/>
            <w:hideMark/>
          </w:tcPr>
          <w:p w14:paraId="0AB20CB6"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Hemorrhage</w:t>
            </w:r>
          </w:p>
        </w:tc>
        <w:tc>
          <w:tcPr>
            <w:tcW w:w="897" w:type="dxa"/>
            <w:tcBorders>
              <w:top w:val="single" w:sz="4" w:space="0" w:color="auto"/>
              <w:left w:val="nil"/>
              <w:bottom w:val="single" w:sz="4" w:space="0" w:color="auto"/>
              <w:right w:val="single" w:sz="4" w:space="0" w:color="auto"/>
            </w:tcBorders>
            <w:textDirection w:val="btLr"/>
            <w:vAlign w:val="center"/>
            <w:hideMark/>
          </w:tcPr>
          <w:p w14:paraId="6B9E524B"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Hepatomegaly</w:t>
            </w:r>
          </w:p>
        </w:tc>
        <w:tc>
          <w:tcPr>
            <w:tcW w:w="746" w:type="dxa"/>
            <w:tcBorders>
              <w:top w:val="single" w:sz="4" w:space="0" w:color="auto"/>
              <w:left w:val="nil"/>
              <w:bottom w:val="single" w:sz="4" w:space="0" w:color="auto"/>
              <w:right w:val="single" w:sz="4" w:space="0" w:color="auto"/>
            </w:tcBorders>
            <w:textDirection w:val="btLr"/>
            <w:vAlign w:val="center"/>
            <w:hideMark/>
          </w:tcPr>
          <w:p w14:paraId="33C7FF95" w14:textId="77777777" w:rsidR="00FA7C26" w:rsidRPr="003E2940" w:rsidRDefault="00FA7C26" w:rsidP="00FA7C26">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Splenomegaly</w:t>
            </w:r>
          </w:p>
        </w:tc>
      </w:tr>
      <w:tr w:rsidR="00FA7C26" w:rsidRPr="003E2940" w14:paraId="5A32385D"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3E539E6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Shiddapur, G, 2024</w:t>
            </w:r>
          </w:p>
        </w:tc>
        <w:tc>
          <w:tcPr>
            <w:tcW w:w="1270" w:type="dxa"/>
            <w:tcBorders>
              <w:top w:val="nil"/>
              <w:left w:val="nil"/>
              <w:bottom w:val="single" w:sz="4" w:space="0" w:color="auto"/>
              <w:right w:val="single" w:sz="4" w:space="0" w:color="auto"/>
            </w:tcBorders>
            <w:vAlign w:val="center"/>
          </w:tcPr>
          <w:p w14:paraId="28F0275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747" w:type="dxa"/>
            <w:tcBorders>
              <w:top w:val="nil"/>
              <w:left w:val="nil"/>
              <w:bottom w:val="single" w:sz="4" w:space="0" w:color="auto"/>
              <w:right w:val="single" w:sz="4" w:space="0" w:color="auto"/>
            </w:tcBorders>
            <w:vAlign w:val="center"/>
          </w:tcPr>
          <w:p w14:paraId="2021F33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517D8C0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871E81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4E0DA3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612094D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39FA2D8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4DB0994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0AF657A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278E318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150E21C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3F795B80"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3A931A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Nazeera NN, 2024</w:t>
            </w:r>
          </w:p>
        </w:tc>
        <w:tc>
          <w:tcPr>
            <w:tcW w:w="1270" w:type="dxa"/>
            <w:tcBorders>
              <w:top w:val="nil"/>
              <w:left w:val="nil"/>
              <w:bottom w:val="single" w:sz="4" w:space="0" w:color="auto"/>
              <w:right w:val="single" w:sz="4" w:space="0" w:color="auto"/>
            </w:tcBorders>
            <w:vAlign w:val="center"/>
          </w:tcPr>
          <w:p w14:paraId="1CE2ED2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Wayanad, Kerala</w:t>
            </w:r>
          </w:p>
        </w:tc>
        <w:tc>
          <w:tcPr>
            <w:tcW w:w="747" w:type="dxa"/>
            <w:tcBorders>
              <w:top w:val="nil"/>
              <w:left w:val="nil"/>
              <w:bottom w:val="single" w:sz="4" w:space="0" w:color="auto"/>
              <w:right w:val="single" w:sz="4" w:space="0" w:color="auto"/>
            </w:tcBorders>
            <w:vAlign w:val="center"/>
          </w:tcPr>
          <w:p w14:paraId="48AF981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136AEF1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08642B4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5DD841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1E21F1E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174ADD1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2E1002C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3747AD8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53D95CC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54C9095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3A33EB14"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2DB81D1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Shiddapur G, 2024</w:t>
            </w:r>
          </w:p>
        </w:tc>
        <w:tc>
          <w:tcPr>
            <w:tcW w:w="1270" w:type="dxa"/>
            <w:tcBorders>
              <w:top w:val="nil"/>
              <w:left w:val="nil"/>
              <w:bottom w:val="single" w:sz="4" w:space="0" w:color="auto"/>
              <w:right w:val="single" w:sz="4" w:space="0" w:color="auto"/>
            </w:tcBorders>
            <w:noWrap/>
            <w:vAlign w:val="center"/>
          </w:tcPr>
          <w:p w14:paraId="0B418C5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747" w:type="dxa"/>
            <w:tcBorders>
              <w:top w:val="nil"/>
              <w:left w:val="nil"/>
              <w:bottom w:val="single" w:sz="4" w:space="0" w:color="auto"/>
              <w:right w:val="single" w:sz="4" w:space="0" w:color="auto"/>
            </w:tcBorders>
            <w:noWrap/>
            <w:vAlign w:val="center"/>
          </w:tcPr>
          <w:p w14:paraId="6CB0F4C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noWrap/>
            <w:vAlign w:val="center"/>
          </w:tcPr>
          <w:p w14:paraId="5BAAC7E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41C4253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1CD4743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1D7B358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1AC143D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0353CFF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415D25A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2D7AF82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618EB14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10A385C8"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74CE228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Aina, N, 2023</w:t>
            </w:r>
          </w:p>
        </w:tc>
        <w:tc>
          <w:tcPr>
            <w:tcW w:w="1270" w:type="dxa"/>
            <w:tcBorders>
              <w:top w:val="nil"/>
              <w:left w:val="nil"/>
              <w:bottom w:val="single" w:sz="4" w:space="0" w:color="auto"/>
              <w:right w:val="single" w:sz="4" w:space="0" w:color="auto"/>
            </w:tcBorders>
            <w:noWrap/>
            <w:vAlign w:val="center"/>
          </w:tcPr>
          <w:p w14:paraId="230F5AB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Tamil Nadu</w:t>
            </w:r>
          </w:p>
        </w:tc>
        <w:tc>
          <w:tcPr>
            <w:tcW w:w="747" w:type="dxa"/>
            <w:tcBorders>
              <w:top w:val="nil"/>
              <w:left w:val="nil"/>
              <w:bottom w:val="single" w:sz="4" w:space="0" w:color="auto"/>
              <w:right w:val="single" w:sz="4" w:space="0" w:color="auto"/>
            </w:tcBorders>
            <w:noWrap/>
            <w:vAlign w:val="center"/>
          </w:tcPr>
          <w:p w14:paraId="1F1868B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747" w:type="dxa"/>
            <w:tcBorders>
              <w:top w:val="nil"/>
              <w:left w:val="nil"/>
              <w:bottom w:val="single" w:sz="4" w:space="0" w:color="auto"/>
              <w:right w:val="single" w:sz="4" w:space="0" w:color="auto"/>
            </w:tcBorders>
            <w:noWrap/>
            <w:vAlign w:val="center"/>
          </w:tcPr>
          <w:p w14:paraId="0675F17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746" w:type="dxa"/>
            <w:tcBorders>
              <w:top w:val="nil"/>
              <w:left w:val="nil"/>
              <w:bottom w:val="single" w:sz="4" w:space="0" w:color="auto"/>
              <w:right w:val="single" w:sz="4" w:space="0" w:color="auto"/>
            </w:tcBorders>
            <w:vAlign w:val="center"/>
          </w:tcPr>
          <w:p w14:paraId="75BD834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261155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617CF52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11D5189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371CE6F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6AD48B1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76E8952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3AF8C3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7F8CA666" w14:textId="77777777" w:rsidTr="00FA7C26">
        <w:trPr>
          <w:trHeight w:val="290"/>
        </w:trPr>
        <w:tc>
          <w:tcPr>
            <w:tcW w:w="1272" w:type="dxa"/>
            <w:tcBorders>
              <w:top w:val="nil"/>
              <w:left w:val="single" w:sz="4" w:space="0" w:color="auto"/>
              <w:bottom w:val="single" w:sz="4" w:space="0" w:color="auto"/>
              <w:right w:val="single" w:sz="4" w:space="0" w:color="auto"/>
            </w:tcBorders>
            <w:vAlign w:val="center"/>
          </w:tcPr>
          <w:p w14:paraId="6C50150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Saboo K, 2023</w:t>
            </w:r>
          </w:p>
        </w:tc>
        <w:tc>
          <w:tcPr>
            <w:tcW w:w="1270" w:type="dxa"/>
            <w:tcBorders>
              <w:top w:val="nil"/>
              <w:left w:val="nil"/>
              <w:bottom w:val="single" w:sz="4" w:space="0" w:color="auto"/>
              <w:right w:val="single" w:sz="4" w:space="0" w:color="auto"/>
            </w:tcBorders>
            <w:noWrap/>
            <w:vAlign w:val="center"/>
          </w:tcPr>
          <w:p w14:paraId="5743C9C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747" w:type="dxa"/>
            <w:tcBorders>
              <w:top w:val="nil"/>
              <w:left w:val="nil"/>
              <w:bottom w:val="single" w:sz="4" w:space="0" w:color="auto"/>
              <w:right w:val="single" w:sz="4" w:space="0" w:color="auto"/>
            </w:tcBorders>
            <w:noWrap/>
            <w:vAlign w:val="center"/>
          </w:tcPr>
          <w:p w14:paraId="5EA059C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48A08DD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26D6E0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4B23F4D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3D74A93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3F8C2C9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7F96C07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556296D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424232B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6" w:type="dxa"/>
            <w:tcBorders>
              <w:top w:val="nil"/>
              <w:left w:val="nil"/>
              <w:bottom w:val="single" w:sz="4" w:space="0" w:color="auto"/>
              <w:right w:val="single" w:sz="4" w:space="0" w:color="auto"/>
            </w:tcBorders>
            <w:vAlign w:val="center"/>
          </w:tcPr>
          <w:p w14:paraId="009F6FB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1D8215E2" w14:textId="77777777" w:rsidTr="00FA7C26">
        <w:trPr>
          <w:trHeight w:val="290"/>
        </w:trPr>
        <w:tc>
          <w:tcPr>
            <w:tcW w:w="1272" w:type="dxa"/>
            <w:tcBorders>
              <w:top w:val="nil"/>
              <w:left w:val="single" w:sz="4" w:space="0" w:color="auto"/>
              <w:bottom w:val="single" w:sz="4" w:space="0" w:color="auto"/>
              <w:right w:val="single" w:sz="4" w:space="0" w:color="auto"/>
            </w:tcBorders>
            <w:vAlign w:val="center"/>
          </w:tcPr>
          <w:p w14:paraId="51D893B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Hareshkumar CN, 2022</w:t>
            </w:r>
          </w:p>
        </w:tc>
        <w:tc>
          <w:tcPr>
            <w:tcW w:w="1270" w:type="dxa"/>
            <w:tcBorders>
              <w:top w:val="nil"/>
              <w:left w:val="nil"/>
              <w:bottom w:val="single" w:sz="4" w:space="0" w:color="auto"/>
              <w:right w:val="single" w:sz="4" w:space="0" w:color="auto"/>
            </w:tcBorders>
            <w:noWrap/>
            <w:vAlign w:val="center"/>
          </w:tcPr>
          <w:p w14:paraId="7CA8824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747" w:type="dxa"/>
            <w:tcBorders>
              <w:top w:val="nil"/>
              <w:left w:val="nil"/>
              <w:bottom w:val="single" w:sz="4" w:space="0" w:color="auto"/>
              <w:right w:val="single" w:sz="4" w:space="0" w:color="auto"/>
            </w:tcBorders>
            <w:noWrap/>
            <w:vAlign w:val="center"/>
          </w:tcPr>
          <w:p w14:paraId="679A44E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2452B98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14A40E7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74CBBB5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46DE660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5CFCCC3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69336A9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748D126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6308A4D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DA852E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3F3E486F" w14:textId="77777777" w:rsidTr="00FA7C26">
        <w:trPr>
          <w:trHeight w:val="290"/>
        </w:trPr>
        <w:tc>
          <w:tcPr>
            <w:tcW w:w="1272" w:type="dxa"/>
            <w:tcBorders>
              <w:top w:val="nil"/>
              <w:left w:val="single" w:sz="4" w:space="0" w:color="auto"/>
              <w:bottom w:val="single" w:sz="4" w:space="0" w:color="auto"/>
              <w:right w:val="single" w:sz="4" w:space="0" w:color="auto"/>
            </w:tcBorders>
            <w:vAlign w:val="center"/>
          </w:tcPr>
          <w:p w14:paraId="228E330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Gupta, N., 2022</w:t>
            </w:r>
          </w:p>
        </w:tc>
        <w:tc>
          <w:tcPr>
            <w:tcW w:w="1270" w:type="dxa"/>
            <w:tcBorders>
              <w:top w:val="nil"/>
              <w:left w:val="nil"/>
              <w:bottom w:val="single" w:sz="4" w:space="0" w:color="auto"/>
              <w:right w:val="single" w:sz="4" w:space="0" w:color="auto"/>
            </w:tcBorders>
            <w:noWrap/>
            <w:vAlign w:val="center"/>
          </w:tcPr>
          <w:p w14:paraId="444868A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Manipal</w:t>
            </w:r>
          </w:p>
        </w:tc>
        <w:tc>
          <w:tcPr>
            <w:tcW w:w="747" w:type="dxa"/>
            <w:tcBorders>
              <w:top w:val="nil"/>
              <w:left w:val="nil"/>
              <w:bottom w:val="single" w:sz="4" w:space="0" w:color="auto"/>
              <w:right w:val="single" w:sz="4" w:space="0" w:color="auto"/>
            </w:tcBorders>
            <w:noWrap/>
            <w:vAlign w:val="center"/>
          </w:tcPr>
          <w:p w14:paraId="28E4026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87</w:t>
            </w:r>
          </w:p>
        </w:tc>
        <w:tc>
          <w:tcPr>
            <w:tcW w:w="747" w:type="dxa"/>
            <w:tcBorders>
              <w:top w:val="nil"/>
              <w:left w:val="nil"/>
              <w:bottom w:val="single" w:sz="4" w:space="0" w:color="auto"/>
              <w:right w:val="single" w:sz="4" w:space="0" w:color="auto"/>
            </w:tcBorders>
            <w:vAlign w:val="center"/>
          </w:tcPr>
          <w:p w14:paraId="4E3DB9B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24</w:t>
            </w:r>
          </w:p>
        </w:tc>
        <w:tc>
          <w:tcPr>
            <w:tcW w:w="746" w:type="dxa"/>
            <w:tcBorders>
              <w:top w:val="nil"/>
              <w:left w:val="nil"/>
              <w:bottom w:val="single" w:sz="4" w:space="0" w:color="auto"/>
              <w:right w:val="single" w:sz="4" w:space="0" w:color="auto"/>
            </w:tcBorders>
            <w:vAlign w:val="center"/>
          </w:tcPr>
          <w:p w14:paraId="310A31B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6F23097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452" w:type="dxa"/>
            <w:tcBorders>
              <w:top w:val="nil"/>
              <w:left w:val="nil"/>
              <w:bottom w:val="single" w:sz="4" w:space="0" w:color="auto"/>
              <w:right w:val="single" w:sz="4" w:space="0" w:color="auto"/>
            </w:tcBorders>
            <w:vAlign w:val="center"/>
          </w:tcPr>
          <w:p w14:paraId="2E2EB9A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51940D2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37C9B62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505E1BA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4558EBC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7F5A1E0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FA7C26" w:rsidRPr="003E2940" w14:paraId="546FFB8B"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36DA12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Y, 2022</w:t>
            </w:r>
          </w:p>
        </w:tc>
        <w:tc>
          <w:tcPr>
            <w:tcW w:w="1270" w:type="dxa"/>
            <w:tcBorders>
              <w:top w:val="nil"/>
              <w:left w:val="nil"/>
              <w:bottom w:val="single" w:sz="4" w:space="0" w:color="auto"/>
              <w:right w:val="single" w:sz="4" w:space="0" w:color="auto"/>
            </w:tcBorders>
            <w:noWrap/>
            <w:vAlign w:val="center"/>
          </w:tcPr>
          <w:p w14:paraId="2FCCB61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747" w:type="dxa"/>
            <w:tcBorders>
              <w:top w:val="nil"/>
              <w:left w:val="nil"/>
              <w:bottom w:val="single" w:sz="4" w:space="0" w:color="auto"/>
              <w:right w:val="single" w:sz="4" w:space="0" w:color="auto"/>
            </w:tcBorders>
            <w:noWrap/>
            <w:vAlign w:val="center"/>
          </w:tcPr>
          <w:p w14:paraId="5B72E83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noWrap/>
            <w:vAlign w:val="center"/>
          </w:tcPr>
          <w:p w14:paraId="6243B84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B02943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CFD53A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6D7E2A2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1C2495E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42988AE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71167A2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065995D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35D556C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3D3BA32E"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6711F41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A,2021</w:t>
            </w:r>
          </w:p>
        </w:tc>
        <w:tc>
          <w:tcPr>
            <w:tcW w:w="1270" w:type="dxa"/>
            <w:tcBorders>
              <w:top w:val="nil"/>
              <w:left w:val="nil"/>
              <w:bottom w:val="single" w:sz="4" w:space="0" w:color="auto"/>
              <w:right w:val="single" w:sz="4" w:space="0" w:color="auto"/>
            </w:tcBorders>
            <w:noWrap/>
            <w:vAlign w:val="center"/>
          </w:tcPr>
          <w:p w14:paraId="36CED69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747" w:type="dxa"/>
            <w:tcBorders>
              <w:top w:val="nil"/>
              <w:left w:val="nil"/>
              <w:bottom w:val="single" w:sz="4" w:space="0" w:color="auto"/>
              <w:right w:val="single" w:sz="4" w:space="0" w:color="auto"/>
            </w:tcBorders>
            <w:noWrap/>
            <w:vAlign w:val="center"/>
          </w:tcPr>
          <w:p w14:paraId="380B922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noWrap/>
            <w:vAlign w:val="center"/>
          </w:tcPr>
          <w:p w14:paraId="2EF2FBE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3AB75C16"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754792E"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6EB9B49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65523815"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1E3E6A0D"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5B774831"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0A1966FB"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0B90633C"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r>
      <w:tr w:rsidR="00FA7C26" w:rsidRPr="003E2940" w14:paraId="447621FD"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33EFDFE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Dhanashree, B., 2021</w:t>
            </w:r>
          </w:p>
        </w:tc>
        <w:tc>
          <w:tcPr>
            <w:tcW w:w="1270" w:type="dxa"/>
            <w:tcBorders>
              <w:top w:val="nil"/>
              <w:left w:val="nil"/>
              <w:bottom w:val="single" w:sz="4" w:space="0" w:color="auto"/>
              <w:right w:val="single" w:sz="4" w:space="0" w:color="auto"/>
            </w:tcBorders>
            <w:vAlign w:val="center"/>
          </w:tcPr>
          <w:p w14:paraId="146D394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747" w:type="dxa"/>
            <w:tcBorders>
              <w:top w:val="nil"/>
              <w:left w:val="nil"/>
              <w:bottom w:val="single" w:sz="4" w:space="0" w:color="auto"/>
              <w:right w:val="single" w:sz="4" w:space="0" w:color="auto"/>
            </w:tcBorders>
            <w:vAlign w:val="center"/>
          </w:tcPr>
          <w:p w14:paraId="3D3AE72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119</w:t>
            </w:r>
          </w:p>
        </w:tc>
        <w:tc>
          <w:tcPr>
            <w:tcW w:w="747" w:type="dxa"/>
            <w:tcBorders>
              <w:top w:val="nil"/>
              <w:left w:val="nil"/>
              <w:bottom w:val="single" w:sz="4" w:space="0" w:color="auto"/>
              <w:right w:val="single" w:sz="4" w:space="0" w:color="auto"/>
            </w:tcBorders>
            <w:vAlign w:val="center"/>
          </w:tcPr>
          <w:p w14:paraId="17C3A4C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746" w:type="dxa"/>
            <w:tcBorders>
              <w:top w:val="nil"/>
              <w:left w:val="nil"/>
              <w:bottom w:val="single" w:sz="4" w:space="0" w:color="auto"/>
              <w:right w:val="single" w:sz="4" w:space="0" w:color="auto"/>
            </w:tcBorders>
            <w:vAlign w:val="center"/>
          </w:tcPr>
          <w:p w14:paraId="4794602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23A4C9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452" w:type="dxa"/>
            <w:tcBorders>
              <w:top w:val="nil"/>
              <w:left w:val="nil"/>
              <w:bottom w:val="single" w:sz="4" w:space="0" w:color="auto"/>
              <w:right w:val="single" w:sz="4" w:space="0" w:color="auto"/>
            </w:tcBorders>
            <w:vAlign w:val="center"/>
          </w:tcPr>
          <w:p w14:paraId="3198A66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48339E3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7F48BE8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24C21D2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45E45DF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64F5CAE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6ECD5487"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0302BC7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Kharibam, P., 2021</w:t>
            </w:r>
          </w:p>
        </w:tc>
        <w:tc>
          <w:tcPr>
            <w:tcW w:w="1270" w:type="dxa"/>
            <w:tcBorders>
              <w:top w:val="nil"/>
              <w:left w:val="nil"/>
              <w:bottom w:val="single" w:sz="4" w:space="0" w:color="auto"/>
              <w:right w:val="single" w:sz="4" w:space="0" w:color="auto"/>
            </w:tcBorders>
            <w:vAlign w:val="center"/>
          </w:tcPr>
          <w:p w14:paraId="1B057EC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747" w:type="dxa"/>
            <w:tcBorders>
              <w:top w:val="nil"/>
              <w:left w:val="nil"/>
              <w:bottom w:val="single" w:sz="4" w:space="0" w:color="auto"/>
              <w:right w:val="single" w:sz="4" w:space="0" w:color="auto"/>
            </w:tcBorders>
            <w:vAlign w:val="center"/>
          </w:tcPr>
          <w:p w14:paraId="3CDE0FD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2E133AC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32C36FB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0EA17D8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6459407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4F0A02D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603" w:type="dxa"/>
            <w:tcBorders>
              <w:top w:val="nil"/>
              <w:left w:val="nil"/>
              <w:bottom w:val="single" w:sz="4" w:space="0" w:color="auto"/>
              <w:right w:val="single" w:sz="4" w:space="0" w:color="auto"/>
            </w:tcBorders>
            <w:vAlign w:val="center"/>
          </w:tcPr>
          <w:p w14:paraId="4E1B0EF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7F1A5AB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311827A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06B5280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FA7C26" w:rsidRPr="003E2940" w14:paraId="0F48DD2A"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630C3E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Raina S, 2018</w:t>
            </w:r>
          </w:p>
        </w:tc>
        <w:tc>
          <w:tcPr>
            <w:tcW w:w="1270" w:type="dxa"/>
            <w:tcBorders>
              <w:top w:val="nil"/>
              <w:left w:val="nil"/>
              <w:bottom w:val="single" w:sz="4" w:space="0" w:color="auto"/>
              <w:right w:val="single" w:sz="4" w:space="0" w:color="auto"/>
            </w:tcBorders>
            <w:vAlign w:val="center"/>
          </w:tcPr>
          <w:p w14:paraId="27D7DD9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Kangra, </w:t>
            </w:r>
          </w:p>
        </w:tc>
        <w:tc>
          <w:tcPr>
            <w:tcW w:w="747" w:type="dxa"/>
            <w:tcBorders>
              <w:top w:val="nil"/>
              <w:left w:val="nil"/>
              <w:bottom w:val="single" w:sz="4" w:space="0" w:color="auto"/>
              <w:right w:val="single" w:sz="4" w:space="0" w:color="auto"/>
            </w:tcBorders>
            <w:vAlign w:val="center"/>
          </w:tcPr>
          <w:p w14:paraId="1F5DBD6F" w14:textId="6BF4AA36"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747" w:type="dxa"/>
            <w:tcBorders>
              <w:top w:val="nil"/>
              <w:left w:val="nil"/>
              <w:bottom w:val="single" w:sz="4" w:space="0" w:color="auto"/>
              <w:right w:val="single" w:sz="4" w:space="0" w:color="auto"/>
            </w:tcBorders>
            <w:vAlign w:val="center"/>
          </w:tcPr>
          <w:p w14:paraId="6A39064A" w14:textId="3F1E00CF"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746" w:type="dxa"/>
            <w:tcBorders>
              <w:top w:val="nil"/>
              <w:left w:val="nil"/>
              <w:bottom w:val="single" w:sz="4" w:space="0" w:color="auto"/>
              <w:right w:val="single" w:sz="4" w:space="0" w:color="auto"/>
            </w:tcBorders>
            <w:vAlign w:val="center"/>
          </w:tcPr>
          <w:p w14:paraId="28B34337" w14:textId="29D1852C"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002651E7" w14:textId="65EEB1D0"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1</w:t>
            </w:r>
          </w:p>
        </w:tc>
        <w:tc>
          <w:tcPr>
            <w:tcW w:w="452" w:type="dxa"/>
            <w:tcBorders>
              <w:top w:val="nil"/>
              <w:left w:val="nil"/>
              <w:bottom w:val="single" w:sz="4" w:space="0" w:color="auto"/>
              <w:right w:val="single" w:sz="4" w:space="0" w:color="auto"/>
            </w:tcBorders>
            <w:vAlign w:val="center"/>
          </w:tcPr>
          <w:p w14:paraId="5920B1E1" w14:textId="5E35F295"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741" w:type="dxa"/>
            <w:tcBorders>
              <w:top w:val="nil"/>
              <w:left w:val="nil"/>
              <w:bottom w:val="single" w:sz="4" w:space="0" w:color="auto"/>
              <w:right w:val="single" w:sz="4" w:space="0" w:color="auto"/>
            </w:tcBorders>
            <w:vAlign w:val="center"/>
          </w:tcPr>
          <w:p w14:paraId="5654EFF6" w14:textId="79B4DF14"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603" w:type="dxa"/>
            <w:tcBorders>
              <w:top w:val="nil"/>
              <w:left w:val="nil"/>
              <w:bottom w:val="single" w:sz="4" w:space="0" w:color="auto"/>
              <w:right w:val="single" w:sz="4" w:space="0" w:color="auto"/>
            </w:tcBorders>
            <w:vAlign w:val="center"/>
          </w:tcPr>
          <w:p w14:paraId="138695D3" w14:textId="2ADF052B"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2D2E70E2" w14:textId="48D602AF"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69AD4E8A" w14:textId="07AAAAEB" w:rsidR="00FA7C26" w:rsidRPr="003E2940" w:rsidRDefault="006050A1"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746" w:type="dxa"/>
            <w:tcBorders>
              <w:top w:val="nil"/>
              <w:left w:val="nil"/>
              <w:bottom w:val="single" w:sz="4" w:space="0" w:color="auto"/>
              <w:right w:val="single" w:sz="4" w:space="0" w:color="auto"/>
            </w:tcBorders>
            <w:vAlign w:val="center"/>
          </w:tcPr>
          <w:p w14:paraId="38AAE611" w14:textId="0A3EF02C"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FA7C26" w:rsidRPr="003E2940" w14:paraId="4FCA305E"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7959569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Dev, N., 2019</w:t>
            </w:r>
          </w:p>
        </w:tc>
        <w:tc>
          <w:tcPr>
            <w:tcW w:w="1270" w:type="dxa"/>
            <w:tcBorders>
              <w:top w:val="nil"/>
              <w:left w:val="nil"/>
              <w:bottom w:val="single" w:sz="4" w:space="0" w:color="auto"/>
              <w:right w:val="single" w:sz="4" w:space="0" w:color="auto"/>
            </w:tcBorders>
            <w:vAlign w:val="center"/>
          </w:tcPr>
          <w:p w14:paraId="735AEF5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747" w:type="dxa"/>
            <w:tcBorders>
              <w:top w:val="nil"/>
              <w:left w:val="nil"/>
              <w:bottom w:val="single" w:sz="4" w:space="0" w:color="auto"/>
              <w:right w:val="single" w:sz="4" w:space="0" w:color="auto"/>
            </w:tcBorders>
            <w:vAlign w:val="center"/>
          </w:tcPr>
          <w:p w14:paraId="029D91D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71F08A7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33FDF61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30D7AE7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5D4E108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16DE104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6023FEF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5FF9FF6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14C82E4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EA3DFB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2CDD61F2" w14:textId="77777777" w:rsidTr="00FA7C26">
        <w:trPr>
          <w:trHeight w:val="290"/>
        </w:trPr>
        <w:tc>
          <w:tcPr>
            <w:tcW w:w="1272" w:type="dxa"/>
            <w:tcBorders>
              <w:top w:val="nil"/>
              <w:left w:val="single" w:sz="4" w:space="0" w:color="auto"/>
              <w:bottom w:val="single" w:sz="4" w:space="0" w:color="auto"/>
              <w:right w:val="single" w:sz="4" w:space="0" w:color="auto"/>
            </w:tcBorders>
            <w:vAlign w:val="center"/>
          </w:tcPr>
          <w:p w14:paraId="1AAE6B8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Mehta. V, 2019</w:t>
            </w:r>
          </w:p>
        </w:tc>
        <w:tc>
          <w:tcPr>
            <w:tcW w:w="1270" w:type="dxa"/>
            <w:tcBorders>
              <w:top w:val="nil"/>
              <w:left w:val="nil"/>
              <w:bottom w:val="single" w:sz="4" w:space="0" w:color="auto"/>
              <w:right w:val="single" w:sz="4" w:space="0" w:color="auto"/>
            </w:tcBorders>
            <w:noWrap/>
            <w:vAlign w:val="center"/>
          </w:tcPr>
          <w:p w14:paraId="305FEAA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747" w:type="dxa"/>
            <w:tcBorders>
              <w:top w:val="nil"/>
              <w:left w:val="nil"/>
              <w:bottom w:val="single" w:sz="4" w:space="0" w:color="auto"/>
              <w:right w:val="single" w:sz="4" w:space="0" w:color="auto"/>
            </w:tcBorders>
            <w:noWrap/>
            <w:vAlign w:val="center"/>
          </w:tcPr>
          <w:p w14:paraId="6ABA66A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0C0202C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4431061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7C2DDD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79C48FB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04CB265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0089D78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431F2C2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1DEE2F5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59AC0A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142811D4"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440338E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Negi, A., 2018</w:t>
            </w:r>
          </w:p>
        </w:tc>
        <w:tc>
          <w:tcPr>
            <w:tcW w:w="1270" w:type="dxa"/>
            <w:tcBorders>
              <w:top w:val="nil"/>
              <w:left w:val="nil"/>
              <w:bottom w:val="single" w:sz="4" w:space="0" w:color="auto"/>
              <w:right w:val="single" w:sz="4" w:space="0" w:color="auto"/>
            </w:tcBorders>
            <w:vAlign w:val="center"/>
          </w:tcPr>
          <w:p w14:paraId="4AAA2A3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747" w:type="dxa"/>
            <w:tcBorders>
              <w:top w:val="nil"/>
              <w:left w:val="nil"/>
              <w:bottom w:val="single" w:sz="4" w:space="0" w:color="auto"/>
              <w:right w:val="single" w:sz="4" w:space="0" w:color="auto"/>
            </w:tcBorders>
            <w:vAlign w:val="center"/>
          </w:tcPr>
          <w:p w14:paraId="7D2354D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4F7A2DB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1D38CA7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6BC93F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2B856F4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390ADCF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70CCF32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019A360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1417906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670A609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07E27E4A" w14:textId="77777777" w:rsidTr="00FA7C26">
        <w:trPr>
          <w:trHeight w:val="360"/>
        </w:trPr>
        <w:tc>
          <w:tcPr>
            <w:tcW w:w="1272" w:type="dxa"/>
            <w:tcBorders>
              <w:top w:val="nil"/>
              <w:left w:val="single" w:sz="4" w:space="0" w:color="auto"/>
              <w:bottom w:val="single" w:sz="4" w:space="0" w:color="auto"/>
              <w:right w:val="single" w:sz="4" w:space="0" w:color="auto"/>
            </w:tcBorders>
            <w:vAlign w:val="center"/>
            <w:hideMark/>
          </w:tcPr>
          <w:p w14:paraId="6040BE2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Samanta, 2014.</w:t>
            </w:r>
          </w:p>
        </w:tc>
        <w:tc>
          <w:tcPr>
            <w:tcW w:w="1270" w:type="dxa"/>
            <w:tcBorders>
              <w:top w:val="nil"/>
              <w:left w:val="nil"/>
              <w:bottom w:val="single" w:sz="4" w:space="0" w:color="auto"/>
              <w:right w:val="single" w:sz="4" w:space="0" w:color="auto"/>
            </w:tcBorders>
            <w:vAlign w:val="center"/>
            <w:hideMark/>
          </w:tcPr>
          <w:p w14:paraId="2ECB59E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747" w:type="dxa"/>
            <w:tcBorders>
              <w:top w:val="nil"/>
              <w:left w:val="nil"/>
              <w:bottom w:val="single" w:sz="4" w:space="0" w:color="auto"/>
              <w:right w:val="single" w:sz="4" w:space="0" w:color="auto"/>
            </w:tcBorders>
            <w:vAlign w:val="center"/>
            <w:hideMark/>
          </w:tcPr>
          <w:p w14:paraId="4A4498D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hideMark/>
          </w:tcPr>
          <w:p w14:paraId="44A7F9C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hideMark/>
          </w:tcPr>
          <w:p w14:paraId="7B25E4F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hideMark/>
          </w:tcPr>
          <w:p w14:paraId="77CDAED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hideMark/>
          </w:tcPr>
          <w:p w14:paraId="28BA847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hideMark/>
          </w:tcPr>
          <w:p w14:paraId="1677BE6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603" w:type="dxa"/>
            <w:tcBorders>
              <w:top w:val="nil"/>
              <w:left w:val="nil"/>
              <w:bottom w:val="single" w:sz="4" w:space="0" w:color="auto"/>
              <w:right w:val="single" w:sz="4" w:space="0" w:color="auto"/>
            </w:tcBorders>
            <w:vAlign w:val="center"/>
            <w:hideMark/>
          </w:tcPr>
          <w:p w14:paraId="0ACFC5E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597" w:type="dxa"/>
            <w:tcBorders>
              <w:top w:val="nil"/>
              <w:left w:val="nil"/>
              <w:bottom w:val="single" w:sz="4" w:space="0" w:color="auto"/>
              <w:right w:val="single" w:sz="4" w:space="0" w:color="auto"/>
            </w:tcBorders>
            <w:vAlign w:val="center"/>
            <w:hideMark/>
          </w:tcPr>
          <w:p w14:paraId="5FE875B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97" w:type="dxa"/>
            <w:tcBorders>
              <w:top w:val="nil"/>
              <w:left w:val="nil"/>
              <w:bottom w:val="single" w:sz="4" w:space="0" w:color="auto"/>
              <w:right w:val="single" w:sz="4" w:space="0" w:color="auto"/>
            </w:tcBorders>
            <w:vAlign w:val="center"/>
            <w:hideMark/>
          </w:tcPr>
          <w:p w14:paraId="73F8501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hideMark/>
          </w:tcPr>
          <w:p w14:paraId="1826143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FA7C26" w:rsidRPr="003E2940" w14:paraId="4086261B"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17139D7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R, 2014</w:t>
            </w:r>
          </w:p>
        </w:tc>
        <w:tc>
          <w:tcPr>
            <w:tcW w:w="1270" w:type="dxa"/>
            <w:tcBorders>
              <w:top w:val="nil"/>
              <w:left w:val="nil"/>
              <w:bottom w:val="single" w:sz="4" w:space="0" w:color="auto"/>
              <w:right w:val="single" w:sz="4" w:space="0" w:color="auto"/>
            </w:tcBorders>
            <w:vAlign w:val="center"/>
          </w:tcPr>
          <w:p w14:paraId="668CF47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747" w:type="dxa"/>
            <w:tcBorders>
              <w:top w:val="nil"/>
              <w:left w:val="nil"/>
              <w:bottom w:val="single" w:sz="4" w:space="0" w:color="auto"/>
              <w:right w:val="single" w:sz="4" w:space="0" w:color="auto"/>
            </w:tcBorders>
            <w:vAlign w:val="center"/>
          </w:tcPr>
          <w:p w14:paraId="488B33F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1F55C0E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37D56762"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10EBE6CF"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45023C4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01CE9E80"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6EA344E7"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089738CD"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2C6AC3A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6" w:type="dxa"/>
            <w:tcBorders>
              <w:top w:val="nil"/>
              <w:left w:val="nil"/>
              <w:bottom w:val="single" w:sz="4" w:space="0" w:color="auto"/>
              <w:right w:val="single" w:sz="4" w:space="0" w:color="auto"/>
            </w:tcBorders>
            <w:vAlign w:val="center"/>
          </w:tcPr>
          <w:p w14:paraId="16E09378"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r>
      <w:tr w:rsidR="00FA7C26" w:rsidRPr="003E2940" w14:paraId="4CBF2E74"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7570A68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Chopdekar, 2014</w:t>
            </w:r>
          </w:p>
        </w:tc>
        <w:tc>
          <w:tcPr>
            <w:tcW w:w="1270" w:type="dxa"/>
            <w:tcBorders>
              <w:top w:val="nil"/>
              <w:left w:val="nil"/>
              <w:bottom w:val="single" w:sz="4" w:space="0" w:color="auto"/>
              <w:right w:val="single" w:sz="4" w:space="0" w:color="auto"/>
            </w:tcBorders>
            <w:vAlign w:val="center"/>
          </w:tcPr>
          <w:p w14:paraId="7DB1AF9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Mumbai</w:t>
            </w:r>
          </w:p>
        </w:tc>
        <w:tc>
          <w:tcPr>
            <w:tcW w:w="747" w:type="dxa"/>
            <w:tcBorders>
              <w:top w:val="nil"/>
              <w:left w:val="nil"/>
              <w:bottom w:val="single" w:sz="4" w:space="0" w:color="auto"/>
              <w:right w:val="single" w:sz="4" w:space="0" w:color="auto"/>
            </w:tcBorders>
            <w:vAlign w:val="center"/>
          </w:tcPr>
          <w:p w14:paraId="24AAC56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747" w:type="dxa"/>
            <w:tcBorders>
              <w:top w:val="nil"/>
              <w:left w:val="nil"/>
              <w:bottom w:val="single" w:sz="4" w:space="0" w:color="auto"/>
              <w:right w:val="single" w:sz="4" w:space="0" w:color="auto"/>
            </w:tcBorders>
            <w:vAlign w:val="center"/>
          </w:tcPr>
          <w:p w14:paraId="46647A4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746" w:type="dxa"/>
            <w:tcBorders>
              <w:top w:val="nil"/>
              <w:left w:val="nil"/>
              <w:bottom w:val="single" w:sz="4" w:space="0" w:color="auto"/>
              <w:right w:val="single" w:sz="4" w:space="0" w:color="auto"/>
            </w:tcBorders>
            <w:vAlign w:val="center"/>
          </w:tcPr>
          <w:p w14:paraId="17B4D36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F1F2B2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39C7400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BEF08C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0C2FBC4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1E56429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6E46469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190E181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FA7C26" w:rsidRPr="003E2940" w14:paraId="46DF6CDD"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D65FAE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Ananthi, B, 2014</w:t>
            </w:r>
          </w:p>
        </w:tc>
        <w:tc>
          <w:tcPr>
            <w:tcW w:w="1270" w:type="dxa"/>
            <w:tcBorders>
              <w:top w:val="nil"/>
              <w:left w:val="nil"/>
              <w:bottom w:val="single" w:sz="4" w:space="0" w:color="auto"/>
              <w:right w:val="single" w:sz="4" w:space="0" w:color="auto"/>
            </w:tcBorders>
            <w:vAlign w:val="center"/>
          </w:tcPr>
          <w:p w14:paraId="2C570C7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Chennai, Tamil Nadu</w:t>
            </w:r>
          </w:p>
        </w:tc>
        <w:tc>
          <w:tcPr>
            <w:tcW w:w="747" w:type="dxa"/>
            <w:tcBorders>
              <w:top w:val="nil"/>
              <w:left w:val="nil"/>
              <w:bottom w:val="single" w:sz="4" w:space="0" w:color="auto"/>
              <w:right w:val="single" w:sz="4" w:space="0" w:color="auto"/>
            </w:tcBorders>
            <w:vAlign w:val="center"/>
          </w:tcPr>
          <w:p w14:paraId="228612F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143</w:t>
            </w:r>
          </w:p>
        </w:tc>
        <w:tc>
          <w:tcPr>
            <w:tcW w:w="747" w:type="dxa"/>
            <w:tcBorders>
              <w:top w:val="nil"/>
              <w:left w:val="nil"/>
              <w:bottom w:val="single" w:sz="4" w:space="0" w:color="auto"/>
              <w:right w:val="single" w:sz="4" w:space="0" w:color="auto"/>
            </w:tcBorders>
            <w:vAlign w:val="center"/>
          </w:tcPr>
          <w:p w14:paraId="0C9155A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746" w:type="dxa"/>
            <w:tcBorders>
              <w:top w:val="nil"/>
              <w:left w:val="nil"/>
              <w:bottom w:val="single" w:sz="4" w:space="0" w:color="auto"/>
              <w:right w:val="single" w:sz="4" w:space="0" w:color="auto"/>
            </w:tcBorders>
            <w:vAlign w:val="center"/>
          </w:tcPr>
          <w:p w14:paraId="3E8EF687"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0D94683F"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116FEC24"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DC2DDD9"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07C58D3A"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40C790CF"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897" w:type="dxa"/>
            <w:tcBorders>
              <w:top w:val="nil"/>
              <w:left w:val="nil"/>
              <w:bottom w:val="single" w:sz="4" w:space="0" w:color="auto"/>
              <w:right w:val="single" w:sz="4" w:space="0" w:color="auto"/>
            </w:tcBorders>
            <w:vAlign w:val="center"/>
          </w:tcPr>
          <w:p w14:paraId="430B2B84"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1E914A6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FA7C26" w:rsidRPr="003E2940" w14:paraId="2D27605A"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04603D4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 xml:space="preserve">Sharma S, 2014 </w:t>
            </w:r>
          </w:p>
        </w:tc>
        <w:tc>
          <w:tcPr>
            <w:tcW w:w="1270" w:type="dxa"/>
            <w:tcBorders>
              <w:top w:val="nil"/>
              <w:left w:val="nil"/>
              <w:bottom w:val="single" w:sz="4" w:space="0" w:color="auto"/>
              <w:right w:val="single" w:sz="4" w:space="0" w:color="auto"/>
            </w:tcBorders>
            <w:vAlign w:val="center"/>
          </w:tcPr>
          <w:p w14:paraId="7B1B318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Port Blair</w:t>
            </w:r>
          </w:p>
        </w:tc>
        <w:tc>
          <w:tcPr>
            <w:tcW w:w="747" w:type="dxa"/>
            <w:tcBorders>
              <w:top w:val="nil"/>
              <w:left w:val="nil"/>
              <w:bottom w:val="single" w:sz="4" w:space="0" w:color="auto"/>
              <w:right w:val="single" w:sz="4" w:space="0" w:color="auto"/>
            </w:tcBorders>
            <w:vAlign w:val="center"/>
          </w:tcPr>
          <w:p w14:paraId="5D4790A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12</w:t>
            </w:r>
          </w:p>
        </w:tc>
        <w:tc>
          <w:tcPr>
            <w:tcW w:w="747" w:type="dxa"/>
            <w:tcBorders>
              <w:top w:val="nil"/>
              <w:left w:val="nil"/>
              <w:bottom w:val="single" w:sz="4" w:space="0" w:color="auto"/>
              <w:right w:val="single" w:sz="4" w:space="0" w:color="auto"/>
            </w:tcBorders>
            <w:vAlign w:val="center"/>
          </w:tcPr>
          <w:p w14:paraId="1D85790A" w14:textId="31E03EDA" w:rsidR="00FA7C26" w:rsidRPr="003E2940" w:rsidRDefault="00B0214C"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746" w:type="dxa"/>
            <w:tcBorders>
              <w:top w:val="nil"/>
              <w:left w:val="nil"/>
              <w:bottom w:val="single" w:sz="4" w:space="0" w:color="auto"/>
              <w:right w:val="single" w:sz="4" w:space="0" w:color="auto"/>
            </w:tcBorders>
            <w:vAlign w:val="center"/>
          </w:tcPr>
          <w:p w14:paraId="24813FB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0D76031C"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w:t>
            </w:r>
          </w:p>
        </w:tc>
        <w:tc>
          <w:tcPr>
            <w:tcW w:w="452" w:type="dxa"/>
            <w:tcBorders>
              <w:top w:val="nil"/>
              <w:left w:val="nil"/>
              <w:bottom w:val="single" w:sz="4" w:space="0" w:color="auto"/>
              <w:right w:val="single" w:sz="4" w:space="0" w:color="auto"/>
            </w:tcBorders>
            <w:vAlign w:val="center"/>
          </w:tcPr>
          <w:p w14:paraId="0362026C" w14:textId="75D53CD3" w:rsidR="00FA7C26" w:rsidRPr="003E2940" w:rsidRDefault="008168E5"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4</w:t>
            </w:r>
          </w:p>
        </w:tc>
        <w:tc>
          <w:tcPr>
            <w:tcW w:w="741" w:type="dxa"/>
            <w:tcBorders>
              <w:top w:val="nil"/>
              <w:left w:val="nil"/>
              <w:bottom w:val="single" w:sz="4" w:space="0" w:color="auto"/>
              <w:right w:val="single" w:sz="4" w:space="0" w:color="auto"/>
            </w:tcBorders>
            <w:vAlign w:val="center"/>
          </w:tcPr>
          <w:p w14:paraId="62039404"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3E5252CB"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w:t>
            </w:r>
          </w:p>
        </w:tc>
        <w:tc>
          <w:tcPr>
            <w:tcW w:w="597" w:type="dxa"/>
            <w:tcBorders>
              <w:top w:val="nil"/>
              <w:left w:val="nil"/>
              <w:bottom w:val="single" w:sz="4" w:space="0" w:color="auto"/>
              <w:right w:val="single" w:sz="4" w:space="0" w:color="auto"/>
            </w:tcBorders>
            <w:vAlign w:val="center"/>
          </w:tcPr>
          <w:p w14:paraId="773EFA7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461B23A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1A32E27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FA7C26" w:rsidRPr="003E2940" w14:paraId="4941F190"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AA8241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Diwan, A.G., 2014</w:t>
            </w:r>
          </w:p>
        </w:tc>
        <w:tc>
          <w:tcPr>
            <w:tcW w:w="1270" w:type="dxa"/>
            <w:tcBorders>
              <w:top w:val="nil"/>
              <w:left w:val="nil"/>
              <w:bottom w:val="single" w:sz="4" w:space="0" w:color="auto"/>
              <w:right w:val="single" w:sz="4" w:space="0" w:color="auto"/>
            </w:tcBorders>
            <w:vAlign w:val="center"/>
          </w:tcPr>
          <w:p w14:paraId="7F7DD74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747" w:type="dxa"/>
            <w:tcBorders>
              <w:top w:val="nil"/>
              <w:left w:val="nil"/>
              <w:bottom w:val="single" w:sz="4" w:space="0" w:color="auto"/>
              <w:right w:val="single" w:sz="4" w:space="0" w:color="auto"/>
            </w:tcBorders>
            <w:vAlign w:val="center"/>
          </w:tcPr>
          <w:p w14:paraId="19B7C25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39A7427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60ADDEA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9432CBF"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711855D4"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4DA199EE"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4B9B194D" w14:textId="77777777" w:rsidR="00FA7C26" w:rsidRPr="003E2940" w:rsidRDefault="00FA7C26" w:rsidP="00FA7C26">
            <w:pPr>
              <w:spacing w:after="0" w:line="240" w:lineRule="auto"/>
              <w:jc w:val="center"/>
              <w:rPr>
                <w:rFonts w:ascii="Times New Roman" w:hAnsi="Times New Roman" w:cs="Times New Roman"/>
                <w:sz w:val="18"/>
                <w:szCs w:val="18"/>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182670A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15BC435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726FE21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3B5A997F"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01DCED5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Damodar T, 2013</w:t>
            </w:r>
          </w:p>
        </w:tc>
        <w:tc>
          <w:tcPr>
            <w:tcW w:w="1270" w:type="dxa"/>
            <w:tcBorders>
              <w:top w:val="nil"/>
              <w:left w:val="nil"/>
              <w:bottom w:val="single" w:sz="4" w:space="0" w:color="auto"/>
              <w:right w:val="single" w:sz="4" w:space="0" w:color="auto"/>
            </w:tcBorders>
            <w:vAlign w:val="center"/>
          </w:tcPr>
          <w:p w14:paraId="138AF0A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747" w:type="dxa"/>
            <w:tcBorders>
              <w:top w:val="nil"/>
              <w:left w:val="nil"/>
              <w:bottom w:val="single" w:sz="4" w:space="0" w:color="auto"/>
              <w:right w:val="single" w:sz="4" w:space="0" w:color="auto"/>
            </w:tcBorders>
            <w:vAlign w:val="center"/>
          </w:tcPr>
          <w:p w14:paraId="543E6D9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7A000D0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6F01B6F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2FD401E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735A10B2"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613F80B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5C38BBE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078C555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97" w:type="dxa"/>
            <w:tcBorders>
              <w:top w:val="nil"/>
              <w:left w:val="nil"/>
              <w:bottom w:val="single" w:sz="4" w:space="0" w:color="auto"/>
              <w:right w:val="single" w:sz="4" w:space="0" w:color="auto"/>
            </w:tcBorders>
            <w:vAlign w:val="center"/>
          </w:tcPr>
          <w:p w14:paraId="2DB2EA0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43CA1A2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2A70BE5A" w14:textId="77777777" w:rsidTr="00FA7C26">
        <w:trPr>
          <w:trHeight w:val="360"/>
        </w:trPr>
        <w:tc>
          <w:tcPr>
            <w:tcW w:w="1272" w:type="dxa"/>
            <w:tcBorders>
              <w:top w:val="nil"/>
              <w:left w:val="single" w:sz="4" w:space="0" w:color="auto"/>
              <w:bottom w:val="single" w:sz="4" w:space="0" w:color="auto"/>
              <w:right w:val="single" w:sz="4" w:space="0" w:color="auto"/>
            </w:tcBorders>
            <w:vAlign w:val="center"/>
            <w:hideMark/>
          </w:tcPr>
          <w:p w14:paraId="1DBF679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MP, 2012</w:t>
            </w:r>
          </w:p>
        </w:tc>
        <w:tc>
          <w:tcPr>
            <w:tcW w:w="1270" w:type="dxa"/>
            <w:tcBorders>
              <w:top w:val="nil"/>
              <w:left w:val="nil"/>
              <w:bottom w:val="single" w:sz="4" w:space="0" w:color="auto"/>
              <w:right w:val="single" w:sz="4" w:space="0" w:color="auto"/>
            </w:tcBorders>
            <w:noWrap/>
            <w:vAlign w:val="center"/>
            <w:hideMark/>
          </w:tcPr>
          <w:p w14:paraId="52F6E10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Chandigarh</w:t>
            </w:r>
          </w:p>
        </w:tc>
        <w:tc>
          <w:tcPr>
            <w:tcW w:w="747" w:type="dxa"/>
            <w:tcBorders>
              <w:top w:val="nil"/>
              <w:left w:val="nil"/>
              <w:bottom w:val="single" w:sz="4" w:space="0" w:color="auto"/>
              <w:right w:val="single" w:sz="4" w:space="0" w:color="auto"/>
            </w:tcBorders>
            <w:noWrap/>
            <w:vAlign w:val="center"/>
            <w:hideMark/>
          </w:tcPr>
          <w:p w14:paraId="6422BD9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noWrap/>
            <w:vAlign w:val="center"/>
            <w:hideMark/>
          </w:tcPr>
          <w:p w14:paraId="23CFA4E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hideMark/>
          </w:tcPr>
          <w:p w14:paraId="6FF6902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hideMark/>
          </w:tcPr>
          <w:p w14:paraId="61051EA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hideMark/>
          </w:tcPr>
          <w:p w14:paraId="1C74E71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hideMark/>
          </w:tcPr>
          <w:p w14:paraId="4BD17C8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hideMark/>
          </w:tcPr>
          <w:p w14:paraId="3EA3ECF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hideMark/>
          </w:tcPr>
          <w:p w14:paraId="31C76F7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97" w:type="dxa"/>
            <w:tcBorders>
              <w:top w:val="nil"/>
              <w:left w:val="nil"/>
              <w:bottom w:val="single" w:sz="4" w:space="0" w:color="auto"/>
              <w:right w:val="single" w:sz="4" w:space="0" w:color="auto"/>
            </w:tcBorders>
            <w:vAlign w:val="center"/>
            <w:hideMark/>
          </w:tcPr>
          <w:p w14:paraId="4B0CF67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hideMark/>
          </w:tcPr>
          <w:p w14:paraId="4B58D85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1FCF86BB"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42434B6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Mahajan S.K, 2012</w:t>
            </w:r>
          </w:p>
        </w:tc>
        <w:tc>
          <w:tcPr>
            <w:tcW w:w="1270" w:type="dxa"/>
            <w:tcBorders>
              <w:top w:val="nil"/>
              <w:left w:val="nil"/>
              <w:bottom w:val="single" w:sz="4" w:space="0" w:color="auto"/>
              <w:right w:val="single" w:sz="4" w:space="0" w:color="auto"/>
            </w:tcBorders>
            <w:vAlign w:val="center"/>
          </w:tcPr>
          <w:p w14:paraId="2AAF830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Shimla</w:t>
            </w:r>
          </w:p>
        </w:tc>
        <w:tc>
          <w:tcPr>
            <w:tcW w:w="747" w:type="dxa"/>
            <w:tcBorders>
              <w:top w:val="nil"/>
              <w:left w:val="nil"/>
              <w:bottom w:val="single" w:sz="4" w:space="0" w:color="auto"/>
              <w:right w:val="single" w:sz="4" w:space="0" w:color="auto"/>
            </w:tcBorders>
            <w:vAlign w:val="center"/>
          </w:tcPr>
          <w:p w14:paraId="2A43A07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7F7053D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134D520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1851626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452" w:type="dxa"/>
            <w:tcBorders>
              <w:top w:val="nil"/>
              <w:left w:val="nil"/>
              <w:bottom w:val="single" w:sz="4" w:space="0" w:color="auto"/>
              <w:right w:val="single" w:sz="4" w:space="0" w:color="auto"/>
            </w:tcBorders>
            <w:vAlign w:val="center"/>
          </w:tcPr>
          <w:p w14:paraId="05393E0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000C300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6E9B9F4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597" w:type="dxa"/>
            <w:tcBorders>
              <w:top w:val="nil"/>
              <w:left w:val="nil"/>
              <w:bottom w:val="single" w:sz="4" w:space="0" w:color="auto"/>
              <w:right w:val="single" w:sz="4" w:space="0" w:color="auto"/>
            </w:tcBorders>
            <w:vAlign w:val="center"/>
          </w:tcPr>
          <w:p w14:paraId="633AA17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5B503F2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3093592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FA7C26" w:rsidRPr="003E2940" w14:paraId="5894A622"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777086C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Kumar, A, 2012</w:t>
            </w:r>
          </w:p>
        </w:tc>
        <w:tc>
          <w:tcPr>
            <w:tcW w:w="1270" w:type="dxa"/>
            <w:tcBorders>
              <w:top w:val="nil"/>
              <w:left w:val="nil"/>
              <w:bottom w:val="single" w:sz="4" w:space="0" w:color="auto"/>
              <w:right w:val="single" w:sz="4" w:space="0" w:color="auto"/>
            </w:tcBorders>
            <w:vAlign w:val="center"/>
          </w:tcPr>
          <w:p w14:paraId="32F062A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Kochi, Kerala</w:t>
            </w:r>
          </w:p>
        </w:tc>
        <w:tc>
          <w:tcPr>
            <w:tcW w:w="747" w:type="dxa"/>
            <w:tcBorders>
              <w:top w:val="nil"/>
              <w:left w:val="nil"/>
              <w:bottom w:val="single" w:sz="4" w:space="0" w:color="auto"/>
              <w:right w:val="single" w:sz="4" w:space="0" w:color="auto"/>
            </w:tcBorders>
            <w:vAlign w:val="center"/>
          </w:tcPr>
          <w:p w14:paraId="4B04939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287</w:t>
            </w:r>
          </w:p>
        </w:tc>
        <w:tc>
          <w:tcPr>
            <w:tcW w:w="747" w:type="dxa"/>
            <w:tcBorders>
              <w:top w:val="nil"/>
              <w:left w:val="nil"/>
              <w:bottom w:val="single" w:sz="4" w:space="0" w:color="auto"/>
              <w:right w:val="single" w:sz="4" w:space="0" w:color="auto"/>
            </w:tcBorders>
            <w:vAlign w:val="center"/>
          </w:tcPr>
          <w:p w14:paraId="099E6D7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746" w:type="dxa"/>
            <w:tcBorders>
              <w:top w:val="nil"/>
              <w:left w:val="nil"/>
              <w:bottom w:val="single" w:sz="4" w:space="0" w:color="auto"/>
              <w:right w:val="single" w:sz="4" w:space="0" w:color="auto"/>
            </w:tcBorders>
            <w:vAlign w:val="center"/>
          </w:tcPr>
          <w:p w14:paraId="1DDAE3EC"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71669F3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Yes</w:t>
            </w:r>
            <w:r w:rsidRPr="003E2940">
              <w:rPr>
                <w:rFonts w:ascii="Times New Roman" w:eastAsia="Times New Roman" w:hAnsi="Times New Roman" w:cs="Times New Roman"/>
                <w:kern w:val="0"/>
                <w:sz w:val="16"/>
                <w:szCs w:val="16"/>
                <w:lang w:eastAsia="en-IN"/>
                <w14:ligatures w14:val="none"/>
              </w:rPr>
              <w:t>*</w:t>
            </w:r>
          </w:p>
        </w:tc>
        <w:tc>
          <w:tcPr>
            <w:tcW w:w="452" w:type="dxa"/>
            <w:tcBorders>
              <w:top w:val="nil"/>
              <w:left w:val="nil"/>
              <w:bottom w:val="single" w:sz="4" w:space="0" w:color="auto"/>
              <w:right w:val="single" w:sz="4" w:space="0" w:color="auto"/>
            </w:tcBorders>
            <w:vAlign w:val="center"/>
          </w:tcPr>
          <w:p w14:paraId="08F6C99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7EA059C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Yes</w:t>
            </w:r>
            <w:r w:rsidRPr="003E2940">
              <w:rPr>
                <w:rFonts w:ascii="Times New Roman" w:eastAsia="Times New Roman" w:hAnsi="Times New Roman" w:cs="Times New Roman"/>
                <w:kern w:val="0"/>
                <w:sz w:val="16"/>
                <w:szCs w:val="16"/>
                <w:lang w:eastAsia="en-IN"/>
                <w14:ligatures w14:val="none"/>
              </w:rPr>
              <w:t>*</w:t>
            </w:r>
          </w:p>
        </w:tc>
        <w:tc>
          <w:tcPr>
            <w:tcW w:w="603" w:type="dxa"/>
            <w:tcBorders>
              <w:top w:val="nil"/>
              <w:left w:val="nil"/>
              <w:bottom w:val="single" w:sz="4" w:space="0" w:color="auto"/>
              <w:right w:val="single" w:sz="4" w:space="0" w:color="auto"/>
            </w:tcBorders>
            <w:vAlign w:val="center"/>
          </w:tcPr>
          <w:p w14:paraId="68A122C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08BFECF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45F2437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7A137C4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r w:rsidR="00FA7C26" w:rsidRPr="003E2940" w14:paraId="7805567C"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9B6527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Baliga, K.V., 2011</w:t>
            </w:r>
          </w:p>
        </w:tc>
        <w:tc>
          <w:tcPr>
            <w:tcW w:w="1270" w:type="dxa"/>
            <w:tcBorders>
              <w:top w:val="nil"/>
              <w:left w:val="nil"/>
              <w:bottom w:val="single" w:sz="4" w:space="0" w:color="auto"/>
              <w:right w:val="single" w:sz="4" w:space="0" w:color="auto"/>
            </w:tcBorders>
            <w:vAlign w:val="center"/>
          </w:tcPr>
          <w:p w14:paraId="4286C9E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747" w:type="dxa"/>
            <w:tcBorders>
              <w:top w:val="nil"/>
              <w:left w:val="nil"/>
              <w:bottom w:val="single" w:sz="4" w:space="0" w:color="auto"/>
              <w:right w:val="single" w:sz="4" w:space="0" w:color="auto"/>
            </w:tcBorders>
            <w:vAlign w:val="center"/>
          </w:tcPr>
          <w:p w14:paraId="47FD0DA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5202360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39DFB3B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55FF238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380342B8"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741" w:type="dxa"/>
            <w:tcBorders>
              <w:top w:val="nil"/>
              <w:left w:val="nil"/>
              <w:bottom w:val="single" w:sz="4" w:space="0" w:color="auto"/>
              <w:right w:val="single" w:sz="4" w:space="0" w:color="auto"/>
            </w:tcBorders>
            <w:vAlign w:val="center"/>
          </w:tcPr>
          <w:p w14:paraId="702361A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186681E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2F92A8A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285DD74E"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746" w:type="dxa"/>
            <w:tcBorders>
              <w:top w:val="nil"/>
              <w:left w:val="nil"/>
              <w:bottom w:val="single" w:sz="4" w:space="0" w:color="auto"/>
              <w:right w:val="single" w:sz="4" w:space="0" w:color="auto"/>
            </w:tcBorders>
            <w:vAlign w:val="center"/>
          </w:tcPr>
          <w:p w14:paraId="331998B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r>
      <w:tr w:rsidR="00FA7C26" w:rsidRPr="003E2940" w14:paraId="0EF478D8"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7FD3CC5A"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Gurjar, M., 2011</w:t>
            </w:r>
          </w:p>
        </w:tc>
        <w:tc>
          <w:tcPr>
            <w:tcW w:w="1270" w:type="dxa"/>
            <w:tcBorders>
              <w:top w:val="nil"/>
              <w:left w:val="nil"/>
              <w:bottom w:val="single" w:sz="4" w:space="0" w:color="auto"/>
              <w:right w:val="single" w:sz="4" w:space="0" w:color="auto"/>
            </w:tcBorders>
            <w:vAlign w:val="center"/>
          </w:tcPr>
          <w:p w14:paraId="7B539BE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747" w:type="dxa"/>
            <w:tcBorders>
              <w:top w:val="nil"/>
              <w:left w:val="nil"/>
              <w:bottom w:val="single" w:sz="4" w:space="0" w:color="auto"/>
              <w:right w:val="single" w:sz="4" w:space="0" w:color="auto"/>
            </w:tcBorders>
            <w:vAlign w:val="center"/>
          </w:tcPr>
          <w:p w14:paraId="51907C2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747" w:type="dxa"/>
            <w:tcBorders>
              <w:top w:val="nil"/>
              <w:left w:val="nil"/>
              <w:bottom w:val="single" w:sz="4" w:space="0" w:color="auto"/>
              <w:right w:val="single" w:sz="4" w:space="0" w:color="auto"/>
            </w:tcBorders>
            <w:vAlign w:val="center"/>
          </w:tcPr>
          <w:p w14:paraId="2EF6D30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746" w:type="dxa"/>
            <w:tcBorders>
              <w:top w:val="nil"/>
              <w:left w:val="nil"/>
              <w:bottom w:val="single" w:sz="4" w:space="0" w:color="auto"/>
              <w:right w:val="single" w:sz="4" w:space="0" w:color="auto"/>
            </w:tcBorders>
            <w:vAlign w:val="center"/>
          </w:tcPr>
          <w:p w14:paraId="4E0AB9F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0C8D0D5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452" w:type="dxa"/>
            <w:tcBorders>
              <w:top w:val="nil"/>
              <w:left w:val="nil"/>
              <w:bottom w:val="single" w:sz="4" w:space="0" w:color="auto"/>
              <w:right w:val="single" w:sz="4" w:space="0" w:color="auto"/>
            </w:tcBorders>
            <w:vAlign w:val="center"/>
          </w:tcPr>
          <w:p w14:paraId="1A4505C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41" w:type="dxa"/>
            <w:tcBorders>
              <w:top w:val="nil"/>
              <w:left w:val="nil"/>
              <w:bottom w:val="single" w:sz="4" w:space="0" w:color="auto"/>
              <w:right w:val="single" w:sz="4" w:space="0" w:color="auto"/>
            </w:tcBorders>
            <w:vAlign w:val="center"/>
          </w:tcPr>
          <w:p w14:paraId="64FAF72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0AE8BA4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1D3E521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7ADF12B7"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5ADDEDB1"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FA7C26" w:rsidRPr="003E2940" w14:paraId="60FC6056" w14:textId="77777777" w:rsidTr="00FA7C26">
        <w:trPr>
          <w:trHeight w:val="360"/>
        </w:trPr>
        <w:tc>
          <w:tcPr>
            <w:tcW w:w="1272" w:type="dxa"/>
            <w:tcBorders>
              <w:top w:val="nil"/>
              <w:left w:val="single" w:sz="4" w:space="0" w:color="auto"/>
              <w:bottom w:val="single" w:sz="4" w:space="0" w:color="auto"/>
              <w:right w:val="single" w:sz="4" w:space="0" w:color="auto"/>
            </w:tcBorders>
            <w:vAlign w:val="center"/>
          </w:tcPr>
          <w:p w14:paraId="53CCAC4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Behera, B., 2010</w:t>
            </w:r>
          </w:p>
        </w:tc>
        <w:tc>
          <w:tcPr>
            <w:tcW w:w="1270" w:type="dxa"/>
            <w:tcBorders>
              <w:top w:val="nil"/>
              <w:left w:val="nil"/>
              <w:bottom w:val="single" w:sz="4" w:space="0" w:color="auto"/>
              <w:right w:val="single" w:sz="4" w:space="0" w:color="auto"/>
            </w:tcBorders>
            <w:vAlign w:val="center"/>
          </w:tcPr>
          <w:p w14:paraId="6DF99693"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747" w:type="dxa"/>
            <w:tcBorders>
              <w:top w:val="nil"/>
              <w:left w:val="nil"/>
              <w:bottom w:val="single" w:sz="4" w:space="0" w:color="auto"/>
              <w:right w:val="single" w:sz="4" w:space="0" w:color="auto"/>
            </w:tcBorders>
            <w:vAlign w:val="center"/>
          </w:tcPr>
          <w:p w14:paraId="1B12787F"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7" w:type="dxa"/>
            <w:tcBorders>
              <w:top w:val="nil"/>
              <w:left w:val="nil"/>
              <w:bottom w:val="single" w:sz="4" w:space="0" w:color="auto"/>
              <w:right w:val="single" w:sz="4" w:space="0" w:color="auto"/>
            </w:tcBorders>
            <w:vAlign w:val="center"/>
          </w:tcPr>
          <w:p w14:paraId="2EA5539D"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6" w:type="dxa"/>
            <w:tcBorders>
              <w:top w:val="nil"/>
              <w:left w:val="nil"/>
              <w:bottom w:val="single" w:sz="4" w:space="0" w:color="auto"/>
              <w:right w:val="single" w:sz="4" w:space="0" w:color="auto"/>
            </w:tcBorders>
            <w:vAlign w:val="center"/>
          </w:tcPr>
          <w:p w14:paraId="17857FB6"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1" w:type="dxa"/>
            <w:tcBorders>
              <w:top w:val="nil"/>
              <w:left w:val="nil"/>
              <w:bottom w:val="single" w:sz="4" w:space="0" w:color="auto"/>
              <w:right w:val="single" w:sz="4" w:space="0" w:color="auto"/>
            </w:tcBorders>
            <w:vAlign w:val="center"/>
          </w:tcPr>
          <w:p w14:paraId="77811C24"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452" w:type="dxa"/>
            <w:tcBorders>
              <w:top w:val="nil"/>
              <w:left w:val="nil"/>
              <w:bottom w:val="single" w:sz="4" w:space="0" w:color="auto"/>
              <w:right w:val="single" w:sz="4" w:space="0" w:color="auto"/>
            </w:tcBorders>
            <w:vAlign w:val="center"/>
          </w:tcPr>
          <w:p w14:paraId="2F2185A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41" w:type="dxa"/>
            <w:tcBorders>
              <w:top w:val="nil"/>
              <w:left w:val="nil"/>
              <w:bottom w:val="single" w:sz="4" w:space="0" w:color="auto"/>
              <w:right w:val="single" w:sz="4" w:space="0" w:color="auto"/>
            </w:tcBorders>
            <w:vAlign w:val="center"/>
          </w:tcPr>
          <w:p w14:paraId="3411BCE0"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603" w:type="dxa"/>
            <w:tcBorders>
              <w:top w:val="nil"/>
              <w:left w:val="nil"/>
              <w:bottom w:val="single" w:sz="4" w:space="0" w:color="auto"/>
              <w:right w:val="single" w:sz="4" w:space="0" w:color="auto"/>
            </w:tcBorders>
            <w:vAlign w:val="center"/>
          </w:tcPr>
          <w:p w14:paraId="2787A95B"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597" w:type="dxa"/>
            <w:tcBorders>
              <w:top w:val="nil"/>
              <w:left w:val="nil"/>
              <w:bottom w:val="single" w:sz="4" w:space="0" w:color="auto"/>
              <w:right w:val="single" w:sz="4" w:space="0" w:color="auto"/>
            </w:tcBorders>
            <w:vAlign w:val="center"/>
          </w:tcPr>
          <w:p w14:paraId="1A78C295"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897" w:type="dxa"/>
            <w:tcBorders>
              <w:top w:val="nil"/>
              <w:left w:val="nil"/>
              <w:bottom w:val="single" w:sz="4" w:space="0" w:color="auto"/>
              <w:right w:val="single" w:sz="4" w:space="0" w:color="auto"/>
            </w:tcBorders>
            <w:vAlign w:val="center"/>
          </w:tcPr>
          <w:p w14:paraId="25CD7C4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c>
          <w:tcPr>
            <w:tcW w:w="746" w:type="dxa"/>
            <w:tcBorders>
              <w:top w:val="nil"/>
              <w:left w:val="nil"/>
              <w:bottom w:val="single" w:sz="4" w:space="0" w:color="auto"/>
              <w:right w:val="single" w:sz="4" w:space="0" w:color="auto"/>
            </w:tcBorders>
            <w:vAlign w:val="center"/>
          </w:tcPr>
          <w:p w14:paraId="5725D229" w14:textId="77777777" w:rsidR="00FA7C26" w:rsidRPr="003E2940" w:rsidRDefault="00FA7C26" w:rsidP="00FA7C2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hAnsi="Times New Roman" w:cs="Times New Roman"/>
                <w:sz w:val="18"/>
                <w:szCs w:val="18"/>
              </w:rPr>
              <w:t>-</w:t>
            </w:r>
          </w:p>
        </w:tc>
      </w:tr>
    </w:tbl>
    <w:p w14:paraId="4877721D" w14:textId="67E29125" w:rsidR="00092C68" w:rsidRPr="003E2940" w:rsidRDefault="00FA7C26" w:rsidP="00FA7C26">
      <w:pPr>
        <w:jc w:val="center"/>
        <w:rPr>
          <w:rFonts w:ascii="Times New Roman" w:hAnsi="Times New Roman" w:cs="Times New Roman"/>
          <w:sz w:val="20"/>
          <w:szCs w:val="20"/>
        </w:rPr>
      </w:pPr>
      <w:r w:rsidRPr="003E2940">
        <w:rPr>
          <w:rFonts w:ascii="Times New Roman" w:hAnsi="Times New Roman" w:cs="Times New Roman"/>
          <w:sz w:val="20"/>
          <w:szCs w:val="20"/>
        </w:rPr>
        <w:t>[*Few patients were presented with clinical symptoms, but the number of patients has not been documented in the included study.]</w:t>
      </w:r>
    </w:p>
    <w:p w14:paraId="3AE12750" w14:textId="77777777" w:rsidR="007C578E" w:rsidRPr="003E2940" w:rsidRDefault="007C578E">
      <w:pPr>
        <w:rPr>
          <w:rFonts w:ascii="Times New Roman" w:hAnsi="Times New Roman" w:cs="Times New Roman"/>
          <w:b/>
          <w:bCs/>
          <w:sz w:val="24"/>
          <w:szCs w:val="24"/>
        </w:rPr>
      </w:pPr>
    </w:p>
    <w:p w14:paraId="316BBB99" w14:textId="3E2F0E4E" w:rsidR="00A5668E" w:rsidRPr="003E2940" w:rsidRDefault="004C4F96">
      <w:pPr>
        <w:rPr>
          <w:rFonts w:ascii="Times New Roman" w:hAnsi="Times New Roman" w:cs="Times New Roman"/>
          <w:b/>
          <w:bCs/>
          <w:sz w:val="24"/>
          <w:szCs w:val="24"/>
        </w:rPr>
      </w:pPr>
      <w:r w:rsidRPr="003E2940">
        <w:rPr>
          <w:rFonts w:ascii="Times New Roman" w:hAnsi="Times New Roman" w:cs="Times New Roman"/>
          <w:b/>
          <w:bCs/>
          <w:sz w:val="24"/>
          <w:szCs w:val="24"/>
        </w:rPr>
        <w:lastRenderedPageBreak/>
        <w:t xml:space="preserve">Table </w:t>
      </w:r>
      <w:r w:rsidR="00865BC7">
        <w:rPr>
          <w:rFonts w:ascii="Times New Roman" w:hAnsi="Times New Roman" w:cs="Times New Roman"/>
          <w:b/>
          <w:bCs/>
          <w:sz w:val="24"/>
          <w:szCs w:val="24"/>
        </w:rPr>
        <w:t>S</w:t>
      </w:r>
      <w:r w:rsidR="001F6CBB" w:rsidRPr="003E2940">
        <w:rPr>
          <w:rFonts w:ascii="Times New Roman" w:hAnsi="Times New Roman" w:cs="Times New Roman"/>
          <w:b/>
          <w:bCs/>
          <w:sz w:val="24"/>
          <w:szCs w:val="24"/>
        </w:rPr>
        <w:t>8</w:t>
      </w:r>
      <w:r w:rsidRPr="003E2940">
        <w:rPr>
          <w:rFonts w:ascii="Times New Roman" w:hAnsi="Times New Roman" w:cs="Times New Roman"/>
          <w:b/>
          <w:bCs/>
          <w:sz w:val="24"/>
          <w:szCs w:val="24"/>
        </w:rPr>
        <w:t>: Laboratory parameters in leptospirosis co-infection</w:t>
      </w:r>
    </w:p>
    <w:tbl>
      <w:tblPr>
        <w:tblW w:w="9921" w:type="dxa"/>
        <w:tblInd w:w="-455" w:type="dxa"/>
        <w:tblLook w:val="04A0" w:firstRow="1" w:lastRow="0" w:firstColumn="1" w:lastColumn="0" w:noHBand="0" w:noVBand="1"/>
      </w:tblPr>
      <w:tblGrid>
        <w:gridCol w:w="1206"/>
        <w:gridCol w:w="1346"/>
        <w:gridCol w:w="1247"/>
        <w:gridCol w:w="956"/>
        <w:gridCol w:w="1687"/>
        <w:gridCol w:w="1297"/>
        <w:gridCol w:w="986"/>
        <w:gridCol w:w="1196"/>
      </w:tblGrid>
      <w:tr w:rsidR="00504515" w:rsidRPr="003E2940" w14:paraId="06701189" w14:textId="77777777" w:rsidTr="00A40F70">
        <w:trPr>
          <w:trHeight w:val="360"/>
        </w:trPr>
        <w:tc>
          <w:tcPr>
            <w:tcW w:w="1206" w:type="dxa"/>
            <w:tcBorders>
              <w:top w:val="single" w:sz="4" w:space="0" w:color="auto"/>
              <w:left w:val="single" w:sz="4" w:space="0" w:color="auto"/>
              <w:bottom w:val="single" w:sz="4" w:space="0" w:color="auto"/>
              <w:right w:val="single" w:sz="4" w:space="0" w:color="auto"/>
            </w:tcBorders>
            <w:vAlign w:val="center"/>
            <w:hideMark/>
          </w:tcPr>
          <w:p w14:paraId="5C4D03B7"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Author/Year</w:t>
            </w:r>
          </w:p>
        </w:tc>
        <w:tc>
          <w:tcPr>
            <w:tcW w:w="1346" w:type="dxa"/>
            <w:tcBorders>
              <w:top w:val="single" w:sz="4" w:space="0" w:color="auto"/>
              <w:left w:val="nil"/>
              <w:bottom w:val="single" w:sz="4" w:space="0" w:color="auto"/>
              <w:right w:val="single" w:sz="4" w:space="0" w:color="auto"/>
            </w:tcBorders>
            <w:vAlign w:val="center"/>
            <w:hideMark/>
          </w:tcPr>
          <w:p w14:paraId="11946989"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Location of the study</w:t>
            </w:r>
          </w:p>
        </w:tc>
        <w:tc>
          <w:tcPr>
            <w:tcW w:w="1247" w:type="dxa"/>
            <w:tcBorders>
              <w:top w:val="single" w:sz="4" w:space="0" w:color="auto"/>
              <w:left w:val="nil"/>
              <w:bottom w:val="single" w:sz="4" w:space="0" w:color="auto"/>
              <w:right w:val="single" w:sz="4" w:space="0" w:color="auto"/>
            </w:tcBorders>
            <w:vAlign w:val="center"/>
            <w:hideMark/>
          </w:tcPr>
          <w:p w14:paraId="05A16F62"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Leptospirosis positive cases</w:t>
            </w:r>
          </w:p>
        </w:tc>
        <w:tc>
          <w:tcPr>
            <w:tcW w:w="956" w:type="dxa"/>
            <w:tcBorders>
              <w:top w:val="single" w:sz="4" w:space="0" w:color="auto"/>
              <w:left w:val="nil"/>
              <w:bottom w:val="single" w:sz="4" w:space="0" w:color="auto"/>
              <w:right w:val="single" w:sz="4" w:space="0" w:color="auto"/>
            </w:tcBorders>
            <w:vAlign w:val="center"/>
            <w:hideMark/>
          </w:tcPr>
          <w:p w14:paraId="1D3AC870"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Patients with Co-infections</w:t>
            </w:r>
          </w:p>
        </w:tc>
        <w:tc>
          <w:tcPr>
            <w:tcW w:w="1687" w:type="dxa"/>
            <w:tcBorders>
              <w:top w:val="single" w:sz="4" w:space="0" w:color="auto"/>
              <w:left w:val="nil"/>
              <w:bottom w:val="single" w:sz="4" w:space="0" w:color="auto"/>
              <w:right w:val="single" w:sz="4" w:space="0" w:color="auto"/>
            </w:tcBorders>
            <w:vAlign w:val="center"/>
            <w:hideMark/>
          </w:tcPr>
          <w:p w14:paraId="73282F40"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Thrombocytopenia</w:t>
            </w:r>
          </w:p>
        </w:tc>
        <w:tc>
          <w:tcPr>
            <w:tcW w:w="1297" w:type="dxa"/>
            <w:tcBorders>
              <w:top w:val="single" w:sz="4" w:space="0" w:color="auto"/>
              <w:left w:val="nil"/>
              <w:bottom w:val="single" w:sz="4" w:space="0" w:color="auto"/>
              <w:right w:val="single" w:sz="4" w:space="0" w:color="auto"/>
            </w:tcBorders>
            <w:vAlign w:val="center"/>
            <w:hideMark/>
          </w:tcPr>
          <w:p w14:paraId="67A99DCA"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Transaminitis</w:t>
            </w:r>
          </w:p>
        </w:tc>
        <w:tc>
          <w:tcPr>
            <w:tcW w:w="986" w:type="dxa"/>
            <w:tcBorders>
              <w:top w:val="single" w:sz="4" w:space="0" w:color="auto"/>
              <w:left w:val="nil"/>
              <w:bottom w:val="single" w:sz="4" w:space="0" w:color="auto"/>
              <w:right w:val="single" w:sz="4" w:space="0" w:color="auto"/>
            </w:tcBorders>
            <w:vAlign w:val="center"/>
            <w:hideMark/>
          </w:tcPr>
          <w:p w14:paraId="71172BD1"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Increased creatinine</w:t>
            </w:r>
          </w:p>
        </w:tc>
        <w:tc>
          <w:tcPr>
            <w:tcW w:w="1196" w:type="dxa"/>
            <w:tcBorders>
              <w:top w:val="single" w:sz="4" w:space="0" w:color="auto"/>
              <w:left w:val="nil"/>
              <w:bottom w:val="single" w:sz="4" w:space="0" w:color="auto"/>
              <w:right w:val="single" w:sz="4" w:space="0" w:color="auto"/>
            </w:tcBorders>
            <w:vAlign w:val="center"/>
            <w:hideMark/>
          </w:tcPr>
          <w:p w14:paraId="20F8DE2C" w14:textId="77777777" w:rsidR="00504515" w:rsidRPr="003E2940" w:rsidRDefault="00504515"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Leucocytosis</w:t>
            </w:r>
          </w:p>
        </w:tc>
      </w:tr>
      <w:tr w:rsidR="00504515" w:rsidRPr="003E2940" w14:paraId="061E6559"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145D5631" w14:textId="15CF5F18"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Shiddapur, G, 2024</w:t>
            </w:r>
          </w:p>
        </w:tc>
        <w:tc>
          <w:tcPr>
            <w:tcW w:w="1346" w:type="dxa"/>
            <w:tcBorders>
              <w:top w:val="nil"/>
              <w:left w:val="nil"/>
              <w:bottom w:val="single" w:sz="4" w:space="0" w:color="auto"/>
              <w:right w:val="single" w:sz="4" w:space="0" w:color="auto"/>
            </w:tcBorders>
            <w:vAlign w:val="center"/>
          </w:tcPr>
          <w:p w14:paraId="5BC049BA" w14:textId="4F7FE42C"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1247" w:type="dxa"/>
            <w:tcBorders>
              <w:top w:val="nil"/>
              <w:left w:val="nil"/>
              <w:bottom w:val="single" w:sz="4" w:space="0" w:color="auto"/>
              <w:right w:val="single" w:sz="4" w:space="0" w:color="auto"/>
            </w:tcBorders>
            <w:vAlign w:val="center"/>
          </w:tcPr>
          <w:p w14:paraId="7AD939B0" w14:textId="78615E9F"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7A86FBF6" w14:textId="4A77F684"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277D0348" w14:textId="7739106C"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01F39ED4" w14:textId="633803B5"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7A20CAEF" w14:textId="76F315FC"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57161B33" w14:textId="669F5F94"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504515" w:rsidRPr="003E2940" w14:paraId="49C45B13"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5722B76F" w14:textId="0A66C0A7"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Nazeera NN, 2024</w:t>
            </w:r>
          </w:p>
        </w:tc>
        <w:tc>
          <w:tcPr>
            <w:tcW w:w="1346" w:type="dxa"/>
            <w:tcBorders>
              <w:top w:val="nil"/>
              <w:left w:val="nil"/>
              <w:bottom w:val="single" w:sz="4" w:space="0" w:color="auto"/>
              <w:right w:val="single" w:sz="4" w:space="0" w:color="auto"/>
            </w:tcBorders>
            <w:vAlign w:val="center"/>
          </w:tcPr>
          <w:p w14:paraId="69E40EB0" w14:textId="22F97161"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Wayanad, Kerala</w:t>
            </w:r>
          </w:p>
        </w:tc>
        <w:tc>
          <w:tcPr>
            <w:tcW w:w="1247" w:type="dxa"/>
            <w:tcBorders>
              <w:top w:val="nil"/>
              <w:left w:val="nil"/>
              <w:bottom w:val="single" w:sz="4" w:space="0" w:color="auto"/>
              <w:right w:val="single" w:sz="4" w:space="0" w:color="auto"/>
            </w:tcBorders>
            <w:vAlign w:val="center"/>
          </w:tcPr>
          <w:p w14:paraId="6D146F52" w14:textId="567F5E3E"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43FF8085" w14:textId="6F4F5FB7"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3BF23F2A" w14:textId="5317DE99"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576E07B9" w14:textId="55C37BCE"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332B1967" w14:textId="47718113"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177A4C0D" w14:textId="0DD8258F"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p>
        </w:tc>
      </w:tr>
      <w:tr w:rsidR="00504515" w:rsidRPr="003E2940" w14:paraId="14BF1D6B"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0CE6C544" w14:textId="6840B7F7"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Shiddapur G, 2024</w:t>
            </w:r>
          </w:p>
        </w:tc>
        <w:tc>
          <w:tcPr>
            <w:tcW w:w="1346" w:type="dxa"/>
            <w:tcBorders>
              <w:top w:val="nil"/>
              <w:left w:val="nil"/>
              <w:bottom w:val="single" w:sz="4" w:space="0" w:color="auto"/>
              <w:right w:val="single" w:sz="4" w:space="0" w:color="auto"/>
            </w:tcBorders>
            <w:noWrap/>
            <w:vAlign w:val="center"/>
          </w:tcPr>
          <w:p w14:paraId="0C2A819F" w14:textId="15DE75F2"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1247" w:type="dxa"/>
            <w:tcBorders>
              <w:top w:val="nil"/>
              <w:left w:val="nil"/>
              <w:bottom w:val="single" w:sz="4" w:space="0" w:color="auto"/>
              <w:right w:val="single" w:sz="4" w:space="0" w:color="auto"/>
            </w:tcBorders>
            <w:noWrap/>
            <w:vAlign w:val="center"/>
          </w:tcPr>
          <w:p w14:paraId="55BB61EA" w14:textId="125F7805"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noWrap/>
            <w:vAlign w:val="center"/>
          </w:tcPr>
          <w:p w14:paraId="10A82DD8" w14:textId="738C06A5"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1EF37729" w14:textId="5DE7D5EF"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7D2F2281" w14:textId="2207248B"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144B9B10" w14:textId="07119F7F"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33887361" w14:textId="4A208B0D" w:rsidR="00504515" w:rsidRPr="003E2940" w:rsidRDefault="00504515" w:rsidP="00504515">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7D2306" w:rsidRPr="003E2940" w14:paraId="48D60060"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02D848CC" w14:textId="02C5760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Aina, N, 2023</w:t>
            </w:r>
          </w:p>
        </w:tc>
        <w:tc>
          <w:tcPr>
            <w:tcW w:w="1346" w:type="dxa"/>
            <w:tcBorders>
              <w:top w:val="nil"/>
              <w:left w:val="nil"/>
              <w:bottom w:val="single" w:sz="4" w:space="0" w:color="auto"/>
              <w:right w:val="single" w:sz="4" w:space="0" w:color="auto"/>
            </w:tcBorders>
            <w:noWrap/>
            <w:vAlign w:val="center"/>
          </w:tcPr>
          <w:p w14:paraId="3E6D730E" w14:textId="6C4CA04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Tamil Nadu</w:t>
            </w:r>
          </w:p>
        </w:tc>
        <w:tc>
          <w:tcPr>
            <w:tcW w:w="1247" w:type="dxa"/>
            <w:tcBorders>
              <w:top w:val="nil"/>
              <w:left w:val="nil"/>
              <w:bottom w:val="single" w:sz="4" w:space="0" w:color="auto"/>
              <w:right w:val="single" w:sz="4" w:space="0" w:color="auto"/>
            </w:tcBorders>
            <w:noWrap/>
            <w:vAlign w:val="center"/>
          </w:tcPr>
          <w:p w14:paraId="07E3BBBB" w14:textId="52AEED6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956" w:type="dxa"/>
            <w:tcBorders>
              <w:top w:val="nil"/>
              <w:left w:val="nil"/>
              <w:bottom w:val="single" w:sz="4" w:space="0" w:color="auto"/>
              <w:right w:val="single" w:sz="4" w:space="0" w:color="auto"/>
            </w:tcBorders>
            <w:noWrap/>
            <w:vAlign w:val="center"/>
          </w:tcPr>
          <w:p w14:paraId="46A59EAB" w14:textId="1BD5D51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687" w:type="dxa"/>
            <w:tcBorders>
              <w:top w:val="nil"/>
              <w:left w:val="nil"/>
              <w:bottom w:val="single" w:sz="4" w:space="0" w:color="auto"/>
              <w:right w:val="single" w:sz="4" w:space="0" w:color="auto"/>
            </w:tcBorders>
            <w:vAlign w:val="center"/>
          </w:tcPr>
          <w:p w14:paraId="5AC4E6A1" w14:textId="755CC34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4ED08687" w14:textId="02BD22B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986" w:type="dxa"/>
            <w:tcBorders>
              <w:top w:val="nil"/>
              <w:left w:val="nil"/>
              <w:bottom w:val="single" w:sz="4" w:space="0" w:color="auto"/>
              <w:right w:val="single" w:sz="4" w:space="0" w:color="auto"/>
            </w:tcBorders>
            <w:vAlign w:val="center"/>
          </w:tcPr>
          <w:p w14:paraId="30C5D34B" w14:textId="2CE878F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3047AD74" w14:textId="6D74F94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5C0AD471" w14:textId="77777777" w:rsidTr="00E36EC3">
        <w:trPr>
          <w:trHeight w:val="290"/>
        </w:trPr>
        <w:tc>
          <w:tcPr>
            <w:tcW w:w="1206" w:type="dxa"/>
            <w:tcBorders>
              <w:top w:val="nil"/>
              <w:left w:val="single" w:sz="4" w:space="0" w:color="auto"/>
              <w:bottom w:val="single" w:sz="4" w:space="0" w:color="auto"/>
              <w:right w:val="single" w:sz="4" w:space="0" w:color="auto"/>
            </w:tcBorders>
            <w:vAlign w:val="center"/>
          </w:tcPr>
          <w:p w14:paraId="54D9366B" w14:textId="3B8B814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Saboo K, 2023</w:t>
            </w:r>
          </w:p>
        </w:tc>
        <w:tc>
          <w:tcPr>
            <w:tcW w:w="1346" w:type="dxa"/>
            <w:tcBorders>
              <w:top w:val="nil"/>
              <w:left w:val="nil"/>
              <w:bottom w:val="single" w:sz="4" w:space="0" w:color="auto"/>
              <w:right w:val="single" w:sz="4" w:space="0" w:color="auto"/>
            </w:tcBorders>
            <w:noWrap/>
            <w:vAlign w:val="center"/>
          </w:tcPr>
          <w:p w14:paraId="2C099504" w14:textId="71EAE65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1247" w:type="dxa"/>
            <w:tcBorders>
              <w:top w:val="nil"/>
              <w:left w:val="nil"/>
              <w:bottom w:val="single" w:sz="4" w:space="0" w:color="auto"/>
              <w:right w:val="single" w:sz="4" w:space="0" w:color="auto"/>
            </w:tcBorders>
            <w:noWrap/>
            <w:vAlign w:val="center"/>
          </w:tcPr>
          <w:p w14:paraId="06A694BF" w14:textId="5B93933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3FA51224" w14:textId="478459E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3AB5D61B" w14:textId="3B7A15D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6CE39A47" w14:textId="55A3A20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86" w:type="dxa"/>
            <w:tcBorders>
              <w:top w:val="nil"/>
              <w:left w:val="nil"/>
              <w:bottom w:val="single" w:sz="4" w:space="0" w:color="auto"/>
              <w:right w:val="single" w:sz="4" w:space="0" w:color="auto"/>
            </w:tcBorders>
            <w:vAlign w:val="center"/>
          </w:tcPr>
          <w:p w14:paraId="72A29924" w14:textId="018CD69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62D9E3F3" w14:textId="1311411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5B66E4FE" w14:textId="77777777" w:rsidTr="00504515">
        <w:trPr>
          <w:trHeight w:val="290"/>
        </w:trPr>
        <w:tc>
          <w:tcPr>
            <w:tcW w:w="1206" w:type="dxa"/>
            <w:tcBorders>
              <w:top w:val="nil"/>
              <w:left w:val="single" w:sz="4" w:space="0" w:color="auto"/>
              <w:bottom w:val="single" w:sz="4" w:space="0" w:color="auto"/>
              <w:right w:val="single" w:sz="4" w:space="0" w:color="auto"/>
            </w:tcBorders>
            <w:vAlign w:val="center"/>
          </w:tcPr>
          <w:p w14:paraId="7ED9B5A6" w14:textId="498CC13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Hareshkumar CN, 2022</w:t>
            </w:r>
          </w:p>
        </w:tc>
        <w:tc>
          <w:tcPr>
            <w:tcW w:w="1346" w:type="dxa"/>
            <w:tcBorders>
              <w:top w:val="nil"/>
              <w:left w:val="nil"/>
              <w:bottom w:val="single" w:sz="4" w:space="0" w:color="auto"/>
              <w:right w:val="single" w:sz="4" w:space="0" w:color="auto"/>
            </w:tcBorders>
            <w:noWrap/>
            <w:vAlign w:val="center"/>
          </w:tcPr>
          <w:p w14:paraId="011A94C6" w14:textId="37DD2F9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47" w:type="dxa"/>
            <w:tcBorders>
              <w:top w:val="nil"/>
              <w:left w:val="nil"/>
              <w:bottom w:val="single" w:sz="4" w:space="0" w:color="auto"/>
              <w:right w:val="single" w:sz="4" w:space="0" w:color="auto"/>
            </w:tcBorders>
            <w:noWrap/>
            <w:vAlign w:val="center"/>
          </w:tcPr>
          <w:p w14:paraId="73CA1FF5" w14:textId="3B76F70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C38E468" w14:textId="5DEF1B6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1D9F261A" w14:textId="38FB658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7D856F62" w14:textId="1F72085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030F0ECC" w14:textId="74B5C7F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73B755E3" w14:textId="7CC545F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7D2306" w:rsidRPr="003E2940" w14:paraId="56D8D295" w14:textId="77777777" w:rsidTr="00E36EC3">
        <w:trPr>
          <w:trHeight w:val="290"/>
        </w:trPr>
        <w:tc>
          <w:tcPr>
            <w:tcW w:w="1206" w:type="dxa"/>
            <w:tcBorders>
              <w:top w:val="nil"/>
              <w:left w:val="single" w:sz="4" w:space="0" w:color="auto"/>
              <w:bottom w:val="single" w:sz="4" w:space="0" w:color="auto"/>
              <w:right w:val="single" w:sz="4" w:space="0" w:color="auto"/>
            </w:tcBorders>
            <w:vAlign w:val="center"/>
          </w:tcPr>
          <w:p w14:paraId="2684D3DC" w14:textId="25DE49F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Gupta, N., 2022</w:t>
            </w:r>
          </w:p>
        </w:tc>
        <w:tc>
          <w:tcPr>
            <w:tcW w:w="1346" w:type="dxa"/>
            <w:tcBorders>
              <w:top w:val="nil"/>
              <w:left w:val="nil"/>
              <w:bottom w:val="single" w:sz="4" w:space="0" w:color="auto"/>
              <w:right w:val="single" w:sz="4" w:space="0" w:color="auto"/>
            </w:tcBorders>
            <w:noWrap/>
            <w:vAlign w:val="center"/>
          </w:tcPr>
          <w:p w14:paraId="50C06C79" w14:textId="5BC9701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Manipal</w:t>
            </w:r>
          </w:p>
        </w:tc>
        <w:tc>
          <w:tcPr>
            <w:tcW w:w="1247" w:type="dxa"/>
            <w:tcBorders>
              <w:top w:val="nil"/>
              <w:left w:val="nil"/>
              <w:bottom w:val="single" w:sz="4" w:space="0" w:color="auto"/>
              <w:right w:val="single" w:sz="4" w:space="0" w:color="auto"/>
            </w:tcBorders>
            <w:noWrap/>
            <w:vAlign w:val="center"/>
          </w:tcPr>
          <w:p w14:paraId="010E37BA" w14:textId="59DDDB8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87</w:t>
            </w:r>
          </w:p>
        </w:tc>
        <w:tc>
          <w:tcPr>
            <w:tcW w:w="956" w:type="dxa"/>
            <w:tcBorders>
              <w:top w:val="nil"/>
              <w:left w:val="nil"/>
              <w:bottom w:val="single" w:sz="4" w:space="0" w:color="auto"/>
              <w:right w:val="single" w:sz="4" w:space="0" w:color="auto"/>
            </w:tcBorders>
            <w:vAlign w:val="center"/>
          </w:tcPr>
          <w:p w14:paraId="197C7EEA" w14:textId="2F3B943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24</w:t>
            </w:r>
          </w:p>
        </w:tc>
        <w:tc>
          <w:tcPr>
            <w:tcW w:w="1687" w:type="dxa"/>
            <w:tcBorders>
              <w:top w:val="nil"/>
              <w:left w:val="nil"/>
              <w:bottom w:val="single" w:sz="4" w:space="0" w:color="auto"/>
              <w:right w:val="single" w:sz="4" w:space="0" w:color="auto"/>
            </w:tcBorders>
            <w:vAlign w:val="center"/>
          </w:tcPr>
          <w:p w14:paraId="581D8E28" w14:textId="1BB221C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22</w:t>
            </w:r>
          </w:p>
        </w:tc>
        <w:tc>
          <w:tcPr>
            <w:tcW w:w="1297" w:type="dxa"/>
            <w:tcBorders>
              <w:top w:val="nil"/>
              <w:left w:val="nil"/>
              <w:bottom w:val="single" w:sz="4" w:space="0" w:color="auto"/>
              <w:right w:val="single" w:sz="4" w:space="0" w:color="auto"/>
            </w:tcBorders>
            <w:vAlign w:val="center"/>
          </w:tcPr>
          <w:p w14:paraId="00E36DE3" w14:textId="1BC7A02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15</w:t>
            </w:r>
          </w:p>
        </w:tc>
        <w:tc>
          <w:tcPr>
            <w:tcW w:w="986" w:type="dxa"/>
            <w:tcBorders>
              <w:top w:val="nil"/>
              <w:left w:val="nil"/>
              <w:bottom w:val="single" w:sz="4" w:space="0" w:color="auto"/>
              <w:right w:val="single" w:sz="4" w:space="0" w:color="auto"/>
            </w:tcBorders>
            <w:vAlign w:val="center"/>
          </w:tcPr>
          <w:p w14:paraId="2FFB5510" w14:textId="545884A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19</w:t>
            </w:r>
          </w:p>
        </w:tc>
        <w:tc>
          <w:tcPr>
            <w:tcW w:w="1196" w:type="dxa"/>
            <w:tcBorders>
              <w:top w:val="nil"/>
              <w:left w:val="nil"/>
              <w:bottom w:val="single" w:sz="4" w:space="0" w:color="auto"/>
              <w:right w:val="single" w:sz="4" w:space="0" w:color="auto"/>
            </w:tcBorders>
            <w:vAlign w:val="center"/>
          </w:tcPr>
          <w:p w14:paraId="57FB181C" w14:textId="62E53415"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r>
      <w:tr w:rsidR="007D2306" w:rsidRPr="003E2940" w14:paraId="3C3E13BA"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3E4412BA" w14:textId="087CF40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Y, 2022</w:t>
            </w:r>
          </w:p>
        </w:tc>
        <w:tc>
          <w:tcPr>
            <w:tcW w:w="1346" w:type="dxa"/>
            <w:tcBorders>
              <w:top w:val="nil"/>
              <w:left w:val="nil"/>
              <w:bottom w:val="single" w:sz="4" w:space="0" w:color="auto"/>
              <w:right w:val="single" w:sz="4" w:space="0" w:color="auto"/>
            </w:tcBorders>
            <w:noWrap/>
            <w:vAlign w:val="center"/>
          </w:tcPr>
          <w:p w14:paraId="548F43DC" w14:textId="3CAB280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1247" w:type="dxa"/>
            <w:tcBorders>
              <w:top w:val="nil"/>
              <w:left w:val="nil"/>
              <w:bottom w:val="single" w:sz="4" w:space="0" w:color="auto"/>
              <w:right w:val="single" w:sz="4" w:space="0" w:color="auto"/>
            </w:tcBorders>
            <w:noWrap/>
            <w:vAlign w:val="center"/>
          </w:tcPr>
          <w:p w14:paraId="172B240B" w14:textId="0D2B932D"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noWrap/>
            <w:vAlign w:val="center"/>
          </w:tcPr>
          <w:p w14:paraId="6D127AA8" w14:textId="5BB9D7C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78F875DD" w14:textId="0397AA2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6ECEA2C8" w14:textId="6C66C71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0847CA78" w14:textId="3DEFECE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452F2227" w14:textId="385F70F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56B88DF0"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34878D14" w14:textId="2B8D34A5"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A,2021</w:t>
            </w:r>
          </w:p>
        </w:tc>
        <w:tc>
          <w:tcPr>
            <w:tcW w:w="1346" w:type="dxa"/>
            <w:tcBorders>
              <w:top w:val="nil"/>
              <w:left w:val="nil"/>
              <w:bottom w:val="single" w:sz="4" w:space="0" w:color="auto"/>
              <w:right w:val="single" w:sz="4" w:space="0" w:color="auto"/>
            </w:tcBorders>
            <w:vAlign w:val="center"/>
          </w:tcPr>
          <w:p w14:paraId="4F3C0F2F" w14:textId="6329565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Wardha</w:t>
            </w:r>
          </w:p>
        </w:tc>
        <w:tc>
          <w:tcPr>
            <w:tcW w:w="1247" w:type="dxa"/>
            <w:tcBorders>
              <w:top w:val="nil"/>
              <w:left w:val="nil"/>
              <w:bottom w:val="single" w:sz="4" w:space="0" w:color="auto"/>
              <w:right w:val="single" w:sz="4" w:space="0" w:color="auto"/>
            </w:tcBorders>
            <w:vAlign w:val="center"/>
          </w:tcPr>
          <w:p w14:paraId="4E1F4C86" w14:textId="43E2FF0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1C79157" w14:textId="765DC5A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001F7639" w14:textId="0675181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52072459" w14:textId="55295A8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770A5AA6" w14:textId="2E83E8A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6344853E" w14:textId="158049A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0859D3B6"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012A180B" w14:textId="2FD2FA4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Kharibam, P., 2021</w:t>
            </w:r>
          </w:p>
        </w:tc>
        <w:tc>
          <w:tcPr>
            <w:tcW w:w="1346" w:type="dxa"/>
            <w:tcBorders>
              <w:top w:val="nil"/>
              <w:left w:val="nil"/>
              <w:bottom w:val="single" w:sz="4" w:space="0" w:color="auto"/>
              <w:right w:val="single" w:sz="4" w:space="0" w:color="auto"/>
            </w:tcBorders>
            <w:vAlign w:val="center"/>
          </w:tcPr>
          <w:p w14:paraId="46E90808" w14:textId="4BD7A00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1247" w:type="dxa"/>
            <w:tcBorders>
              <w:top w:val="nil"/>
              <w:left w:val="nil"/>
              <w:bottom w:val="single" w:sz="4" w:space="0" w:color="auto"/>
              <w:right w:val="single" w:sz="4" w:space="0" w:color="auto"/>
            </w:tcBorders>
            <w:vAlign w:val="center"/>
          </w:tcPr>
          <w:p w14:paraId="74E5F0EC" w14:textId="2A21FAA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3458871F" w14:textId="749A1D5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43446DA1" w14:textId="5764FE7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332E8A43" w14:textId="5883870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1B7AFED7" w14:textId="48E0094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588F310E" w14:textId="55D1050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779740EE"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791B96A0" w14:textId="7FA2293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Dhanashree, B., 2021</w:t>
            </w:r>
          </w:p>
        </w:tc>
        <w:tc>
          <w:tcPr>
            <w:tcW w:w="1346" w:type="dxa"/>
            <w:tcBorders>
              <w:top w:val="nil"/>
              <w:left w:val="nil"/>
              <w:bottom w:val="single" w:sz="4" w:space="0" w:color="auto"/>
              <w:right w:val="single" w:sz="4" w:space="0" w:color="auto"/>
            </w:tcBorders>
            <w:vAlign w:val="center"/>
          </w:tcPr>
          <w:p w14:paraId="326E6A18" w14:textId="0B14762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1247" w:type="dxa"/>
            <w:tcBorders>
              <w:top w:val="nil"/>
              <w:left w:val="nil"/>
              <w:bottom w:val="single" w:sz="4" w:space="0" w:color="auto"/>
              <w:right w:val="single" w:sz="4" w:space="0" w:color="auto"/>
            </w:tcBorders>
            <w:vAlign w:val="center"/>
          </w:tcPr>
          <w:p w14:paraId="50E8D8D5" w14:textId="2B04A4B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119</w:t>
            </w:r>
          </w:p>
        </w:tc>
        <w:tc>
          <w:tcPr>
            <w:tcW w:w="956" w:type="dxa"/>
            <w:tcBorders>
              <w:top w:val="nil"/>
              <w:left w:val="nil"/>
              <w:bottom w:val="single" w:sz="4" w:space="0" w:color="auto"/>
              <w:right w:val="single" w:sz="4" w:space="0" w:color="auto"/>
            </w:tcBorders>
            <w:vAlign w:val="center"/>
          </w:tcPr>
          <w:p w14:paraId="0FD3537A" w14:textId="6C30847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1687" w:type="dxa"/>
            <w:tcBorders>
              <w:top w:val="nil"/>
              <w:left w:val="nil"/>
              <w:bottom w:val="single" w:sz="4" w:space="0" w:color="auto"/>
              <w:right w:val="single" w:sz="4" w:space="0" w:color="auto"/>
            </w:tcBorders>
            <w:vAlign w:val="center"/>
          </w:tcPr>
          <w:p w14:paraId="3936189B" w14:textId="1C5747C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297" w:type="dxa"/>
            <w:tcBorders>
              <w:top w:val="nil"/>
              <w:left w:val="nil"/>
              <w:bottom w:val="single" w:sz="4" w:space="0" w:color="auto"/>
              <w:right w:val="single" w:sz="4" w:space="0" w:color="auto"/>
            </w:tcBorders>
            <w:vAlign w:val="center"/>
          </w:tcPr>
          <w:p w14:paraId="6B5ACF5E" w14:textId="5B68DF0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986" w:type="dxa"/>
            <w:tcBorders>
              <w:top w:val="nil"/>
              <w:left w:val="nil"/>
              <w:bottom w:val="single" w:sz="4" w:space="0" w:color="auto"/>
              <w:right w:val="single" w:sz="4" w:space="0" w:color="auto"/>
            </w:tcBorders>
            <w:vAlign w:val="center"/>
          </w:tcPr>
          <w:p w14:paraId="15D239EB" w14:textId="6140EB8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1196" w:type="dxa"/>
            <w:tcBorders>
              <w:top w:val="nil"/>
              <w:left w:val="nil"/>
              <w:bottom w:val="single" w:sz="4" w:space="0" w:color="auto"/>
              <w:right w:val="single" w:sz="4" w:space="0" w:color="auto"/>
            </w:tcBorders>
            <w:vAlign w:val="center"/>
          </w:tcPr>
          <w:p w14:paraId="3D04AE15" w14:textId="1299828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r>
      <w:tr w:rsidR="007D2306" w:rsidRPr="003E2940" w14:paraId="2C06D579" w14:textId="77777777" w:rsidTr="00E36EC3">
        <w:trPr>
          <w:trHeight w:val="290"/>
        </w:trPr>
        <w:tc>
          <w:tcPr>
            <w:tcW w:w="1206" w:type="dxa"/>
            <w:tcBorders>
              <w:top w:val="nil"/>
              <w:left w:val="single" w:sz="4" w:space="0" w:color="auto"/>
              <w:bottom w:val="single" w:sz="4" w:space="0" w:color="auto"/>
              <w:right w:val="single" w:sz="4" w:space="0" w:color="auto"/>
            </w:tcBorders>
            <w:vAlign w:val="center"/>
          </w:tcPr>
          <w:p w14:paraId="00A2DA7C" w14:textId="62C092CD"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Dev, N., 2019</w:t>
            </w:r>
          </w:p>
        </w:tc>
        <w:tc>
          <w:tcPr>
            <w:tcW w:w="1346" w:type="dxa"/>
            <w:tcBorders>
              <w:top w:val="nil"/>
              <w:left w:val="nil"/>
              <w:bottom w:val="single" w:sz="4" w:space="0" w:color="auto"/>
              <w:right w:val="single" w:sz="4" w:space="0" w:color="auto"/>
            </w:tcBorders>
            <w:noWrap/>
            <w:vAlign w:val="center"/>
          </w:tcPr>
          <w:p w14:paraId="02A46971" w14:textId="10CCBEC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1247" w:type="dxa"/>
            <w:tcBorders>
              <w:top w:val="nil"/>
              <w:left w:val="nil"/>
              <w:bottom w:val="single" w:sz="4" w:space="0" w:color="auto"/>
              <w:right w:val="single" w:sz="4" w:space="0" w:color="auto"/>
            </w:tcBorders>
            <w:noWrap/>
            <w:vAlign w:val="center"/>
          </w:tcPr>
          <w:p w14:paraId="786DD5D6" w14:textId="19BFBF3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8B16A84" w14:textId="6C189D6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3950072C" w14:textId="075AE67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4E2FE5D2" w14:textId="454719C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1E908408" w14:textId="53B3A40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2925D91C" w14:textId="2DA8931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493BFA01"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1D3855AE" w14:textId="44C39705"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Mehta. V, 2019</w:t>
            </w:r>
          </w:p>
        </w:tc>
        <w:tc>
          <w:tcPr>
            <w:tcW w:w="1346" w:type="dxa"/>
            <w:tcBorders>
              <w:top w:val="nil"/>
              <w:left w:val="nil"/>
              <w:bottom w:val="single" w:sz="4" w:space="0" w:color="auto"/>
              <w:right w:val="single" w:sz="4" w:space="0" w:color="auto"/>
            </w:tcBorders>
            <w:vAlign w:val="center"/>
          </w:tcPr>
          <w:p w14:paraId="153BBC12" w14:textId="1E85648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1247" w:type="dxa"/>
            <w:tcBorders>
              <w:top w:val="nil"/>
              <w:left w:val="nil"/>
              <w:bottom w:val="single" w:sz="4" w:space="0" w:color="auto"/>
              <w:right w:val="single" w:sz="4" w:space="0" w:color="auto"/>
            </w:tcBorders>
            <w:vAlign w:val="center"/>
          </w:tcPr>
          <w:p w14:paraId="2FAAB96F" w14:textId="7E6F1E8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4398A852" w14:textId="07F23E4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527E3930" w14:textId="734C676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4F64D9C0" w14:textId="5529034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6B02897E" w14:textId="216EF79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5B619272" w14:textId="391CEB9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2E6990CF" w14:textId="77777777" w:rsidTr="00BE709B">
        <w:trPr>
          <w:trHeight w:val="360"/>
        </w:trPr>
        <w:tc>
          <w:tcPr>
            <w:tcW w:w="1206" w:type="dxa"/>
            <w:tcBorders>
              <w:top w:val="nil"/>
              <w:left w:val="single" w:sz="4" w:space="0" w:color="auto"/>
              <w:bottom w:val="single" w:sz="4" w:space="0" w:color="auto"/>
              <w:right w:val="single" w:sz="4" w:space="0" w:color="auto"/>
            </w:tcBorders>
            <w:vAlign w:val="center"/>
            <w:hideMark/>
          </w:tcPr>
          <w:p w14:paraId="4D6CE0BB"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Negi, A., 2018</w:t>
            </w:r>
          </w:p>
        </w:tc>
        <w:tc>
          <w:tcPr>
            <w:tcW w:w="1346" w:type="dxa"/>
            <w:tcBorders>
              <w:top w:val="nil"/>
              <w:left w:val="nil"/>
              <w:bottom w:val="single" w:sz="4" w:space="0" w:color="auto"/>
              <w:right w:val="single" w:sz="4" w:space="0" w:color="auto"/>
            </w:tcBorders>
            <w:vAlign w:val="center"/>
            <w:hideMark/>
          </w:tcPr>
          <w:p w14:paraId="64F65414"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1247" w:type="dxa"/>
            <w:tcBorders>
              <w:top w:val="nil"/>
              <w:left w:val="nil"/>
              <w:bottom w:val="single" w:sz="4" w:space="0" w:color="auto"/>
              <w:right w:val="single" w:sz="4" w:space="0" w:color="auto"/>
            </w:tcBorders>
            <w:vAlign w:val="center"/>
            <w:hideMark/>
          </w:tcPr>
          <w:p w14:paraId="59045D8E"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hideMark/>
          </w:tcPr>
          <w:p w14:paraId="1785E5B5"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hideMark/>
          </w:tcPr>
          <w:p w14:paraId="06CA116C"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hideMark/>
          </w:tcPr>
          <w:p w14:paraId="110B0659"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hideMark/>
          </w:tcPr>
          <w:p w14:paraId="6EFF3AF4"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hideMark/>
          </w:tcPr>
          <w:p w14:paraId="50858C70" w14:textId="77777777" w:rsidR="007D2306" w:rsidRPr="003E2940" w:rsidRDefault="007D2306" w:rsidP="00BE709B">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033FC5B8" w14:textId="77777777" w:rsidTr="00F934F3">
        <w:trPr>
          <w:trHeight w:val="360"/>
        </w:trPr>
        <w:tc>
          <w:tcPr>
            <w:tcW w:w="1206" w:type="dxa"/>
            <w:tcBorders>
              <w:top w:val="nil"/>
              <w:left w:val="single" w:sz="4" w:space="0" w:color="auto"/>
              <w:bottom w:val="single" w:sz="4" w:space="0" w:color="auto"/>
              <w:right w:val="single" w:sz="4" w:space="0" w:color="auto"/>
            </w:tcBorders>
            <w:vAlign w:val="center"/>
            <w:hideMark/>
          </w:tcPr>
          <w:p w14:paraId="120492FD"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Sachu, A., 2018</w:t>
            </w:r>
          </w:p>
        </w:tc>
        <w:tc>
          <w:tcPr>
            <w:tcW w:w="1346" w:type="dxa"/>
            <w:tcBorders>
              <w:top w:val="nil"/>
              <w:left w:val="nil"/>
              <w:bottom w:val="single" w:sz="4" w:space="0" w:color="auto"/>
              <w:right w:val="single" w:sz="4" w:space="0" w:color="auto"/>
            </w:tcBorders>
            <w:vAlign w:val="center"/>
            <w:hideMark/>
          </w:tcPr>
          <w:p w14:paraId="5487A8BC"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Alappuzha, Kerala</w:t>
            </w:r>
          </w:p>
        </w:tc>
        <w:tc>
          <w:tcPr>
            <w:tcW w:w="1247" w:type="dxa"/>
            <w:tcBorders>
              <w:top w:val="nil"/>
              <w:left w:val="nil"/>
              <w:bottom w:val="single" w:sz="4" w:space="0" w:color="auto"/>
              <w:right w:val="single" w:sz="4" w:space="0" w:color="auto"/>
            </w:tcBorders>
            <w:vAlign w:val="center"/>
            <w:hideMark/>
          </w:tcPr>
          <w:p w14:paraId="7361104E"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193</w:t>
            </w:r>
          </w:p>
        </w:tc>
        <w:tc>
          <w:tcPr>
            <w:tcW w:w="956" w:type="dxa"/>
            <w:tcBorders>
              <w:top w:val="nil"/>
              <w:left w:val="nil"/>
              <w:bottom w:val="single" w:sz="4" w:space="0" w:color="auto"/>
              <w:right w:val="single" w:sz="4" w:space="0" w:color="auto"/>
            </w:tcBorders>
            <w:vAlign w:val="center"/>
            <w:hideMark/>
          </w:tcPr>
          <w:p w14:paraId="6DBB82A2"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33</w:t>
            </w:r>
          </w:p>
        </w:tc>
        <w:tc>
          <w:tcPr>
            <w:tcW w:w="1687" w:type="dxa"/>
            <w:tcBorders>
              <w:top w:val="nil"/>
              <w:left w:val="nil"/>
              <w:bottom w:val="single" w:sz="4" w:space="0" w:color="auto"/>
              <w:right w:val="single" w:sz="4" w:space="0" w:color="auto"/>
            </w:tcBorders>
            <w:vAlign w:val="center"/>
            <w:hideMark/>
          </w:tcPr>
          <w:p w14:paraId="4D8F7C42"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24</w:t>
            </w:r>
          </w:p>
        </w:tc>
        <w:tc>
          <w:tcPr>
            <w:tcW w:w="1297" w:type="dxa"/>
            <w:tcBorders>
              <w:top w:val="nil"/>
              <w:left w:val="nil"/>
              <w:bottom w:val="single" w:sz="4" w:space="0" w:color="auto"/>
              <w:right w:val="single" w:sz="4" w:space="0" w:color="auto"/>
            </w:tcBorders>
            <w:vAlign w:val="center"/>
            <w:hideMark/>
          </w:tcPr>
          <w:p w14:paraId="149ED01D"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20</w:t>
            </w:r>
          </w:p>
        </w:tc>
        <w:tc>
          <w:tcPr>
            <w:tcW w:w="986" w:type="dxa"/>
            <w:tcBorders>
              <w:top w:val="nil"/>
              <w:left w:val="nil"/>
              <w:bottom w:val="single" w:sz="4" w:space="0" w:color="auto"/>
              <w:right w:val="single" w:sz="4" w:space="0" w:color="auto"/>
            </w:tcBorders>
            <w:vAlign w:val="center"/>
            <w:hideMark/>
          </w:tcPr>
          <w:p w14:paraId="2BA29DBC"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1196" w:type="dxa"/>
            <w:tcBorders>
              <w:top w:val="nil"/>
              <w:left w:val="nil"/>
              <w:bottom w:val="single" w:sz="4" w:space="0" w:color="auto"/>
              <w:right w:val="single" w:sz="4" w:space="0" w:color="auto"/>
            </w:tcBorders>
            <w:vAlign w:val="center"/>
            <w:hideMark/>
          </w:tcPr>
          <w:p w14:paraId="188A0DCA" w14:textId="77777777" w:rsidR="007D2306" w:rsidRPr="003E2940" w:rsidRDefault="007D2306" w:rsidP="00F934F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r>
      <w:tr w:rsidR="007D2306" w:rsidRPr="003E2940" w14:paraId="0A1729D0" w14:textId="77777777" w:rsidTr="00BE709B">
        <w:trPr>
          <w:trHeight w:val="360"/>
        </w:trPr>
        <w:tc>
          <w:tcPr>
            <w:tcW w:w="1206" w:type="dxa"/>
            <w:tcBorders>
              <w:top w:val="nil"/>
              <w:left w:val="single" w:sz="4" w:space="0" w:color="auto"/>
              <w:bottom w:val="single" w:sz="4" w:space="0" w:color="auto"/>
              <w:right w:val="single" w:sz="4" w:space="0" w:color="auto"/>
            </w:tcBorders>
            <w:vAlign w:val="center"/>
          </w:tcPr>
          <w:p w14:paraId="062B21EA" w14:textId="5900FD6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Raina S, 2018</w:t>
            </w:r>
          </w:p>
        </w:tc>
        <w:tc>
          <w:tcPr>
            <w:tcW w:w="1346" w:type="dxa"/>
            <w:tcBorders>
              <w:top w:val="nil"/>
              <w:left w:val="nil"/>
              <w:bottom w:val="single" w:sz="4" w:space="0" w:color="auto"/>
              <w:right w:val="single" w:sz="4" w:space="0" w:color="auto"/>
            </w:tcBorders>
            <w:vAlign w:val="center"/>
          </w:tcPr>
          <w:p w14:paraId="3FC0BD5D" w14:textId="1605402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Kangra</w:t>
            </w:r>
          </w:p>
        </w:tc>
        <w:tc>
          <w:tcPr>
            <w:tcW w:w="1247" w:type="dxa"/>
            <w:tcBorders>
              <w:top w:val="nil"/>
              <w:left w:val="nil"/>
              <w:bottom w:val="single" w:sz="4" w:space="0" w:color="auto"/>
              <w:right w:val="single" w:sz="4" w:space="0" w:color="auto"/>
            </w:tcBorders>
            <w:vAlign w:val="center"/>
          </w:tcPr>
          <w:p w14:paraId="602D6AD4" w14:textId="627B618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956" w:type="dxa"/>
            <w:tcBorders>
              <w:top w:val="nil"/>
              <w:left w:val="nil"/>
              <w:bottom w:val="single" w:sz="4" w:space="0" w:color="auto"/>
              <w:right w:val="single" w:sz="4" w:space="0" w:color="auto"/>
            </w:tcBorders>
            <w:vAlign w:val="center"/>
          </w:tcPr>
          <w:p w14:paraId="4968433F" w14:textId="325847F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687" w:type="dxa"/>
            <w:tcBorders>
              <w:top w:val="nil"/>
              <w:left w:val="nil"/>
              <w:bottom w:val="single" w:sz="4" w:space="0" w:color="auto"/>
              <w:right w:val="single" w:sz="4" w:space="0" w:color="auto"/>
            </w:tcBorders>
            <w:vAlign w:val="center"/>
          </w:tcPr>
          <w:p w14:paraId="3FE8A7DF" w14:textId="7FCD87B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5B7CE3A3" w14:textId="0ADDB35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6135C4F2" w14:textId="76368565"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66D164DC" w14:textId="24A85DA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00CD0810"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1CF2C2FF" w14:textId="3E3F743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Samanta, 2014.</w:t>
            </w:r>
          </w:p>
        </w:tc>
        <w:tc>
          <w:tcPr>
            <w:tcW w:w="1346" w:type="dxa"/>
            <w:tcBorders>
              <w:top w:val="nil"/>
              <w:left w:val="nil"/>
              <w:bottom w:val="single" w:sz="4" w:space="0" w:color="auto"/>
              <w:right w:val="single" w:sz="4" w:space="0" w:color="auto"/>
            </w:tcBorders>
            <w:vAlign w:val="center"/>
          </w:tcPr>
          <w:p w14:paraId="282F60D1" w14:textId="235B4D1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1247" w:type="dxa"/>
            <w:tcBorders>
              <w:top w:val="nil"/>
              <w:left w:val="nil"/>
              <w:bottom w:val="single" w:sz="4" w:space="0" w:color="auto"/>
              <w:right w:val="single" w:sz="4" w:space="0" w:color="auto"/>
            </w:tcBorders>
            <w:vAlign w:val="center"/>
          </w:tcPr>
          <w:p w14:paraId="3CA203E6" w14:textId="00A9015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E7C5D75" w14:textId="6EA4160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741A0F3E" w14:textId="27ED0A3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26C7B124" w14:textId="4BACD97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55E3700B" w14:textId="4120422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114E3828" w14:textId="0D97101D"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1CD77AED"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54BB03C3" w14:textId="6BA91CD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R, 2014</w:t>
            </w:r>
          </w:p>
        </w:tc>
        <w:tc>
          <w:tcPr>
            <w:tcW w:w="1346" w:type="dxa"/>
            <w:tcBorders>
              <w:top w:val="nil"/>
              <w:left w:val="nil"/>
              <w:bottom w:val="single" w:sz="4" w:space="0" w:color="auto"/>
              <w:right w:val="single" w:sz="4" w:space="0" w:color="auto"/>
            </w:tcBorders>
            <w:vAlign w:val="center"/>
          </w:tcPr>
          <w:p w14:paraId="258C214A" w14:textId="51C4C72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1247" w:type="dxa"/>
            <w:tcBorders>
              <w:top w:val="nil"/>
              <w:left w:val="nil"/>
              <w:bottom w:val="single" w:sz="4" w:space="0" w:color="auto"/>
              <w:right w:val="single" w:sz="4" w:space="0" w:color="auto"/>
            </w:tcBorders>
            <w:vAlign w:val="center"/>
          </w:tcPr>
          <w:p w14:paraId="0BE5E3D6" w14:textId="051871F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noWrap/>
            <w:vAlign w:val="center"/>
          </w:tcPr>
          <w:p w14:paraId="0D6234F4" w14:textId="15D7F76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0B962E90" w14:textId="193BF86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1B850D73" w14:textId="2CB4444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86" w:type="dxa"/>
            <w:tcBorders>
              <w:top w:val="nil"/>
              <w:left w:val="nil"/>
              <w:bottom w:val="single" w:sz="4" w:space="0" w:color="auto"/>
              <w:right w:val="single" w:sz="4" w:space="0" w:color="auto"/>
            </w:tcBorders>
            <w:vAlign w:val="center"/>
          </w:tcPr>
          <w:p w14:paraId="5A61C506" w14:textId="1AAD3E7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73D0659F" w14:textId="0342958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59CD61F3" w14:textId="77777777" w:rsidTr="00504515">
        <w:trPr>
          <w:trHeight w:val="360"/>
        </w:trPr>
        <w:tc>
          <w:tcPr>
            <w:tcW w:w="1206" w:type="dxa"/>
            <w:tcBorders>
              <w:top w:val="nil"/>
              <w:left w:val="single" w:sz="4" w:space="0" w:color="auto"/>
              <w:bottom w:val="single" w:sz="4" w:space="0" w:color="auto"/>
              <w:right w:val="single" w:sz="4" w:space="0" w:color="auto"/>
            </w:tcBorders>
            <w:vAlign w:val="center"/>
          </w:tcPr>
          <w:p w14:paraId="29E85CFA" w14:textId="4F9CFFF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Ananthi B, 2014</w:t>
            </w:r>
          </w:p>
        </w:tc>
        <w:tc>
          <w:tcPr>
            <w:tcW w:w="1346" w:type="dxa"/>
            <w:tcBorders>
              <w:top w:val="nil"/>
              <w:left w:val="nil"/>
              <w:bottom w:val="single" w:sz="4" w:space="0" w:color="auto"/>
              <w:right w:val="single" w:sz="4" w:space="0" w:color="auto"/>
            </w:tcBorders>
            <w:vAlign w:val="center"/>
          </w:tcPr>
          <w:p w14:paraId="524399E4" w14:textId="5515388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Chennai, Tamil Nadu</w:t>
            </w:r>
          </w:p>
        </w:tc>
        <w:tc>
          <w:tcPr>
            <w:tcW w:w="1247" w:type="dxa"/>
            <w:tcBorders>
              <w:top w:val="nil"/>
              <w:left w:val="nil"/>
              <w:bottom w:val="single" w:sz="4" w:space="0" w:color="auto"/>
              <w:right w:val="single" w:sz="4" w:space="0" w:color="auto"/>
            </w:tcBorders>
            <w:vAlign w:val="center"/>
          </w:tcPr>
          <w:p w14:paraId="0673AD14" w14:textId="2A26153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143</w:t>
            </w:r>
          </w:p>
        </w:tc>
        <w:tc>
          <w:tcPr>
            <w:tcW w:w="956" w:type="dxa"/>
            <w:tcBorders>
              <w:top w:val="nil"/>
              <w:left w:val="nil"/>
              <w:bottom w:val="single" w:sz="4" w:space="0" w:color="auto"/>
              <w:right w:val="single" w:sz="4" w:space="0" w:color="auto"/>
            </w:tcBorders>
            <w:noWrap/>
            <w:vAlign w:val="center"/>
          </w:tcPr>
          <w:p w14:paraId="1EC3854D" w14:textId="1208C31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c>
          <w:tcPr>
            <w:tcW w:w="1687" w:type="dxa"/>
            <w:tcBorders>
              <w:top w:val="nil"/>
              <w:left w:val="nil"/>
              <w:bottom w:val="single" w:sz="4" w:space="0" w:color="auto"/>
              <w:right w:val="single" w:sz="4" w:space="0" w:color="auto"/>
            </w:tcBorders>
            <w:vAlign w:val="center"/>
          </w:tcPr>
          <w:p w14:paraId="4DDD94D1" w14:textId="7530F03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297" w:type="dxa"/>
            <w:tcBorders>
              <w:top w:val="nil"/>
              <w:left w:val="nil"/>
              <w:bottom w:val="single" w:sz="4" w:space="0" w:color="auto"/>
              <w:right w:val="single" w:sz="4" w:space="0" w:color="auto"/>
            </w:tcBorders>
            <w:vAlign w:val="center"/>
          </w:tcPr>
          <w:p w14:paraId="48A2F875" w14:textId="717D5EC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2F2274E0" w14:textId="71A9D3A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57EA7D15" w14:textId="1B28B18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7C79C785"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11939ACF" w14:textId="6869C83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Chopdekar, 2014</w:t>
            </w:r>
          </w:p>
        </w:tc>
        <w:tc>
          <w:tcPr>
            <w:tcW w:w="1346" w:type="dxa"/>
            <w:tcBorders>
              <w:top w:val="nil"/>
              <w:left w:val="nil"/>
              <w:bottom w:val="single" w:sz="4" w:space="0" w:color="auto"/>
              <w:right w:val="single" w:sz="4" w:space="0" w:color="auto"/>
            </w:tcBorders>
            <w:vAlign w:val="center"/>
          </w:tcPr>
          <w:p w14:paraId="66A6C054" w14:textId="3D33562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Mumbai</w:t>
            </w:r>
          </w:p>
        </w:tc>
        <w:tc>
          <w:tcPr>
            <w:tcW w:w="1247" w:type="dxa"/>
            <w:tcBorders>
              <w:top w:val="nil"/>
              <w:left w:val="nil"/>
              <w:bottom w:val="single" w:sz="4" w:space="0" w:color="auto"/>
              <w:right w:val="single" w:sz="4" w:space="0" w:color="auto"/>
            </w:tcBorders>
            <w:vAlign w:val="center"/>
          </w:tcPr>
          <w:p w14:paraId="262D3B25" w14:textId="757BE98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956" w:type="dxa"/>
            <w:tcBorders>
              <w:top w:val="nil"/>
              <w:left w:val="nil"/>
              <w:bottom w:val="single" w:sz="4" w:space="0" w:color="auto"/>
              <w:right w:val="single" w:sz="4" w:space="0" w:color="auto"/>
            </w:tcBorders>
            <w:vAlign w:val="center"/>
          </w:tcPr>
          <w:p w14:paraId="3042D21C" w14:textId="2DBAF36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687" w:type="dxa"/>
            <w:tcBorders>
              <w:top w:val="nil"/>
              <w:left w:val="nil"/>
              <w:bottom w:val="single" w:sz="4" w:space="0" w:color="auto"/>
              <w:right w:val="single" w:sz="4" w:space="0" w:color="auto"/>
            </w:tcBorders>
            <w:vAlign w:val="center"/>
          </w:tcPr>
          <w:p w14:paraId="0E834395" w14:textId="7819818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5CC46293" w14:textId="058AE53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86" w:type="dxa"/>
            <w:tcBorders>
              <w:top w:val="nil"/>
              <w:left w:val="nil"/>
              <w:bottom w:val="single" w:sz="4" w:space="0" w:color="auto"/>
              <w:right w:val="single" w:sz="4" w:space="0" w:color="auto"/>
            </w:tcBorders>
            <w:vAlign w:val="center"/>
          </w:tcPr>
          <w:p w14:paraId="75068B20" w14:textId="3C8872C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17142FC8" w14:textId="59A8298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3EB9048E"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66E83E89" w14:textId="2F2CDF2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Diwan, A.G., 2014</w:t>
            </w:r>
          </w:p>
        </w:tc>
        <w:tc>
          <w:tcPr>
            <w:tcW w:w="1346" w:type="dxa"/>
            <w:tcBorders>
              <w:top w:val="nil"/>
              <w:left w:val="nil"/>
              <w:bottom w:val="single" w:sz="4" w:space="0" w:color="auto"/>
              <w:right w:val="single" w:sz="4" w:space="0" w:color="auto"/>
            </w:tcBorders>
            <w:vAlign w:val="center"/>
          </w:tcPr>
          <w:p w14:paraId="76B40C78" w14:textId="6778D74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47" w:type="dxa"/>
            <w:tcBorders>
              <w:top w:val="nil"/>
              <w:left w:val="nil"/>
              <w:bottom w:val="single" w:sz="4" w:space="0" w:color="auto"/>
              <w:right w:val="single" w:sz="4" w:space="0" w:color="auto"/>
            </w:tcBorders>
            <w:vAlign w:val="center"/>
          </w:tcPr>
          <w:p w14:paraId="744F5DB6" w14:textId="21E83E1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3CB14B7" w14:textId="65A232F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40E6853A" w14:textId="1A8A4CA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6691C641" w14:textId="46AB867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016F90B2" w14:textId="3D52A7B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300EB16A" w14:textId="26F84C6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25D0925D"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5AF080C8" w14:textId="59CEF17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Damodar T, 2013</w:t>
            </w:r>
          </w:p>
        </w:tc>
        <w:tc>
          <w:tcPr>
            <w:tcW w:w="1346" w:type="dxa"/>
            <w:tcBorders>
              <w:top w:val="nil"/>
              <w:left w:val="nil"/>
              <w:bottom w:val="single" w:sz="4" w:space="0" w:color="auto"/>
              <w:right w:val="single" w:sz="4" w:space="0" w:color="auto"/>
            </w:tcBorders>
            <w:vAlign w:val="center"/>
          </w:tcPr>
          <w:p w14:paraId="57895BDC" w14:textId="7312B85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1247" w:type="dxa"/>
            <w:tcBorders>
              <w:top w:val="nil"/>
              <w:left w:val="nil"/>
              <w:bottom w:val="single" w:sz="4" w:space="0" w:color="auto"/>
              <w:right w:val="single" w:sz="4" w:space="0" w:color="auto"/>
            </w:tcBorders>
            <w:vAlign w:val="center"/>
          </w:tcPr>
          <w:p w14:paraId="4B95F3A4" w14:textId="303819A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52B0C9EC" w14:textId="733D39B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633F396D" w14:textId="0EDB183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0B8AEA82" w14:textId="063CB27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86" w:type="dxa"/>
            <w:tcBorders>
              <w:top w:val="nil"/>
              <w:left w:val="nil"/>
              <w:bottom w:val="single" w:sz="4" w:space="0" w:color="auto"/>
              <w:right w:val="single" w:sz="4" w:space="0" w:color="auto"/>
            </w:tcBorders>
            <w:vAlign w:val="center"/>
          </w:tcPr>
          <w:p w14:paraId="6B5343E2" w14:textId="6196AFA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96" w:type="dxa"/>
            <w:tcBorders>
              <w:top w:val="nil"/>
              <w:left w:val="nil"/>
              <w:bottom w:val="single" w:sz="4" w:space="0" w:color="auto"/>
              <w:right w:val="single" w:sz="4" w:space="0" w:color="auto"/>
            </w:tcBorders>
            <w:vAlign w:val="center"/>
          </w:tcPr>
          <w:p w14:paraId="746019F4" w14:textId="6CDD9D9D"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4EE3A935"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4D8BC2D7" w14:textId="41AD656B"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MP, 2012</w:t>
            </w:r>
          </w:p>
        </w:tc>
        <w:tc>
          <w:tcPr>
            <w:tcW w:w="1346" w:type="dxa"/>
            <w:tcBorders>
              <w:top w:val="nil"/>
              <w:left w:val="nil"/>
              <w:bottom w:val="single" w:sz="4" w:space="0" w:color="auto"/>
              <w:right w:val="single" w:sz="4" w:space="0" w:color="auto"/>
            </w:tcBorders>
            <w:vAlign w:val="center"/>
          </w:tcPr>
          <w:p w14:paraId="05BE8FC5" w14:textId="341894D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Chandigarh</w:t>
            </w:r>
          </w:p>
        </w:tc>
        <w:tc>
          <w:tcPr>
            <w:tcW w:w="1247" w:type="dxa"/>
            <w:tcBorders>
              <w:top w:val="nil"/>
              <w:left w:val="nil"/>
              <w:bottom w:val="single" w:sz="4" w:space="0" w:color="auto"/>
              <w:right w:val="single" w:sz="4" w:space="0" w:color="auto"/>
            </w:tcBorders>
            <w:vAlign w:val="center"/>
          </w:tcPr>
          <w:p w14:paraId="7A9E2DFD" w14:textId="2E129CD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157304F" w14:textId="1B18192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28E501AB" w14:textId="0689013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747DD516" w14:textId="50FFBED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86" w:type="dxa"/>
            <w:tcBorders>
              <w:top w:val="nil"/>
              <w:left w:val="nil"/>
              <w:bottom w:val="single" w:sz="4" w:space="0" w:color="auto"/>
              <w:right w:val="single" w:sz="4" w:space="0" w:color="auto"/>
            </w:tcBorders>
            <w:vAlign w:val="center"/>
          </w:tcPr>
          <w:p w14:paraId="1A649046" w14:textId="7E48481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1EFF9AD5" w14:textId="3602975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5ABC4642"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0EDF2934" w14:textId="7B78B16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Mahajan S.K, 2012</w:t>
            </w:r>
          </w:p>
        </w:tc>
        <w:tc>
          <w:tcPr>
            <w:tcW w:w="1346" w:type="dxa"/>
            <w:tcBorders>
              <w:top w:val="nil"/>
              <w:left w:val="nil"/>
              <w:bottom w:val="single" w:sz="4" w:space="0" w:color="auto"/>
              <w:right w:val="single" w:sz="4" w:space="0" w:color="auto"/>
            </w:tcBorders>
            <w:vAlign w:val="center"/>
          </w:tcPr>
          <w:p w14:paraId="223C664A" w14:textId="603BDA8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Shimla</w:t>
            </w:r>
          </w:p>
        </w:tc>
        <w:tc>
          <w:tcPr>
            <w:tcW w:w="1247" w:type="dxa"/>
            <w:tcBorders>
              <w:top w:val="nil"/>
              <w:left w:val="nil"/>
              <w:bottom w:val="single" w:sz="4" w:space="0" w:color="auto"/>
              <w:right w:val="single" w:sz="4" w:space="0" w:color="auto"/>
            </w:tcBorders>
            <w:vAlign w:val="center"/>
          </w:tcPr>
          <w:p w14:paraId="022CF9C8" w14:textId="733C040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1277196B" w14:textId="6072575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7E16D458" w14:textId="1D8E128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4CDD26D5" w14:textId="6E68AD8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5B27A4C0" w14:textId="40D65655"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1AE83EC2" w14:textId="79BAD49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56AAF9B6" w14:textId="77777777" w:rsidTr="00504515">
        <w:trPr>
          <w:trHeight w:val="360"/>
        </w:trPr>
        <w:tc>
          <w:tcPr>
            <w:tcW w:w="1206" w:type="dxa"/>
            <w:tcBorders>
              <w:top w:val="nil"/>
              <w:left w:val="single" w:sz="4" w:space="0" w:color="auto"/>
              <w:bottom w:val="single" w:sz="4" w:space="0" w:color="auto"/>
              <w:right w:val="single" w:sz="4" w:space="0" w:color="auto"/>
            </w:tcBorders>
            <w:vAlign w:val="center"/>
          </w:tcPr>
          <w:p w14:paraId="5493D969" w14:textId="525803C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Kumar A, 2012</w:t>
            </w:r>
          </w:p>
        </w:tc>
        <w:tc>
          <w:tcPr>
            <w:tcW w:w="1346" w:type="dxa"/>
            <w:tcBorders>
              <w:top w:val="nil"/>
              <w:left w:val="nil"/>
              <w:bottom w:val="single" w:sz="4" w:space="0" w:color="auto"/>
              <w:right w:val="single" w:sz="4" w:space="0" w:color="auto"/>
            </w:tcBorders>
            <w:vAlign w:val="center"/>
          </w:tcPr>
          <w:p w14:paraId="470867D6" w14:textId="1596E28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Kochi, Kerala</w:t>
            </w:r>
          </w:p>
        </w:tc>
        <w:tc>
          <w:tcPr>
            <w:tcW w:w="1247" w:type="dxa"/>
            <w:tcBorders>
              <w:top w:val="nil"/>
              <w:left w:val="nil"/>
              <w:bottom w:val="single" w:sz="4" w:space="0" w:color="auto"/>
              <w:right w:val="single" w:sz="4" w:space="0" w:color="auto"/>
            </w:tcBorders>
            <w:vAlign w:val="center"/>
          </w:tcPr>
          <w:p w14:paraId="28845CA7" w14:textId="587E50E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287</w:t>
            </w:r>
          </w:p>
        </w:tc>
        <w:tc>
          <w:tcPr>
            <w:tcW w:w="956" w:type="dxa"/>
            <w:tcBorders>
              <w:top w:val="nil"/>
              <w:left w:val="nil"/>
              <w:bottom w:val="single" w:sz="4" w:space="0" w:color="auto"/>
              <w:right w:val="single" w:sz="4" w:space="0" w:color="auto"/>
            </w:tcBorders>
            <w:vAlign w:val="center"/>
          </w:tcPr>
          <w:p w14:paraId="78E33952" w14:textId="00F39128"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1687" w:type="dxa"/>
            <w:tcBorders>
              <w:top w:val="nil"/>
              <w:left w:val="nil"/>
              <w:bottom w:val="single" w:sz="4" w:space="0" w:color="auto"/>
              <w:right w:val="single" w:sz="4" w:space="0" w:color="auto"/>
            </w:tcBorders>
            <w:vAlign w:val="center"/>
          </w:tcPr>
          <w:p w14:paraId="401B0A02" w14:textId="1B14651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1297" w:type="dxa"/>
            <w:tcBorders>
              <w:top w:val="nil"/>
              <w:left w:val="nil"/>
              <w:bottom w:val="single" w:sz="4" w:space="0" w:color="auto"/>
              <w:right w:val="single" w:sz="4" w:space="0" w:color="auto"/>
            </w:tcBorders>
            <w:vAlign w:val="center"/>
          </w:tcPr>
          <w:p w14:paraId="685BB515" w14:textId="787676E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16</w:t>
            </w:r>
          </w:p>
        </w:tc>
        <w:tc>
          <w:tcPr>
            <w:tcW w:w="986" w:type="dxa"/>
            <w:tcBorders>
              <w:top w:val="nil"/>
              <w:left w:val="nil"/>
              <w:bottom w:val="single" w:sz="4" w:space="0" w:color="auto"/>
              <w:right w:val="single" w:sz="4" w:space="0" w:color="auto"/>
            </w:tcBorders>
            <w:vAlign w:val="center"/>
          </w:tcPr>
          <w:p w14:paraId="213ED5F9" w14:textId="73BD2C1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16</w:t>
            </w:r>
          </w:p>
        </w:tc>
        <w:tc>
          <w:tcPr>
            <w:tcW w:w="1196" w:type="dxa"/>
            <w:tcBorders>
              <w:top w:val="nil"/>
              <w:left w:val="nil"/>
              <w:bottom w:val="single" w:sz="4" w:space="0" w:color="auto"/>
              <w:right w:val="single" w:sz="4" w:space="0" w:color="auto"/>
            </w:tcBorders>
            <w:vAlign w:val="center"/>
          </w:tcPr>
          <w:p w14:paraId="02A38827" w14:textId="3B51434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r>
      <w:tr w:rsidR="007D2306" w:rsidRPr="003E2940" w14:paraId="326396B0"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03E02B25" w14:textId="07A6604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Baliga, K.V., 2011</w:t>
            </w:r>
          </w:p>
        </w:tc>
        <w:tc>
          <w:tcPr>
            <w:tcW w:w="1346" w:type="dxa"/>
            <w:tcBorders>
              <w:top w:val="nil"/>
              <w:left w:val="nil"/>
              <w:bottom w:val="single" w:sz="4" w:space="0" w:color="auto"/>
              <w:right w:val="single" w:sz="4" w:space="0" w:color="auto"/>
            </w:tcBorders>
            <w:vAlign w:val="center"/>
          </w:tcPr>
          <w:p w14:paraId="49E3E3C3" w14:textId="14C7A0D1"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1247" w:type="dxa"/>
            <w:tcBorders>
              <w:top w:val="nil"/>
              <w:left w:val="nil"/>
              <w:bottom w:val="single" w:sz="4" w:space="0" w:color="auto"/>
              <w:right w:val="single" w:sz="4" w:space="0" w:color="auto"/>
            </w:tcBorders>
            <w:vAlign w:val="center"/>
          </w:tcPr>
          <w:p w14:paraId="46A587F5" w14:textId="4971276D"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575D8CDB" w14:textId="15024E9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3AF19902" w14:textId="148E20C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97" w:type="dxa"/>
            <w:tcBorders>
              <w:top w:val="nil"/>
              <w:left w:val="nil"/>
              <w:bottom w:val="single" w:sz="4" w:space="0" w:color="auto"/>
              <w:right w:val="single" w:sz="4" w:space="0" w:color="auto"/>
            </w:tcBorders>
            <w:vAlign w:val="center"/>
          </w:tcPr>
          <w:p w14:paraId="6187A755" w14:textId="2B8CE41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2C2B5E44" w14:textId="5716FFC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16CC303F" w14:textId="285E47D6"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7D2306" w:rsidRPr="003E2940" w14:paraId="1B31C0D4"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3198A173" w14:textId="43F6A37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Gurjar, M., 2011</w:t>
            </w:r>
          </w:p>
        </w:tc>
        <w:tc>
          <w:tcPr>
            <w:tcW w:w="1346" w:type="dxa"/>
            <w:tcBorders>
              <w:top w:val="nil"/>
              <w:left w:val="nil"/>
              <w:bottom w:val="single" w:sz="4" w:space="0" w:color="auto"/>
              <w:right w:val="single" w:sz="4" w:space="0" w:color="auto"/>
            </w:tcBorders>
            <w:vAlign w:val="center"/>
          </w:tcPr>
          <w:p w14:paraId="47768581" w14:textId="67EA44C7"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1247" w:type="dxa"/>
            <w:tcBorders>
              <w:top w:val="nil"/>
              <w:left w:val="nil"/>
              <w:bottom w:val="single" w:sz="4" w:space="0" w:color="auto"/>
              <w:right w:val="single" w:sz="4" w:space="0" w:color="auto"/>
            </w:tcBorders>
            <w:vAlign w:val="center"/>
          </w:tcPr>
          <w:p w14:paraId="28EC7FB4" w14:textId="215D6EB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956" w:type="dxa"/>
            <w:tcBorders>
              <w:top w:val="nil"/>
              <w:left w:val="nil"/>
              <w:bottom w:val="single" w:sz="4" w:space="0" w:color="auto"/>
              <w:right w:val="single" w:sz="4" w:space="0" w:color="auto"/>
            </w:tcBorders>
            <w:vAlign w:val="center"/>
          </w:tcPr>
          <w:p w14:paraId="13EBEE11" w14:textId="186E50C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687" w:type="dxa"/>
            <w:tcBorders>
              <w:top w:val="nil"/>
              <w:left w:val="nil"/>
              <w:bottom w:val="single" w:sz="4" w:space="0" w:color="auto"/>
              <w:right w:val="single" w:sz="4" w:space="0" w:color="auto"/>
            </w:tcBorders>
            <w:vAlign w:val="center"/>
          </w:tcPr>
          <w:p w14:paraId="5D18B533" w14:textId="5B1ECA3F"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17EC5A1E" w14:textId="4741C3C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6149FCA6" w14:textId="41018569"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196" w:type="dxa"/>
            <w:tcBorders>
              <w:top w:val="nil"/>
              <w:left w:val="nil"/>
              <w:bottom w:val="single" w:sz="4" w:space="0" w:color="auto"/>
              <w:right w:val="single" w:sz="4" w:space="0" w:color="auto"/>
            </w:tcBorders>
            <w:vAlign w:val="center"/>
          </w:tcPr>
          <w:p w14:paraId="6E6E5EA5" w14:textId="7267E33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7D2306" w:rsidRPr="003E2940" w14:paraId="185EC5D2" w14:textId="77777777" w:rsidTr="00E36EC3">
        <w:trPr>
          <w:trHeight w:val="360"/>
        </w:trPr>
        <w:tc>
          <w:tcPr>
            <w:tcW w:w="1206" w:type="dxa"/>
            <w:tcBorders>
              <w:top w:val="nil"/>
              <w:left w:val="single" w:sz="4" w:space="0" w:color="auto"/>
              <w:bottom w:val="single" w:sz="4" w:space="0" w:color="auto"/>
              <w:right w:val="single" w:sz="4" w:space="0" w:color="auto"/>
            </w:tcBorders>
            <w:vAlign w:val="center"/>
          </w:tcPr>
          <w:p w14:paraId="5EBF333F" w14:textId="168569B0"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Behera, B., 2010</w:t>
            </w:r>
          </w:p>
        </w:tc>
        <w:tc>
          <w:tcPr>
            <w:tcW w:w="1346" w:type="dxa"/>
            <w:tcBorders>
              <w:top w:val="nil"/>
              <w:left w:val="nil"/>
              <w:bottom w:val="single" w:sz="4" w:space="0" w:color="auto"/>
              <w:right w:val="single" w:sz="4" w:space="0" w:color="auto"/>
            </w:tcBorders>
            <w:vAlign w:val="center"/>
          </w:tcPr>
          <w:p w14:paraId="681DD47F" w14:textId="1734463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1247" w:type="dxa"/>
            <w:tcBorders>
              <w:top w:val="nil"/>
              <w:left w:val="nil"/>
              <w:bottom w:val="single" w:sz="4" w:space="0" w:color="auto"/>
              <w:right w:val="single" w:sz="4" w:space="0" w:color="auto"/>
            </w:tcBorders>
            <w:vAlign w:val="center"/>
          </w:tcPr>
          <w:p w14:paraId="5B6DF975" w14:textId="4B75F462"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56" w:type="dxa"/>
            <w:tcBorders>
              <w:top w:val="nil"/>
              <w:left w:val="nil"/>
              <w:bottom w:val="single" w:sz="4" w:space="0" w:color="auto"/>
              <w:right w:val="single" w:sz="4" w:space="0" w:color="auto"/>
            </w:tcBorders>
            <w:vAlign w:val="center"/>
          </w:tcPr>
          <w:p w14:paraId="2507D7DF" w14:textId="072D35FC"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687" w:type="dxa"/>
            <w:tcBorders>
              <w:top w:val="nil"/>
              <w:left w:val="nil"/>
              <w:bottom w:val="single" w:sz="4" w:space="0" w:color="auto"/>
              <w:right w:val="single" w:sz="4" w:space="0" w:color="auto"/>
            </w:tcBorders>
            <w:vAlign w:val="center"/>
          </w:tcPr>
          <w:p w14:paraId="38F13BBC" w14:textId="6C7CCAFA"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97" w:type="dxa"/>
            <w:tcBorders>
              <w:top w:val="nil"/>
              <w:left w:val="nil"/>
              <w:bottom w:val="single" w:sz="4" w:space="0" w:color="auto"/>
              <w:right w:val="single" w:sz="4" w:space="0" w:color="auto"/>
            </w:tcBorders>
            <w:vAlign w:val="center"/>
          </w:tcPr>
          <w:p w14:paraId="198D7E34" w14:textId="0A83CF23"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86" w:type="dxa"/>
            <w:tcBorders>
              <w:top w:val="nil"/>
              <w:left w:val="nil"/>
              <w:bottom w:val="single" w:sz="4" w:space="0" w:color="auto"/>
              <w:right w:val="single" w:sz="4" w:space="0" w:color="auto"/>
            </w:tcBorders>
            <w:vAlign w:val="center"/>
          </w:tcPr>
          <w:p w14:paraId="642F61BD" w14:textId="7DAE1DFE"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96" w:type="dxa"/>
            <w:tcBorders>
              <w:top w:val="nil"/>
              <w:left w:val="nil"/>
              <w:bottom w:val="single" w:sz="4" w:space="0" w:color="auto"/>
              <w:right w:val="single" w:sz="4" w:space="0" w:color="auto"/>
            </w:tcBorders>
            <w:vAlign w:val="center"/>
          </w:tcPr>
          <w:p w14:paraId="08C56921" w14:textId="1BC1A6E4" w:rsidR="007D2306" w:rsidRPr="003E2940" w:rsidRDefault="007D2306" w:rsidP="007D2306">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bl>
    <w:p w14:paraId="5D0C8344" w14:textId="6740B271" w:rsidR="004C4F96" w:rsidRPr="003E2940" w:rsidRDefault="004C4F96"/>
    <w:p w14:paraId="6FB250E9" w14:textId="77777777" w:rsidR="007C578E" w:rsidRPr="003E2940" w:rsidRDefault="007C578E">
      <w:pPr>
        <w:rPr>
          <w:rFonts w:ascii="Times New Roman" w:hAnsi="Times New Roman" w:cs="Times New Roman"/>
          <w:b/>
          <w:bCs/>
          <w:sz w:val="24"/>
          <w:szCs w:val="24"/>
        </w:rPr>
      </w:pPr>
    </w:p>
    <w:p w14:paraId="1EB8AEF2" w14:textId="2E449084" w:rsidR="00A5668E" w:rsidRPr="003E2940" w:rsidRDefault="004C4F96">
      <w:pPr>
        <w:rPr>
          <w:rFonts w:ascii="Times New Roman" w:hAnsi="Times New Roman" w:cs="Times New Roman"/>
          <w:b/>
          <w:bCs/>
          <w:sz w:val="24"/>
          <w:szCs w:val="24"/>
        </w:rPr>
      </w:pPr>
      <w:r w:rsidRPr="003E2940">
        <w:rPr>
          <w:rFonts w:ascii="Times New Roman" w:hAnsi="Times New Roman" w:cs="Times New Roman"/>
          <w:b/>
          <w:bCs/>
          <w:sz w:val="24"/>
          <w:szCs w:val="24"/>
        </w:rPr>
        <w:lastRenderedPageBreak/>
        <w:t xml:space="preserve">Table </w:t>
      </w:r>
      <w:r w:rsidR="00865BC7">
        <w:rPr>
          <w:rFonts w:ascii="Times New Roman" w:hAnsi="Times New Roman" w:cs="Times New Roman"/>
          <w:b/>
          <w:bCs/>
          <w:sz w:val="24"/>
          <w:szCs w:val="24"/>
        </w:rPr>
        <w:t>S</w:t>
      </w:r>
      <w:r w:rsidR="001F6CBB" w:rsidRPr="003E2940">
        <w:rPr>
          <w:rFonts w:ascii="Times New Roman" w:hAnsi="Times New Roman" w:cs="Times New Roman"/>
          <w:b/>
          <w:bCs/>
          <w:sz w:val="24"/>
          <w:szCs w:val="24"/>
        </w:rPr>
        <w:t>9</w:t>
      </w:r>
      <w:r w:rsidR="004D7233" w:rsidRPr="003E2940">
        <w:rPr>
          <w:rFonts w:ascii="Times New Roman" w:hAnsi="Times New Roman" w:cs="Times New Roman"/>
          <w:b/>
          <w:bCs/>
          <w:sz w:val="24"/>
          <w:szCs w:val="24"/>
        </w:rPr>
        <w:t xml:space="preserve">: </w:t>
      </w:r>
      <w:r w:rsidRPr="003E2940">
        <w:rPr>
          <w:rFonts w:ascii="Times New Roman" w:hAnsi="Times New Roman" w:cs="Times New Roman"/>
          <w:b/>
          <w:bCs/>
          <w:sz w:val="24"/>
          <w:szCs w:val="24"/>
        </w:rPr>
        <w:t>Critical care support utilization during hospitalization in leptospirosis co-infection</w:t>
      </w:r>
    </w:p>
    <w:tbl>
      <w:tblPr>
        <w:tblW w:w="9541" w:type="dxa"/>
        <w:tblInd w:w="-263" w:type="dxa"/>
        <w:tblLook w:val="04A0" w:firstRow="1" w:lastRow="0" w:firstColumn="1" w:lastColumn="0" w:noHBand="0" w:noVBand="1"/>
      </w:tblPr>
      <w:tblGrid>
        <w:gridCol w:w="1206"/>
        <w:gridCol w:w="1222"/>
        <w:gridCol w:w="833"/>
        <w:gridCol w:w="850"/>
        <w:gridCol w:w="851"/>
        <w:gridCol w:w="709"/>
        <w:gridCol w:w="850"/>
        <w:gridCol w:w="1177"/>
        <w:gridCol w:w="850"/>
        <w:gridCol w:w="993"/>
      </w:tblGrid>
      <w:tr w:rsidR="00E36EC3" w:rsidRPr="003E2940" w14:paraId="3913F719" w14:textId="77777777" w:rsidTr="00A40F70">
        <w:trPr>
          <w:cantSplit/>
          <w:trHeight w:val="1685"/>
        </w:trPr>
        <w:tc>
          <w:tcPr>
            <w:tcW w:w="1206" w:type="dxa"/>
            <w:tcBorders>
              <w:top w:val="single" w:sz="4" w:space="0" w:color="auto"/>
              <w:left w:val="single" w:sz="4" w:space="0" w:color="auto"/>
              <w:bottom w:val="single" w:sz="4" w:space="0" w:color="auto"/>
              <w:right w:val="single" w:sz="4" w:space="0" w:color="auto"/>
            </w:tcBorders>
            <w:textDirection w:val="btLr"/>
            <w:vAlign w:val="center"/>
            <w:hideMark/>
          </w:tcPr>
          <w:p w14:paraId="31DDE78C"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Author/Year</w:t>
            </w:r>
          </w:p>
        </w:tc>
        <w:tc>
          <w:tcPr>
            <w:tcW w:w="1222" w:type="dxa"/>
            <w:tcBorders>
              <w:top w:val="single" w:sz="4" w:space="0" w:color="auto"/>
              <w:left w:val="nil"/>
              <w:bottom w:val="single" w:sz="4" w:space="0" w:color="auto"/>
              <w:right w:val="single" w:sz="4" w:space="0" w:color="auto"/>
            </w:tcBorders>
            <w:textDirection w:val="btLr"/>
            <w:vAlign w:val="center"/>
            <w:hideMark/>
          </w:tcPr>
          <w:p w14:paraId="2908BC07"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Location of the study</w:t>
            </w:r>
          </w:p>
        </w:tc>
        <w:tc>
          <w:tcPr>
            <w:tcW w:w="833" w:type="dxa"/>
            <w:tcBorders>
              <w:top w:val="single" w:sz="4" w:space="0" w:color="auto"/>
              <w:left w:val="nil"/>
              <w:bottom w:val="single" w:sz="4" w:space="0" w:color="auto"/>
              <w:right w:val="single" w:sz="4" w:space="0" w:color="auto"/>
            </w:tcBorders>
            <w:textDirection w:val="btLr"/>
            <w:vAlign w:val="center"/>
            <w:hideMark/>
          </w:tcPr>
          <w:p w14:paraId="4F222E09"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Leptospirosis positive cases</w:t>
            </w:r>
          </w:p>
        </w:tc>
        <w:tc>
          <w:tcPr>
            <w:tcW w:w="850" w:type="dxa"/>
            <w:tcBorders>
              <w:top w:val="single" w:sz="4" w:space="0" w:color="auto"/>
              <w:left w:val="nil"/>
              <w:bottom w:val="single" w:sz="4" w:space="0" w:color="auto"/>
              <w:right w:val="single" w:sz="4" w:space="0" w:color="auto"/>
            </w:tcBorders>
            <w:textDirection w:val="btLr"/>
            <w:vAlign w:val="center"/>
            <w:hideMark/>
          </w:tcPr>
          <w:p w14:paraId="6D4CF2C6"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Patients with Co-infections</w:t>
            </w:r>
          </w:p>
        </w:tc>
        <w:tc>
          <w:tcPr>
            <w:tcW w:w="851" w:type="dxa"/>
            <w:tcBorders>
              <w:top w:val="single" w:sz="4" w:space="0" w:color="auto"/>
              <w:left w:val="nil"/>
              <w:bottom w:val="single" w:sz="4" w:space="0" w:color="auto"/>
              <w:right w:val="single" w:sz="4" w:space="0" w:color="auto"/>
            </w:tcBorders>
            <w:textDirection w:val="btLr"/>
            <w:vAlign w:val="center"/>
            <w:hideMark/>
          </w:tcPr>
          <w:p w14:paraId="3C0A7829"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Average duration of ICU Stay in Co-infections</w:t>
            </w:r>
          </w:p>
        </w:tc>
        <w:tc>
          <w:tcPr>
            <w:tcW w:w="709" w:type="dxa"/>
            <w:tcBorders>
              <w:top w:val="single" w:sz="4" w:space="0" w:color="auto"/>
              <w:left w:val="nil"/>
              <w:bottom w:val="single" w:sz="4" w:space="0" w:color="auto"/>
              <w:right w:val="single" w:sz="4" w:space="0" w:color="auto"/>
            </w:tcBorders>
            <w:textDirection w:val="btLr"/>
            <w:vAlign w:val="center"/>
            <w:hideMark/>
          </w:tcPr>
          <w:p w14:paraId="78B09BD3"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Dialysis in Co-infected patients</w:t>
            </w:r>
          </w:p>
        </w:tc>
        <w:tc>
          <w:tcPr>
            <w:tcW w:w="850" w:type="dxa"/>
            <w:tcBorders>
              <w:top w:val="single" w:sz="4" w:space="0" w:color="auto"/>
              <w:left w:val="nil"/>
              <w:bottom w:val="single" w:sz="4" w:space="0" w:color="auto"/>
              <w:right w:val="single" w:sz="4" w:space="0" w:color="auto"/>
            </w:tcBorders>
            <w:textDirection w:val="btLr"/>
            <w:vAlign w:val="center"/>
            <w:hideMark/>
          </w:tcPr>
          <w:p w14:paraId="2A56F32D"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Ventilator support in Co-infected patients</w:t>
            </w:r>
          </w:p>
        </w:tc>
        <w:tc>
          <w:tcPr>
            <w:tcW w:w="1177" w:type="dxa"/>
            <w:tcBorders>
              <w:top w:val="single" w:sz="4" w:space="0" w:color="auto"/>
              <w:left w:val="nil"/>
              <w:bottom w:val="single" w:sz="4" w:space="0" w:color="auto"/>
              <w:right w:val="single" w:sz="4" w:space="0" w:color="auto"/>
            </w:tcBorders>
            <w:textDirection w:val="btLr"/>
            <w:vAlign w:val="center"/>
          </w:tcPr>
          <w:p w14:paraId="64BBD332"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Average duration of Hospital stay in Co-infected patients</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14A21ACE"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Mortality in Co-infected patients</w:t>
            </w:r>
          </w:p>
        </w:tc>
        <w:tc>
          <w:tcPr>
            <w:tcW w:w="993" w:type="dxa"/>
            <w:tcBorders>
              <w:top w:val="single" w:sz="4" w:space="0" w:color="auto"/>
              <w:left w:val="nil"/>
              <w:bottom w:val="single" w:sz="4" w:space="0" w:color="auto"/>
              <w:right w:val="single" w:sz="4" w:space="0" w:color="auto"/>
            </w:tcBorders>
            <w:textDirection w:val="btLr"/>
            <w:vAlign w:val="center"/>
          </w:tcPr>
          <w:p w14:paraId="29EB0B0F" w14:textId="77777777" w:rsidR="00E36EC3" w:rsidRPr="003E2940" w:rsidRDefault="00E36EC3" w:rsidP="00A40F70">
            <w:pPr>
              <w:spacing w:after="0" w:line="240" w:lineRule="auto"/>
              <w:ind w:left="113" w:right="113"/>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Mortality in Leptospirosis mono-infection</w:t>
            </w:r>
          </w:p>
        </w:tc>
      </w:tr>
      <w:tr w:rsidR="00E36EC3" w:rsidRPr="003E2940" w14:paraId="76BEB6A4" w14:textId="77777777" w:rsidTr="007C578E">
        <w:trPr>
          <w:cantSplit/>
          <w:trHeight w:val="561"/>
        </w:trPr>
        <w:tc>
          <w:tcPr>
            <w:tcW w:w="1206" w:type="dxa"/>
            <w:tcBorders>
              <w:top w:val="single" w:sz="4" w:space="0" w:color="auto"/>
              <w:left w:val="single" w:sz="4" w:space="0" w:color="auto"/>
              <w:bottom w:val="single" w:sz="4" w:space="0" w:color="auto"/>
              <w:right w:val="single" w:sz="4" w:space="0" w:color="auto"/>
            </w:tcBorders>
            <w:vAlign w:val="center"/>
          </w:tcPr>
          <w:p w14:paraId="4DFB39D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Siddapur G, 2024</w:t>
            </w:r>
          </w:p>
        </w:tc>
        <w:tc>
          <w:tcPr>
            <w:tcW w:w="1222" w:type="dxa"/>
            <w:tcBorders>
              <w:top w:val="single" w:sz="4" w:space="0" w:color="auto"/>
              <w:left w:val="nil"/>
              <w:bottom w:val="single" w:sz="4" w:space="0" w:color="auto"/>
              <w:right w:val="single" w:sz="4" w:space="0" w:color="auto"/>
            </w:tcBorders>
            <w:vAlign w:val="center"/>
          </w:tcPr>
          <w:p w14:paraId="39E7036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w:t>
            </w:r>
          </w:p>
        </w:tc>
        <w:tc>
          <w:tcPr>
            <w:tcW w:w="833" w:type="dxa"/>
            <w:tcBorders>
              <w:top w:val="single" w:sz="4" w:space="0" w:color="auto"/>
              <w:left w:val="nil"/>
              <w:bottom w:val="single" w:sz="4" w:space="0" w:color="auto"/>
              <w:right w:val="single" w:sz="4" w:space="0" w:color="auto"/>
            </w:tcBorders>
            <w:vAlign w:val="center"/>
          </w:tcPr>
          <w:p w14:paraId="6E7ABB3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single" w:sz="4" w:space="0" w:color="auto"/>
              <w:left w:val="nil"/>
              <w:bottom w:val="single" w:sz="4" w:space="0" w:color="auto"/>
              <w:right w:val="single" w:sz="4" w:space="0" w:color="auto"/>
            </w:tcBorders>
            <w:vAlign w:val="center"/>
          </w:tcPr>
          <w:p w14:paraId="756D38A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single" w:sz="4" w:space="0" w:color="auto"/>
              <w:left w:val="nil"/>
              <w:bottom w:val="single" w:sz="4" w:space="0" w:color="auto"/>
              <w:right w:val="single" w:sz="4" w:space="0" w:color="auto"/>
            </w:tcBorders>
          </w:tcPr>
          <w:p w14:paraId="7A2301F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single" w:sz="4" w:space="0" w:color="auto"/>
              <w:left w:val="nil"/>
              <w:bottom w:val="single" w:sz="4" w:space="0" w:color="auto"/>
              <w:right w:val="single" w:sz="4" w:space="0" w:color="auto"/>
            </w:tcBorders>
          </w:tcPr>
          <w:p w14:paraId="2C0F0320"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nil"/>
              <w:bottom w:val="single" w:sz="4" w:space="0" w:color="auto"/>
              <w:right w:val="single" w:sz="4" w:space="0" w:color="auto"/>
            </w:tcBorders>
          </w:tcPr>
          <w:p w14:paraId="56F7A47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756E1C4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850" w:type="dxa"/>
            <w:tcBorders>
              <w:top w:val="single" w:sz="4" w:space="0" w:color="auto"/>
              <w:left w:val="single" w:sz="4" w:space="0" w:color="auto"/>
              <w:bottom w:val="single" w:sz="4" w:space="0" w:color="auto"/>
              <w:right w:val="single" w:sz="4" w:space="0" w:color="auto"/>
            </w:tcBorders>
            <w:vAlign w:val="center"/>
          </w:tcPr>
          <w:p w14:paraId="1C40044C"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single" w:sz="4" w:space="0" w:color="auto"/>
              <w:left w:val="nil"/>
              <w:bottom w:val="single" w:sz="4" w:space="0" w:color="auto"/>
              <w:right w:val="single" w:sz="4" w:space="0" w:color="auto"/>
            </w:tcBorders>
            <w:vAlign w:val="center"/>
          </w:tcPr>
          <w:p w14:paraId="5EF1A11D"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680938D5" w14:textId="77777777" w:rsidTr="007C578E">
        <w:trPr>
          <w:cantSplit/>
          <w:trHeight w:val="561"/>
        </w:trPr>
        <w:tc>
          <w:tcPr>
            <w:tcW w:w="1206" w:type="dxa"/>
            <w:tcBorders>
              <w:top w:val="single" w:sz="4" w:space="0" w:color="auto"/>
              <w:left w:val="single" w:sz="4" w:space="0" w:color="auto"/>
              <w:bottom w:val="single" w:sz="4" w:space="0" w:color="auto"/>
              <w:right w:val="single" w:sz="4" w:space="0" w:color="auto"/>
            </w:tcBorders>
            <w:vAlign w:val="center"/>
          </w:tcPr>
          <w:p w14:paraId="0D719B0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Nazeera NN, 2024</w:t>
            </w:r>
          </w:p>
        </w:tc>
        <w:tc>
          <w:tcPr>
            <w:tcW w:w="1222" w:type="dxa"/>
            <w:tcBorders>
              <w:top w:val="single" w:sz="4" w:space="0" w:color="auto"/>
              <w:left w:val="nil"/>
              <w:bottom w:val="single" w:sz="4" w:space="0" w:color="auto"/>
              <w:right w:val="single" w:sz="4" w:space="0" w:color="auto"/>
            </w:tcBorders>
            <w:vAlign w:val="center"/>
          </w:tcPr>
          <w:p w14:paraId="5A543EB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Wayanad, Kerala</w:t>
            </w:r>
          </w:p>
        </w:tc>
        <w:tc>
          <w:tcPr>
            <w:tcW w:w="833" w:type="dxa"/>
            <w:tcBorders>
              <w:top w:val="single" w:sz="4" w:space="0" w:color="auto"/>
              <w:left w:val="nil"/>
              <w:bottom w:val="single" w:sz="4" w:space="0" w:color="auto"/>
              <w:right w:val="single" w:sz="4" w:space="0" w:color="auto"/>
            </w:tcBorders>
            <w:vAlign w:val="center"/>
          </w:tcPr>
          <w:p w14:paraId="6CF6EC0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single" w:sz="4" w:space="0" w:color="auto"/>
              <w:left w:val="nil"/>
              <w:bottom w:val="single" w:sz="4" w:space="0" w:color="auto"/>
              <w:right w:val="single" w:sz="4" w:space="0" w:color="auto"/>
            </w:tcBorders>
            <w:vAlign w:val="center"/>
          </w:tcPr>
          <w:p w14:paraId="57C920C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single" w:sz="4" w:space="0" w:color="auto"/>
              <w:left w:val="nil"/>
              <w:bottom w:val="single" w:sz="4" w:space="0" w:color="auto"/>
              <w:right w:val="single" w:sz="4" w:space="0" w:color="auto"/>
            </w:tcBorders>
            <w:vAlign w:val="center"/>
          </w:tcPr>
          <w:p w14:paraId="59FA7B1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single" w:sz="4" w:space="0" w:color="auto"/>
              <w:left w:val="nil"/>
              <w:bottom w:val="single" w:sz="4" w:space="0" w:color="auto"/>
              <w:right w:val="single" w:sz="4" w:space="0" w:color="auto"/>
            </w:tcBorders>
            <w:vAlign w:val="center"/>
          </w:tcPr>
          <w:p w14:paraId="7950AED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single" w:sz="4" w:space="0" w:color="auto"/>
              <w:left w:val="nil"/>
              <w:bottom w:val="single" w:sz="4" w:space="0" w:color="auto"/>
              <w:right w:val="single" w:sz="4" w:space="0" w:color="auto"/>
            </w:tcBorders>
            <w:vAlign w:val="center"/>
          </w:tcPr>
          <w:p w14:paraId="2750629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77" w:type="dxa"/>
            <w:tcBorders>
              <w:top w:val="single" w:sz="4" w:space="0" w:color="auto"/>
              <w:left w:val="nil"/>
              <w:bottom w:val="single" w:sz="4" w:space="0" w:color="auto"/>
              <w:right w:val="single" w:sz="4" w:space="0" w:color="auto"/>
            </w:tcBorders>
          </w:tcPr>
          <w:p w14:paraId="51E4329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single" w:sz="4" w:space="0" w:color="auto"/>
              <w:bottom w:val="single" w:sz="4" w:space="0" w:color="auto"/>
              <w:right w:val="single" w:sz="4" w:space="0" w:color="auto"/>
            </w:tcBorders>
            <w:vAlign w:val="center"/>
          </w:tcPr>
          <w:p w14:paraId="3A76D4D4"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single" w:sz="4" w:space="0" w:color="auto"/>
              <w:left w:val="nil"/>
              <w:bottom w:val="single" w:sz="4" w:space="0" w:color="auto"/>
              <w:right w:val="single" w:sz="4" w:space="0" w:color="auto"/>
            </w:tcBorders>
            <w:vAlign w:val="center"/>
          </w:tcPr>
          <w:p w14:paraId="7BCFA566"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1B32EA9A" w14:textId="77777777" w:rsidTr="007C578E">
        <w:trPr>
          <w:cantSplit/>
          <w:trHeight w:val="561"/>
        </w:trPr>
        <w:tc>
          <w:tcPr>
            <w:tcW w:w="1206" w:type="dxa"/>
            <w:tcBorders>
              <w:top w:val="single" w:sz="4" w:space="0" w:color="auto"/>
              <w:left w:val="single" w:sz="4" w:space="0" w:color="auto"/>
              <w:bottom w:val="single" w:sz="4" w:space="0" w:color="auto"/>
              <w:right w:val="single" w:sz="4" w:space="0" w:color="auto"/>
            </w:tcBorders>
            <w:vAlign w:val="center"/>
          </w:tcPr>
          <w:p w14:paraId="44D62A1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Y, 2022</w:t>
            </w:r>
          </w:p>
        </w:tc>
        <w:tc>
          <w:tcPr>
            <w:tcW w:w="1222" w:type="dxa"/>
            <w:tcBorders>
              <w:top w:val="single" w:sz="4" w:space="0" w:color="auto"/>
              <w:left w:val="nil"/>
              <w:bottom w:val="single" w:sz="4" w:space="0" w:color="auto"/>
              <w:right w:val="single" w:sz="4" w:space="0" w:color="auto"/>
            </w:tcBorders>
            <w:vAlign w:val="center"/>
          </w:tcPr>
          <w:p w14:paraId="671A28C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833" w:type="dxa"/>
            <w:tcBorders>
              <w:top w:val="single" w:sz="4" w:space="0" w:color="auto"/>
              <w:left w:val="nil"/>
              <w:bottom w:val="single" w:sz="4" w:space="0" w:color="auto"/>
              <w:right w:val="single" w:sz="4" w:space="0" w:color="auto"/>
            </w:tcBorders>
            <w:vAlign w:val="center"/>
          </w:tcPr>
          <w:p w14:paraId="719AFB0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single" w:sz="4" w:space="0" w:color="auto"/>
              <w:left w:val="nil"/>
              <w:bottom w:val="single" w:sz="4" w:space="0" w:color="auto"/>
              <w:right w:val="single" w:sz="4" w:space="0" w:color="auto"/>
            </w:tcBorders>
            <w:vAlign w:val="center"/>
          </w:tcPr>
          <w:p w14:paraId="619D709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single" w:sz="4" w:space="0" w:color="auto"/>
              <w:left w:val="nil"/>
              <w:bottom w:val="single" w:sz="4" w:space="0" w:color="auto"/>
              <w:right w:val="single" w:sz="4" w:space="0" w:color="auto"/>
            </w:tcBorders>
            <w:vAlign w:val="center"/>
          </w:tcPr>
          <w:p w14:paraId="6FF464E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709" w:type="dxa"/>
            <w:tcBorders>
              <w:top w:val="single" w:sz="4" w:space="0" w:color="auto"/>
              <w:left w:val="nil"/>
              <w:bottom w:val="single" w:sz="4" w:space="0" w:color="auto"/>
              <w:right w:val="single" w:sz="4" w:space="0" w:color="auto"/>
            </w:tcBorders>
            <w:vAlign w:val="center"/>
          </w:tcPr>
          <w:p w14:paraId="0DCF15C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nil"/>
              <w:bottom w:val="single" w:sz="4" w:space="0" w:color="auto"/>
              <w:right w:val="single" w:sz="4" w:space="0" w:color="auto"/>
            </w:tcBorders>
            <w:vAlign w:val="center"/>
          </w:tcPr>
          <w:p w14:paraId="5C827D6E"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1512C98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single" w:sz="4" w:space="0" w:color="auto"/>
              <w:bottom w:val="single" w:sz="4" w:space="0" w:color="auto"/>
              <w:right w:val="single" w:sz="4" w:space="0" w:color="auto"/>
            </w:tcBorders>
            <w:vAlign w:val="center"/>
          </w:tcPr>
          <w:p w14:paraId="0CC99DA8"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93" w:type="dxa"/>
            <w:tcBorders>
              <w:top w:val="single" w:sz="4" w:space="0" w:color="auto"/>
              <w:left w:val="nil"/>
              <w:bottom w:val="single" w:sz="4" w:space="0" w:color="auto"/>
              <w:right w:val="single" w:sz="4" w:space="0" w:color="auto"/>
            </w:tcBorders>
            <w:vAlign w:val="center"/>
          </w:tcPr>
          <w:p w14:paraId="2DB1DB32"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74CE3876"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0B5EDCD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Gupta N, 2022</w:t>
            </w:r>
          </w:p>
        </w:tc>
        <w:tc>
          <w:tcPr>
            <w:tcW w:w="1222" w:type="dxa"/>
            <w:tcBorders>
              <w:top w:val="nil"/>
              <w:left w:val="nil"/>
              <w:bottom w:val="single" w:sz="4" w:space="0" w:color="auto"/>
              <w:right w:val="single" w:sz="4" w:space="0" w:color="auto"/>
            </w:tcBorders>
            <w:vAlign w:val="center"/>
          </w:tcPr>
          <w:p w14:paraId="514A846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Manipal</w:t>
            </w:r>
          </w:p>
        </w:tc>
        <w:tc>
          <w:tcPr>
            <w:tcW w:w="833" w:type="dxa"/>
            <w:tcBorders>
              <w:top w:val="nil"/>
              <w:left w:val="nil"/>
              <w:bottom w:val="single" w:sz="4" w:space="0" w:color="auto"/>
              <w:right w:val="single" w:sz="4" w:space="0" w:color="auto"/>
            </w:tcBorders>
            <w:vAlign w:val="center"/>
          </w:tcPr>
          <w:p w14:paraId="32C6905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87</w:t>
            </w:r>
          </w:p>
        </w:tc>
        <w:tc>
          <w:tcPr>
            <w:tcW w:w="850" w:type="dxa"/>
            <w:tcBorders>
              <w:top w:val="nil"/>
              <w:left w:val="nil"/>
              <w:bottom w:val="single" w:sz="4" w:space="0" w:color="auto"/>
              <w:right w:val="single" w:sz="4" w:space="0" w:color="auto"/>
            </w:tcBorders>
            <w:vAlign w:val="center"/>
          </w:tcPr>
          <w:p w14:paraId="069CAF3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24</w:t>
            </w:r>
          </w:p>
        </w:tc>
        <w:tc>
          <w:tcPr>
            <w:tcW w:w="851" w:type="dxa"/>
            <w:tcBorders>
              <w:top w:val="nil"/>
              <w:left w:val="nil"/>
              <w:bottom w:val="single" w:sz="4" w:space="0" w:color="auto"/>
              <w:right w:val="single" w:sz="4" w:space="0" w:color="auto"/>
            </w:tcBorders>
            <w:vAlign w:val="center"/>
          </w:tcPr>
          <w:p w14:paraId="43FB187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12E56EC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nil"/>
              <w:bottom w:val="single" w:sz="4" w:space="0" w:color="auto"/>
              <w:right w:val="single" w:sz="4" w:space="0" w:color="auto"/>
            </w:tcBorders>
            <w:vAlign w:val="center"/>
          </w:tcPr>
          <w:p w14:paraId="06D6DBC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7BBAFA5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4F230EFC"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993" w:type="dxa"/>
            <w:tcBorders>
              <w:top w:val="nil"/>
              <w:left w:val="nil"/>
              <w:bottom w:val="single" w:sz="4" w:space="0" w:color="auto"/>
              <w:right w:val="single" w:sz="4" w:space="0" w:color="auto"/>
            </w:tcBorders>
            <w:vAlign w:val="center"/>
          </w:tcPr>
          <w:p w14:paraId="0F02ADB2"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w:t>
            </w:r>
          </w:p>
        </w:tc>
      </w:tr>
      <w:tr w:rsidR="00E36EC3" w:rsidRPr="003E2940" w14:paraId="3F0E322D" w14:textId="77777777" w:rsidTr="007C578E">
        <w:trPr>
          <w:trHeight w:val="540"/>
        </w:trPr>
        <w:tc>
          <w:tcPr>
            <w:tcW w:w="1206" w:type="dxa"/>
            <w:tcBorders>
              <w:top w:val="nil"/>
              <w:left w:val="single" w:sz="4" w:space="0" w:color="auto"/>
              <w:bottom w:val="single" w:sz="4" w:space="0" w:color="auto"/>
              <w:right w:val="single" w:sz="4" w:space="0" w:color="auto"/>
            </w:tcBorders>
            <w:vAlign w:val="center"/>
          </w:tcPr>
          <w:p w14:paraId="26590CE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Hareshkumar CN, 2022</w:t>
            </w:r>
          </w:p>
        </w:tc>
        <w:tc>
          <w:tcPr>
            <w:tcW w:w="1222" w:type="dxa"/>
            <w:tcBorders>
              <w:top w:val="nil"/>
              <w:left w:val="nil"/>
              <w:bottom w:val="single" w:sz="4" w:space="0" w:color="auto"/>
              <w:right w:val="single" w:sz="4" w:space="0" w:color="auto"/>
            </w:tcBorders>
            <w:vAlign w:val="center"/>
          </w:tcPr>
          <w:p w14:paraId="4151453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833" w:type="dxa"/>
            <w:tcBorders>
              <w:top w:val="nil"/>
              <w:left w:val="nil"/>
              <w:bottom w:val="single" w:sz="4" w:space="0" w:color="auto"/>
              <w:right w:val="single" w:sz="4" w:space="0" w:color="auto"/>
            </w:tcBorders>
            <w:vAlign w:val="center"/>
          </w:tcPr>
          <w:p w14:paraId="65D8875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3ECD48A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64694160"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34FDF2BE"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0D5627F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tcPr>
          <w:p w14:paraId="3D47C00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049F17E7"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6664AB58"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41855DD5" w14:textId="77777777" w:rsidTr="007C578E">
        <w:trPr>
          <w:trHeight w:val="540"/>
        </w:trPr>
        <w:tc>
          <w:tcPr>
            <w:tcW w:w="1206" w:type="dxa"/>
            <w:tcBorders>
              <w:top w:val="nil"/>
              <w:left w:val="single" w:sz="4" w:space="0" w:color="auto"/>
              <w:bottom w:val="single" w:sz="4" w:space="0" w:color="auto"/>
              <w:right w:val="single" w:sz="4" w:space="0" w:color="auto"/>
            </w:tcBorders>
            <w:vAlign w:val="center"/>
          </w:tcPr>
          <w:p w14:paraId="1EA7AEB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Dhanashree, B., 2021</w:t>
            </w:r>
          </w:p>
        </w:tc>
        <w:tc>
          <w:tcPr>
            <w:tcW w:w="1222" w:type="dxa"/>
            <w:tcBorders>
              <w:top w:val="nil"/>
              <w:left w:val="nil"/>
              <w:bottom w:val="single" w:sz="4" w:space="0" w:color="auto"/>
              <w:right w:val="single" w:sz="4" w:space="0" w:color="auto"/>
            </w:tcBorders>
            <w:vAlign w:val="center"/>
          </w:tcPr>
          <w:p w14:paraId="21E61EB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833" w:type="dxa"/>
            <w:tcBorders>
              <w:top w:val="nil"/>
              <w:left w:val="nil"/>
              <w:bottom w:val="single" w:sz="4" w:space="0" w:color="auto"/>
              <w:right w:val="single" w:sz="4" w:space="0" w:color="auto"/>
            </w:tcBorders>
            <w:vAlign w:val="center"/>
          </w:tcPr>
          <w:p w14:paraId="1435E8FE"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119</w:t>
            </w:r>
          </w:p>
        </w:tc>
        <w:tc>
          <w:tcPr>
            <w:tcW w:w="850" w:type="dxa"/>
            <w:tcBorders>
              <w:top w:val="nil"/>
              <w:left w:val="nil"/>
              <w:bottom w:val="single" w:sz="4" w:space="0" w:color="auto"/>
              <w:right w:val="single" w:sz="4" w:space="0" w:color="auto"/>
            </w:tcBorders>
            <w:vAlign w:val="center"/>
          </w:tcPr>
          <w:p w14:paraId="733811D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851" w:type="dxa"/>
            <w:tcBorders>
              <w:top w:val="nil"/>
              <w:left w:val="nil"/>
              <w:bottom w:val="single" w:sz="4" w:space="0" w:color="auto"/>
              <w:right w:val="single" w:sz="4" w:space="0" w:color="auto"/>
            </w:tcBorders>
            <w:vAlign w:val="center"/>
          </w:tcPr>
          <w:p w14:paraId="49106BF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160A07D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850" w:type="dxa"/>
            <w:tcBorders>
              <w:top w:val="nil"/>
              <w:left w:val="nil"/>
              <w:bottom w:val="single" w:sz="4" w:space="0" w:color="auto"/>
              <w:right w:val="single" w:sz="4" w:space="0" w:color="auto"/>
            </w:tcBorders>
            <w:vAlign w:val="center"/>
          </w:tcPr>
          <w:p w14:paraId="19DBB6A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1CFAB53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59075161"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08C9D1E1"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1A8B6393"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346D9DF4"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Kharibam, P., 2021</w:t>
            </w:r>
          </w:p>
        </w:tc>
        <w:tc>
          <w:tcPr>
            <w:tcW w:w="1222" w:type="dxa"/>
            <w:tcBorders>
              <w:top w:val="nil"/>
              <w:left w:val="nil"/>
              <w:bottom w:val="single" w:sz="4" w:space="0" w:color="auto"/>
              <w:right w:val="single" w:sz="4" w:space="0" w:color="auto"/>
            </w:tcBorders>
            <w:vAlign w:val="center"/>
          </w:tcPr>
          <w:p w14:paraId="6C5170D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833" w:type="dxa"/>
            <w:tcBorders>
              <w:top w:val="nil"/>
              <w:left w:val="nil"/>
              <w:bottom w:val="single" w:sz="4" w:space="0" w:color="auto"/>
              <w:right w:val="single" w:sz="4" w:space="0" w:color="auto"/>
            </w:tcBorders>
            <w:vAlign w:val="center"/>
          </w:tcPr>
          <w:p w14:paraId="0B636BE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002E8D5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14F17DC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0F730B1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4B7D6AB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2574006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6E410AA5"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50424CDC"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3E28AC2F"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7077B51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Mehta. V, 2019</w:t>
            </w:r>
          </w:p>
        </w:tc>
        <w:tc>
          <w:tcPr>
            <w:tcW w:w="1222" w:type="dxa"/>
            <w:tcBorders>
              <w:top w:val="nil"/>
              <w:left w:val="nil"/>
              <w:bottom w:val="single" w:sz="4" w:space="0" w:color="auto"/>
              <w:right w:val="single" w:sz="4" w:space="0" w:color="auto"/>
            </w:tcBorders>
            <w:vAlign w:val="center"/>
          </w:tcPr>
          <w:p w14:paraId="3B6B70D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Rishikesh, Uttarakhand</w:t>
            </w:r>
          </w:p>
        </w:tc>
        <w:tc>
          <w:tcPr>
            <w:tcW w:w="833" w:type="dxa"/>
            <w:tcBorders>
              <w:top w:val="nil"/>
              <w:left w:val="nil"/>
              <w:bottom w:val="single" w:sz="4" w:space="0" w:color="auto"/>
              <w:right w:val="single" w:sz="4" w:space="0" w:color="auto"/>
            </w:tcBorders>
            <w:vAlign w:val="center"/>
          </w:tcPr>
          <w:p w14:paraId="23D51CE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41C2D59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6A88A52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17346B7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510C553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77" w:type="dxa"/>
            <w:tcBorders>
              <w:top w:val="single" w:sz="4" w:space="0" w:color="auto"/>
              <w:left w:val="nil"/>
              <w:bottom w:val="single" w:sz="4" w:space="0" w:color="auto"/>
              <w:right w:val="single" w:sz="4" w:space="0" w:color="auto"/>
            </w:tcBorders>
          </w:tcPr>
          <w:p w14:paraId="612E827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504FD463"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2193CCE8"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4390FA1E"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396260F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Sachu A, 2018</w:t>
            </w:r>
          </w:p>
        </w:tc>
        <w:tc>
          <w:tcPr>
            <w:tcW w:w="1222" w:type="dxa"/>
            <w:tcBorders>
              <w:top w:val="nil"/>
              <w:left w:val="nil"/>
              <w:bottom w:val="single" w:sz="4" w:space="0" w:color="auto"/>
              <w:right w:val="single" w:sz="4" w:space="0" w:color="auto"/>
            </w:tcBorders>
            <w:vAlign w:val="center"/>
          </w:tcPr>
          <w:p w14:paraId="0E2FA28E"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Alappuzha, Kerala</w:t>
            </w:r>
          </w:p>
        </w:tc>
        <w:tc>
          <w:tcPr>
            <w:tcW w:w="833" w:type="dxa"/>
            <w:tcBorders>
              <w:top w:val="nil"/>
              <w:left w:val="nil"/>
              <w:bottom w:val="single" w:sz="4" w:space="0" w:color="auto"/>
              <w:right w:val="single" w:sz="4" w:space="0" w:color="auto"/>
            </w:tcBorders>
            <w:vAlign w:val="center"/>
          </w:tcPr>
          <w:p w14:paraId="547BD07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193</w:t>
            </w:r>
          </w:p>
        </w:tc>
        <w:tc>
          <w:tcPr>
            <w:tcW w:w="850" w:type="dxa"/>
            <w:tcBorders>
              <w:top w:val="nil"/>
              <w:left w:val="nil"/>
              <w:bottom w:val="single" w:sz="4" w:space="0" w:color="auto"/>
              <w:right w:val="single" w:sz="4" w:space="0" w:color="auto"/>
            </w:tcBorders>
            <w:noWrap/>
            <w:vAlign w:val="center"/>
          </w:tcPr>
          <w:p w14:paraId="2CFA4060"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33</w:t>
            </w:r>
          </w:p>
        </w:tc>
        <w:tc>
          <w:tcPr>
            <w:tcW w:w="851" w:type="dxa"/>
            <w:tcBorders>
              <w:top w:val="nil"/>
              <w:left w:val="nil"/>
              <w:bottom w:val="single" w:sz="4" w:space="0" w:color="auto"/>
              <w:right w:val="single" w:sz="4" w:space="0" w:color="auto"/>
            </w:tcBorders>
            <w:vAlign w:val="center"/>
          </w:tcPr>
          <w:p w14:paraId="17846B1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4E0DC88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nil"/>
              <w:bottom w:val="single" w:sz="4" w:space="0" w:color="auto"/>
              <w:right w:val="single" w:sz="4" w:space="0" w:color="auto"/>
            </w:tcBorders>
            <w:vAlign w:val="center"/>
          </w:tcPr>
          <w:p w14:paraId="01D35F4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24FA038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26660D64"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93" w:type="dxa"/>
            <w:tcBorders>
              <w:top w:val="nil"/>
              <w:left w:val="nil"/>
              <w:bottom w:val="single" w:sz="4" w:space="0" w:color="auto"/>
              <w:right w:val="single" w:sz="4" w:space="0" w:color="auto"/>
            </w:tcBorders>
            <w:vAlign w:val="center"/>
          </w:tcPr>
          <w:p w14:paraId="341C7A6A"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617D6FA3"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2BD820E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Raina S, 2018</w:t>
            </w:r>
          </w:p>
        </w:tc>
        <w:tc>
          <w:tcPr>
            <w:tcW w:w="1222" w:type="dxa"/>
            <w:tcBorders>
              <w:top w:val="nil"/>
              <w:left w:val="nil"/>
              <w:bottom w:val="single" w:sz="4" w:space="0" w:color="auto"/>
              <w:right w:val="single" w:sz="4" w:space="0" w:color="auto"/>
            </w:tcBorders>
            <w:vAlign w:val="center"/>
          </w:tcPr>
          <w:p w14:paraId="1D73D74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Himachal Pradesh</w:t>
            </w:r>
          </w:p>
        </w:tc>
        <w:tc>
          <w:tcPr>
            <w:tcW w:w="833" w:type="dxa"/>
            <w:tcBorders>
              <w:top w:val="nil"/>
              <w:left w:val="nil"/>
              <w:bottom w:val="single" w:sz="4" w:space="0" w:color="auto"/>
              <w:right w:val="single" w:sz="4" w:space="0" w:color="auto"/>
            </w:tcBorders>
            <w:vAlign w:val="center"/>
          </w:tcPr>
          <w:p w14:paraId="0016749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850" w:type="dxa"/>
            <w:tcBorders>
              <w:top w:val="nil"/>
              <w:left w:val="nil"/>
              <w:bottom w:val="single" w:sz="4" w:space="0" w:color="auto"/>
              <w:right w:val="single" w:sz="4" w:space="0" w:color="auto"/>
            </w:tcBorders>
            <w:vAlign w:val="center"/>
          </w:tcPr>
          <w:p w14:paraId="7883AEB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851" w:type="dxa"/>
            <w:tcBorders>
              <w:top w:val="nil"/>
              <w:left w:val="nil"/>
              <w:bottom w:val="single" w:sz="4" w:space="0" w:color="auto"/>
              <w:right w:val="single" w:sz="4" w:space="0" w:color="auto"/>
            </w:tcBorders>
            <w:vAlign w:val="center"/>
          </w:tcPr>
          <w:p w14:paraId="6ED308A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3100230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6D4C58B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77" w:type="dxa"/>
            <w:tcBorders>
              <w:top w:val="single" w:sz="4" w:space="0" w:color="auto"/>
              <w:left w:val="nil"/>
              <w:bottom w:val="single" w:sz="4" w:space="0" w:color="auto"/>
              <w:right w:val="single" w:sz="4" w:space="0" w:color="auto"/>
            </w:tcBorders>
            <w:vAlign w:val="center"/>
          </w:tcPr>
          <w:p w14:paraId="24F580B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7958951E"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565DA485"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C2122A5"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24309A9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Diwan, A.G., 2014</w:t>
            </w:r>
          </w:p>
        </w:tc>
        <w:tc>
          <w:tcPr>
            <w:tcW w:w="1222" w:type="dxa"/>
            <w:tcBorders>
              <w:top w:val="nil"/>
              <w:left w:val="nil"/>
              <w:bottom w:val="single" w:sz="4" w:space="0" w:color="auto"/>
              <w:right w:val="single" w:sz="4" w:space="0" w:color="auto"/>
            </w:tcBorders>
            <w:vAlign w:val="center"/>
          </w:tcPr>
          <w:p w14:paraId="77A6FBD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833" w:type="dxa"/>
            <w:tcBorders>
              <w:top w:val="nil"/>
              <w:left w:val="nil"/>
              <w:bottom w:val="single" w:sz="4" w:space="0" w:color="auto"/>
              <w:right w:val="single" w:sz="4" w:space="0" w:color="auto"/>
            </w:tcBorders>
            <w:vAlign w:val="center"/>
          </w:tcPr>
          <w:p w14:paraId="5C18BD1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3C1B5F4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012399B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4DCCB04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nil"/>
              <w:bottom w:val="single" w:sz="4" w:space="0" w:color="auto"/>
              <w:right w:val="single" w:sz="4" w:space="0" w:color="auto"/>
            </w:tcBorders>
            <w:vAlign w:val="center"/>
          </w:tcPr>
          <w:p w14:paraId="4094B4B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77" w:type="dxa"/>
            <w:tcBorders>
              <w:top w:val="single" w:sz="4" w:space="0" w:color="auto"/>
              <w:left w:val="nil"/>
              <w:bottom w:val="single" w:sz="4" w:space="0" w:color="auto"/>
              <w:right w:val="single" w:sz="4" w:space="0" w:color="auto"/>
            </w:tcBorders>
          </w:tcPr>
          <w:p w14:paraId="23E4E87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1FB78C07"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5F83BE1C"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475A3EC"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7E3AF20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Samanta, 2014.</w:t>
            </w:r>
          </w:p>
        </w:tc>
        <w:tc>
          <w:tcPr>
            <w:tcW w:w="1222" w:type="dxa"/>
            <w:tcBorders>
              <w:top w:val="nil"/>
              <w:left w:val="nil"/>
              <w:bottom w:val="single" w:sz="4" w:space="0" w:color="auto"/>
              <w:right w:val="single" w:sz="4" w:space="0" w:color="auto"/>
            </w:tcBorders>
            <w:vAlign w:val="center"/>
          </w:tcPr>
          <w:p w14:paraId="3664BBF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833" w:type="dxa"/>
            <w:tcBorders>
              <w:top w:val="nil"/>
              <w:left w:val="nil"/>
              <w:bottom w:val="single" w:sz="4" w:space="0" w:color="auto"/>
              <w:right w:val="single" w:sz="4" w:space="0" w:color="auto"/>
            </w:tcBorders>
            <w:vAlign w:val="center"/>
          </w:tcPr>
          <w:p w14:paraId="518B7AB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6EF0DBE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293244E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Yes*</w:t>
            </w:r>
          </w:p>
        </w:tc>
        <w:tc>
          <w:tcPr>
            <w:tcW w:w="709" w:type="dxa"/>
            <w:tcBorders>
              <w:top w:val="nil"/>
              <w:left w:val="nil"/>
              <w:bottom w:val="single" w:sz="4" w:space="0" w:color="auto"/>
              <w:right w:val="single" w:sz="4" w:space="0" w:color="auto"/>
            </w:tcBorders>
            <w:vAlign w:val="center"/>
          </w:tcPr>
          <w:p w14:paraId="088A2D1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37F140D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77" w:type="dxa"/>
            <w:tcBorders>
              <w:top w:val="single" w:sz="4" w:space="0" w:color="auto"/>
              <w:left w:val="nil"/>
              <w:bottom w:val="single" w:sz="4" w:space="0" w:color="auto"/>
              <w:right w:val="single" w:sz="4" w:space="0" w:color="auto"/>
            </w:tcBorders>
          </w:tcPr>
          <w:p w14:paraId="3D50943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57534A0A"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314C3AB9"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0077D29F"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401E70F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Chopdekar, 2014</w:t>
            </w:r>
          </w:p>
        </w:tc>
        <w:tc>
          <w:tcPr>
            <w:tcW w:w="1222" w:type="dxa"/>
            <w:tcBorders>
              <w:top w:val="nil"/>
              <w:left w:val="nil"/>
              <w:bottom w:val="single" w:sz="4" w:space="0" w:color="auto"/>
              <w:right w:val="single" w:sz="4" w:space="0" w:color="auto"/>
            </w:tcBorders>
            <w:vAlign w:val="center"/>
          </w:tcPr>
          <w:p w14:paraId="6AE0CAE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Mumbai</w:t>
            </w:r>
          </w:p>
        </w:tc>
        <w:tc>
          <w:tcPr>
            <w:tcW w:w="833" w:type="dxa"/>
            <w:tcBorders>
              <w:top w:val="nil"/>
              <w:left w:val="nil"/>
              <w:bottom w:val="single" w:sz="4" w:space="0" w:color="auto"/>
              <w:right w:val="single" w:sz="4" w:space="0" w:color="auto"/>
            </w:tcBorders>
            <w:vAlign w:val="center"/>
          </w:tcPr>
          <w:p w14:paraId="4CD621C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850" w:type="dxa"/>
            <w:tcBorders>
              <w:top w:val="nil"/>
              <w:left w:val="nil"/>
              <w:bottom w:val="single" w:sz="4" w:space="0" w:color="auto"/>
              <w:right w:val="single" w:sz="4" w:space="0" w:color="auto"/>
            </w:tcBorders>
            <w:vAlign w:val="center"/>
          </w:tcPr>
          <w:p w14:paraId="4DDB430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851" w:type="dxa"/>
            <w:tcBorders>
              <w:top w:val="nil"/>
              <w:left w:val="nil"/>
              <w:bottom w:val="single" w:sz="4" w:space="0" w:color="auto"/>
              <w:right w:val="single" w:sz="4" w:space="0" w:color="auto"/>
            </w:tcBorders>
          </w:tcPr>
          <w:p w14:paraId="6FA7856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tcPr>
          <w:p w14:paraId="08B50DF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nil"/>
              <w:bottom w:val="single" w:sz="4" w:space="0" w:color="auto"/>
              <w:right w:val="single" w:sz="4" w:space="0" w:color="auto"/>
            </w:tcBorders>
          </w:tcPr>
          <w:p w14:paraId="24E699D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3DA7F13E"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850" w:type="dxa"/>
            <w:tcBorders>
              <w:top w:val="nil"/>
              <w:left w:val="single" w:sz="4" w:space="0" w:color="auto"/>
              <w:bottom w:val="single" w:sz="4" w:space="0" w:color="auto"/>
              <w:right w:val="single" w:sz="4" w:space="0" w:color="auto"/>
            </w:tcBorders>
            <w:vAlign w:val="center"/>
          </w:tcPr>
          <w:p w14:paraId="6EDEBD33"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720D3A05"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0D1AA0EC"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0FD7DA8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R, 2014</w:t>
            </w:r>
          </w:p>
        </w:tc>
        <w:tc>
          <w:tcPr>
            <w:tcW w:w="1222" w:type="dxa"/>
            <w:tcBorders>
              <w:top w:val="nil"/>
              <w:left w:val="nil"/>
              <w:bottom w:val="single" w:sz="4" w:space="0" w:color="auto"/>
              <w:right w:val="single" w:sz="4" w:space="0" w:color="auto"/>
            </w:tcBorders>
            <w:vAlign w:val="center"/>
          </w:tcPr>
          <w:p w14:paraId="66E752C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833" w:type="dxa"/>
            <w:tcBorders>
              <w:top w:val="nil"/>
              <w:left w:val="nil"/>
              <w:bottom w:val="single" w:sz="4" w:space="0" w:color="auto"/>
              <w:right w:val="single" w:sz="4" w:space="0" w:color="auto"/>
            </w:tcBorders>
            <w:vAlign w:val="center"/>
          </w:tcPr>
          <w:p w14:paraId="536034B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2CD30F1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37F7EC6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6</w:t>
            </w:r>
          </w:p>
        </w:tc>
        <w:tc>
          <w:tcPr>
            <w:tcW w:w="709" w:type="dxa"/>
            <w:tcBorders>
              <w:top w:val="nil"/>
              <w:left w:val="nil"/>
              <w:bottom w:val="single" w:sz="4" w:space="0" w:color="auto"/>
              <w:right w:val="single" w:sz="4" w:space="0" w:color="auto"/>
            </w:tcBorders>
            <w:vAlign w:val="center"/>
          </w:tcPr>
          <w:p w14:paraId="3D352AF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3BBD659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6BEF76B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single" w:sz="4" w:space="0" w:color="auto"/>
              <w:bottom w:val="single" w:sz="4" w:space="0" w:color="auto"/>
              <w:right w:val="single" w:sz="4" w:space="0" w:color="auto"/>
            </w:tcBorders>
            <w:vAlign w:val="center"/>
          </w:tcPr>
          <w:p w14:paraId="5CA97BE1"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93" w:type="dxa"/>
            <w:tcBorders>
              <w:top w:val="nil"/>
              <w:left w:val="nil"/>
              <w:bottom w:val="single" w:sz="4" w:space="0" w:color="auto"/>
              <w:right w:val="single" w:sz="4" w:space="0" w:color="auto"/>
            </w:tcBorders>
            <w:vAlign w:val="center"/>
          </w:tcPr>
          <w:p w14:paraId="6D025242"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08A16FDB"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519C236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Damodar T, 2013</w:t>
            </w:r>
          </w:p>
        </w:tc>
        <w:tc>
          <w:tcPr>
            <w:tcW w:w="1222" w:type="dxa"/>
            <w:tcBorders>
              <w:top w:val="nil"/>
              <w:left w:val="nil"/>
              <w:bottom w:val="single" w:sz="4" w:space="0" w:color="auto"/>
              <w:right w:val="single" w:sz="4" w:space="0" w:color="auto"/>
            </w:tcBorders>
            <w:vAlign w:val="center"/>
          </w:tcPr>
          <w:p w14:paraId="6E07CE15"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Mangalore</w:t>
            </w:r>
          </w:p>
        </w:tc>
        <w:tc>
          <w:tcPr>
            <w:tcW w:w="833" w:type="dxa"/>
            <w:tcBorders>
              <w:top w:val="nil"/>
              <w:left w:val="nil"/>
              <w:bottom w:val="single" w:sz="4" w:space="0" w:color="auto"/>
              <w:right w:val="single" w:sz="4" w:space="0" w:color="auto"/>
            </w:tcBorders>
            <w:vAlign w:val="center"/>
          </w:tcPr>
          <w:p w14:paraId="3C79F264"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2D54BC6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26CD49C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28</w:t>
            </w:r>
          </w:p>
        </w:tc>
        <w:tc>
          <w:tcPr>
            <w:tcW w:w="709" w:type="dxa"/>
            <w:tcBorders>
              <w:top w:val="nil"/>
              <w:left w:val="nil"/>
              <w:bottom w:val="single" w:sz="4" w:space="0" w:color="auto"/>
              <w:right w:val="single" w:sz="4" w:space="0" w:color="auto"/>
            </w:tcBorders>
            <w:vAlign w:val="center"/>
          </w:tcPr>
          <w:p w14:paraId="2C937F1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317FEA4E"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77" w:type="dxa"/>
            <w:tcBorders>
              <w:top w:val="single" w:sz="4" w:space="0" w:color="auto"/>
              <w:left w:val="nil"/>
              <w:bottom w:val="single" w:sz="4" w:space="0" w:color="auto"/>
              <w:right w:val="single" w:sz="4" w:space="0" w:color="auto"/>
            </w:tcBorders>
            <w:vAlign w:val="center"/>
          </w:tcPr>
          <w:p w14:paraId="134C6E5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30</w:t>
            </w:r>
          </w:p>
        </w:tc>
        <w:tc>
          <w:tcPr>
            <w:tcW w:w="850" w:type="dxa"/>
            <w:tcBorders>
              <w:top w:val="nil"/>
              <w:left w:val="single" w:sz="4" w:space="0" w:color="auto"/>
              <w:bottom w:val="single" w:sz="4" w:space="0" w:color="auto"/>
              <w:right w:val="single" w:sz="4" w:space="0" w:color="auto"/>
            </w:tcBorders>
            <w:vAlign w:val="center"/>
          </w:tcPr>
          <w:p w14:paraId="76325F7D"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93" w:type="dxa"/>
            <w:tcBorders>
              <w:top w:val="nil"/>
              <w:left w:val="nil"/>
              <w:bottom w:val="single" w:sz="4" w:space="0" w:color="auto"/>
              <w:right w:val="single" w:sz="4" w:space="0" w:color="auto"/>
            </w:tcBorders>
            <w:vAlign w:val="center"/>
          </w:tcPr>
          <w:p w14:paraId="058634BA"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E77ADA0"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344CE57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Mahajan S.K, 2012</w:t>
            </w:r>
          </w:p>
        </w:tc>
        <w:tc>
          <w:tcPr>
            <w:tcW w:w="1222" w:type="dxa"/>
            <w:tcBorders>
              <w:top w:val="nil"/>
              <w:left w:val="nil"/>
              <w:bottom w:val="single" w:sz="4" w:space="0" w:color="auto"/>
              <w:right w:val="single" w:sz="4" w:space="0" w:color="auto"/>
            </w:tcBorders>
            <w:vAlign w:val="center"/>
          </w:tcPr>
          <w:p w14:paraId="050B2BC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Shimla, Himachal Pradesh</w:t>
            </w:r>
          </w:p>
        </w:tc>
        <w:tc>
          <w:tcPr>
            <w:tcW w:w="833" w:type="dxa"/>
            <w:tcBorders>
              <w:top w:val="nil"/>
              <w:left w:val="nil"/>
              <w:bottom w:val="single" w:sz="4" w:space="0" w:color="auto"/>
              <w:right w:val="single" w:sz="4" w:space="0" w:color="auto"/>
            </w:tcBorders>
            <w:vAlign w:val="center"/>
          </w:tcPr>
          <w:p w14:paraId="189BDB5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2E3B901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3E12E41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75C5599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nil"/>
              <w:bottom w:val="single" w:sz="4" w:space="0" w:color="auto"/>
              <w:right w:val="single" w:sz="4" w:space="0" w:color="auto"/>
            </w:tcBorders>
            <w:vAlign w:val="center"/>
          </w:tcPr>
          <w:p w14:paraId="2F0ACCC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4C5E966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7</w:t>
            </w:r>
          </w:p>
        </w:tc>
        <w:tc>
          <w:tcPr>
            <w:tcW w:w="850" w:type="dxa"/>
            <w:tcBorders>
              <w:top w:val="nil"/>
              <w:left w:val="single" w:sz="4" w:space="0" w:color="auto"/>
              <w:bottom w:val="single" w:sz="4" w:space="0" w:color="auto"/>
              <w:right w:val="single" w:sz="4" w:space="0" w:color="auto"/>
            </w:tcBorders>
            <w:vAlign w:val="center"/>
          </w:tcPr>
          <w:p w14:paraId="63BBE7E5"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3ABC222B"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73CBAA3B" w14:textId="77777777" w:rsidTr="007C578E">
        <w:trPr>
          <w:cantSplit/>
          <w:trHeight w:val="561"/>
        </w:trPr>
        <w:tc>
          <w:tcPr>
            <w:tcW w:w="1206" w:type="dxa"/>
            <w:tcBorders>
              <w:top w:val="single" w:sz="4" w:space="0" w:color="auto"/>
              <w:left w:val="single" w:sz="4" w:space="0" w:color="auto"/>
              <w:bottom w:val="single" w:sz="4" w:space="0" w:color="auto"/>
              <w:right w:val="single" w:sz="4" w:space="0" w:color="auto"/>
            </w:tcBorders>
            <w:vAlign w:val="center"/>
          </w:tcPr>
          <w:p w14:paraId="304CC37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Kumar A, 2012</w:t>
            </w:r>
          </w:p>
        </w:tc>
        <w:tc>
          <w:tcPr>
            <w:tcW w:w="1222" w:type="dxa"/>
            <w:tcBorders>
              <w:top w:val="single" w:sz="4" w:space="0" w:color="auto"/>
              <w:left w:val="nil"/>
              <w:bottom w:val="single" w:sz="4" w:space="0" w:color="auto"/>
              <w:right w:val="single" w:sz="4" w:space="0" w:color="auto"/>
            </w:tcBorders>
            <w:vAlign w:val="center"/>
          </w:tcPr>
          <w:p w14:paraId="0BF2AA9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Kochi, Kerala</w:t>
            </w:r>
          </w:p>
        </w:tc>
        <w:tc>
          <w:tcPr>
            <w:tcW w:w="833" w:type="dxa"/>
            <w:tcBorders>
              <w:top w:val="single" w:sz="4" w:space="0" w:color="auto"/>
              <w:left w:val="nil"/>
              <w:bottom w:val="single" w:sz="4" w:space="0" w:color="auto"/>
              <w:right w:val="single" w:sz="4" w:space="0" w:color="auto"/>
            </w:tcBorders>
            <w:vAlign w:val="center"/>
          </w:tcPr>
          <w:p w14:paraId="7787CD0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287</w:t>
            </w:r>
          </w:p>
        </w:tc>
        <w:tc>
          <w:tcPr>
            <w:tcW w:w="850" w:type="dxa"/>
            <w:tcBorders>
              <w:top w:val="single" w:sz="4" w:space="0" w:color="auto"/>
              <w:left w:val="nil"/>
              <w:bottom w:val="single" w:sz="4" w:space="0" w:color="auto"/>
              <w:right w:val="single" w:sz="4" w:space="0" w:color="auto"/>
            </w:tcBorders>
            <w:vAlign w:val="center"/>
          </w:tcPr>
          <w:p w14:paraId="2FD0914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851" w:type="dxa"/>
            <w:tcBorders>
              <w:top w:val="single" w:sz="4" w:space="0" w:color="auto"/>
              <w:left w:val="nil"/>
              <w:bottom w:val="single" w:sz="4" w:space="0" w:color="auto"/>
              <w:right w:val="single" w:sz="4" w:space="0" w:color="auto"/>
            </w:tcBorders>
            <w:vAlign w:val="center"/>
          </w:tcPr>
          <w:p w14:paraId="6F61480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single" w:sz="4" w:space="0" w:color="auto"/>
              <w:left w:val="nil"/>
              <w:bottom w:val="single" w:sz="4" w:space="0" w:color="auto"/>
              <w:right w:val="single" w:sz="4" w:space="0" w:color="auto"/>
            </w:tcBorders>
            <w:vAlign w:val="center"/>
          </w:tcPr>
          <w:p w14:paraId="0215E19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nil"/>
              <w:bottom w:val="single" w:sz="4" w:space="0" w:color="auto"/>
              <w:right w:val="single" w:sz="4" w:space="0" w:color="auto"/>
            </w:tcBorders>
            <w:vAlign w:val="center"/>
          </w:tcPr>
          <w:p w14:paraId="1C7CCAD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7A7EFB5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8.6</w:t>
            </w:r>
          </w:p>
        </w:tc>
        <w:tc>
          <w:tcPr>
            <w:tcW w:w="850" w:type="dxa"/>
            <w:tcBorders>
              <w:top w:val="single" w:sz="4" w:space="0" w:color="auto"/>
              <w:left w:val="single" w:sz="4" w:space="0" w:color="auto"/>
              <w:bottom w:val="single" w:sz="4" w:space="0" w:color="auto"/>
              <w:right w:val="single" w:sz="4" w:space="0" w:color="auto"/>
            </w:tcBorders>
            <w:vAlign w:val="center"/>
          </w:tcPr>
          <w:p w14:paraId="747D29E5"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993" w:type="dxa"/>
            <w:tcBorders>
              <w:top w:val="single" w:sz="4" w:space="0" w:color="auto"/>
              <w:left w:val="nil"/>
              <w:bottom w:val="single" w:sz="4" w:space="0" w:color="auto"/>
              <w:right w:val="single" w:sz="4" w:space="0" w:color="auto"/>
            </w:tcBorders>
            <w:vAlign w:val="center"/>
          </w:tcPr>
          <w:p w14:paraId="00BD289C"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42</w:t>
            </w:r>
          </w:p>
        </w:tc>
      </w:tr>
      <w:tr w:rsidR="00E36EC3" w:rsidRPr="003E2940" w14:paraId="1A188FB5" w14:textId="77777777" w:rsidTr="007C578E">
        <w:trPr>
          <w:cantSplit/>
          <w:trHeight w:val="561"/>
        </w:trPr>
        <w:tc>
          <w:tcPr>
            <w:tcW w:w="1206" w:type="dxa"/>
            <w:tcBorders>
              <w:top w:val="single" w:sz="4" w:space="0" w:color="auto"/>
              <w:left w:val="single" w:sz="4" w:space="0" w:color="auto"/>
              <w:bottom w:val="single" w:sz="4" w:space="0" w:color="auto"/>
              <w:right w:val="single" w:sz="4" w:space="0" w:color="auto"/>
            </w:tcBorders>
            <w:vAlign w:val="center"/>
          </w:tcPr>
          <w:p w14:paraId="674E972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M P, 2012</w:t>
            </w:r>
          </w:p>
        </w:tc>
        <w:tc>
          <w:tcPr>
            <w:tcW w:w="1222" w:type="dxa"/>
            <w:tcBorders>
              <w:top w:val="single" w:sz="4" w:space="0" w:color="auto"/>
              <w:left w:val="nil"/>
              <w:bottom w:val="single" w:sz="4" w:space="0" w:color="auto"/>
              <w:right w:val="single" w:sz="4" w:space="0" w:color="auto"/>
            </w:tcBorders>
            <w:vAlign w:val="center"/>
          </w:tcPr>
          <w:p w14:paraId="4D0A03B1"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Chandigarh</w:t>
            </w:r>
          </w:p>
        </w:tc>
        <w:tc>
          <w:tcPr>
            <w:tcW w:w="833" w:type="dxa"/>
            <w:tcBorders>
              <w:top w:val="single" w:sz="4" w:space="0" w:color="auto"/>
              <w:left w:val="nil"/>
              <w:bottom w:val="single" w:sz="4" w:space="0" w:color="auto"/>
              <w:right w:val="single" w:sz="4" w:space="0" w:color="auto"/>
            </w:tcBorders>
            <w:vAlign w:val="center"/>
          </w:tcPr>
          <w:p w14:paraId="143C8A8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single" w:sz="4" w:space="0" w:color="auto"/>
              <w:left w:val="nil"/>
              <w:bottom w:val="single" w:sz="4" w:space="0" w:color="auto"/>
              <w:right w:val="single" w:sz="4" w:space="0" w:color="auto"/>
            </w:tcBorders>
            <w:vAlign w:val="center"/>
          </w:tcPr>
          <w:p w14:paraId="719BF040"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single" w:sz="4" w:space="0" w:color="auto"/>
              <w:left w:val="nil"/>
              <w:bottom w:val="single" w:sz="4" w:space="0" w:color="auto"/>
              <w:right w:val="single" w:sz="4" w:space="0" w:color="auto"/>
            </w:tcBorders>
            <w:vAlign w:val="center"/>
          </w:tcPr>
          <w:p w14:paraId="065CCDD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single" w:sz="4" w:space="0" w:color="auto"/>
              <w:left w:val="nil"/>
              <w:bottom w:val="single" w:sz="4" w:space="0" w:color="auto"/>
              <w:right w:val="single" w:sz="4" w:space="0" w:color="auto"/>
            </w:tcBorders>
            <w:vAlign w:val="center"/>
          </w:tcPr>
          <w:p w14:paraId="3150D3D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nil"/>
              <w:bottom w:val="single" w:sz="4" w:space="0" w:color="auto"/>
              <w:right w:val="single" w:sz="4" w:space="0" w:color="auto"/>
            </w:tcBorders>
            <w:vAlign w:val="center"/>
          </w:tcPr>
          <w:p w14:paraId="04DAF3A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5EC2621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single" w:sz="4" w:space="0" w:color="auto"/>
              <w:left w:val="single" w:sz="4" w:space="0" w:color="auto"/>
              <w:bottom w:val="single" w:sz="4" w:space="0" w:color="auto"/>
              <w:right w:val="single" w:sz="4" w:space="0" w:color="auto"/>
            </w:tcBorders>
            <w:vAlign w:val="center"/>
          </w:tcPr>
          <w:p w14:paraId="623A52C4"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93" w:type="dxa"/>
            <w:tcBorders>
              <w:top w:val="single" w:sz="4" w:space="0" w:color="auto"/>
              <w:left w:val="nil"/>
              <w:bottom w:val="single" w:sz="4" w:space="0" w:color="auto"/>
              <w:right w:val="single" w:sz="4" w:space="0" w:color="auto"/>
            </w:tcBorders>
            <w:vAlign w:val="center"/>
          </w:tcPr>
          <w:p w14:paraId="72860271"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07E3707B"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3B4DC08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Baliga, 2011</w:t>
            </w:r>
          </w:p>
        </w:tc>
        <w:tc>
          <w:tcPr>
            <w:tcW w:w="1222" w:type="dxa"/>
            <w:tcBorders>
              <w:top w:val="nil"/>
              <w:left w:val="nil"/>
              <w:bottom w:val="single" w:sz="4" w:space="0" w:color="auto"/>
              <w:right w:val="single" w:sz="4" w:space="0" w:color="auto"/>
            </w:tcBorders>
            <w:vAlign w:val="center"/>
          </w:tcPr>
          <w:p w14:paraId="30E020EF"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Pune, Maharashtra</w:t>
            </w:r>
          </w:p>
        </w:tc>
        <w:tc>
          <w:tcPr>
            <w:tcW w:w="833" w:type="dxa"/>
            <w:tcBorders>
              <w:top w:val="nil"/>
              <w:left w:val="nil"/>
              <w:bottom w:val="single" w:sz="4" w:space="0" w:color="auto"/>
              <w:right w:val="single" w:sz="4" w:space="0" w:color="auto"/>
            </w:tcBorders>
            <w:vAlign w:val="center"/>
          </w:tcPr>
          <w:p w14:paraId="215C508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850" w:type="dxa"/>
            <w:tcBorders>
              <w:top w:val="nil"/>
              <w:left w:val="nil"/>
              <w:bottom w:val="single" w:sz="4" w:space="0" w:color="auto"/>
              <w:right w:val="single" w:sz="4" w:space="0" w:color="auto"/>
            </w:tcBorders>
            <w:vAlign w:val="center"/>
          </w:tcPr>
          <w:p w14:paraId="6D89635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851" w:type="dxa"/>
            <w:tcBorders>
              <w:top w:val="nil"/>
              <w:left w:val="nil"/>
              <w:bottom w:val="single" w:sz="4" w:space="0" w:color="auto"/>
              <w:right w:val="single" w:sz="4" w:space="0" w:color="auto"/>
            </w:tcBorders>
          </w:tcPr>
          <w:p w14:paraId="4AB4F1D2"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tcPr>
          <w:p w14:paraId="1AADF0D0"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850" w:type="dxa"/>
            <w:tcBorders>
              <w:top w:val="nil"/>
              <w:left w:val="nil"/>
              <w:bottom w:val="single" w:sz="4" w:space="0" w:color="auto"/>
              <w:right w:val="single" w:sz="4" w:space="0" w:color="auto"/>
            </w:tcBorders>
          </w:tcPr>
          <w:p w14:paraId="1DFC2824"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6D9CB8FA"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14</w:t>
            </w:r>
          </w:p>
        </w:tc>
        <w:tc>
          <w:tcPr>
            <w:tcW w:w="850" w:type="dxa"/>
            <w:tcBorders>
              <w:top w:val="nil"/>
              <w:left w:val="single" w:sz="4" w:space="0" w:color="auto"/>
              <w:bottom w:val="single" w:sz="4" w:space="0" w:color="auto"/>
              <w:right w:val="single" w:sz="4" w:space="0" w:color="auto"/>
            </w:tcBorders>
            <w:vAlign w:val="center"/>
          </w:tcPr>
          <w:p w14:paraId="30714F19"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05F44ABA"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4D6FC20A"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3B5EC6E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Gurjar, M., 2011</w:t>
            </w:r>
          </w:p>
        </w:tc>
        <w:tc>
          <w:tcPr>
            <w:tcW w:w="1222" w:type="dxa"/>
            <w:tcBorders>
              <w:top w:val="nil"/>
              <w:left w:val="nil"/>
              <w:bottom w:val="single" w:sz="4" w:space="0" w:color="auto"/>
              <w:right w:val="single" w:sz="4" w:space="0" w:color="auto"/>
            </w:tcBorders>
            <w:vAlign w:val="center"/>
          </w:tcPr>
          <w:p w14:paraId="3E0213F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Lucknow, Uttar Pradesh</w:t>
            </w:r>
          </w:p>
        </w:tc>
        <w:tc>
          <w:tcPr>
            <w:tcW w:w="833" w:type="dxa"/>
            <w:tcBorders>
              <w:top w:val="nil"/>
              <w:left w:val="nil"/>
              <w:bottom w:val="single" w:sz="4" w:space="0" w:color="auto"/>
              <w:right w:val="single" w:sz="4" w:space="0" w:color="auto"/>
            </w:tcBorders>
            <w:vAlign w:val="center"/>
          </w:tcPr>
          <w:p w14:paraId="70C4C87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850" w:type="dxa"/>
            <w:tcBorders>
              <w:top w:val="nil"/>
              <w:left w:val="nil"/>
              <w:bottom w:val="single" w:sz="4" w:space="0" w:color="auto"/>
              <w:right w:val="single" w:sz="4" w:space="0" w:color="auto"/>
            </w:tcBorders>
            <w:vAlign w:val="center"/>
          </w:tcPr>
          <w:p w14:paraId="484B5FFC"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851" w:type="dxa"/>
            <w:tcBorders>
              <w:top w:val="nil"/>
              <w:left w:val="nil"/>
              <w:bottom w:val="single" w:sz="4" w:space="0" w:color="auto"/>
              <w:right w:val="single" w:sz="4" w:space="0" w:color="auto"/>
            </w:tcBorders>
            <w:vAlign w:val="center"/>
          </w:tcPr>
          <w:p w14:paraId="0EAE2FF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21.6</w:t>
            </w:r>
          </w:p>
        </w:tc>
        <w:tc>
          <w:tcPr>
            <w:tcW w:w="709" w:type="dxa"/>
            <w:tcBorders>
              <w:top w:val="nil"/>
              <w:left w:val="nil"/>
              <w:bottom w:val="single" w:sz="4" w:space="0" w:color="auto"/>
              <w:right w:val="single" w:sz="4" w:space="0" w:color="auto"/>
            </w:tcBorders>
            <w:vAlign w:val="center"/>
          </w:tcPr>
          <w:p w14:paraId="4B732CB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1C881ADD"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w:t>
            </w:r>
          </w:p>
        </w:tc>
        <w:tc>
          <w:tcPr>
            <w:tcW w:w="1177" w:type="dxa"/>
            <w:tcBorders>
              <w:top w:val="single" w:sz="4" w:space="0" w:color="auto"/>
              <w:left w:val="nil"/>
              <w:bottom w:val="single" w:sz="4" w:space="0" w:color="auto"/>
              <w:right w:val="single" w:sz="4" w:space="0" w:color="auto"/>
            </w:tcBorders>
            <w:vAlign w:val="center"/>
          </w:tcPr>
          <w:p w14:paraId="2C7B5FB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21.6</w:t>
            </w:r>
          </w:p>
        </w:tc>
        <w:tc>
          <w:tcPr>
            <w:tcW w:w="850" w:type="dxa"/>
            <w:tcBorders>
              <w:top w:val="nil"/>
              <w:left w:val="single" w:sz="4" w:space="0" w:color="auto"/>
              <w:bottom w:val="single" w:sz="4" w:space="0" w:color="auto"/>
              <w:right w:val="single" w:sz="4" w:space="0" w:color="auto"/>
            </w:tcBorders>
            <w:vAlign w:val="center"/>
          </w:tcPr>
          <w:p w14:paraId="14139147"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4DB90132"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65A824EB" w14:textId="77777777" w:rsidTr="007C578E">
        <w:trPr>
          <w:trHeight w:val="360"/>
        </w:trPr>
        <w:tc>
          <w:tcPr>
            <w:tcW w:w="1206" w:type="dxa"/>
            <w:tcBorders>
              <w:top w:val="nil"/>
              <w:left w:val="single" w:sz="4" w:space="0" w:color="auto"/>
              <w:bottom w:val="single" w:sz="4" w:space="0" w:color="auto"/>
              <w:right w:val="single" w:sz="4" w:space="0" w:color="auto"/>
            </w:tcBorders>
            <w:vAlign w:val="center"/>
          </w:tcPr>
          <w:p w14:paraId="5373E288"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Behera, B., 2010</w:t>
            </w:r>
          </w:p>
        </w:tc>
        <w:tc>
          <w:tcPr>
            <w:tcW w:w="1222" w:type="dxa"/>
            <w:tcBorders>
              <w:top w:val="nil"/>
              <w:left w:val="nil"/>
              <w:bottom w:val="single" w:sz="4" w:space="0" w:color="auto"/>
              <w:right w:val="single" w:sz="4" w:space="0" w:color="auto"/>
            </w:tcBorders>
            <w:vAlign w:val="center"/>
          </w:tcPr>
          <w:p w14:paraId="1FC660A3"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New Delhi</w:t>
            </w:r>
          </w:p>
        </w:tc>
        <w:tc>
          <w:tcPr>
            <w:tcW w:w="833" w:type="dxa"/>
            <w:tcBorders>
              <w:top w:val="nil"/>
              <w:left w:val="nil"/>
              <w:bottom w:val="single" w:sz="4" w:space="0" w:color="auto"/>
              <w:right w:val="single" w:sz="4" w:space="0" w:color="auto"/>
            </w:tcBorders>
            <w:vAlign w:val="center"/>
          </w:tcPr>
          <w:p w14:paraId="18760FE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044CDDB9"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1" w:type="dxa"/>
            <w:tcBorders>
              <w:top w:val="nil"/>
              <w:left w:val="nil"/>
              <w:bottom w:val="single" w:sz="4" w:space="0" w:color="auto"/>
              <w:right w:val="single" w:sz="4" w:space="0" w:color="auto"/>
            </w:tcBorders>
            <w:vAlign w:val="center"/>
          </w:tcPr>
          <w:p w14:paraId="13E2BCA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709" w:type="dxa"/>
            <w:tcBorders>
              <w:top w:val="nil"/>
              <w:left w:val="nil"/>
              <w:bottom w:val="single" w:sz="4" w:space="0" w:color="auto"/>
              <w:right w:val="single" w:sz="4" w:space="0" w:color="auto"/>
            </w:tcBorders>
            <w:vAlign w:val="center"/>
          </w:tcPr>
          <w:p w14:paraId="7C6C2037"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850" w:type="dxa"/>
            <w:tcBorders>
              <w:top w:val="nil"/>
              <w:left w:val="nil"/>
              <w:bottom w:val="single" w:sz="4" w:space="0" w:color="auto"/>
              <w:right w:val="single" w:sz="4" w:space="0" w:color="auto"/>
            </w:tcBorders>
            <w:vAlign w:val="center"/>
          </w:tcPr>
          <w:p w14:paraId="5B1CDE1B"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77" w:type="dxa"/>
            <w:tcBorders>
              <w:top w:val="single" w:sz="4" w:space="0" w:color="auto"/>
              <w:left w:val="nil"/>
              <w:bottom w:val="single" w:sz="4" w:space="0" w:color="auto"/>
              <w:right w:val="single" w:sz="4" w:space="0" w:color="auto"/>
            </w:tcBorders>
            <w:vAlign w:val="center"/>
          </w:tcPr>
          <w:p w14:paraId="7D81A306" w14:textId="77777777" w:rsidR="00E36EC3" w:rsidRPr="003E2940" w:rsidRDefault="00E36EC3" w:rsidP="00A40F70">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31</w:t>
            </w:r>
          </w:p>
        </w:tc>
        <w:tc>
          <w:tcPr>
            <w:tcW w:w="850" w:type="dxa"/>
            <w:tcBorders>
              <w:top w:val="nil"/>
              <w:left w:val="single" w:sz="4" w:space="0" w:color="auto"/>
              <w:bottom w:val="single" w:sz="4" w:space="0" w:color="auto"/>
              <w:right w:val="single" w:sz="4" w:space="0" w:color="auto"/>
            </w:tcBorders>
            <w:vAlign w:val="center"/>
          </w:tcPr>
          <w:p w14:paraId="715808A0"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93" w:type="dxa"/>
            <w:tcBorders>
              <w:top w:val="nil"/>
              <w:left w:val="nil"/>
              <w:bottom w:val="single" w:sz="4" w:space="0" w:color="auto"/>
              <w:right w:val="single" w:sz="4" w:space="0" w:color="auto"/>
            </w:tcBorders>
            <w:vAlign w:val="center"/>
          </w:tcPr>
          <w:p w14:paraId="594FCE3F" w14:textId="77777777" w:rsidR="00E36EC3" w:rsidRPr="003E2940" w:rsidRDefault="00E36EC3" w:rsidP="007C578E">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bl>
    <w:p w14:paraId="15172C10" w14:textId="77777777" w:rsidR="004C4F96" w:rsidRPr="003E2940" w:rsidRDefault="004C4F96" w:rsidP="004C4F96">
      <w:pPr>
        <w:spacing w:before="240"/>
        <w:jc w:val="center"/>
        <w:rPr>
          <w:rFonts w:ascii="Times New Roman" w:hAnsi="Times New Roman" w:cs="Times New Roman"/>
          <w:sz w:val="20"/>
          <w:szCs w:val="20"/>
        </w:rPr>
      </w:pPr>
      <w:r w:rsidRPr="003E2940">
        <w:rPr>
          <w:rFonts w:ascii="Times New Roman" w:hAnsi="Times New Roman" w:cs="Times New Roman"/>
          <w:sz w:val="20"/>
          <w:szCs w:val="20"/>
        </w:rPr>
        <w:t>[*Patient was admitted to the ICU, but the duration of stay was not documented in the included study]</w:t>
      </w:r>
    </w:p>
    <w:p w14:paraId="0CF98F7A" w14:textId="19302B28" w:rsidR="004C4F96" w:rsidRPr="003E2940" w:rsidRDefault="004C4F96" w:rsidP="004C4F96">
      <w:pPr>
        <w:spacing w:before="240"/>
        <w:jc w:val="center"/>
        <w:rPr>
          <w:rFonts w:ascii="Times New Roman" w:hAnsi="Times New Roman" w:cs="Times New Roman"/>
          <w:sz w:val="20"/>
          <w:szCs w:val="20"/>
        </w:rPr>
      </w:pPr>
    </w:p>
    <w:p w14:paraId="27119B66" w14:textId="77777777" w:rsidR="00E27BD5" w:rsidRPr="003E2940" w:rsidRDefault="004C4F96">
      <w:pPr>
        <w:rPr>
          <w:rFonts w:ascii="Times New Roman" w:hAnsi="Times New Roman" w:cs="Times New Roman"/>
          <w:sz w:val="20"/>
          <w:szCs w:val="20"/>
        </w:rPr>
      </w:pPr>
      <w:r w:rsidRPr="003E2940">
        <w:rPr>
          <w:rFonts w:ascii="Times New Roman" w:hAnsi="Times New Roman" w:cs="Times New Roman"/>
          <w:sz w:val="20"/>
          <w:szCs w:val="20"/>
        </w:rPr>
        <w:br w:type="page"/>
      </w:r>
    </w:p>
    <w:p w14:paraId="6358E15F" w14:textId="1768EB0D" w:rsidR="004C4F96" w:rsidRPr="003E2940" w:rsidRDefault="004C4F96" w:rsidP="002748FF">
      <w:pPr>
        <w:spacing w:before="240"/>
        <w:rPr>
          <w:rFonts w:ascii="Times New Roman" w:hAnsi="Times New Roman" w:cs="Times New Roman"/>
          <w:b/>
          <w:bCs/>
          <w:sz w:val="28"/>
          <w:szCs w:val="28"/>
        </w:rPr>
      </w:pPr>
      <w:r w:rsidRPr="003E2940">
        <w:rPr>
          <w:rFonts w:ascii="Times New Roman" w:hAnsi="Times New Roman" w:cs="Times New Roman"/>
          <w:b/>
          <w:bCs/>
          <w:sz w:val="24"/>
          <w:szCs w:val="24"/>
        </w:rPr>
        <w:lastRenderedPageBreak/>
        <w:t xml:space="preserve">Table </w:t>
      </w:r>
      <w:r w:rsidR="00865BC7">
        <w:rPr>
          <w:rFonts w:ascii="Times New Roman" w:hAnsi="Times New Roman" w:cs="Times New Roman"/>
          <w:b/>
          <w:bCs/>
          <w:sz w:val="24"/>
          <w:szCs w:val="24"/>
        </w:rPr>
        <w:t>S</w:t>
      </w:r>
      <w:r w:rsidR="001F6CBB" w:rsidRPr="003E2940">
        <w:rPr>
          <w:rFonts w:ascii="Times New Roman" w:hAnsi="Times New Roman" w:cs="Times New Roman"/>
          <w:b/>
          <w:bCs/>
          <w:sz w:val="24"/>
          <w:szCs w:val="24"/>
        </w:rPr>
        <w:t>10</w:t>
      </w:r>
      <w:r w:rsidRPr="003E2940">
        <w:rPr>
          <w:rFonts w:ascii="Times New Roman" w:hAnsi="Times New Roman" w:cs="Times New Roman"/>
          <w:b/>
          <w:bCs/>
          <w:sz w:val="24"/>
          <w:szCs w:val="24"/>
        </w:rPr>
        <w:t>: Antibiotic administered in patients with leptospirosis co-infection</w:t>
      </w:r>
    </w:p>
    <w:tbl>
      <w:tblPr>
        <w:tblW w:w="9540" w:type="dxa"/>
        <w:jc w:val="center"/>
        <w:tblLook w:val="04A0" w:firstRow="1" w:lastRow="0" w:firstColumn="1" w:lastColumn="0" w:noHBand="0" w:noVBand="1"/>
      </w:tblPr>
      <w:tblGrid>
        <w:gridCol w:w="1206"/>
        <w:gridCol w:w="1146"/>
        <w:gridCol w:w="1126"/>
        <w:gridCol w:w="1066"/>
        <w:gridCol w:w="1187"/>
        <w:gridCol w:w="1276"/>
        <w:gridCol w:w="1567"/>
        <w:gridCol w:w="966"/>
      </w:tblGrid>
      <w:tr w:rsidR="00E36EC3" w:rsidRPr="003E2940" w14:paraId="4455B63D" w14:textId="77777777" w:rsidTr="00A40F70">
        <w:trPr>
          <w:trHeight w:val="540"/>
          <w:jc w:val="center"/>
        </w:trPr>
        <w:tc>
          <w:tcPr>
            <w:tcW w:w="1206" w:type="dxa"/>
            <w:tcBorders>
              <w:top w:val="single" w:sz="4" w:space="0" w:color="auto"/>
              <w:left w:val="single" w:sz="4" w:space="0" w:color="auto"/>
              <w:bottom w:val="single" w:sz="4" w:space="0" w:color="auto"/>
              <w:right w:val="single" w:sz="4" w:space="0" w:color="auto"/>
            </w:tcBorders>
            <w:vAlign w:val="center"/>
            <w:hideMark/>
          </w:tcPr>
          <w:p w14:paraId="2DB0C6D8"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Author/Year</w:t>
            </w:r>
          </w:p>
        </w:tc>
        <w:tc>
          <w:tcPr>
            <w:tcW w:w="1146" w:type="dxa"/>
            <w:tcBorders>
              <w:top w:val="single" w:sz="4" w:space="0" w:color="auto"/>
              <w:left w:val="nil"/>
              <w:bottom w:val="single" w:sz="4" w:space="0" w:color="auto"/>
              <w:right w:val="single" w:sz="4" w:space="0" w:color="auto"/>
            </w:tcBorders>
            <w:vAlign w:val="center"/>
            <w:hideMark/>
          </w:tcPr>
          <w:p w14:paraId="71C924CE"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Doxycycline</w:t>
            </w:r>
          </w:p>
        </w:tc>
        <w:tc>
          <w:tcPr>
            <w:tcW w:w="1126" w:type="dxa"/>
            <w:tcBorders>
              <w:top w:val="single" w:sz="4" w:space="0" w:color="auto"/>
              <w:left w:val="nil"/>
              <w:bottom w:val="single" w:sz="4" w:space="0" w:color="auto"/>
              <w:right w:val="single" w:sz="4" w:space="0" w:color="auto"/>
            </w:tcBorders>
            <w:vAlign w:val="center"/>
            <w:hideMark/>
          </w:tcPr>
          <w:p w14:paraId="4C95F8F5"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Ceftriaxone</w:t>
            </w:r>
          </w:p>
        </w:tc>
        <w:tc>
          <w:tcPr>
            <w:tcW w:w="1066" w:type="dxa"/>
            <w:tcBorders>
              <w:top w:val="single" w:sz="4" w:space="0" w:color="auto"/>
              <w:left w:val="nil"/>
              <w:bottom w:val="single" w:sz="4" w:space="0" w:color="auto"/>
              <w:right w:val="single" w:sz="4" w:space="0" w:color="auto"/>
            </w:tcBorders>
            <w:vAlign w:val="center"/>
            <w:hideMark/>
          </w:tcPr>
          <w:p w14:paraId="307CAE3D"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Crystalline penicillin</w:t>
            </w:r>
          </w:p>
        </w:tc>
        <w:tc>
          <w:tcPr>
            <w:tcW w:w="1187" w:type="dxa"/>
            <w:tcBorders>
              <w:top w:val="single" w:sz="4" w:space="0" w:color="auto"/>
              <w:left w:val="nil"/>
              <w:bottom w:val="nil"/>
              <w:right w:val="single" w:sz="4" w:space="0" w:color="auto"/>
            </w:tcBorders>
            <w:vAlign w:val="center"/>
            <w:hideMark/>
          </w:tcPr>
          <w:p w14:paraId="3A352ED4"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Chloroquine</w:t>
            </w:r>
          </w:p>
        </w:tc>
        <w:tc>
          <w:tcPr>
            <w:tcW w:w="1276" w:type="dxa"/>
            <w:tcBorders>
              <w:top w:val="single" w:sz="4" w:space="0" w:color="auto"/>
              <w:left w:val="nil"/>
              <w:bottom w:val="single" w:sz="4" w:space="0" w:color="auto"/>
              <w:right w:val="single" w:sz="4" w:space="0" w:color="auto"/>
            </w:tcBorders>
            <w:vAlign w:val="center"/>
            <w:hideMark/>
          </w:tcPr>
          <w:p w14:paraId="25525E99"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Azithromycin</w:t>
            </w:r>
          </w:p>
        </w:tc>
        <w:tc>
          <w:tcPr>
            <w:tcW w:w="1567" w:type="dxa"/>
            <w:tcBorders>
              <w:top w:val="single" w:sz="4" w:space="0" w:color="auto"/>
              <w:left w:val="nil"/>
              <w:bottom w:val="single" w:sz="4" w:space="0" w:color="auto"/>
              <w:right w:val="single" w:sz="4" w:space="0" w:color="auto"/>
            </w:tcBorders>
            <w:vAlign w:val="center"/>
            <w:hideMark/>
          </w:tcPr>
          <w:p w14:paraId="6403D66B"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Fluoroquinolones</w:t>
            </w:r>
          </w:p>
        </w:tc>
        <w:tc>
          <w:tcPr>
            <w:tcW w:w="966" w:type="dxa"/>
            <w:tcBorders>
              <w:top w:val="single" w:sz="4" w:space="0" w:color="auto"/>
              <w:left w:val="nil"/>
              <w:bottom w:val="single" w:sz="4" w:space="0" w:color="auto"/>
              <w:right w:val="single" w:sz="4" w:space="0" w:color="auto"/>
            </w:tcBorders>
            <w:vAlign w:val="center"/>
            <w:hideMark/>
          </w:tcPr>
          <w:p w14:paraId="0245A19D" w14:textId="77777777" w:rsidR="00E36EC3" w:rsidRPr="003E2940" w:rsidRDefault="00E36EC3" w:rsidP="00A40F70">
            <w:pPr>
              <w:spacing w:after="0" w:line="240" w:lineRule="auto"/>
              <w:jc w:val="center"/>
              <w:rPr>
                <w:rFonts w:ascii="Times New Roman" w:eastAsia="Times New Roman" w:hAnsi="Times New Roman" w:cs="Times New Roman"/>
                <w:b/>
                <w:bCs/>
                <w:kern w:val="0"/>
                <w:sz w:val="18"/>
                <w:szCs w:val="18"/>
                <w:lang w:eastAsia="en-IN"/>
                <w14:ligatures w14:val="none"/>
              </w:rPr>
            </w:pPr>
            <w:r w:rsidRPr="003E2940">
              <w:rPr>
                <w:rFonts w:ascii="Times New Roman" w:eastAsia="Times New Roman" w:hAnsi="Times New Roman" w:cs="Times New Roman"/>
                <w:b/>
                <w:bCs/>
                <w:kern w:val="0"/>
                <w:sz w:val="18"/>
                <w:szCs w:val="18"/>
                <w:lang w:eastAsia="en-IN"/>
                <w14:ligatures w14:val="none"/>
              </w:rPr>
              <w:t>Ofloxacin</w:t>
            </w:r>
          </w:p>
        </w:tc>
      </w:tr>
      <w:tr w:rsidR="00E36EC3" w:rsidRPr="003E2940" w14:paraId="53D008C4"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273D1077" w14:textId="5355647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Shiddapur, G, 2024</w:t>
            </w:r>
          </w:p>
        </w:tc>
        <w:tc>
          <w:tcPr>
            <w:tcW w:w="1146" w:type="dxa"/>
            <w:tcBorders>
              <w:top w:val="nil"/>
              <w:left w:val="nil"/>
              <w:bottom w:val="single" w:sz="4" w:space="0" w:color="auto"/>
              <w:right w:val="single" w:sz="4" w:space="0" w:color="auto"/>
            </w:tcBorders>
            <w:vAlign w:val="center"/>
          </w:tcPr>
          <w:p w14:paraId="6CAD6897" w14:textId="0DFD22C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53924E02" w14:textId="432CAA9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2EC784F5" w14:textId="23999C2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single" w:sz="4" w:space="0" w:color="auto"/>
              <w:left w:val="nil"/>
              <w:bottom w:val="single" w:sz="4" w:space="0" w:color="auto"/>
              <w:right w:val="single" w:sz="4" w:space="0" w:color="auto"/>
            </w:tcBorders>
            <w:vAlign w:val="center"/>
          </w:tcPr>
          <w:p w14:paraId="374489DD" w14:textId="5708659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5B69BB79" w14:textId="782D975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24A0925" w14:textId="08139D6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6D4D9167" w14:textId="738A464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760D860F"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6EED2AC8" w14:textId="034C908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Nazeera NN, 2024</w:t>
            </w:r>
          </w:p>
        </w:tc>
        <w:tc>
          <w:tcPr>
            <w:tcW w:w="1146" w:type="dxa"/>
            <w:tcBorders>
              <w:top w:val="nil"/>
              <w:left w:val="nil"/>
              <w:bottom w:val="single" w:sz="4" w:space="0" w:color="auto"/>
              <w:right w:val="single" w:sz="4" w:space="0" w:color="auto"/>
            </w:tcBorders>
            <w:vAlign w:val="center"/>
          </w:tcPr>
          <w:p w14:paraId="1B8F23DC" w14:textId="2B52240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5D5F634C" w14:textId="093CD9D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2F71332D" w14:textId="7E7EE26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24C513A6" w14:textId="64C0719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378F9A07" w14:textId="45D1B41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1B14C667" w14:textId="18F6F68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070C1851" w14:textId="555D666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1387C387"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7FDCD4D9" w14:textId="4F5951C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Shiddapur G, 2024</w:t>
            </w:r>
          </w:p>
        </w:tc>
        <w:tc>
          <w:tcPr>
            <w:tcW w:w="1146" w:type="dxa"/>
            <w:tcBorders>
              <w:top w:val="nil"/>
              <w:left w:val="nil"/>
              <w:bottom w:val="single" w:sz="4" w:space="0" w:color="auto"/>
              <w:right w:val="single" w:sz="4" w:space="0" w:color="auto"/>
            </w:tcBorders>
            <w:vAlign w:val="center"/>
          </w:tcPr>
          <w:p w14:paraId="55DE7C25" w14:textId="30A204B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534D8642" w14:textId="529BFC1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6024849D" w14:textId="45237BE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740077CA" w14:textId="7D558D4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51006AC8" w14:textId="5619013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180D51CD" w14:textId="18510FC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5207E277" w14:textId="78D6E28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AD1812D"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5A64D2C8" w14:textId="2E3CC15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Aina, N, 2023</w:t>
            </w:r>
          </w:p>
        </w:tc>
        <w:tc>
          <w:tcPr>
            <w:tcW w:w="1146" w:type="dxa"/>
            <w:tcBorders>
              <w:top w:val="nil"/>
              <w:left w:val="nil"/>
              <w:bottom w:val="single" w:sz="4" w:space="0" w:color="auto"/>
              <w:right w:val="single" w:sz="4" w:space="0" w:color="auto"/>
            </w:tcBorders>
            <w:vAlign w:val="center"/>
          </w:tcPr>
          <w:p w14:paraId="68F71A18" w14:textId="6BD2C23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6AB109F2" w14:textId="0F7158A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24D77317" w14:textId="0A62B9A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7866FB97" w14:textId="08787A2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21CEBF93" w14:textId="10F419F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2</w:t>
            </w:r>
          </w:p>
        </w:tc>
        <w:tc>
          <w:tcPr>
            <w:tcW w:w="1567" w:type="dxa"/>
            <w:tcBorders>
              <w:top w:val="nil"/>
              <w:left w:val="nil"/>
              <w:bottom w:val="single" w:sz="4" w:space="0" w:color="auto"/>
              <w:right w:val="single" w:sz="4" w:space="0" w:color="auto"/>
            </w:tcBorders>
            <w:vAlign w:val="center"/>
          </w:tcPr>
          <w:p w14:paraId="13983DA7" w14:textId="7F95F29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966" w:type="dxa"/>
            <w:tcBorders>
              <w:top w:val="nil"/>
              <w:left w:val="nil"/>
              <w:bottom w:val="single" w:sz="4" w:space="0" w:color="auto"/>
              <w:right w:val="single" w:sz="4" w:space="0" w:color="auto"/>
            </w:tcBorders>
            <w:vAlign w:val="center"/>
          </w:tcPr>
          <w:p w14:paraId="5281DB93" w14:textId="3688C2C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r>
      <w:tr w:rsidR="00E36EC3" w:rsidRPr="003E2940" w14:paraId="583B7664"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32556EF8" w14:textId="37A62FF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Saboo K, 2023</w:t>
            </w:r>
          </w:p>
        </w:tc>
        <w:tc>
          <w:tcPr>
            <w:tcW w:w="1146" w:type="dxa"/>
            <w:tcBorders>
              <w:top w:val="nil"/>
              <w:left w:val="nil"/>
              <w:bottom w:val="single" w:sz="4" w:space="0" w:color="auto"/>
              <w:right w:val="single" w:sz="4" w:space="0" w:color="auto"/>
            </w:tcBorders>
            <w:vAlign w:val="center"/>
          </w:tcPr>
          <w:p w14:paraId="128EEED9" w14:textId="7D8B6D2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106DAAA4" w14:textId="68E82BA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5A3804B5" w14:textId="2DDF19C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87" w:type="dxa"/>
            <w:tcBorders>
              <w:top w:val="nil"/>
              <w:left w:val="nil"/>
              <w:bottom w:val="single" w:sz="4" w:space="0" w:color="auto"/>
              <w:right w:val="single" w:sz="4" w:space="0" w:color="auto"/>
            </w:tcBorders>
            <w:vAlign w:val="center"/>
          </w:tcPr>
          <w:p w14:paraId="32197743" w14:textId="62EBDF8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16010136" w14:textId="0DEAEC6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3F982D1D" w14:textId="087CD5C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4C0789BA" w14:textId="38223EB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2DC76F63" w14:textId="77777777" w:rsidTr="00E36EC3">
        <w:trPr>
          <w:trHeight w:val="360"/>
          <w:jc w:val="center"/>
        </w:trPr>
        <w:tc>
          <w:tcPr>
            <w:tcW w:w="1206" w:type="dxa"/>
            <w:tcBorders>
              <w:top w:val="single" w:sz="4" w:space="0" w:color="auto"/>
              <w:left w:val="single" w:sz="4" w:space="0" w:color="auto"/>
              <w:bottom w:val="single" w:sz="4" w:space="0" w:color="auto"/>
              <w:right w:val="single" w:sz="4" w:space="0" w:color="auto"/>
            </w:tcBorders>
            <w:vAlign w:val="center"/>
          </w:tcPr>
          <w:p w14:paraId="7C39C1A7" w14:textId="0DC2036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Gupta, N., 2022</w:t>
            </w:r>
          </w:p>
        </w:tc>
        <w:tc>
          <w:tcPr>
            <w:tcW w:w="1146" w:type="dxa"/>
            <w:tcBorders>
              <w:top w:val="single" w:sz="4" w:space="0" w:color="auto"/>
              <w:left w:val="nil"/>
              <w:bottom w:val="single" w:sz="4" w:space="0" w:color="auto"/>
              <w:right w:val="single" w:sz="4" w:space="0" w:color="auto"/>
            </w:tcBorders>
            <w:vAlign w:val="center"/>
          </w:tcPr>
          <w:p w14:paraId="4EC71004" w14:textId="67095DE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16</w:t>
            </w:r>
          </w:p>
        </w:tc>
        <w:tc>
          <w:tcPr>
            <w:tcW w:w="1126" w:type="dxa"/>
            <w:tcBorders>
              <w:top w:val="single" w:sz="4" w:space="0" w:color="auto"/>
              <w:left w:val="nil"/>
              <w:bottom w:val="single" w:sz="4" w:space="0" w:color="auto"/>
              <w:right w:val="single" w:sz="4" w:space="0" w:color="auto"/>
            </w:tcBorders>
            <w:vAlign w:val="center"/>
          </w:tcPr>
          <w:p w14:paraId="45BE361B" w14:textId="6D6579A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1066" w:type="dxa"/>
            <w:tcBorders>
              <w:top w:val="single" w:sz="4" w:space="0" w:color="auto"/>
              <w:left w:val="nil"/>
              <w:bottom w:val="single" w:sz="4" w:space="0" w:color="auto"/>
              <w:right w:val="single" w:sz="4" w:space="0" w:color="auto"/>
            </w:tcBorders>
            <w:vAlign w:val="center"/>
          </w:tcPr>
          <w:p w14:paraId="2D2E7CAE" w14:textId="68F9081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11</w:t>
            </w:r>
          </w:p>
        </w:tc>
        <w:tc>
          <w:tcPr>
            <w:tcW w:w="1187" w:type="dxa"/>
            <w:tcBorders>
              <w:top w:val="single" w:sz="4" w:space="0" w:color="auto"/>
              <w:left w:val="nil"/>
              <w:bottom w:val="single" w:sz="4" w:space="0" w:color="auto"/>
              <w:right w:val="single" w:sz="4" w:space="0" w:color="auto"/>
            </w:tcBorders>
            <w:vAlign w:val="center"/>
          </w:tcPr>
          <w:p w14:paraId="6B71F500" w14:textId="34B7F6C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single" w:sz="4" w:space="0" w:color="auto"/>
              <w:left w:val="nil"/>
              <w:bottom w:val="single" w:sz="4" w:space="0" w:color="auto"/>
              <w:right w:val="single" w:sz="4" w:space="0" w:color="auto"/>
            </w:tcBorders>
            <w:vAlign w:val="center"/>
          </w:tcPr>
          <w:p w14:paraId="0DD10062" w14:textId="10821DE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1567" w:type="dxa"/>
            <w:tcBorders>
              <w:top w:val="single" w:sz="4" w:space="0" w:color="auto"/>
              <w:left w:val="nil"/>
              <w:bottom w:val="single" w:sz="4" w:space="0" w:color="auto"/>
              <w:right w:val="single" w:sz="4" w:space="0" w:color="auto"/>
            </w:tcBorders>
            <w:vAlign w:val="center"/>
          </w:tcPr>
          <w:p w14:paraId="26085AFD" w14:textId="6AC143C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single" w:sz="4" w:space="0" w:color="auto"/>
              <w:left w:val="nil"/>
              <w:bottom w:val="single" w:sz="4" w:space="0" w:color="auto"/>
              <w:right w:val="single" w:sz="4" w:space="0" w:color="auto"/>
            </w:tcBorders>
            <w:vAlign w:val="center"/>
          </w:tcPr>
          <w:p w14:paraId="299755E8" w14:textId="13526A5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464912FA" w14:textId="77777777" w:rsidTr="00E36EC3">
        <w:trPr>
          <w:trHeight w:val="360"/>
          <w:jc w:val="center"/>
        </w:trPr>
        <w:tc>
          <w:tcPr>
            <w:tcW w:w="1206" w:type="dxa"/>
            <w:tcBorders>
              <w:top w:val="single" w:sz="4" w:space="0" w:color="auto"/>
              <w:left w:val="single" w:sz="4" w:space="0" w:color="auto"/>
              <w:bottom w:val="single" w:sz="4" w:space="0" w:color="auto"/>
              <w:right w:val="single" w:sz="4" w:space="0" w:color="auto"/>
            </w:tcBorders>
            <w:vAlign w:val="center"/>
          </w:tcPr>
          <w:p w14:paraId="5708F517" w14:textId="3BFC498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Dhanashree, B., 2021</w:t>
            </w:r>
          </w:p>
        </w:tc>
        <w:tc>
          <w:tcPr>
            <w:tcW w:w="1146" w:type="dxa"/>
            <w:tcBorders>
              <w:top w:val="single" w:sz="4" w:space="0" w:color="auto"/>
              <w:left w:val="nil"/>
              <w:bottom w:val="single" w:sz="4" w:space="0" w:color="auto"/>
              <w:right w:val="single" w:sz="4" w:space="0" w:color="auto"/>
            </w:tcBorders>
            <w:vAlign w:val="center"/>
          </w:tcPr>
          <w:p w14:paraId="0DAF622E" w14:textId="589D157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9</w:t>
            </w:r>
          </w:p>
        </w:tc>
        <w:tc>
          <w:tcPr>
            <w:tcW w:w="1126" w:type="dxa"/>
            <w:tcBorders>
              <w:top w:val="single" w:sz="4" w:space="0" w:color="auto"/>
              <w:left w:val="nil"/>
              <w:bottom w:val="single" w:sz="4" w:space="0" w:color="auto"/>
              <w:right w:val="single" w:sz="4" w:space="0" w:color="auto"/>
            </w:tcBorders>
            <w:vAlign w:val="center"/>
          </w:tcPr>
          <w:p w14:paraId="1C5624A1" w14:textId="1D4E094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single" w:sz="4" w:space="0" w:color="auto"/>
              <w:left w:val="nil"/>
              <w:bottom w:val="single" w:sz="4" w:space="0" w:color="auto"/>
              <w:right w:val="single" w:sz="4" w:space="0" w:color="auto"/>
            </w:tcBorders>
            <w:vAlign w:val="center"/>
          </w:tcPr>
          <w:p w14:paraId="2FC7E485" w14:textId="55C7548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5</w:t>
            </w:r>
          </w:p>
        </w:tc>
        <w:tc>
          <w:tcPr>
            <w:tcW w:w="1187" w:type="dxa"/>
            <w:tcBorders>
              <w:top w:val="single" w:sz="4" w:space="0" w:color="auto"/>
              <w:left w:val="nil"/>
              <w:bottom w:val="single" w:sz="4" w:space="0" w:color="auto"/>
              <w:right w:val="single" w:sz="4" w:space="0" w:color="auto"/>
            </w:tcBorders>
            <w:vAlign w:val="center"/>
          </w:tcPr>
          <w:p w14:paraId="2296865A" w14:textId="5B0236B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single" w:sz="4" w:space="0" w:color="auto"/>
              <w:left w:val="nil"/>
              <w:bottom w:val="single" w:sz="4" w:space="0" w:color="auto"/>
              <w:right w:val="single" w:sz="4" w:space="0" w:color="auto"/>
            </w:tcBorders>
            <w:vAlign w:val="center"/>
          </w:tcPr>
          <w:p w14:paraId="03AD01D7" w14:textId="7EFA513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single" w:sz="4" w:space="0" w:color="auto"/>
              <w:left w:val="nil"/>
              <w:bottom w:val="single" w:sz="4" w:space="0" w:color="auto"/>
              <w:right w:val="single" w:sz="4" w:space="0" w:color="auto"/>
            </w:tcBorders>
            <w:vAlign w:val="center"/>
          </w:tcPr>
          <w:p w14:paraId="1F2C5219" w14:textId="6409938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single" w:sz="4" w:space="0" w:color="auto"/>
              <w:left w:val="nil"/>
              <w:bottom w:val="single" w:sz="4" w:space="0" w:color="auto"/>
              <w:right w:val="single" w:sz="4" w:space="0" w:color="auto"/>
            </w:tcBorders>
            <w:vAlign w:val="center"/>
          </w:tcPr>
          <w:p w14:paraId="02565D61" w14:textId="5E6E5E7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6F6D96ED"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7C69D843" w14:textId="4B2AD7B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Kharibam, P., 2021</w:t>
            </w:r>
          </w:p>
        </w:tc>
        <w:tc>
          <w:tcPr>
            <w:tcW w:w="1146" w:type="dxa"/>
            <w:tcBorders>
              <w:top w:val="nil"/>
              <w:left w:val="nil"/>
              <w:bottom w:val="single" w:sz="4" w:space="0" w:color="auto"/>
              <w:right w:val="single" w:sz="4" w:space="0" w:color="auto"/>
            </w:tcBorders>
            <w:vAlign w:val="center"/>
          </w:tcPr>
          <w:p w14:paraId="039A7236" w14:textId="45A180A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571C3C6F" w14:textId="5FD29C2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71475EB7" w14:textId="2DBE6C0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5A097E00" w14:textId="7D43F24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3933B904" w14:textId="32B3946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104DA154" w14:textId="2E50BC7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0D32C2F3" w14:textId="6A5BBA0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49316F6C"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5A43FA35" w14:textId="54F613D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A,2021</w:t>
            </w:r>
          </w:p>
        </w:tc>
        <w:tc>
          <w:tcPr>
            <w:tcW w:w="1146" w:type="dxa"/>
            <w:tcBorders>
              <w:top w:val="nil"/>
              <w:left w:val="nil"/>
              <w:bottom w:val="single" w:sz="4" w:space="0" w:color="auto"/>
              <w:right w:val="single" w:sz="4" w:space="0" w:color="auto"/>
            </w:tcBorders>
            <w:vAlign w:val="center"/>
          </w:tcPr>
          <w:p w14:paraId="7CE2A3AF" w14:textId="7F63086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1DAE6803" w14:textId="15470CB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46D9033F" w14:textId="61BFE7D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0E5E5EA8" w14:textId="1A2E7D7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5562138B" w14:textId="048F63C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567" w:type="dxa"/>
            <w:tcBorders>
              <w:top w:val="nil"/>
              <w:left w:val="nil"/>
              <w:bottom w:val="single" w:sz="4" w:space="0" w:color="auto"/>
              <w:right w:val="single" w:sz="4" w:space="0" w:color="auto"/>
            </w:tcBorders>
            <w:vAlign w:val="center"/>
          </w:tcPr>
          <w:p w14:paraId="2E94A466" w14:textId="0BF4335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17739BEC" w14:textId="3263881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7C77838C"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088C4F0A" w14:textId="68AA1EB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Dev, N., 2019</w:t>
            </w:r>
          </w:p>
        </w:tc>
        <w:tc>
          <w:tcPr>
            <w:tcW w:w="1146" w:type="dxa"/>
            <w:tcBorders>
              <w:top w:val="nil"/>
              <w:left w:val="nil"/>
              <w:bottom w:val="single" w:sz="4" w:space="0" w:color="auto"/>
              <w:right w:val="single" w:sz="4" w:space="0" w:color="auto"/>
            </w:tcBorders>
            <w:vAlign w:val="center"/>
          </w:tcPr>
          <w:p w14:paraId="09C0ED15" w14:textId="6169F55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4953E5D1" w14:textId="38F65C7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32A45CB1" w14:textId="5E46ABE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6684BD01" w14:textId="583DB93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0D53ACE1" w14:textId="52F7A6A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5E1BDB39" w14:textId="01C16AE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6DB60F58" w14:textId="742EDAA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C7DEC87"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0FFE974F" w14:textId="426A1E0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Mehta. V, 2019</w:t>
            </w:r>
          </w:p>
        </w:tc>
        <w:tc>
          <w:tcPr>
            <w:tcW w:w="1146" w:type="dxa"/>
            <w:tcBorders>
              <w:top w:val="nil"/>
              <w:left w:val="nil"/>
              <w:bottom w:val="single" w:sz="4" w:space="0" w:color="auto"/>
              <w:right w:val="single" w:sz="4" w:space="0" w:color="auto"/>
            </w:tcBorders>
            <w:vAlign w:val="center"/>
          </w:tcPr>
          <w:p w14:paraId="34FF7882" w14:textId="7C0DD3E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47BEDFA7" w14:textId="3987CA1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0096EE00" w14:textId="2961C28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393531CB" w14:textId="2670A8E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48C410A3" w14:textId="4B0BB8E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24BF24FE" w14:textId="1BC11E6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53FAEDB4" w14:textId="5AB74C5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2115E763" w14:textId="77777777" w:rsidTr="00E36EC3">
        <w:trPr>
          <w:trHeight w:val="540"/>
          <w:jc w:val="center"/>
        </w:trPr>
        <w:tc>
          <w:tcPr>
            <w:tcW w:w="1206" w:type="dxa"/>
            <w:tcBorders>
              <w:top w:val="nil"/>
              <w:left w:val="single" w:sz="4" w:space="0" w:color="auto"/>
              <w:bottom w:val="single" w:sz="4" w:space="0" w:color="auto"/>
              <w:right w:val="single" w:sz="4" w:space="0" w:color="auto"/>
            </w:tcBorders>
            <w:vAlign w:val="center"/>
          </w:tcPr>
          <w:p w14:paraId="65E7E496" w14:textId="684D8B4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Negi, A., 2018</w:t>
            </w:r>
          </w:p>
        </w:tc>
        <w:tc>
          <w:tcPr>
            <w:tcW w:w="1146" w:type="dxa"/>
            <w:tcBorders>
              <w:top w:val="nil"/>
              <w:left w:val="nil"/>
              <w:bottom w:val="single" w:sz="4" w:space="0" w:color="auto"/>
              <w:right w:val="single" w:sz="4" w:space="0" w:color="auto"/>
            </w:tcBorders>
            <w:vAlign w:val="center"/>
          </w:tcPr>
          <w:p w14:paraId="0C393DC4" w14:textId="01E3F87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nil"/>
              <w:left w:val="nil"/>
              <w:bottom w:val="single" w:sz="4" w:space="0" w:color="auto"/>
              <w:right w:val="single" w:sz="4" w:space="0" w:color="auto"/>
            </w:tcBorders>
            <w:vAlign w:val="center"/>
          </w:tcPr>
          <w:p w14:paraId="0B033191" w14:textId="21C0658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14914558" w14:textId="6D045DB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241E0741" w14:textId="5B8B11C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2F090AA0" w14:textId="0135442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8E976F1" w14:textId="7385401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7F84B4B8" w14:textId="59F9D3E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D52F1C5" w14:textId="77777777" w:rsidTr="00E36EC3">
        <w:trPr>
          <w:trHeight w:val="500"/>
          <w:jc w:val="center"/>
        </w:trPr>
        <w:tc>
          <w:tcPr>
            <w:tcW w:w="1206" w:type="dxa"/>
            <w:tcBorders>
              <w:top w:val="nil"/>
              <w:left w:val="single" w:sz="4" w:space="0" w:color="auto"/>
              <w:bottom w:val="single" w:sz="4" w:space="0" w:color="auto"/>
              <w:right w:val="single" w:sz="4" w:space="0" w:color="auto"/>
            </w:tcBorders>
            <w:vAlign w:val="center"/>
          </w:tcPr>
          <w:p w14:paraId="605A9435" w14:textId="6272269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Sachu, A., 2018</w:t>
            </w:r>
          </w:p>
        </w:tc>
        <w:tc>
          <w:tcPr>
            <w:tcW w:w="1146" w:type="dxa"/>
            <w:tcBorders>
              <w:top w:val="nil"/>
              <w:left w:val="nil"/>
              <w:bottom w:val="single" w:sz="4" w:space="0" w:color="auto"/>
              <w:right w:val="single" w:sz="4" w:space="0" w:color="auto"/>
            </w:tcBorders>
            <w:vAlign w:val="center"/>
          </w:tcPr>
          <w:p w14:paraId="0DF4ADE4" w14:textId="503F777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nil"/>
              <w:left w:val="nil"/>
              <w:bottom w:val="single" w:sz="4" w:space="0" w:color="auto"/>
              <w:right w:val="single" w:sz="4" w:space="0" w:color="auto"/>
            </w:tcBorders>
            <w:vAlign w:val="center"/>
          </w:tcPr>
          <w:p w14:paraId="7EBFC83C" w14:textId="2DD655A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1E719FC8" w14:textId="12A0266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33</w:t>
            </w:r>
          </w:p>
        </w:tc>
        <w:tc>
          <w:tcPr>
            <w:tcW w:w="1187" w:type="dxa"/>
            <w:tcBorders>
              <w:top w:val="nil"/>
              <w:left w:val="nil"/>
              <w:bottom w:val="single" w:sz="4" w:space="0" w:color="auto"/>
              <w:right w:val="single" w:sz="4" w:space="0" w:color="auto"/>
            </w:tcBorders>
            <w:vAlign w:val="center"/>
          </w:tcPr>
          <w:p w14:paraId="080B8A69" w14:textId="24EE359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3DC98DF3" w14:textId="618B3C4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785778C4" w14:textId="35940F6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4EC10112" w14:textId="0C20220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3405649" w14:textId="77777777" w:rsidTr="00E36EC3">
        <w:trPr>
          <w:trHeight w:val="360"/>
          <w:jc w:val="center"/>
        </w:trPr>
        <w:tc>
          <w:tcPr>
            <w:tcW w:w="1206" w:type="dxa"/>
            <w:tcBorders>
              <w:top w:val="nil"/>
              <w:left w:val="single" w:sz="4" w:space="0" w:color="auto"/>
              <w:bottom w:val="single" w:sz="4" w:space="0" w:color="auto"/>
              <w:right w:val="single" w:sz="4" w:space="0" w:color="auto"/>
            </w:tcBorders>
            <w:vAlign w:val="center"/>
          </w:tcPr>
          <w:p w14:paraId="5211F16D" w14:textId="6E835A9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Diwan, A.G., 2014</w:t>
            </w:r>
          </w:p>
        </w:tc>
        <w:tc>
          <w:tcPr>
            <w:tcW w:w="1146" w:type="dxa"/>
            <w:tcBorders>
              <w:top w:val="nil"/>
              <w:left w:val="nil"/>
              <w:bottom w:val="single" w:sz="4" w:space="0" w:color="auto"/>
              <w:right w:val="single" w:sz="4" w:space="0" w:color="auto"/>
            </w:tcBorders>
            <w:vAlign w:val="center"/>
          </w:tcPr>
          <w:p w14:paraId="1567BACB" w14:textId="40367C0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4775A934" w14:textId="05406B5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07E91738" w14:textId="1363945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142C8554" w14:textId="6E3DD6D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0B03B405" w14:textId="5567FA2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281DE8C1" w14:textId="10F39FE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1E76EBCA" w14:textId="6D4B1C1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7D83B08E" w14:textId="77777777" w:rsidTr="00E36EC3">
        <w:trPr>
          <w:trHeight w:val="330"/>
          <w:jc w:val="center"/>
        </w:trPr>
        <w:tc>
          <w:tcPr>
            <w:tcW w:w="1206" w:type="dxa"/>
            <w:tcBorders>
              <w:top w:val="nil"/>
              <w:left w:val="single" w:sz="4" w:space="0" w:color="auto"/>
              <w:bottom w:val="single" w:sz="4" w:space="0" w:color="auto"/>
              <w:right w:val="single" w:sz="4" w:space="0" w:color="auto"/>
            </w:tcBorders>
            <w:vAlign w:val="center"/>
          </w:tcPr>
          <w:p w14:paraId="663B074F" w14:textId="7580914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Samanta, 2014.</w:t>
            </w:r>
          </w:p>
        </w:tc>
        <w:tc>
          <w:tcPr>
            <w:tcW w:w="1146" w:type="dxa"/>
            <w:tcBorders>
              <w:top w:val="nil"/>
              <w:left w:val="nil"/>
              <w:bottom w:val="single" w:sz="4" w:space="0" w:color="auto"/>
              <w:right w:val="single" w:sz="4" w:space="0" w:color="auto"/>
            </w:tcBorders>
            <w:vAlign w:val="center"/>
          </w:tcPr>
          <w:p w14:paraId="019444E9" w14:textId="6051B67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30243EA4" w14:textId="39D2E30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7983E28E" w14:textId="6A5D5D6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53976A24" w14:textId="1AD5705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72CFD5BF" w14:textId="09449D3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2A47E518" w14:textId="2850235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232C81FE" w14:textId="2569A59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252E11F5" w14:textId="77777777" w:rsidTr="00E36EC3">
        <w:trPr>
          <w:trHeight w:val="280"/>
          <w:jc w:val="center"/>
        </w:trPr>
        <w:tc>
          <w:tcPr>
            <w:tcW w:w="1206" w:type="dxa"/>
            <w:tcBorders>
              <w:top w:val="nil"/>
              <w:left w:val="single" w:sz="4" w:space="0" w:color="auto"/>
              <w:bottom w:val="single" w:sz="4" w:space="0" w:color="auto"/>
              <w:right w:val="single" w:sz="4" w:space="0" w:color="auto"/>
            </w:tcBorders>
            <w:vAlign w:val="center"/>
          </w:tcPr>
          <w:p w14:paraId="40193C22" w14:textId="61016C0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Chopdekar, 2014</w:t>
            </w:r>
          </w:p>
        </w:tc>
        <w:tc>
          <w:tcPr>
            <w:tcW w:w="1146" w:type="dxa"/>
            <w:tcBorders>
              <w:top w:val="nil"/>
              <w:left w:val="nil"/>
              <w:bottom w:val="single" w:sz="4" w:space="0" w:color="auto"/>
              <w:right w:val="single" w:sz="4" w:space="0" w:color="auto"/>
            </w:tcBorders>
            <w:vAlign w:val="center"/>
          </w:tcPr>
          <w:p w14:paraId="2324CAA1" w14:textId="0E9A969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nil"/>
              <w:left w:val="nil"/>
              <w:bottom w:val="single" w:sz="4" w:space="0" w:color="auto"/>
              <w:right w:val="single" w:sz="4" w:space="0" w:color="auto"/>
            </w:tcBorders>
            <w:vAlign w:val="center"/>
          </w:tcPr>
          <w:p w14:paraId="557E5A01" w14:textId="5B9032B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6B4FB832" w14:textId="45F5723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87" w:type="dxa"/>
            <w:tcBorders>
              <w:top w:val="nil"/>
              <w:left w:val="nil"/>
              <w:bottom w:val="single" w:sz="4" w:space="0" w:color="auto"/>
              <w:right w:val="single" w:sz="4" w:space="0" w:color="auto"/>
            </w:tcBorders>
            <w:vAlign w:val="center"/>
          </w:tcPr>
          <w:p w14:paraId="6C5A3C37" w14:textId="742C620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5CC4F31A" w14:textId="65B8A40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AAF26A8" w14:textId="77791DC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7C6AB852" w14:textId="7C77F31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5ADDB5C2" w14:textId="77777777" w:rsidTr="00E36EC3">
        <w:trPr>
          <w:trHeight w:val="280"/>
          <w:jc w:val="center"/>
        </w:trPr>
        <w:tc>
          <w:tcPr>
            <w:tcW w:w="1206" w:type="dxa"/>
            <w:tcBorders>
              <w:top w:val="nil"/>
              <w:left w:val="single" w:sz="4" w:space="0" w:color="auto"/>
              <w:bottom w:val="single" w:sz="4" w:space="0" w:color="auto"/>
              <w:right w:val="single" w:sz="4" w:space="0" w:color="auto"/>
            </w:tcBorders>
            <w:vAlign w:val="center"/>
          </w:tcPr>
          <w:p w14:paraId="7373BAB1" w14:textId="5A47C05B"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R, 2014</w:t>
            </w:r>
          </w:p>
        </w:tc>
        <w:tc>
          <w:tcPr>
            <w:tcW w:w="1146" w:type="dxa"/>
            <w:tcBorders>
              <w:top w:val="nil"/>
              <w:left w:val="nil"/>
              <w:bottom w:val="single" w:sz="4" w:space="0" w:color="auto"/>
              <w:right w:val="single" w:sz="4" w:space="0" w:color="auto"/>
            </w:tcBorders>
            <w:vAlign w:val="center"/>
          </w:tcPr>
          <w:p w14:paraId="39CE1E93" w14:textId="0DAB4C1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nil"/>
              <w:left w:val="nil"/>
              <w:bottom w:val="single" w:sz="4" w:space="0" w:color="auto"/>
              <w:right w:val="single" w:sz="4" w:space="0" w:color="auto"/>
            </w:tcBorders>
            <w:vAlign w:val="center"/>
          </w:tcPr>
          <w:p w14:paraId="3377B410" w14:textId="7F939AF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1243884E" w14:textId="5CAD234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43D0DE8B" w14:textId="792EB54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3EF65BE7" w14:textId="0FEC586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C308BDB" w14:textId="79074C1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3D72095B" w14:textId="27FEF9C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7DD12CF6" w14:textId="77777777" w:rsidTr="00E36EC3">
        <w:trPr>
          <w:trHeight w:val="290"/>
          <w:jc w:val="center"/>
        </w:trPr>
        <w:tc>
          <w:tcPr>
            <w:tcW w:w="1206" w:type="dxa"/>
            <w:tcBorders>
              <w:top w:val="nil"/>
              <w:left w:val="single" w:sz="4" w:space="0" w:color="auto"/>
              <w:bottom w:val="single" w:sz="4" w:space="0" w:color="auto"/>
              <w:right w:val="single" w:sz="4" w:space="0" w:color="auto"/>
            </w:tcBorders>
            <w:vAlign w:val="center"/>
          </w:tcPr>
          <w:p w14:paraId="0692BB2E" w14:textId="1C2AFFE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Sharma S, 2014</w:t>
            </w:r>
          </w:p>
        </w:tc>
        <w:tc>
          <w:tcPr>
            <w:tcW w:w="1146" w:type="dxa"/>
            <w:tcBorders>
              <w:top w:val="nil"/>
              <w:left w:val="nil"/>
              <w:bottom w:val="single" w:sz="4" w:space="0" w:color="auto"/>
              <w:right w:val="single" w:sz="4" w:space="0" w:color="auto"/>
            </w:tcBorders>
            <w:vAlign w:val="center"/>
          </w:tcPr>
          <w:p w14:paraId="4623962C" w14:textId="38A7070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nil"/>
              <w:left w:val="nil"/>
              <w:bottom w:val="single" w:sz="4" w:space="0" w:color="auto"/>
              <w:right w:val="single" w:sz="4" w:space="0" w:color="auto"/>
            </w:tcBorders>
            <w:vAlign w:val="center"/>
          </w:tcPr>
          <w:p w14:paraId="5E44F43E" w14:textId="7AC5321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165ADBB2" w14:textId="7A1E9B8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c>
          <w:tcPr>
            <w:tcW w:w="1187" w:type="dxa"/>
            <w:tcBorders>
              <w:top w:val="nil"/>
              <w:left w:val="nil"/>
              <w:bottom w:val="single" w:sz="4" w:space="0" w:color="auto"/>
              <w:right w:val="single" w:sz="4" w:space="0" w:color="auto"/>
            </w:tcBorders>
            <w:vAlign w:val="center"/>
          </w:tcPr>
          <w:p w14:paraId="36AB0818" w14:textId="0342674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8</w:t>
            </w:r>
          </w:p>
        </w:tc>
        <w:tc>
          <w:tcPr>
            <w:tcW w:w="1276" w:type="dxa"/>
            <w:tcBorders>
              <w:top w:val="nil"/>
              <w:left w:val="nil"/>
              <w:bottom w:val="single" w:sz="4" w:space="0" w:color="auto"/>
              <w:right w:val="single" w:sz="4" w:space="0" w:color="auto"/>
            </w:tcBorders>
            <w:vAlign w:val="center"/>
          </w:tcPr>
          <w:p w14:paraId="5A623EAF" w14:textId="2581272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60BA1BC" w14:textId="66C6B4A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07485AD4" w14:textId="700DDDE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099672A1" w14:textId="77777777" w:rsidTr="00E36EC3">
        <w:trPr>
          <w:trHeight w:val="300"/>
          <w:jc w:val="center"/>
        </w:trPr>
        <w:tc>
          <w:tcPr>
            <w:tcW w:w="1206" w:type="dxa"/>
            <w:tcBorders>
              <w:top w:val="nil"/>
              <w:left w:val="single" w:sz="4" w:space="0" w:color="auto"/>
              <w:bottom w:val="single" w:sz="4" w:space="0" w:color="auto"/>
              <w:right w:val="single" w:sz="4" w:space="0" w:color="auto"/>
            </w:tcBorders>
            <w:vAlign w:val="center"/>
          </w:tcPr>
          <w:p w14:paraId="5CB6D12D" w14:textId="68B1642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Damodar T, 2013</w:t>
            </w:r>
          </w:p>
        </w:tc>
        <w:tc>
          <w:tcPr>
            <w:tcW w:w="1146" w:type="dxa"/>
            <w:tcBorders>
              <w:top w:val="nil"/>
              <w:left w:val="nil"/>
              <w:bottom w:val="single" w:sz="4" w:space="0" w:color="auto"/>
              <w:right w:val="single" w:sz="4" w:space="0" w:color="auto"/>
            </w:tcBorders>
            <w:vAlign w:val="center"/>
          </w:tcPr>
          <w:p w14:paraId="6C839645" w14:textId="785B6BC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0F28B6A0" w14:textId="6643968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27F2DEC9" w14:textId="49F37B7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2B598383" w14:textId="1CD4285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2416FECD" w14:textId="121CA6F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2139B985" w14:textId="703D1F6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3E8EDBE3" w14:textId="73EA809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2D9409B8" w14:textId="77777777" w:rsidTr="00E36EC3">
        <w:trPr>
          <w:trHeight w:val="310"/>
          <w:jc w:val="center"/>
        </w:trPr>
        <w:tc>
          <w:tcPr>
            <w:tcW w:w="1206" w:type="dxa"/>
            <w:tcBorders>
              <w:top w:val="nil"/>
              <w:left w:val="single" w:sz="4" w:space="0" w:color="auto"/>
              <w:bottom w:val="single" w:sz="4" w:space="0" w:color="auto"/>
              <w:right w:val="single" w:sz="4" w:space="0" w:color="auto"/>
            </w:tcBorders>
            <w:vAlign w:val="center"/>
          </w:tcPr>
          <w:p w14:paraId="6BB831D3" w14:textId="20F38E8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Mahajan S.K, 2012</w:t>
            </w:r>
          </w:p>
        </w:tc>
        <w:tc>
          <w:tcPr>
            <w:tcW w:w="1146" w:type="dxa"/>
            <w:tcBorders>
              <w:top w:val="nil"/>
              <w:left w:val="nil"/>
              <w:bottom w:val="single" w:sz="4" w:space="0" w:color="auto"/>
              <w:right w:val="single" w:sz="4" w:space="0" w:color="auto"/>
            </w:tcBorders>
            <w:vAlign w:val="center"/>
          </w:tcPr>
          <w:p w14:paraId="145C535B" w14:textId="3AAF30D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34F68C85" w14:textId="6DF0E47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7179A893" w14:textId="4D78C26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6344FC92" w14:textId="2CC7C7B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689A5FE7" w14:textId="07454B1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55E0C38" w14:textId="085F61A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04077805" w14:textId="4E319CB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1D2158FF" w14:textId="77777777" w:rsidTr="00E36EC3">
        <w:trPr>
          <w:trHeight w:val="280"/>
          <w:jc w:val="center"/>
        </w:trPr>
        <w:tc>
          <w:tcPr>
            <w:tcW w:w="1206" w:type="dxa"/>
            <w:tcBorders>
              <w:top w:val="nil"/>
              <w:left w:val="single" w:sz="4" w:space="0" w:color="auto"/>
              <w:bottom w:val="single" w:sz="4" w:space="0" w:color="auto"/>
              <w:right w:val="single" w:sz="4" w:space="0" w:color="auto"/>
            </w:tcBorders>
            <w:vAlign w:val="center"/>
          </w:tcPr>
          <w:p w14:paraId="2345B0A3" w14:textId="5448BE7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Kumar, A, 2012</w:t>
            </w:r>
          </w:p>
        </w:tc>
        <w:tc>
          <w:tcPr>
            <w:tcW w:w="1146" w:type="dxa"/>
            <w:tcBorders>
              <w:top w:val="nil"/>
              <w:left w:val="nil"/>
              <w:bottom w:val="single" w:sz="4" w:space="0" w:color="auto"/>
              <w:right w:val="single" w:sz="4" w:space="0" w:color="auto"/>
            </w:tcBorders>
            <w:vAlign w:val="center"/>
          </w:tcPr>
          <w:p w14:paraId="43961A0F" w14:textId="05C0D04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1126" w:type="dxa"/>
            <w:tcBorders>
              <w:top w:val="nil"/>
              <w:left w:val="nil"/>
              <w:bottom w:val="single" w:sz="4" w:space="0" w:color="auto"/>
              <w:right w:val="single" w:sz="4" w:space="0" w:color="auto"/>
            </w:tcBorders>
            <w:vAlign w:val="center"/>
          </w:tcPr>
          <w:p w14:paraId="707277CE" w14:textId="5103DC5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nil"/>
              <w:left w:val="nil"/>
              <w:bottom w:val="single" w:sz="4" w:space="0" w:color="auto"/>
              <w:right w:val="single" w:sz="4" w:space="0" w:color="auto"/>
            </w:tcBorders>
            <w:vAlign w:val="center"/>
          </w:tcPr>
          <w:p w14:paraId="726B092D" w14:textId="1C298CB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17</w:t>
            </w:r>
          </w:p>
        </w:tc>
        <w:tc>
          <w:tcPr>
            <w:tcW w:w="1187" w:type="dxa"/>
            <w:tcBorders>
              <w:top w:val="nil"/>
              <w:left w:val="nil"/>
              <w:bottom w:val="single" w:sz="4" w:space="0" w:color="auto"/>
              <w:right w:val="single" w:sz="4" w:space="0" w:color="auto"/>
            </w:tcBorders>
            <w:vAlign w:val="center"/>
          </w:tcPr>
          <w:p w14:paraId="0F4C008E" w14:textId="0108136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71BE0F24" w14:textId="2DDD6F3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2357C3D4" w14:textId="22FFB90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79005748" w14:textId="4769AA5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082B4789" w14:textId="77777777" w:rsidTr="00E36EC3">
        <w:trPr>
          <w:trHeight w:val="290"/>
          <w:jc w:val="center"/>
        </w:trPr>
        <w:tc>
          <w:tcPr>
            <w:tcW w:w="1206" w:type="dxa"/>
            <w:tcBorders>
              <w:top w:val="nil"/>
              <w:left w:val="single" w:sz="4" w:space="0" w:color="auto"/>
              <w:bottom w:val="single" w:sz="4" w:space="0" w:color="auto"/>
              <w:right w:val="single" w:sz="4" w:space="0" w:color="auto"/>
            </w:tcBorders>
            <w:vAlign w:val="center"/>
          </w:tcPr>
          <w:p w14:paraId="23600196" w14:textId="3BB9235D"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Singh, MP, 2012</w:t>
            </w:r>
          </w:p>
        </w:tc>
        <w:tc>
          <w:tcPr>
            <w:tcW w:w="1146" w:type="dxa"/>
            <w:tcBorders>
              <w:top w:val="nil"/>
              <w:left w:val="nil"/>
              <w:bottom w:val="single" w:sz="4" w:space="0" w:color="auto"/>
              <w:right w:val="single" w:sz="4" w:space="0" w:color="auto"/>
            </w:tcBorders>
            <w:vAlign w:val="center"/>
          </w:tcPr>
          <w:p w14:paraId="35298DE4" w14:textId="488E6EB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nil"/>
              <w:left w:val="nil"/>
              <w:bottom w:val="single" w:sz="4" w:space="0" w:color="auto"/>
              <w:right w:val="single" w:sz="4" w:space="0" w:color="auto"/>
            </w:tcBorders>
            <w:vAlign w:val="center"/>
          </w:tcPr>
          <w:p w14:paraId="163538BA" w14:textId="1B3A4AB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12CDE355" w14:textId="2650CEA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7F96EA59" w14:textId="0513DE4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nil"/>
              <w:left w:val="nil"/>
              <w:bottom w:val="single" w:sz="4" w:space="0" w:color="auto"/>
              <w:right w:val="single" w:sz="4" w:space="0" w:color="auto"/>
            </w:tcBorders>
            <w:vAlign w:val="center"/>
          </w:tcPr>
          <w:p w14:paraId="5BA95A8E" w14:textId="6642A02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B03EE1A" w14:textId="2506127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30D2203B" w14:textId="750032F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1B4E00BB" w14:textId="77777777" w:rsidTr="00E36EC3">
        <w:trPr>
          <w:trHeight w:val="280"/>
          <w:jc w:val="center"/>
        </w:trPr>
        <w:tc>
          <w:tcPr>
            <w:tcW w:w="1206" w:type="dxa"/>
            <w:tcBorders>
              <w:top w:val="nil"/>
              <w:left w:val="single" w:sz="4" w:space="0" w:color="auto"/>
              <w:bottom w:val="single" w:sz="4" w:space="0" w:color="auto"/>
              <w:right w:val="single" w:sz="4" w:space="0" w:color="auto"/>
            </w:tcBorders>
            <w:vAlign w:val="center"/>
          </w:tcPr>
          <w:p w14:paraId="7F640CE9" w14:textId="6959EC4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Baliga, K.V., 2011</w:t>
            </w:r>
          </w:p>
        </w:tc>
        <w:tc>
          <w:tcPr>
            <w:tcW w:w="1146" w:type="dxa"/>
            <w:tcBorders>
              <w:top w:val="nil"/>
              <w:left w:val="nil"/>
              <w:bottom w:val="single" w:sz="4" w:space="0" w:color="auto"/>
              <w:right w:val="single" w:sz="4" w:space="0" w:color="auto"/>
            </w:tcBorders>
            <w:vAlign w:val="center"/>
          </w:tcPr>
          <w:p w14:paraId="3C50450D" w14:textId="39CA098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nil"/>
              <w:left w:val="nil"/>
              <w:bottom w:val="single" w:sz="4" w:space="0" w:color="auto"/>
              <w:right w:val="single" w:sz="4" w:space="0" w:color="auto"/>
            </w:tcBorders>
            <w:vAlign w:val="center"/>
          </w:tcPr>
          <w:p w14:paraId="6E75C7AE" w14:textId="16DC608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nil"/>
              <w:left w:val="nil"/>
              <w:bottom w:val="single" w:sz="4" w:space="0" w:color="auto"/>
              <w:right w:val="single" w:sz="4" w:space="0" w:color="auto"/>
            </w:tcBorders>
            <w:vAlign w:val="center"/>
          </w:tcPr>
          <w:p w14:paraId="377A54C0" w14:textId="1F70D944"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nil"/>
              <w:left w:val="nil"/>
              <w:bottom w:val="single" w:sz="4" w:space="0" w:color="auto"/>
              <w:right w:val="single" w:sz="4" w:space="0" w:color="auto"/>
            </w:tcBorders>
            <w:vAlign w:val="center"/>
          </w:tcPr>
          <w:p w14:paraId="6B120B03" w14:textId="474BC99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276" w:type="dxa"/>
            <w:tcBorders>
              <w:top w:val="nil"/>
              <w:left w:val="nil"/>
              <w:bottom w:val="single" w:sz="4" w:space="0" w:color="auto"/>
              <w:right w:val="single" w:sz="4" w:space="0" w:color="auto"/>
            </w:tcBorders>
            <w:vAlign w:val="center"/>
          </w:tcPr>
          <w:p w14:paraId="2E3D53F3" w14:textId="41816F10"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nil"/>
              <w:left w:val="nil"/>
              <w:bottom w:val="single" w:sz="4" w:space="0" w:color="auto"/>
              <w:right w:val="single" w:sz="4" w:space="0" w:color="auto"/>
            </w:tcBorders>
            <w:vAlign w:val="center"/>
          </w:tcPr>
          <w:p w14:paraId="01CA4D73" w14:textId="1D8E7E0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nil"/>
              <w:left w:val="nil"/>
              <w:bottom w:val="single" w:sz="4" w:space="0" w:color="auto"/>
              <w:right w:val="single" w:sz="4" w:space="0" w:color="auto"/>
            </w:tcBorders>
            <w:vAlign w:val="center"/>
          </w:tcPr>
          <w:p w14:paraId="4909E2C8" w14:textId="7E8665E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3E2940" w14:paraId="23D0C343" w14:textId="77777777" w:rsidTr="00E36EC3">
        <w:trPr>
          <w:trHeight w:val="270"/>
          <w:jc w:val="center"/>
        </w:trPr>
        <w:tc>
          <w:tcPr>
            <w:tcW w:w="1206" w:type="dxa"/>
            <w:tcBorders>
              <w:top w:val="single" w:sz="4" w:space="0" w:color="auto"/>
              <w:left w:val="single" w:sz="4" w:space="0" w:color="auto"/>
              <w:bottom w:val="single" w:sz="4" w:space="0" w:color="auto"/>
              <w:right w:val="single" w:sz="4" w:space="0" w:color="auto"/>
            </w:tcBorders>
            <w:vAlign w:val="center"/>
          </w:tcPr>
          <w:p w14:paraId="1A7EC9E5" w14:textId="05003D11"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Gurjar, M., 2011</w:t>
            </w:r>
          </w:p>
        </w:tc>
        <w:tc>
          <w:tcPr>
            <w:tcW w:w="1146" w:type="dxa"/>
            <w:tcBorders>
              <w:top w:val="single" w:sz="4" w:space="0" w:color="auto"/>
              <w:left w:val="nil"/>
              <w:bottom w:val="single" w:sz="4" w:space="0" w:color="auto"/>
              <w:right w:val="single" w:sz="4" w:space="0" w:color="auto"/>
            </w:tcBorders>
            <w:vAlign w:val="center"/>
          </w:tcPr>
          <w:p w14:paraId="0D14265E" w14:textId="7533693F"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126" w:type="dxa"/>
            <w:tcBorders>
              <w:top w:val="single" w:sz="4" w:space="0" w:color="auto"/>
              <w:left w:val="nil"/>
              <w:bottom w:val="single" w:sz="4" w:space="0" w:color="auto"/>
              <w:right w:val="single" w:sz="4" w:space="0" w:color="auto"/>
            </w:tcBorders>
            <w:vAlign w:val="center"/>
          </w:tcPr>
          <w:p w14:paraId="5910A543" w14:textId="50599F4E"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066" w:type="dxa"/>
            <w:tcBorders>
              <w:top w:val="single" w:sz="4" w:space="0" w:color="auto"/>
              <w:left w:val="nil"/>
              <w:bottom w:val="single" w:sz="4" w:space="0" w:color="auto"/>
              <w:right w:val="single" w:sz="4" w:space="0" w:color="auto"/>
            </w:tcBorders>
            <w:vAlign w:val="center"/>
          </w:tcPr>
          <w:p w14:paraId="6EA0CF42" w14:textId="1941524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single" w:sz="4" w:space="0" w:color="auto"/>
              <w:left w:val="nil"/>
              <w:bottom w:val="single" w:sz="4" w:space="0" w:color="auto"/>
              <w:right w:val="single" w:sz="4" w:space="0" w:color="auto"/>
            </w:tcBorders>
            <w:vAlign w:val="center"/>
          </w:tcPr>
          <w:p w14:paraId="2A3C019A" w14:textId="79FE0039"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single" w:sz="4" w:space="0" w:color="auto"/>
              <w:left w:val="nil"/>
              <w:bottom w:val="single" w:sz="4" w:space="0" w:color="auto"/>
              <w:right w:val="single" w:sz="4" w:space="0" w:color="auto"/>
            </w:tcBorders>
            <w:vAlign w:val="center"/>
          </w:tcPr>
          <w:p w14:paraId="5B1636B4" w14:textId="205B7EC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single" w:sz="4" w:space="0" w:color="auto"/>
              <w:left w:val="nil"/>
              <w:bottom w:val="single" w:sz="4" w:space="0" w:color="auto"/>
              <w:right w:val="single" w:sz="4" w:space="0" w:color="auto"/>
            </w:tcBorders>
            <w:vAlign w:val="center"/>
          </w:tcPr>
          <w:p w14:paraId="7E3D7559" w14:textId="711B3357"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single" w:sz="4" w:space="0" w:color="auto"/>
              <w:left w:val="nil"/>
              <w:bottom w:val="single" w:sz="4" w:space="0" w:color="auto"/>
              <w:right w:val="single" w:sz="4" w:space="0" w:color="auto"/>
            </w:tcBorders>
            <w:vAlign w:val="center"/>
          </w:tcPr>
          <w:p w14:paraId="16CBCEFF" w14:textId="3B8D8066"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r w:rsidR="00E36EC3" w:rsidRPr="001509BD" w14:paraId="4B2BE6CE" w14:textId="77777777" w:rsidTr="00A40F70">
        <w:trPr>
          <w:trHeight w:val="270"/>
          <w:jc w:val="center"/>
        </w:trPr>
        <w:tc>
          <w:tcPr>
            <w:tcW w:w="1206" w:type="dxa"/>
            <w:tcBorders>
              <w:top w:val="single" w:sz="4" w:space="0" w:color="auto"/>
              <w:left w:val="single" w:sz="4" w:space="0" w:color="auto"/>
              <w:bottom w:val="single" w:sz="4" w:space="0" w:color="auto"/>
              <w:right w:val="single" w:sz="4" w:space="0" w:color="auto"/>
            </w:tcBorders>
            <w:vAlign w:val="center"/>
          </w:tcPr>
          <w:p w14:paraId="1ADFA4C7" w14:textId="3E83A33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Behera, B., 2010</w:t>
            </w:r>
          </w:p>
        </w:tc>
        <w:tc>
          <w:tcPr>
            <w:tcW w:w="1146" w:type="dxa"/>
            <w:tcBorders>
              <w:top w:val="single" w:sz="4" w:space="0" w:color="auto"/>
              <w:left w:val="nil"/>
              <w:bottom w:val="single" w:sz="4" w:space="0" w:color="auto"/>
              <w:right w:val="single" w:sz="4" w:space="0" w:color="auto"/>
            </w:tcBorders>
            <w:vAlign w:val="center"/>
          </w:tcPr>
          <w:p w14:paraId="10C12C0E" w14:textId="5B187C58"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26" w:type="dxa"/>
            <w:tcBorders>
              <w:top w:val="single" w:sz="4" w:space="0" w:color="auto"/>
              <w:left w:val="nil"/>
              <w:bottom w:val="single" w:sz="4" w:space="0" w:color="auto"/>
              <w:right w:val="single" w:sz="4" w:space="0" w:color="auto"/>
            </w:tcBorders>
            <w:vAlign w:val="center"/>
          </w:tcPr>
          <w:p w14:paraId="5DC3CCAE" w14:textId="55672B3C"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1</w:t>
            </w:r>
          </w:p>
        </w:tc>
        <w:tc>
          <w:tcPr>
            <w:tcW w:w="1066" w:type="dxa"/>
            <w:tcBorders>
              <w:top w:val="single" w:sz="4" w:space="0" w:color="auto"/>
              <w:left w:val="nil"/>
              <w:bottom w:val="single" w:sz="4" w:space="0" w:color="auto"/>
              <w:right w:val="single" w:sz="4" w:space="0" w:color="auto"/>
            </w:tcBorders>
            <w:vAlign w:val="center"/>
          </w:tcPr>
          <w:p w14:paraId="3B9026DF" w14:textId="71F292E2"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187" w:type="dxa"/>
            <w:tcBorders>
              <w:top w:val="single" w:sz="4" w:space="0" w:color="auto"/>
              <w:left w:val="nil"/>
              <w:bottom w:val="single" w:sz="4" w:space="0" w:color="auto"/>
              <w:right w:val="single" w:sz="4" w:space="0" w:color="auto"/>
            </w:tcBorders>
            <w:vAlign w:val="center"/>
          </w:tcPr>
          <w:p w14:paraId="243015ED" w14:textId="01F9CC23"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276" w:type="dxa"/>
            <w:tcBorders>
              <w:top w:val="single" w:sz="4" w:space="0" w:color="auto"/>
              <w:left w:val="nil"/>
              <w:bottom w:val="single" w:sz="4" w:space="0" w:color="auto"/>
              <w:right w:val="single" w:sz="4" w:space="0" w:color="auto"/>
            </w:tcBorders>
            <w:vAlign w:val="center"/>
          </w:tcPr>
          <w:p w14:paraId="63C5E190" w14:textId="6718FAB5"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1567" w:type="dxa"/>
            <w:tcBorders>
              <w:top w:val="single" w:sz="4" w:space="0" w:color="auto"/>
              <w:left w:val="nil"/>
              <w:bottom w:val="single" w:sz="4" w:space="0" w:color="auto"/>
              <w:right w:val="single" w:sz="4" w:space="0" w:color="auto"/>
            </w:tcBorders>
            <w:vAlign w:val="center"/>
          </w:tcPr>
          <w:p w14:paraId="396B418E" w14:textId="4456E11A" w:rsidR="00E36EC3" w:rsidRPr="003E2940"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c>
          <w:tcPr>
            <w:tcW w:w="966" w:type="dxa"/>
            <w:tcBorders>
              <w:top w:val="single" w:sz="4" w:space="0" w:color="auto"/>
              <w:left w:val="nil"/>
              <w:bottom w:val="single" w:sz="4" w:space="0" w:color="auto"/>
              <w:right w:val="single" w:sz="4" w:space="0" w:color="auto"/>
            </w:tcBorders>
            <w:vAlign w:val="center"/>
          </w:tcPr>
          <w:p w14:paraId="62BEC22B" w14:textId="540669C7" w:rsidR="00E36EC3" w:rsidRPr="001509BD" w:rsidRDefault="00E36EC3" w:rsidP="00E36EC3">
            <w:pPr>
              <w:spacing w:after="0" w:line="240" w:lineRule="auto"/>
              <w:jc w:val="center"/>
              <w:rPr>
                <w:rFonts w:ascii="Times New Roman" w:eastAsia="Times New Roman" w:hAnsi="Times New Roman" w:cs="Times New Roman"/>
                <w:kern w:val="0"/>
                <w:sz w:val="18"/>
                <w:szCs w:val="18"/>
                <w:lang w:eastAsia="en-IN"/>
                <w14:ligatures w14:val="none"/>
              </w:rPr>
            </w:pPr>
            <w:r w:rsidRPr="003E2940">
              <w:rPr>
                <w:rFonts w:ascii="Times New Roman" w:eastAsia="Times New Roman" w:hAnsi="Times New Roman" w:cs="Times New Roman"/>
                <w:kern w:val="0"/>
                <w:sz w:val="18"/>
                <w:szCs w:val="18"/>
                <w:lang w:eastAsia="en-IN"/>
                <w14:ligatures w14:val="none"/>
              </w:rPr>
              <w:t>-</w:t>
            </w:r>
          </w:p>
        </w:tc>
      </w:tr>
    </w:tbl>
    <w:p w14:paraId="58436212" w14:textId="7720B26C" w:rsidR="004C4F96" w:rsidRPr="001509BD" w:rsidRDefault="004C4F96"/>
    <w:sectPr w:rsidR="004C4F96" w:rsidRPr="001509BD" w:rsidSect="004C4F96">
      <w:footerReference w:type="default" r:id="rId7"/>
      <w:pgSz w:w="11906" w:h="16838"/>
      <w:pgMar w:top="1134"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A519" w14:textId="77777777" w:rsidR="00406731" w:rsidRDefault="00406731" w:rsidP="003B663F">
      <w:pPr>
        <w:spacing w:after="0" w:line="240" w:lineRule="auto"/>
      </w:pPr>
      <w:r>
        <w:separator/>
      </w:r>
    </w:p>
  </w:endnote>
  <w:endnote w:type="continuationSeparator" w:id="0">
    <w:p w14:paraId="7F774CC7" w14:textId="77777777" w:rsidR="00406731" w:rsidRDefault="00406731" w:rsidP="003B6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306922"/>
      <w:docPartObj>
        <w:docPartGallery w:val="Page Numbers (Bottom of Page)"/>
        <w:docPartUnique/>
      </w:docPartObj>
    </w:sdtPr>
    <w:sdtEndPr>
      <w:rPr>
        <w:noProof/>
      </w:rPr>
    </w:sdtEndPr>
    <w:sdtContent>
      <w:p w14:paraId="7F849F9E" w14:textId="12DC535E" w:rsidR="001509BD" w:rsidRDefault="001509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05AE4F" w14:textId="2AF476F7" w:rsidR="003B663F" w:rsidRDefault="003B6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9AE0" w14:textId="77777777" w:rsidR="00406731" w:rsidRDefault="00406731" w:rsidP="003B663F">
      <w:pPr>
        <w:spacing w:after="0" w:line="240" w:lineRule="auto"/>
      </w:pPr>
      <w:r>
        <w:separator/>
      </w:r>
    </w:p>
  </w:footnote>
  <w:footnote w:type="continuationSeparator" w:id="0">
    <w:p w14:paraId="339254DD" w14:textId="77777777" w:rsidR="00406731" w:rsidRDefault="00406731" w:rsidP="003B66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C9"/>
    <w:rsid w:val="000068E8"/>
    <w:rsid w:val="00012E24"/>
    <w:rsid w:val="000150D4"/>
    <w:rsid w:val="000175F8"/>
    <w:rsid w:val="00022015"/>
    <w:rsid w:val="00025845"/>
    <w:rsid w:val="00053463"/>
    <w:rsid w:val="00063E81"/>
    <w:rsid w:val="0006649A"/>
    <w:rsid w:val="00086B4C"/>
    <w:rsid w:val="00092C68"/>
    <w:rsid w:val="00096D1E"/>
    <w:rsid w:val="000A25E9"/>
    <w:rsid w:val="000C62DD"/>
    <w:rsid w:val="000E4636"/>
    <w:rsid w:val="000E518F"/>
    <w:rsid w:val="000F2024"/>
    <w:rsid w:val="000F4019"/>
    <w:rsid w:val="00103A81"/>
    <w:rsid w:val="00105A13"/>
    <w:rsid w:val="00121E42"/>
    <w:rsid w:val="00130E56"/>
    <w:rsid w:val="00133088"/>
    <w:rsid w:val="00135E4E"/>
    <w:rsid w:val="00142860"/>
    <w:rsid w:val="001474D4"/>
    <w:rsid w:val="001509BD"/>
    <w:rsid w:val="00153241"/>
    <w:rsid w:val="00155577"/>
    <w:rsid w:val="00163B1A"/>
    <w:rsid w:val="00167A48"/>
    <w:rsid w:val="00171FFB"/>
    <w:rsid w:val="0018585D"/>
    <w:rsid w:val="001A6785"/>
    <w:rsid w:val="001B423D"/>
    <w:rsid w:val="001C5848"/>
    <w:rsid w:val="001F213D"/>
    <w:rsid w:val="001F6CBB"/>
    <w:rsid w:val="0023754E"/>
    <w:rsid w:val="0024252A"/>
    <w:rsid w:val="00246D2F"/>
    <w:rsid w:val="00257230"/>
    <w:rsid w:val="00263212"/>
    <w:rsid w:val="00265980"/>
    <w:rsid w:val="0026769A"/>
    <w:rsid w:val="00270B63"/>
    <w:rsid w:val="002748FF"/>
    <w:rsid w:val="00283D76"/>
    <w:rsid w:val="00292EC2"/>
    <w:rsid w:val="002B2B98"/>
    <w:rsid w:val="002B4C69"/>
    <w:rsid w:val="002C5887"/>
    <w:rsid w:val="002E5AF8"/>
    <w:rsid w:val="002F2D13"/>
    <w:rsid w:val="002F3939"/>
    <w:rsid w:val="00331FDD"/>
    <w:rsid w:val="003465E9"/>
    <w:rsid w:val="003632D1"/>
    <w:rsid w:val="00367868"/>
    <w:rsid w:val="00371CEE"/>
    <w:rsid w:val="00374AD0"/>
    <w:rsid w:val="0037529D"/>
    <w:rsid w:val="003757C7"/>
    <w:rsid w:val="00392587"/>
    <w:rsid w:val="00393EA7"/>
    <w:rsid w:val="00395333"/>
    <w:rsid w:val="00397239"/>
    <w:rsid w:val="003A47BC"/>
    <w:rsid w:val="003B663F"/>
    <w:rsid w:val="003D02F6"/>
    <w:rsid w:val="003D2B55"/>
    <w:rsid w:val="003D4758"/>
    <w:rsid w:val="003E238A"/>
    <w:rsid w:val="003E2940"/>
    <w:rsid w:val="003E3613"/>
    <w:rsid w:val="003F41D2"/>
    <w:rsid w:val="00406731"/>
    <w:rsid w:val="00411D09"/>
    <w:rsid w:val="00417323"/>
    <w:rsid w:val="00417665"/>
    <w:rsid w:val="00417A12"/>
    <w:rsid w:val="004420D8"/>
    <w:rsid w:val="00446455"/>
    <w:rsid w:val="0045398E"/>
    <w:rsid w:val="00453AA0"/>
    <w:rsid w:val="004540E9"/>
    <w:rsid w:val="004654A4"/>
    <w:rsid w:val="004778CD"/>
    <w:rsid w:val="004812D3"/>
    <w:rsid w:val="004C4B1B"/>
    <w:rsid w:val="004C4F96"/>
    <w:rsid w:val="004C5758"/>
    <w:rsid w:val="004D7233"/>
    <w:rsid w:val="004E088C"/>
    <w:rsid w:val="00504515"/>
    <w:rsid w:val="005165D0"/>
    <w:rsid w:val="0053253E"/>
    <w:rsid w:val="00532E77"/>
    <w:rsid w:val="005378DA"/>
    <w:rsid w:val="00545308"/>
    <w:rsid w:val="00563828"/>
    <w:rsid w:val="005641C9"/>
    <w:rsid w:val="0057211C"/>
    <w:rsid w:val="00577D74"/>
    <w:rsid w:val="0059016B"/>
    <w:rsid w:val="005B72D8"/>
    <w:rsid w:val="005C0531"/>
    <w:rsid w:val="005C10B9"/>
    <w:rsid w:val="005C2CD2"/>
    <w:rsid w:val="005C4551"/>
    <w:rsid w:val="005F0DE8"/>
    <w:rsid w:val="00604DB3"/>
    <w:rsid w:val="006050A1"/>
    <w:rsid w:val="006073AB"/>
    <w:rsid w:val="00607F89"/>
    <w:rsid w:val="0061703E"/>
    <w:rsid w:val="00617C78"/>
    <w:rsid w:val="00634BA3"/>
    <w:rsid w:val="006362A8"/>
    <w:rsid w:val="00657060"/>
    <w:rsid w:val="0066376F"/>
    <w:rsid w:val="00683A04"/>
    <w:rsid w:val="006924B4"/>
    <w:rsid w:val="00692A31"/>
    <w:rsid w:val="006A7188"/>
    <w:rsid w:val="006B37E0"/>
    <w:rsid w:val="006C2F5E"/>
    <w:rsid w:val="006F2B73"/>
    <w:rsid w:val="006F3E96"/>
    <w:rsid w:val="006F7795"/>
    <w:rsid w:val="00701F31"/>
    <w:rsid w:val="007031B6"/>
    <w:rsid w:val="007068AD"/>
    <w:rsid w:val="00707367"/>
    <w:rsid w:val="00717C98"/>
    <w:rsid w:val="00734EFC"/>
    <w:rsid w:val="00734F2E"/>
    <w:rsid w:val="00751086"/>
    <w:rsid w:val="00753908"/>
    <w:rsid w:val="0077082C"/>
    <w:rsid w:val="00783F48"/>
    <w:rsid w:val="007901D7"/>
    <w:rsid w:val="00794CC4"/>
    <w:rsid w:val="007961D9"/>
    <w:rsid w:val="007B166E"/>
    <w:rsid w:val="007B795B"/>
    <w:rsid w:val="007C12DD"/>
    <w:rsid w:val="007C578E"/>
    <w:rsid w:val="007C7B55"/>
    <w:rsid w:val="007D2306"/>
    <w:rsid w:val="007D5361"/>
    <w:rsid w:val="007D652B"/>
    <w:rsid w:val="007E364E"/>
    <w:rsid w:val="007E3930"/>
    <w:rsid w:val="007E7A1C"/>
    <w:rsid w:val="007F0CAD"/>
    <w:rsid w:val="007F6E95"/>
    <w:rsid w:val="00805512"/>
    <w:rsid w:val="008168E5"/>
    <w:rsid w:val="0082321A"/>
    <w:rsid w:val="00826302"/>
    <w:rsid w:val="00826452"/>
    <w:rsid w:val="0085033A"/>
    <w:rsid w:val="00865BC7"/>
    <w:rsid w:val="008723A2"/>
    <w:rsid w:val="008910DD"/>
    <w:rsid w:val="008B458E"/>
    <w:rsid w:val="008C2C5C"/>
    <w:rsid w:val="008C385D"/>
    <w:rsid w:val="008C7B0F"/>
    <w:rsid w:val="008D1782"/>
    <w:rsid w:val="008D272F"/>
    <w:rsid w:val="008E18B0"/>
    <w:rsid w:val="008F2E40"/>
    <w:rsid w:val="008F5AB6"/>
    <w:rsid w:val="00926AB7"/>
    <w:rsid w:val="009358F6"/>
    <w:rsid w:val="009401D2"/>
    <w:rsid w:val="00941152"/>
    <w:rsid w:val="00945A03"/>
    <w:rsid w:val="00960F64"/>
    <w:rsid w:val="00975641"/>
    <w:rsid w:val="009764E0"/>
    <w:rsid w:val="00997927"/>
    <w:rsid w:val="009B403B"/>
    <w:rsid w:val="009D0DC2"/>
    <w:rsid w:val="009D1820"/>
    <w:rsid w:val="009F0C13"/>
    <w:rsid w:val="009F11E5"/>
    <w:rsid w:val="00A5668E"/>
    <w:rsid w:val="00A56DAD"/>
    <w:rsid w:val="00A768C2"/>
    <w:rsid w:val="00A81ABB"/>
    <w:rsid w:val="00AA1B97"/>
    <w:rsid w:val="00AA265B"/>
    <w:rsid w:val="00AC6647"/>
    <w:rsid w:val="00AC77BD"/>
    <w:rsid w:val="00AD17E0"/>
    <w:rsid w:val="00AE61BD"/>
    <w:rsid w:val="00AF79EA"/>
    <w:rsid w:val="00B0214C"/>
    <w:rsid w:val="00B12258"/>
    <w:rsid w:val="00B36F4D"/>
    <w:rsid w:val="00B42041"/>
    <w:rsid w:val="00B6058B"/>
    <w:rsid w:val="00B70855"/>
    <w:rsid w:val="00B77C7B"/>
    <w:rsid w:val="00B80DC3"/>
    <w:rsid w:val="00B84ED1"/>
    <w:rsid w:val="00B93509"/>
    <w:rsid w:val="00BA3251"/>
    <w:rsid w:val="00BB6034"/>
    <w:rsid w:val="00BD72C8"/>
    <w:rsid w:val="00BE7998"/>
    <w:rsid w:val="00C305F3"/>
    <w:rsid w:val="00C325F3"/>
    <w:rsid w:val="00C40A2B"/>
    <w:rsid w:val="00C41883"/>
    <w:rsid w:val="00C5097A"/>
    <w:rsid w:val="00C50C5B"/>
    <w:rsid w:val="00C511D7"/>
    <w:rsid w:val="00C525BD"/>
    <w:rsid w:val="00C554CB"/>
    <w:rsid w:val="00C57C9B"/>
    <w:rsid w:val="00C65005"/>
    <w:rsid w:val="00C867B0"/>
    <w:rsid w:val="00C93652"/>
    <w:rsid w:val="00C97D00"/>
    <w:rsid w:val="00CA14CB"/>
    <w:rsid w:val="00CA2F37"/>
    <w:rsid w:val="00CC6D6B"/>
    <w:rsid w:val="00CE31C6"/>
    <w:rsid w:val="00CE4E8C"/>
    <w:rsid w:val="00CF2E25"/>
    <w:rsid w:val="00CF3D4C"/>
    <w:rsid w:val="00D07D49"/>
    <w:rsid w:val="00D12FBB"/>
    <w:rsid w:val="00D14232"/>
    <w:rsid w:val="00D2162C"/>
    <w:rsid w:val="00D23166"/>
    <w:rsid w:val="00D272D6"/>
    <w:rsid w:val="00D33F54"/>
    <w:rsid w:val="00D403A3"/>
    <w:rsid w:val="00D56358"/>
    <w:rsid w:val="00D5790E"/>
    <w:rsid w:val="00D60575"/>
    <w:rsid w:val="00D81AEA"/>
    <w:rsid w:val="00D92DD9"/>
    <w:rsid w:val="00D94B45"/>
    <w:rsid w:val="00D972B4"/>
    <w:rsid w:val="00DA5C63"/>
    <w:rsid w:val="00DC2333"/>
    <w:rsid w:val="00DE4D33"/>
    <w:rsid w:val="00DF3C37"/>
    <w:rsid w:val="00DF433A"/>
    <w:rsid w:val="00DF4589"/>
    <w:rsid w:val="00E2167B"/>
    <w:rsid w:val="00E24F4F"/>
    <w:rsid w:val="00E27BD5"/>
    <w:rsid w:val="00E36EC3"/>
    <w:rsid w:val="00E37FC1"/>
    <w:rsid w:val="00E40B1F"/>
    <w:rsid w:val="00E43DB0"/>
    <w:rsid w:val="00E607AD"/>
    <w:rsid w:val="00E64C6C"/>
    <w:rsid w:val="00E72C78"/>
    <w:rsid w:val="00E7520D"/>
    <w:rsid w:val="00E803D7"/>
    <w:rsid w:val="00E85DDD"/>
    <w:rsid w:val="00E86F24"/>
    <w:rsid w:val="00E96049"/>
    <w:rsid w:val="00EC492D"/>
    <w:rsid w:val="00EC4A13"/>
    <w:rsid w:val="00EE5584"/>
    <w:rsid w:val="00EF357B"/>
    <w:rsid w:val="00EF555E"/>
    <w:rsid w:val="00F00ACB"/>
    <w:rsid w:val="00F17BC4"/>
    <w:rsid w:val="00F25CF9"/>
    <w:rsid w:val="00F33537"/>
    <w:rsid w:val="00F45186"/>
    <w:rsid w:val="00F459C9"/>
    <w:rsid w:val="00F56DC9"/>
    <w:rsid w:val="00F5729C"/>
    <w:rsid w:val="00F65D18"/>
    <w:rsid w:val="00F664FA"/>
    <w:rsid w:val="00F93AFE"/>
    <w:rsid w:val="00FA592A"/>
    <w:rsid w:val="00FA7C26"/>
    <w:rsid w:val="00FE0A19"/>
    <w:rsid w:val="00FF4379"/>
    <w:rsid w:val="00FF51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504C7"/>
  <w15:chartTrackingRefBased/>
  <w15:docId w15:val="{40D57CB8-7B64-4A8E-A596-5612BB05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FFB"/>
    <w:rPr>
      <w:lang w:val="en-US"/>
    </w:rPr>
  </w:style>
  <w:style w:type="paragraph" w:styleId="Heading1">
    <w:name w:val="heading 1"/>
    <w:basedOn w:val="Normal"/>
    <w:next w:val="Normal"/>
    <w:link w:val="Heading1Char"/>
    <w:uiPriority w:val="9"/>
    <w:qFormat/>
    <w:rsid w:val="00F459C9"/>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F459C9"/>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F459C9"/>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F459C9"/>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F459C9"/>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F459C9"/>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F459C9"/>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F459C9"/>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F459C9"/>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9C9"/>
    <w:rPr>
      <w:rFonts w:eastAsiaTheme="majorEastAsia" w:cstheme="majorBidi"/>
      <w:color w:val="272727" w:themeColor="text1" w:themeTint="D8"/>
    </w:rPr>
  </w:style>
  <w:style w:type="paragraph" w:styleId="Title">
    <w:name w:val="Title"/>
    <w:basedOn w:val="Normal"/>
    <w:next w:val="Normal"/>
    <w:link w:val="TitleChar"/>
    <w:uiPriority w:val="10"/>
    <w:qFormat/>
    <w:rsid w:val="00F459C9"/>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F45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9C9"/>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F45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9C9"/>
    <w:pPr>
      <w:spacing w:before="160"/>
      <w:jc w:val="center"/>
    </w:pPr>
    <w:rPr>
      <w:i/>
      <w:iCs/>
      <w:color w:val="404040" w:themeColor="text1" w:themeTint="BF"/>
      <w:lang w:val="en-IN"/>
    </w:rPr>
  </w:style>
  <w:style w:type="character" w:customStyle="1" w:styleId="QuoteChar">
    <w:name w:val="Quote Char"/>
    <w:basedOn w:val="DefaultParagraphFont"/>
    <w:link w:val="Quote"/>
    <w:uiPriority w:val="29"/>
    <w:rsid w:val="00F459C9"/>
    <w:rPr>
      <w:i/>
      <w:iCs/>
      <w:color w:val="404040" w:themeColor="text1" w:themeTint="BF"/>
    </w:rPr>
  </w:style>
  <w:style w:type="paragraph" w:styleId="ListParagraph">
    <w:name w:val="List Paragraph"/>
    <w:basedOn w:val="Normal"/>
    <w:uiPriority w:val="34"/>
    <w:qFormat/>
    <w:rsid w:val="00F459C9"/>
    <w:pPr>
      <w:ind w:left="720"/>
      <w:contextualSpacing/>
    </w:pPr>
    <w:rPr>
      <w:lang w:val="en-IN"/>
    </w:rPr>
  </w:style>
  <w:style w:type="character" w:styleId="IntenseEmphasis">
    <w:name w:val="Intense Emphasis"/>
    <w:basedOn w:val="DefaultParagraphFont"/>
    <w:uiPriority w:val="21"/>
    <w:qFormat/>
    <w:rsid w:val="00F459C9"/>
    <w:rPr>
      <w:i/>
      <w:iCs/>
      <w:color w:val="0F4761" w:themeColor="accent1" w:themeShade="BF"/>
    </w:rPr>
  </w:style>
  <w:style w:type="paragraph" w:styleId="IntenseQuote">
    <w:name w:val="Intense Quote"/>
    <w:basedOn w:val="Normal"/>
    <w:next w:val="Normal"/>
    <w:link w:val="IntenseQuoteChar"/>
    <w:uiPriority w:val="30"/>
    <w:qFormat/>
    <w:rsid w:val="00F45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F459C9"/>
    <w:rPr>
      <w:i/>
      <w:iCs/>
      <w:color w:val="0F4761" w:themeColor="accent1" w:themeShade="BF"/>
    </w:rPr>
  </w:style>
  <w:style w:type="character" w:styleId="IntenseReference">
    <w:name w:val="Intense Reference"/>
    <w:basedOn w:val="DefaultParagraphFont"/>
    <w:uiPriority w:val="32"/>
    <w:qFormat/>
    <w:rsid w:val="00F459C9"/>
    <w:rPr>
      <w:b/>
      <w:bCs/>
      <w:smallCaps/>
      <w:color w:val="0F4761" w:themeColor="accent1" w:themeShade="BF"/>
      <w:spacing w:val="5"/>
    </w:rPr>
  </w:style>
  <w:style w:type="table" w:styleId="TableGrid">
    <w:name w:val="Table Grid"/>
    <w:basedOn w:val="TableNormal"/>
    <w:uiPriority w:val="39"/>
    <w:rsid w:val="00A56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A6785"/>
    <w:pPr>
      <w:spacing w:after="0" w:line="240" w:lineRule="auto"/>
    </w:pPr>
    <w:rPr>
      <w:kern w:val="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ibliography">
    <w:name w:val="Bibliography"/>
    <w:basedOn w:val="Normal"/>
    <w:next w:val="Normal"/>
    <w:uiPriority w:val="37"/>
    <w:unhideWhenUsed/>
    <w:rsid w:val="005C2CD2"/>
  </w:style>
  <w:style w:type="paragraph" w:styleId="Header">
    <w:name w:val="header"/>
    <w:basedOn w:val="Normal"/>
    <w:link w:val="HeaderChar"/>
    <w:uiPriority w:val="99"/>
    <w:unhideWhenUsed/>
    <w:rsid w:val="003B66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63F"/>
    <w:rPr>
      <w:lang w:val="en-US"/>
    </w:rPr>
  </w:style>
  <w:style w:type="paragraph" w:styleId="Footer">
    <w:name w:val="footer"/>
    <w:basedOn w:val="Normal"/>
    <w:link w:val="FooterChar"/>
    <w:uiPriority w:val="99"/>
    <w:unhideWhenUsed/>
    <w:rsid w:val="003B66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63F"/>
    <w:rPr>
      <w:lang w:val="en-US"/>
    </w:rPr>
  </w:style>
  <w:style w:type="character" w:styleId="CommentReference">
    <w:name w:val="annotation reference"/>
    <w:basedOn w:val="DefaultParagraphFont"/>
    <w:uiPriority w:val="99"/>
    <w:semiHidden/>
    <w:unhideWhenUsed/>
    <w:rsid w:val="003D02F6"/>
    <w:rPr>
      <w:sz w:val="16"/>
      <w:szCs w:val="16"/>
    </w:rPr>
  </w:style>
  <w:style w:type="paragraph" w:styleId="CommentText">
    <w:name w:val="annotation text"/>
    <w:basedOn w:val="Normal"/>
    <w:link w:val="CommentTextChar"/>
    <w:uiPriority w:val="99"/>
    <w:unhideWhenUsed/>
    <w:rsid w:val="003D02F6"/>
    <w:pPr>
      <w:spacing w:line="240" w:lineRule="auto"/>
    </w:pPr>
    <w:rPr>
      <w:sz w:val="20"/>
      <w:szCs w:val="20"/>
    </w:rPr>
  </w:style>
  <w:style w:type="character" w:customStyle="1" w:styleId="CommentTextChar">
    <w:name w:val="Comment Text Char"/>
    <w:basedOn w:val="DefaultParagraphFont"/>
    <w:link w:val="CommentText"/>
    <w:uiPriority w:val="99"/>
    <w:rsid w:val="003D02F6"/>
    <w:rPr>
      <w:sz w:val="20"/>
      <w:szCs w:val="20"/>
      <w:lang w:val="en-US"/>
    </w:rPr>
  </w:style>
  <w:style w:type="paragraph" w:styleId="CommentSubject">
    <w:name w:val="annotation subject"/>
    <w:basedOn w:val="CommentText"/>
    <w:next w:val="CommentText"/>
    <w:link w:val="CommentSubjectChar"/>
    <w:uiPriority w:val="99"/>
    <w:semiHidden/>
    <w:unhideWhenUsed/>
    <w:rsid w:val="003D02F6"/>
    <w:rPr>
      <w:b/>
      <w:bCs/>
    </w:rPr>
  </w:style>
  <w:style w:type="character" w:customStyle="1" w:styleId="CommentSubjectChar">
    <w:name w:val="Comment Subject Char"/>
    <w:basedOn w:val="CommentTextChar"/>
    <w:link w:val="CommentSubject"/>
    <w:uiPriority w:val="99"/>
    <w:semiHidden/>
    <w:rsid w:val="003D02F6"/>
    <w:rPr>
      <w:b/>
      <w:bCs/>
      <w:sz w:val="20"/>
      <w:szCs w:val="20"/>
      <w:lang w:val="en-US"/>
    </w:rPr>
  </w:style>
  <w:style w:type="paragraph" w:styleId="Revision">
    <w:name w:val="Revision"/>
    <w:hidden/>
    <w:uiPriority w:val="99"/>
    <w:semiHidden/>
    <w:rsid w:val="00C57C9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2125">
      <w:bodyDiv w:val="1"/>
      <w:marLeft w:val="0"/>
      <w:marRight w:val="0"/>
      <w:marTop w:val="0"/>
      <w:marBottom w:val="0"/>
      <w:divBdr>
        <w:top w:val="none" w:sz="0" w:space="0" w:color="auto"/>
        <w:left w:val="none" w:sz="0" w:space="0" w:color="auto"/>
        <w:bottom w:val="none" w:sz="0" w:space="0" w:color="auto"/>
        <w:right w:val="none" w:sz="0" w:space="0" w:color="auto"/>
      </w:divBdr>
    </w:div>
    <w:div w:id="1454246582">
      <w:bodyDiv w:val="1"/>
      <w:marLeft w:val="0"/>
      <w:marRight w:val="0"/>
      <w:marTop w:val="0"/>
      <w:marBottom w:val="0"/>
      <w:divBdr>
        <w:top w:val="none" w:sz="0" w:space="0" w:color="auto"/>
        <w:left w:val="none" w:sz="0" w:space="0" w:color="auto"/>
        <w:bottom w:val="none" w:sz="0" w:space="0" w:color="auto"/>
        <w:right w:val="none" w:sz="0" w:space="0" w:color="auto"/>
      </w:divBdr>
    </w:div>
    <w:div w:id="198064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5DECE-8235-425C-BD20-38E61884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17</Pages>
  <Words>38663</Words>
  <Characters>220381</Characters>
  <Application>Microsoft Office Word</Application>
  <DocSecurity>0</DocSecurity>
  <Lines>1836</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Gloris Joseph</dc:creator>
  <cp:keywords/>
  <dc:description/>
  <cp:lastModifiedBy>GLORIS JOSEPH - 230100136 - KMCMPL</cp:lastModifiedBy>
  <cp:revision>184</cp:revision>
  <dcterms:created xsi:type="dcterms:W3CDTF">2025-05-29T05:06:00Z</dcterms:created>
  <dcterms:modified xsi:type="dcterms:W3CDTF">2026-04-24T11:17:00Z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ed313bca-68fd-4423-bc8e-4a8720820971</vt:lpwstr>
  </property>
</Properties>
</file>