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692F7" w14:textId="77777777" w:rsidR="00BE2C54" w:rsidRPr="00DC4EDF" w:rsidRDefault="00DC4EDF" w:rsidP="00DC4EDF">
      <w:pPr>
        <w:pStyle w:val="SupplementaryMaterial"/>
        <w:spacing w:line="480" w:lineRule="auto"/>
        <w:rPr>
          <w:rFonts w:eastAsiaTheme="minorEastAsia"/>
          <w:b w:val="0"/>
          <w:lang w:eastAsia="ko-KR"/>
        </w:rPr>
      </w:pPr>
      <w:r>
        <w:t>Supplementary Materi</w:t>
      </w:r>
      <w:r>
        <w:rPr>
          <w:rFonts w:eastAsiaTheme="minorEastAsia" w:hint="eastAsia"/>
          <w:lang w:eastAsia="ko-KR"/>
        </w:rPr>
        <w:t>al</w:t>
      </w:r>
    </w:p>
    <w:p w14:paraId="26A0BB24" w14:textId="77777777" w:rsidR="00BE2C54" w:rsidRDefault="00DC4EDF" w:rsidP="00DC4EDF">
      <w:pPr>
        <w:spacing w:before="0" w:after="200" w:line="480" w:lineRule="auto"/>
      </w:pPr>
      <w:r>
        <w:rPr>
          <w:noProof/>
          <w:lang w:bidi="he-IL"/>
        </w:rPr>
        <w:drawing>
          <wp:inline distT="0" distB="0" distL="0" distR="0" wp14:anchorId="4F5CB94D" wp14:editId="333D900C">
            <wp:extent cx="5731510" cy="5233035"/>
            <wp:effectExtent l="0" t="0" r="2540" b="5715"/>
            <wp:docPr id="1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그림 129906961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233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380A66" w14:textId="77777777" w:rsidR="00BE2C54" w:rsidRDefault="00DC4EDF" w:rsidP="00DC4EDF">
      <w:pPr>
        <w:spacing w:before="0" w:after="200" w:line="480" w:lineRule="auto"/>
        <w:jc w:val="center"/>
        <w:rPr>
          <w:b/>
        </w:rPr>
      </w:pPr>
      <w:r w:rsidRPr="00DC4EDF">
        <w:rPr>
          <w:b/>
          <w:color w:val="000000" w:themeColor="text1"/>
        </w:rPr>
        <w:t xml:space="preserve">Supplementary Figure 1. ROC curve analysis of </w:t>
      </w:r>
      <w:r w:rsidR="009E69F0" w:rsidRPr="00DC4EDF">
        <w:rPr>
          <w:b/>
          <w:color w:val="000000" w:themeColor="text1"/>
        </w:rPr>
        <w:t xml:space="preserve">the </w:t>
      </w:r>
      <w:r w:rsidRPr="00DC4EDF">
        <w:rPr>
          <w:b/>
          <w:color w:val="000000" w:themeColor="text1"/>
        </w:rPr>
        <w:t xml:space="preserve">top nine miRNAs. </w:t>
      </w:r>
      <w:r w:rsidRPr="00DC4EDF">
        <w:rPr>
          <w:color w:val="000000" w:themeColor="text1"/>
        </w:rPr>
        <w:t xml:space="preserve">The optimal cutoff value for (A) miR-223-3p, (B) miR-338-5p, (C) miR-6787, (D) miR-1273h-3p, (E) miR-1288-3p, (F) miR-200c-3p, (G) miR-3074-3p, (H) miR-433-3p, and (I) miR-200b-3p was calculated </w:t>
      </w:r>
      <w:r w:rsidR="00F53BDF" w:rsidRPr="00DC4EDF">
        <w:rPr>
          <w:color w:val="000000" w:themeColor="text1"/>
        </w:rPr>
        <w:t xml:space="preserve">using </w:t>
      </w:r>
      <w:r w:rsidRPr="00DC4EDF">
        <w:rPr>
          <w:color w:val="000000" w:themeColor="text1"/>
        </w:rPr>
        <w:t>ROC curve analysis.</w:t>
      </w:r>
      <w:r>
        <w:br w:type="page"/>
      </w:r>
    </w:p>
    <w:p w14:paraId="23F3DF58" w14:textId="1B28C2C3" w:rsidR="00BE2C54" w:rsidRDefault="006B3A80" w:rsidP="00DC4EDF">
      <w:pPr>
        <w:spacing w:line="480" w:lineRule="auto"/>
      </w:pPr>
      <w:r>
        <w:rPr>
          <w:noProof/>
        </w:rPr>
        <w:lastRenderedPageBreak/>
        <w:drawing>
          <wp:inline distT="0" distB="0" distL="0" distR="0" wp14:anchorId="05C4706F" wp14:editId="0D1066EE">
            <wp:extent cx="5731510" cy="2555875"/>
            <wp:effectExtent l="0" t="0" r="2540" b="0"/>
            <wp:docPr id="1129043380" name="그림 3" descr="텍스트, 도표, 라인, 그래프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043380" name="그림 3" descr="텍스트, 도표, 라인, 그래프이(가) 표시된 사진&#10;&#10;AI 생성 콘텐츠는 정확하지 않을 수 있습니다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5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8A3913" w14:textId="74272894" w:rsidR="00BE2C54" w:rsidRDefault="00DC4EDF" w:rsidP="00DC4EDF">
      <w:pPr>
        <w:spacing w:line="480" w:lineRule="auto"/>
        <w:jc w:val="center"/>
        <w:rPr>
          <w:sz w:val="22"/>
        </w:rPr>
        <w:sectPr w:rsidR="00BE2C54">
          <w:footerReference w:type="even" r:id="rId10"/>
          <w:footerReference w:type="default" r:id="rId11"/>
          <w:footerReference w:type="first" r:id="rId12"/>
          <w:pgSz w:w="11906" w:h="16838"/>
          <w:pgMar w:top="1701" w:right="1440" w:bottom="1440" w:left="1440" w:header="851" w:footer="992" w:gutter="0"/>
          <w:lnNumType w:countBy="1" w:restart="continuous"/>
          <w:cols w:space="425"/>
        </w:sectPr>
      </w:pPr>
      <w:r w:rsidRPr="00B978E9">
        <w:rPr>
          <w:b/>
          <w:color w:val="000000" w:themeColor="text1"/>
        </w:rPr>
        <w:t>Supplementary Figure 2.</w:t>
      </w:r>
      <w:r w:rsidRPr="00B978E9">
        <w:rPr>
          <w:color w:val="000000" w:themeColor="text1"/>
        </w:rPr>
        <w:t xml:space="preserve"> </w:t>
      </w:r>
      <w:r w:rsidR="006B4CEC" w:rsidRPr="00B978E9">
        <w:rPr>
          <w:rFonts w:eastAsiaTheme="minorEastAsia" w:hint="eastAsia"/>
          <w:b/>
          <w:bCs/>
          <w:color w:val="000000" w:themeColor="text1"/>
          <w:lang w:eastAsia="ko-KR"/>
        </w:rPr>
        <w:t>Heat map and v</w:t>
      </w:r>
      <w:r w:rsidRPr="00B978E9">
        <w:rPr>
          <w:b/>
          <w:bCs/>
          <w:color w:val="000000" w:themeColor="text1"/>
        </w:rPr>
        <w:t>olcano plot of differentially expressed mRNAs in the whole blood of patients with active tuberculosis (T0) and those who have completed anti-tuberculosis treatment (T6).</w:t>
      </w:r>
      <w:r w:rsidRPr="00B978E9">
        <w:rPr>
          <w:color w:val="000000" w:themeColor="text1"/>
        </w:rPr>
        <w:t xml:space="preserve"> </w:t>
      </w:r>
      <w:r w:rsidR="006B4CEC" w:rsidRPr="00B978E9">
        <w:rPr>
          <w:rFonts w:eastAsiaTheme="minorEastAsia" w:hint="eastAsia"/>
          <w:color w:val="000000" w:themeColor="text1"/>
          <w:lang w:eastAsia="ko-KR"/>
        </w:rPr>
        <w:t xml:space="preserve">(A) </w:t>
      </w:r>
      <w:r w:rsidR="006B4CEC" w:rsidRPr="00B978E9">
        <w:rPr>
          <w:rFonts w:eastAsiaTheme="minorEastAsia"/>
          <w:color w:val="000000" w:themeColor="text1"/>
          <w:lang w:eastAsia="ko-KR"/>
        </w:rPr>
        <w:t>Heatmap showing differentially expressed mRNAs between patients at T0 and T6, identified by Pearson correlation analysis (p &lt; 0.01) and visualized using hierarchical clustering. Upregulated mRNAs are indicated in red, whereas downregulated mRNAs are shown in blue.</w:t>
      </w:r>
      <w:r w:rsidR="006B4CEC" w:rsidRPr="00B978E9">
        <w:rPr>
          <w:rFonts w:eastAsiaTheme="minorEastAsia" w:hint="eastAsia"/>
          <w:color w:val="000000" w:themeColor="text1"/>
          <w:lang w:eastAsia="ko-KR"/>
        </w:rPr>
        <w:t xml:space="preserve"> (B)</w:t>
      </w:r>
      <w:r w:rsidR="006B4CEC" w:rsidRPr="00B978E9">
        <w:rPr>
          <w:rFonts w:eastAsiaTheme="minorEastAsia" w:hint="eastAsia"/>
          <w:b/>
          <w:color w:val="000000" w:themeColor="text1"/>
          <w:lang w:eastAsia="ko-KR"/>
        </w:rPr>
        <w:t xml:space="preserve"> </w:t>
      </w:r>
      <w:r w:rsidRPr="00B978E9">
        <w:rPr>
          <w:color w:val="000000" w:themeColor="text1"/>
        </w:rPr>
        <w:t xml:space="preserve">Volcano plot of mRNAs between patients with T0 and those with T6. </w:t>
      </w:r>
      <w:r w:rsidR="00241437" w:rsidRPr="00B978E9">
        <w:rPr>
          <w:rFonts w:eastAsiaTheme="minorEastAsia"/>
          <w:color w:val="000000" w:themeColor="text1"/>
          <w:lang w:eastAsia="ko-KR"/>
        </w:rPr>
        <w:t>The x-axis represents the difference between the mean mRNA expression values of the T6 and T0 groups (T6 − T0).</w:t>
      </w:r>
      <w:r w:rsidR="00241437" w:rsidRPr="00B978E9">
        <w:rPr>
          <w:rFonts w:eastAsiaTheme="minorEastAsia" w:hint="eastAsia"/>
          <w:color w:val="000000" w:themeColor="text1"/>
          <w:lang w:eastAsia="ko-KR"/>
        </w:rPr>
        <w:t xml:space="preserve"> </w:t>
      </w:r>
      <w:r w:rsidRPr="00B978E9">
        <w:rPr>
          <w:color w:val="000000" w:themeColor="text1"/>
        </w:rPr>
        <w:t xml:space="preserve">Cutoff points for the </w:t>
      </w:r>
      <w:r w:rsidRPr="00B978E9">
        <w:rPr>
          <w:i/>
          <w:color w:val="000000" w:themeColor="text1"/>
        </w:rPr>
        <w:t>p</w:t>
      </w:r>
      <w:r w:rsidRPr="00B978E9">
        <w:rPr>
          <w:color w:val="000000" w:themeColor="text1"/>
        </w:rPr>
        <w:t xml:space="preserve"> value (&lt; 0.01; -log 10 (0.01) = 2.00) or </w:t>
      </w:r>
      <w:r w:rsidR="00E13737">
        <w:rPr>
          <w:rFonts w:eastAsiaTheme="minorEastAsia" w:hint="eastAsia"/>
          <w:color w:val="000000" w:themeColor="text1"/>
          <w:lang w:eastAsia="ko-KR"/>
        </w:rPr>
        <w:t>log</w:t>
      </w:r>
      <w:r w:rsidR="00E13737" w:rsidRPr="001B057C">
        <w:rPr>
          <w:rFonts w:eastAsiaTheme="minorEastAsia" w:hint="eastAsia"/>
          <w:color w:val="000000" w:themeColor="text1"/>
          <w:vertAlign w:val="subscript"/>
          <w:lang w:eastAsia="ko-KR"/>
        </w:rPr>
        <w:t>2</w:t>
      </w:r>
      <w:r w:rsidR="00E13737">
        <w:rPr>
          <w:rFonts w:eastAsiaTheme="minorEastAsia" w:hint="eastAsia"/>
          <w:color w:val="000000" w:themeColor="text1"/>
          <w:lang w:eastAsia="ko-KR"/>
        </w:rPr>
        <w:t xml:space="preserve"> (fold change)</w:t>
      </w:r>
      <w:r w:rsidRPr="00B978E9">
        <w:rPr>
          <w:color w:val="000000" w:themeColor="text1"/>
        </w:rPr>
        <w:t xml:space="preserve"> are indicated using dotted lines.</w:t>
      </w:r>
      <w:r>
        <w:rPr>
          <w:sz w:val="22"/>
        </w:rPr>
        <w:br w:type="page"/>
      </w:r>
    </w:p>
    <w:p w14:paraId="0CBC93A7" w14:textId="77777777" w:rsidR="00BE2C54" w:rsidRDefault="00DC4EDF" w:rsidP="00DC4EDF">
      <w:pPr>
        <w:spacing w:line="480" w:lineRule="auto"/>
        <w:rPr>
          <w:b/>
        </w:rPr>
      </w:pPr>
      <w:r>
        <w:rPr>
          <w:b/>
        </w:rPr>
        <w:lastRenderedPageBreak/>
        <w:t>Supplementary Table 1. Characteristics of nine miRNAs in previous studies</w:t>
      </w:r>
    </w:p>
    <w:tbl>
      <w:tblPr>
        <w:tblStyle w:val="a4"/>
        <w:tblW w:w="13682" w:type="dxa"/>
        <w:tblInd w:w="-5" w:type="dxa"/>
        <w:tblLook w:val="04A0" w:firstRow="1" w:lastRow="0" w:firstColumn="1" w:lastColumn="0" w:noHBand="0" w:noVBand="1"/>
      </w:tblPr>
      <w:tblGrid>
        <w:gridCol w:w="1409"/>
        <w:gridCol w:w="3536"/>
        <w:gridCol w:w="2828"/>
        <w:gridCol w:w="4101"/>
        <w:gridCol w:w="1808"/>
      </w:tblGrid>
      <w:tr w:rsidR="00B54CB4" w14:paraId="4066111C" w14:textId="77777777">
        <w:trPr>
          <w:trHeight w:val="260"/>
        </w:trPr>
        <w:tc>
          <w:tcPr>
            <w:tcW w:w="1409" w:type="dxa"/>
            <w:vAlign w:val="center"/>
          </w:tcPr>
          <w:p w14:paraId="397929FC" w14:textId="77777777" w:rsidR="00BE2C54" w:rsidRDefault="00DC4EDF" w:rsidP="00DC4EDF">
            <w:pPr>
              <w:spacing w:before="0"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t>miRNAs</w:t>
            </w:r>
          </w:p>
        </w:tc>
        <w:tc>
          <w:tcPr>
            <w:tcW w:w="3536" w:type="dxa"/>
            <w:vAlign w:val="center"/>
          </w:tcPr>
          <w:p w14:paraId="784C8ADA" w14:textId="77777777" w:rsidR="00BE2C54" w:rsidRDefault="00DC4EDF" w:rsidP="00DC4EDF">
            <w:pPr>
              <w:spacing w:before="0"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t>Potential target genes in our study</w:t>
            </w:r>
          </w:p>
        </w:tc>
        <w:tc>
          <w:tcPr>
            <w:tcW w:w="2828" w:type="dxa"/>
            <w:vAlign w:val="center"/>
          </w:tcPr>
          <w:p w14:paraId="2B77B306" w14:textId="77777777" w:rsidR="00BE2C54" w:rsidRDefault="00DC4EDF" w:rsidP="00DC4EDF">
            <w:pPr>
              <w:spacing w:before="0"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t>Association with disease</w:t>
            </w:r>
          </w:p>
        </w:tc>
        <w:tc>
          <w:tcPr>
            <w:tcW w:w="4101" w:type="dxa"/>
            <w:vAlign w:val="center"/>
          </w:tcPr>
          <w:p w14:paraId="2A1BC153" w14:textId="77777777" w:rsidR="00BE2C54" w:rsidRDefault="00DC4EDF" w:rsidP="00DC4EDF">
            <w:pPr>
              <w:spacing w:before="0"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t>Functions</w:t>
            </w:r>
          </w:p>
        </w:tc>
        <w:tc>
          <w:tcPr>
            <w:tcW w:w="1808" w:type="dxa"/>
            <w:vAlign w:val="center"/>
          </w:tcPr>
          <w:p w14:paraId="05D46652" w14:textId="77777777" w:rsidR="00BE2C54" w:rsidRDefault="00DC4EDF" w:rsidP="00DC4EDF">
            <w:pPr>
              <w:spacing w:before="0"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t>Reference</w:t>
            </w:r>
          </w:p>
        </w:tc>
      </w:tr>
      <w:tr w:rsidR="00B54CB4" w14:paraId="6997EDEE" w14:textId="77777777">
        <w:trPr>
          <w:trHeight w:val="131"/>
        </w:trPr>
        <w:tc>
          <w:tcPr>
            <w:tcW w:w="1409" w:type="dxa"/>
            <w:vAlign w:val="center"/>
          </w:tcPr>
          <w:p w14:paraId="26AB374A" w14:textId="77777777" w:rsidR="00BE2C54" w:rsidRDefault="00DC4EDF" w:rsidP="00DC4EDF">
            <w:pPr>
              <w:spacing w:before="0" w:line="276" w:lineRule="auto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miR-223-3p</w:t>
            </w:r>
          </w:p>
        </w:tc>
        <w:tc>
          <w:tcPr>
            <w:tcW w:w="3536" w:type="dxa"/>
            <w:vAlign w:val="center"/>
          </w:tcPr>
          <w:p w14:paraId="1174DCBD" w14:textId="77777777" w:rsidR="00BE2C54" w:rsidRDefault="00DC4EDF" w:rsidP="00DC4EDF">
            <w:pPr>
              <w:spacing w:before="0" w:line="276" w:lineRule="auto"/>
              <w:jc w:val="center"/>
              <w:rPr>
                <w:color w:val="000000"/>
                <w:sz w:val="16"/>
              </w:rPr>
            </w:pPr>
            <w:r>
              <w:rPr>
                <w:i/>
                <w:color w:val="000000"/>
                <w:sz w:val="16"/>
              </w:rPr>
              <w:t>AFF3 and NT5C1B</w:t>
            </w:r>
          </w:p>
        </w:tc>
        <w:tc>
          <w:tcPr>
            <w:tcW w:w="2828" w:type="dxa"/>
            <w:vAlign w:val="center"/>
          </w:tcPr>
          <w:p w14:paraId="4B4503BE" w14:textId="77777777" w:rsidR="00BE2C54" w:rsidRDefault="00DC4EDF" w:rsidP="00DC4EDF">
            <w:pPr>
              <w:spacing w:before="0" w:line="276" w:lineRule="auto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Viral hepatitis, HIV, COVID-19, TB, and sepsis</w:t>
            </w:r>
          </w:p>
        </w:tc>
        <w:tc>
          <w:tcPr>
            <w:tcW w:w="4101" w:type="dxa"/>
            <w:vAlign w:val="center"/>
          </w:tcPr>
          <w:p w14:paraId="31AD7BFF" w14:textId="77777777" w:rsidR="00BE2C54" w:rsidRDefault="00DC4EDF" w:rsidP="00DC4EDF">
            <w:pPr>
              <w:spacing w:before="0" w:line="276" w:lineRule="auto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It influences neutrophil infiltration, macrophage function, dendritic cell (DC) maturation, and inflammasome activation.</w:t>
            </w:r>
          </w:p>
        </w:tc>
        <w:tc>
          <w:tcPr>
            <w:tcW w:w="1808" w:type="dxa"/>
            <w:vAlign w:val="center"/>
          </w:tcPr>
          <w:p w14:paraId="677AB5A8" w14:textId="77777777" w:rsidR="00BE2C54" w:rsidRDefault="00DC4EDF" w:rsidP="00DC4EDF">
            <w:pPr>
              <w:spacing w:before="0"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Yuan et al. [1] and </w:t>
            </w:r>
            <w:proofErr w:type="spellStart"/>
            <w:r>
              <w:rPr>
                <w:sz w:val="16"/>
              </w:rPr>
              <w:t>Houshmandfar</w:t>
            </w:r>
            <w:proofErr w:type="spellEnd"/>
            <w:r>
              <w:rPr>
                <w:sz w:val="16"/>
              </w:rPr>
              <w:t xml:space="preserve"> et al. [2]</w:t>
            </w:r>
          </w:p>
        </w:tc>
      </w:tr>
      <w:tr w:rsidR="00B54CB4" w14:paraId="16130B7D" w14:textId="77777777">
        <w:trPr>
          <w:trHeight w:val="126"/>
        </w:trPr>
        <w:tc>
          <w:tcPr>
            <w:tcW w:w="1409" w:type="dxa"/>
            <w:vAlign w:val="center"/>
          </w:tcPr>
          <w:p w14:paraId="048FC5FD" w14:textId="77777777" w:rsidR="00BE2C54" w:rsidRDefault="00DC4EDF" w:rsidP="00DC4EDF">
            <w:pPr>
              <w:spacing w:before="0" w:line="276" w:lineRule="auto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miR-338-5p</w:t>
            </w:r>
          </w:p>
        </w:tc>
        <w:tc>
          <w:tcPr>
            <w:tcW w:w="3536" w:type="dxa"/>
            <w:vAlign w:val="center"/>
          </w:tcPr>
          <w:p w14:paraId="1AAB3E6C" w14:textId="77777777" w:rsidR="00BE2C54" w:rsidRDefault="00DC4EDF" w:rsidP="00DC4EDF">
            <w:pPr>
              <w:spacing w:before="0" w:line="276" w:lineRule="auto"/>
              <w:jc w:val="center"/>
              <w:rPr>
                <w:color w:val="000000"/>
                <w:sz w:val="16"/>
              </w:rPr>
            </w:pPr>
            <w:r>
              <w:rPr>
                <w:i/>
                <w:color w:val="000000"/>
                <w:sz w:val="16"/>
              </w:rPr>
              <w:t>AFF3, HIC2, HPCAL4, PDE7B, SPATA25, SPHK2, UBE3D, and ZFYVE9</w:t>
            </w:r>
          </w:p>
        </w:tc>
        <w:tc>
          <w:tcPr>
            <w:tcW w:w="2828" w:type="dxa"/>
            <w:vAlign w:val="center"/>
          </w:tcPr>
          <w:p w14:paraId="368681F6" w14:textId="77777777" w:rsidR="00BE2C54" w:rsidRDefault="00DC4EDF" w:rsidP="00DC4EDF">
            <w:pPr>
              <w:spacing w:before="0" w:line="276" w:lineRule="auto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Tumor progression</w:t>
            </w:r>
          </w:p>
        </w:tc>
        <w:tc>
          <w:tcPr>
            <w:tcW w:w="4101" w:type="dxa"/>
            <w:vAlign w:val="center"/>
          </w:tcPr>
          <w:p w14:paraId="61349434" w14:textId="77777777" w:rsidR="00BE2C54" w:rsidRDefault="00DC4EDF" w:rsidP="00DC4EDF">
            <w:pPr>
              <w:spacing w:before="0" w:line="276" w:lineRule="auto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It plays a role in tumor progression by regulating WNT, MAPK, and PI3K/AKT signaling pathways.</w:t>
            </w:r>
          </w:p>
        </w:tc>
        <w:tc>
          <w:tcPr>
            <w:tcW w:w="1808" w:type="dxa"/>
            <w:vAlign w:val="center"/>
          </w:tcPr>
          <w:p w14:paraId="392686ED" w14:textId="77777777" w:rsidR="00BE2C54" w:rsidRDefault="00DC4EDF" w:rsidP="00DC4EDF">
            <w:pPr>
              <w:spacing w:before="0"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t>[3]</w:t>
            </w:r>
          </w:p>
        </w:tc>
      </w:tr>
      <w:tr w:rsidR="00B54CB4" w14:paraId="61E201F5" w14:textId="77777777">
        <w:trPr>
          <w:trHeight w:val="126"/>
        </w:trPr>
        <w:tc>
          <w:tcPr>
            <w:tcW w:w="1409" w:type="dxa"/>
            <w:vAlign w:val="center"/>
          </w:tcPr>
          <w:p w14:paraId="73AC88A2" w14:textId="77777777" w:rsidR="00BE2C54" w:rsidRDefault="00DC4EDF" w:rsidP="00DC4EDF">
            <w:pPr>
              <w:spacing w:before="0" w:line="276" w:lineRule="auto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miR-6787-3p</w:t>
            </w:r>
          </w:p>
        </w:tc>
        <w:tc>
          <w:tcPr>
            <w:tcW w:w="3536" w:type="dxa"/>
            <w:vAlign w:val="center"/>
          </w:tcPr>
          <w:p w14:paraId="3D02A0F8" w14:textId="77777777" w:rsidR="00BE2C54" w:rsidRDefault="00DC4EDF" w:rsidP="00DC4EDF">
            <w:pPr>
              <w:spacing w:before="0" w:line="276" w:lineRule="auto"/>
              <w:jc w:val="center"/>
              <w:rPr>
                <w:color w:val="000000"/>
                <w:sz w:val="16"/>
              </w:rPr>
            </w:pPr>
            <w:r>
              <w:rPr>
                <w:i/>
                <w:color w:val="000000"/>
                <w:sz w:val="16"/>
              </w:rPr>
              <w:t>DTX1, HPCAL4, METTL2A, NTMT1, PDE7B, PEG10, TMEM139, and ZFYVE9</w:t>
            </w:r>
          </w:p>
        </w:tc>
        <w:tc>
          <w:tcPr>
            <w:tcW w:w="2828" w:type="dxa"/>
            <w:vAlign w:val="center"/>
          </w:tcPr>
          <w:p w14:paraId="28E61626" w14:textId="77777777" w:rsidR="00BE2C54" w:rsidRDefault="00DC4EDF" w:rsidP="00DC4EDF">
            <w:pPr>
              <w:spacing w:before="0" w:line="276" w:lineRule="auto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Colorectal cancer</w:t>
            </w:r>
          </w:p>
        </w:tc>
        <w:tc>
          <w:tcPr>
            <w:tcW w:w="4101" w:type="dxa"/>
            <w:vAlign w:val="center"/>
          </w:tcPr>
          <w:p w14:paraId="1DEC714B" w14:textId="77777777" w:rsidR="00BE2C54" w:rsidRDefault="00DC4EDF" w:rsidP="00DC4EDF">
            <w:pPr>
              <w:spacing w:before="0" w:line="276" w:lineRule="auto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It is involved in a potential epigenetic mechanism induced by RAPA therapy in the regulation of the pre-metastatic niche of post-transplant colorectal cancer.</w:t>
            </w:r>
          </w:p>
        </w:tc>
        <w:tc>
          <w:tcPr>
            <w:tcW w:w="1808" w:type="dxa"/>
            <w:vAlign w:val="center"/>
          </w:tcPr>
          <w:p w14:paraId="12C31AA6" w14:textId="77777777" w:rsidR="00BE2C54" w:rsidRDefault="00DC4EDF" w:rsidP="00DC4EDF">
            <w:pPr>
              <w:spacing w:before="0"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t>[4]</w:t>
            </w:r>
          </w:p>
        </w:tc>
      </w:tr>
      <w:tr w:rsidR="00B54CB4" w14:paraId="3B5DD0E6" w14:textId="77777777">
        <w:trPr>
          <w:trHeight w:val="131"/>
        </w:trPr>
        <w:tc>
          <w:tcPr>
            <w:tcW w:w="1409" w:type="dxa"/>
            <w:vAlign w:val="center"/>
          </w:tcPr>
          <w:p w14:paraId="367201ED" w14:textId="77777777" w:rsidR="00BE2C54" w:rsidRDefault="00DC4EDF" w:rsidP="00DC4EDF">
            <w:pPr>
              <w:spacing w:before="0" w:line="276" w:lineRule="auto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miR-1273h-3p</w:t>
            </w:r>
          </w:p>
        </w:tc>
        <w:tc>
          <w:tcPr>
            <w:tcW w:w="3536" w:type="dxa"/>
            <w:vAlign w:val="center"/>
          </w:tcPr>
          <w:p w14:paraId="4EC0A67B" w14:textId="77777777" w:rsidR="00BE2C54" w:rsidRDefault="00DC4EDF" w:rsidP="00DC4EDF">
            <w:pPr>
              <w:spacing w:before="0" w:line="276" w:lineRule="auto"/>
              <w:jc w:val="center"/>
              <w:rPr>
                <w:color w:val="000000"/>
                <w:sz w:val="16"/>
              </w:rPr>
            </w:pPr>
            <w:r>
              <w:rPr>
                <w:i/>
                <w:color w:val="000000"/>
                <w:sz w:val="16"/>
              </w:rPr>
              <w:t>HTR7, LRRC8E, METTL2A, PDE7B, PLD4, and RGS5</w:t>
            </w:r>
          </w:p>
        </w:tc>
        <w:tc>
          <w:tcPr>
            <w:tcW w:w="2828" w:type="dxa"/>
            <w:vAlign w:val="center"/>
          </w:tcPr>
          <w:p w14:paraId="4FBF9E2A" w14:textId="77777777" w:rsidR="00BE2C54" w:rsidRDefault="00DC4EDF" w:rsidP="00DC4EDF">
            <w:pPr>
              <w:spacing w:before="0" w:line="276" w:lineRule="auto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-</w:t>
            </w:r>
          </w:p>
        </w:tc>
        <w:tc>
          <w:tcPr>
            <w:tcW w:w="4101" w:type="dxa"/>
            <w:vAlign w:val="center"/>
          </w:tcPr>
          <w:p w14:paraId="0523972A" w14:textId="77777777" w:rsidR="00BE2C54" w:rsidRDefault="00DC4EDF" w:rsidP="00DC4EDF">
            <w:pPr>
              <w:spacing w:before="0" w:line="276" w:lineRule="auto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-</w:t>
            </w:r>
          </w:p>
        </w:tc>
        <w:tc>
          <w:tcPr>
            <w:tcW w:w="1808" w:type="dxa"/>
            <w:vAlign w:val="center"/>
          </w:tcPr>
          <w:p w14:paraId="416ADAEF" w14:textId="77777777" w:rsidR="00BE2C54" w:rsidRDefault="00DC4EDF" w:rsidP="00DC4EDF">
            <w:pPr>
              <w:spacing w:before="0"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</w:tr>
      <w:tr w:rsidR="00B54CB4" w14:paraId="5BDFDC99" w14:textId="77777777">
        <w:trPr>
          <w:trHeight w:val="126"/>
        </w:trPr>
        <w:tc>
          <w:tcPr>
            <w:tcW w:w="1409" w:type="dxa"/>
            <w:vAlign w:val="center"/>
          </w:tcPr>
          <w:p w14:paraId="1923EBBD" w14:textId="77777777" w:rsidR="00BE2C54" w:rsidRDefault="00DC4EDF" w:rsidP="00DC4EDF">
            <w:pPr>
              <w:spacing w:before="0" w:line="276" w:lineRule="auto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miR-1288-3p</w:t>
            </w:r>
          </w:p>
        </w:tc>
        <w:tc>
          <w:tcPr>
            <w:tcW w:w="3536" w:type="dxa"/>
            <w:vAlign w:val="center"/>
          </w:tcPr>
          <w:p w14:paraId="12175F85" w14:textId="77777777" w:rsidR="00BE2C54" w:rsidRDefault="00DC4EDF" w:rsidP="00DC4EDF">
            <w:pPr>
              <w:spacing w:before="0" w:line="276" w:lineRule="auto"/>
              <w:jc w:val="center"/>
              <w:rPr>
                <w:color w:val="000000"/>
                <w:sz w:val="16"/>
              </w:rPr>
            </w:pPr>
            <w:r>
              <w:rPr>
                <w:i/>
                <w:color w:val="000000"/>
                <w:sz w:val="16"/>
              </w:rPr>
              <w:t>AFF3, ANKRD23, DEPTOR, EME2, FAAP100, GPR135, HPCAL4, PDE7B, RGS5, SEMA4G, SMCO3, and TIGD5</w:t>
            </w:r>
          </w:p>
        </w:tc>
        <w:tc>
          <w:tcPr>
            <w:tcW w:w="2828" w:type="dxa"/>
            <w:vAlign w:val="center"/>
          </w:tcPr>
          <w:p w14:paraId="25B82B17" w14:textId="77777777" w:rsidR="00BE2C54" w:rsidRDefault="00DC4EDF" w:rsidP="00DC4EDF">
            <w:pPr>
              <w:spacing w:before="0" w:line="276" w:lineRule="auto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Colorectal cancer</w:t>
            </w:r>
          </w:p>
        </w:tc>
        <w:tc>
          <w:tcPr>
            <w:tcW w:w="4101" w:type="dxa"/>
            <w:vAlign w:val="center"/>
          </w:tcPr>
          <w:p w14:paraId="2559C68E" w14:textId="77777777" w:rsidR="00BE2C54" w:rsidRDefault="00DC4EDF" w:rsidP="00DC4EDF">
            <w:pPr>
              <w:spacing w:before="0" w:line="276" w:lineRule="auto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RERG, the regulator of the Ras/ERK pathway, is the target gene of miR-1288.</w:t>
            </w:r>
          </w:p>
        </w:tc>
        <w:tc>
          <w:tcPr>
            <w:tcW w:w="1808" w:type="dxa"/>
            <w:vAlign w:val="center"/>
          </w:tcPr>
          <w:p w14:paraId="00230E15" w14:textId="77777777" w:rsidR="00BE2C54" w:rsidRDefault="00DC4EDF" w:rsidP="00DC4EDF">
            <w:pPr>
              <w:spacing w:before="0"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t>[5]</w:t>
            </w:r>
          </w:p>
        </w:tc>
      </w:tr>
      <w:tr w:rsidR="00B54CB4" w14:paraId="0B9A7295" w14:textId="77777777">
        <w:trPr>
          <w:trHeight w:val="131"/>
        </w:trPr>
        <w:tc>
          <w:tcPr>
            <w:tcW w:w="1409" w:type="dxa"/>
            <w:vAlign w:val="center"/>
          </w:tcPr>
          <w:p w14:paraId="361EB06D" w14:textId="77777777" w:rsidR="00BE2C54" w:rsidRDefault="00DC4EDF" w:rsidP="00DC4EDF">
            <w:pPr>
              <w:spacing w:before="0" w:line="276" w:lineRule="auto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miR-200c-3p</w:t>
            </w:r>
          </w:p>
        </w:tc>
        <w:tc>
          <w:tcPr>
            <w:tcW w:w="3536" w:type="dxa"/>
            <w:vAlign w:val="center"/>
          </w:tcPr>
          <w:p w14:paraId="52631B77" w14:textId="77777777" w:rsidR="00BE2C54" w:rsidRDefault="00DC4EDF" w:rsidP="00DC4EDF">
            <w:pPr>
              <w:spacing w:before="0" w:line="276" w:lineRule="auto"/>
              <w:jc w:val="center"/>
              <w:rPr>
                <w:color w:val="000000"/>
                <w:sz w:val="16"/>
              </w:rPr>
            </w:pPr>
            <w:r>
              <w:rPr>
                <w:i/>
                <w:color w:val="000000"/>
                <w:sz w:val="16"/>
              </w:rPr>
              <w:t>EME2, PEG10, and TIGD5</w:t>
            </w:r>
          </w:p>
        </w:tc>
        <w:tc>
          <w:tcPr>
            <w:tcW w:w="2828" w:type="dxa"/>
            <w:vAlign w:val="center"/>
          </w:tcPr>
          <w:p w14:paraId="3F218437" w14:textId="77777777" w:rsidR="00BE2C54" w:rsidRDefault="00DC4EDF" w:rsidP="00DC4EDF">
            <w:pPr>
              <w:spacing w:before="0" w:line="276" w:lineRule="auto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TB and lung adenocarcinoma</w:t>
            </w:r>
          </w:p>
        </w:tc>
        <w:tc>
          <w:tcPr>
            <w:tcW w:w="4101" w:type="dxa"/>
            <w:vAlign w:val="center"/>
          </w:tcPr>
          <w:p w14:paraId="03D9FF9C" w14:textId="77777777" w:rsidR="00BE2C54" w:rsidRDefault="00DC4EDF" w:rsidP="00DC4EDF">
            <w:pPr>
              <w:spacing w:before="0" w:line="276" w:lineRule="auto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It serves as a regulator in cells that undergo epithelial-mesenchymal transformation.</w:t>
            </w:r>
          </w:p>
        </w:tc>
        <w:tc>
          <w:tcPr>
            <w:tcW w:w="1808" w:type="dxa"/>
            <w:vAlign w:val="center"/>
          </w:tcPr>
          <w:p w14:paraId="5D2FBE0A" w14:textId="77777777" w:rsidR="00BE2C54" w:rsidRDefault="00DC4EDF" w:rsidP="00DC4EDF">
            <w:pPr>
              <w:spacing w:before="0"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t>[6]</w:t>
            </w:r>
          </w:p>
        </w:tc>
      </w:tr>
      <w:tr w:rsidR="00B54CB4" w14:paraId="532D98B9" w14:textId="77777777">
        <w:trPr>
          <w:trHeight w:val="126"/>
        </w:trPr>
        <w:tc>
          <w:tcPr>
            <w:tcW w:w="1409" w:type="dxa"/>
            <w:vAlign w:val="center"/>
          </w:tcPr>
          <w:p w14:paraId="3F2A75A7" w14:textId="77777777" w:rsidR="00BE2C54" w:rsidRDefault="00DC4EDF" w:rsidP="00DC4EDF">
            <w:pPr>
              <w:spacing w:before="0" w:line="276" w:lineRule="auto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miR-3074-3p</w:t>
            </w:r>
          </w:p>
        </w:tc>
        <w:tc>
          <w:tcPr>
            <w:tcW w:w="3536" w:type="dxa"/>
            <w:vAlign w:val="center"/>
          </w:tcPr>
          <w:p w14:paraId="5AF051FF" w14:textId="77777777" w:rsidR="00BE2C54" w:rsidRDefault="00DC4EDF" w:rsidP="00DC4EDF">
            <w:pPr>
              <w:spacing w:before="0" w:line="276" w:lineRule="auto"/>
              <w:jc w:val="center"/>
              <w:rPr>
                <w:color w:val="000000"/>
                <w:sz w:val="16"/>
              </w:rPr>
            </w:pPr>
            <w:r>
              <w:rPr>
                <w:i/>
                <w:color w:val="000000"/>
                <w:sz w:val="16"/>
              </w:rPr>
              <w:t>HIC2, IMMP2L, METTL2A, NTMT1, RGS5, and TIGD5</w:t>
            </w:r>
          </w:p>
        </w:tc>
        <w:tc>
          <w:tcPr>
            <w:tcW w:w="2828" w:type="dxa"/>
            <w:vAlign w:val="center"/>
          </w:tcPr>
          <w:p w14:paraId="508684AB" w14:textId="77777777" w:rsidR="00BE2C54" w:rsidRDefault="00DC4EDF" w:rsidP="00DC4EDF">
            <w:pPr>
              <w:spacing w:before="0" w:line="276" w:lineRule="auto"/>
              <w:jc w:val="center"/>
              <w:rPr>
                <w:color w:val="000000"/>
                <w:sz w:val="16"/>
              </w:rPr>
            </w:pPr>
            <w:r>
              <w:rPr>
                <w:i/>
                <w:color w:val="000000"/>
                <w:sz w:val="16"/>
              </w:rPr>
              <w:t>Zaire ebolavirus</w:t>
            </w:r>
          </w:p>
        </w:tc>
        <w:tc>
          <w:tcPr>
            <w:tcW w:w="4101" w:type="dxa"/>
            <w:vAlign w:val="center"/>
          </w:tcPr>
          <w:p w14:paraId="539C7693" w14:textId="77777777" w:rsidR="00BE2C54" w:rsidRDefault="00DC4EDF" w:rsidP="00DC4EDF">
            <w:pPr>
              <w:spacing w:before="0" w:line="276" w:lineRule="auto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It affects innate and adaptive immune responses, cellular metabolism, cell cycle progression, apoptosis,</w:t>
            </w:r>
          </w:p>
          <w:p w14:paraId="347DD92B" w14:textId="77777777" w:rsidR="00BE2C54" w:rsidRDefault="00DC4EDF" w:rsidP="00DC4EDF">
            <w:pPr>
              <w:spacing w:before="0" w:line="276" w:lineRule="auto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and autophagy.</w:t>
            </w:r>
          </w:p>
        </w:tc>
        <w:tc>
          <w:tcPr>
            <w:tcW w:w="1808" w:type="dxa"/>
            <w:vAlign w:val="center"/>
          </w:tcPr>
          <w:p w14:paraId="5B011272" w14:textId="77777777" w:rsidR="00BE2C54" w:rsidRDefault="00DC4EDF" w:rsidP="00DC4EDF">
            <w:pPr>
              <w:spacing w:before="0"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t>[7]</w:t>
            </w:r>
          </w:p>
        </w:tc>
      </w:tr>
      <w:tr w:rsidR="00B54CB4" w14:paraId="7698F076" w14:textId="77777777">
        <w:trPr>
          <w:trHeight w:val="126"/>
        </w:trPr>
        <w:tc>
          <w:tcPr>
            <w:tcW w:w="1409" w:type="dxa"/>
            <w:vAlign w:val="center"/>
          </w:tcPr>
          <w:p w14:paraId="1748CDF9" w14:textId="77777777" w:rsidR="00BE2C54" w:rsidRDefault="00DC4EDF" w:rsidP="00DC4EDF">
            <w:pPr>
              <w:spacing w:before="0" w:line="276" w:lineRule="auto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miR-433-3p</w:t>
            </w:r>
          </w:p>
        </w:tc>
        <w:tc>
          <w:tcPr>
            <w:tcW w:w="3536" w:type="dxa"/>
            <w:vAlign w:val="center"/>
          </w:tcPr>
          <w:p w14:paraId="5F1277FC" w14:textId="77777777" w:rsidR="00BE2C54" w:rsidRDefault="00DC4EDF" w:rsidP="00DC4EDF">
            <w:pPr>
              <w:spacing w:before="0" w:line="276" w:lineRule="auto"/>
              <w:jc w:val="center"/>
              <w:rPr>
                <w:color w:val="000000"/>
                <w:sz w:val="16"/>
              </w:rPr>
            </w:pPr>
            <w:r>
              <w:rPr>
                <w:i/>
                <w:color w:val="000000"/>
                <w:sz w:val="16"/>
              </w:rPr>
              <w:t>DDTL, DEPTOR, HPCAL4, and SMCO3</w:t>
            </w:r>
          </w:p>
        </w:tc>
        <w:tc>
          <w:tcPr>
            <w:tcW w:w="2828" w:type="dxa"/>
            <w:vAlign w:val="center"/>
          </w:tcPr>
          <w:p w14:paraId="6291F708" w14:textId="77777777" w:rsidR="00BE2C54" w:rsidRDefault="00DC4EDF" w:rsidP="00DC4EDF">
            <w:pPr>
              <w:spacing w:before="0" w:line="276" w:lineRule="auto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Glioma</w:t>
            </w:r>
          </w:p>
        </w:tc>
        <w:tc>
          <w:tcPr>
            <w:tcW w:w="4101" w:type="dxa"/>
            <w:vAlign w:val="center"/>
          </w:tcPr>
          <w:p w14:paraId="14BECABF" w14:textId="77777777" w:rsidR="00BE2C54" w:rsidRDefault="00DC4EDF" w:rsidP="00DC4EDF">
            <w:pPr>
              <w:spacing w:before="0" w:line="276" w:lineRule="auto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It restrains the proliferation, migration, and invasion of glioma cells.</w:t>
            </w:r>
          </w:p>
        </w:tc>
        <w:tc>
          <w:tcPr>
            <w:tcW w:w="1808" w:type="dxa"/>
            <w:vAlign w:val="center"/>
          </w:tcPr>
          <w:p w14:paraId="7674B6E2" w14:textId="77777777" w:rsidR="00BE2C54" w:rsidRDefault="00DC4EDF" w:rsidP="00DC4EDF">
            <w:pPr>
              <w:spacing w:before="0"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t>You et al. [8] and Zhang et al. [9]</w:t>
            </w:r>
          </w:p>
        </w:tc>
      </w:tr>
      <w:tr w:rsidR="00B54CB4" w14:paraId="22818DBC" w14:textId="77777777" w:rsidTr="00DC4EDF">
        <w:trPr>
          <w:trHeight w:val="70"/>
        </w:trPr>
        <w:tc>
          <w:tcPr>
            <w:tcW w:w="1409" w:type="dxa"/>
            <w:vAlign w:val="center"/>
          </w:tcPr>
          <w:p w14:paraId="644DE284" w14:textId="77777777" w:rsidR="00BE2C54" w:rsidRDefault="00DC4EDF" w:rsidP="00DC4EDF">
            <w:pPr>
              <w:spacing w:before="0"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t>miR-200b-3p</w:t>
            </w:r>
          </w:p>
        </w:tc>
        <w:tc>
          <w:tcPr>
            <w:tcW w:w="3536" w:type="dxa"/>
            <w:vAlign w:val="center"/>
          </w:tcPr>
          <w:p w14:paraId="1AF7C157" w14:textId="77777777" w:rsidR="00BE2C54" w:rsidRDefault="00DC4EDF" w:rsidP="00DC4EDF">
            <w:pPr>
              <w:spacing w:before="0" w:line="276" w:lineRule="auto"/>
              <w:jc w:val="center"/>
              <w:rPr>
                <w:sz w:val="16"/>
              </w:rPr>
            </w:pPr>
            <w:r>
              <w:rPr>
                <w:i/>
                <w:sz w:val="16"/>
              </w:rPr>
              <w:t>AFF3, LYSMD4, PDE7B, PEG10, and TMEM134</w:t>
            </w:r>
          </w:p>
        </w:tc>
        <w:tc>
          <w:tcPr>
            <w:tcW w:w="2828" w:type="dxa"/>
            <w:vAlign w:val="center"/>
          </w:tcPr>
          <w:p w14:paraId="2DC0E2D9" w14:textId="77777777" w:rsidR="00BE2C54" w:rsidRDefault="00DC4EDF" w:rsidP="00DC4EDF">
            <w:pPr>
              <w:spacing w:before="0"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t>Tumor progression</w:t>
            </w:r>
          </w:p>
        </w:tc>
        <w:tc>
          <w:tcPr>
            <w:tcW w:w="4101" w:type="dxa"/>
            <w:vAlign w:val="center"/>
          </w:tcPr>
          <w:p w14:paraId="5BCB7A2B" w14:textId="77777777" w:rsidR="00BE2C54" w:rsidRDefault="00DC4EDF" w:rsidP="00DC4EDF">
            <w:pPr>
              <w:spacing w:before="0"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t>It inhibits proliferation, invasion, and migration</w:t>
            </w:r>
          </w:p>
        </w:tc>
        <w:tc>
          <w:tcPr>
            <w:tcW w:w="1808" w:type="dxa"/>
            <w:vAlign w:val="center"/>
          </w:tcPr>
          <w:p w14:paraId="281AAD92" w14:textId="77777777" w:rsidR="00BE2C54" w:rsidRDefault="00DC4EDF" w:rsidP="00DC4EDF">
            <w:pPr>
              <w:spacing w:before="0"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t>[10]</w:t>
            </w:r>
          </w:p>
        </w:tc>
      </w:tr>
    </w:tbl>
    <w:p w14:paraId="5F273B03" w14:textId="77777777" w:rsidR="00BE2C54" w:rsidRDefault="00DC4EDF" w:rsidP="00DC4EDF">
      <w:pPr>
        <w:tabs>
          <w:tab w:val="left" w:pos="238"/>
          <w:tab w:val="center" w:pos="6848"/>
        </w:tabs>
        <w:spacing w:line="480" w:lineRule="auto"/>
        <w:sectPr w:rsidR="00BE2C54">
          <w:pgSz w:w="16838" w:h="11906" w:orient="landscape"/>
          <w:pgMar w:top="1440" w:right="1701" w:bottom="1440" w:left="1440" w:header="851" w:footer="992" w:gutter="0"/>
          <w:lnNumType w:countBy="1" w:restart="continuous"/>
          <w:cols w:space="425"/>
        </w:sectPr>
      </w:pPr>
      <w:r>
        <w:tab/>
      </w:r>
    </w:p>
    <w:p w14:paraId="7F0FDA7F" w14:textId="77777777" w:rsidR="00BE2C54" w:rsidRDefault="00DC4EDF" w:rsidP="00DC4EDF">
      <w:pPr>
        <w:spacing w:line="480" w:lineRule="auto"/>
        <w:rPr>
          <w:b/>
        </w:rPr>
      </w:pPr>
      <w:r>
        <w:rPr>
          <w:b/>
        </w:rPr>
        <w:lastRenderedPageBreak/>
        <w:t>References</w:t>
      </w:r>
    </w:p>
    <w:p w14:paraId="1E3E365F" w14:textId="77777777" w:rsidR="00BE2C54" w:rsidRDefault="00DC4EDF" w:rsidP="00DC4EDF">
      <w:pPr>
        <w:spacing w:line="480" w:lineRule="auto"/>
      </w:pPr>
      <w:r>
        <w:t xml:space="preserve">1. Yuan S, Wu Q, Wang Z, Che Y, Zheng S, Chen Y, et al. miR-223: An immune regulator in infectious disorders. Front Immunol. </w:t>
      </w:r>
      <w:proofErr w:type="gramStart"/>
      <w:r>
        <w:t>2021;12:781815</w:t>
      </w:r>
      <w:proofErr w:type="gramEnd"/>
      <w:r>
        <w:t xml:space="preserve">. </w:t>
      </w:r>
      <w:proofErr w:type="spellStart"/>
      <w:r>
        <w:t>doi</w:t>
      </w:r>
      <w:proofErr w:type="spellEnd"/>
      <w:r>
        <w:t xml:space="preserve">: </w:t>
      </w:r>
      <w:hyperlink r:id="rId13" w:history="1">
        <w:r>
          <w:rPr>
            <w:rStyle w:val="af5"/>
          </w:rPr>
          <w:t>10.3389/fimmu.2021.781815</w:t>
        </w:r>
      </w:hyperlink>
      <w:r>
        <w:t>.</w:t>
      </w:r>
    </w:p>
    <w:p w14:paraId="53B89448" w14:textId="77777777" w:rsidR="00BE2C54" w:rsidRDefault="00DC4EDF" w:rsidP="00DC4EDF">
      <w:pPr>
        <w:spacing w:line="480" w:lineRule="auto"/>
      </w:pPr>
      <w:r>
        <w:t xml:space="preserve">2. </w:t>
      </w:r>
      <w:proofErr w:type="spellStart"/>
      <w:r>
        <w:t>Houshmandfar</w:t>
      </w:r>
      <w:proofErr w:type="spellEnd"/>
      <w:r>
        <w:t xml:space="preserve"> S, Khodadadi A, Mahmoudian-Sani MR, </w:t>
      </w:r>
      <w:proofErr w:type="spellStart"/>
      <w:r>
        <w:t>Nashibi</w:t>
      </w:r>
      <w:proofErr w:type="spellEnd"/>
      <w:r>
        <w:t xml:space="preserve"> R, </w:t>
      </w:r>
      <w:proofErr w:type="spellStart"/>
      <w:r>
        <w:t>Rashno</w:t>
      </w:r>
      <w:proofErr w:type="spellEnd"/>
      <w:r>
        <w:t xml:space="preserve"> M. Comparing the expression of MiR-223-NLRP3-IL-1β axis and serum IL-1β levels in patients with severe COVID-19 and healthy individuals. Immunobiology. </w:t>
      </w:r>
      <w:proofErr w:type="gramStart"/>
      <w:r>
        <w:t>2023;228:152710</w:t>
      </w:r>
      <w:proofErr w:type="gramEnd"/>
      <w:r>
        <w:t xml:space="preserve">. </w:t>
      </w:r>
      <w:proofErr w:type="spellStart"/>
      <w:r>
        <w:t>doi</w:t>
      </w:r>
      <w:proofErr w:type="spellEnd"/>
      <w:r>
        <w:t xml:space="preserve">: </w:t>
      </w:r>
      <w:hyperlink r:id="rId14" w:history="1">
        <w:r>
          <w:rPr>
            <w:rStyle w:val="af5"/>
          </w:rPr>
          <w:t>10.1016/j.imbio.2023.152710</w:t>
        </w:r>
      </w:hyperlink>
      <w:r>
        <w:t>.</w:t>
      </w:r>
    </w:p>
    <w:p w14:paraId="6B1D69B7" w14:textId="77777777" w:rsidR="00BE2C54" w:rsidRDefault="00DC4EDF" w:rsidP="00DC4EDF">
      <w:pPr>
        <w:spacing w:line="480" w:lineRule="auto"/>
      </w:pPr>
      <w:r>
        <w:t xml:space="preserve">3. </w:t>
      </w:r>
      <w:proofErr w:type="spellStart"/>
      <w:r>
        <w:t>Moghbeli</w:t>
      </w:r>
      <w:proofErr w:type="spellEnd"/>
      <w:r>
        <w:t xml:space="preserve"> M. Molecular interactions of miR-338 during tumor progression and metastasis. Cell Mol Biol Lett. </w:t>
      </w:r>
      <w:proofErr w:type="gramStart"/>
      <w:r>
        <w:t>2021;26:13</w:t>
      </w:r>
      <w:proofErr w:type="gramEnd"/>
      <w:r>
        <w:t xml:space="preserve">. </w:t>
      </w:r>
      <w:proofErr w:type="spellStart"/>
      <w:r>
        <w:t>doi</w:t>
      </w:r>
      <w:proofErr w:type="spellEnd"/>
      <w:r>
        <w:t xml:space="preserve">: </w:t>
      </w:r>
      <w:hyperlink r:id="rId15" w:history="1">
        <w:r>
          <w:rPr>
            <w:rStyle w:val="af5"/>
          </w:rPr>
          <w:t>10.1186/s11658-021-00257-w</w:t>
        </w:r>
      </w:hyperlink>
      <w:r>
        <w:t>.</w:t>
      </w:r>
    </w:p>
    <w:p w14:paraId="626D9055" w14:textId="77777777" w:rsidR="00BE2C54" w:rsidRDefault="00DC4EDF" w:rsidP="00DC4EDF">
      <w:pPr>
        <w:spacing w:line="480" w:lineRule="auto"/>
      </w:pPr>
      <w:r>
        <w:t xml:space="preserve">4. </w:t>
      </w:r>
      <w:proofErr w:type="spellStart"/>
      <w:r>
        <w:t>Tubita</w:t>
      </w:r>
      <w:proofErr w:type="spellEnd"/>
      <w:r>
        <w:t xml:space="preserve"> V, Segui-Barber J, Lozano JJ, Banon-</w:t>
      </w:r>
      <w:proofErr w:type="spellStart"/>
      <w:r>
        <w:t>Maneus</w:t>
      </w:r>
      <w:proofErr w:type="spellEnd"/>
      <w:r>
        <w:t xml:space="preserve"> E, Rovira J, </w:t>
      </w:r>
      <w:proofErr w:type="spellStart"/>
      <w:r>
        <w:t>Cucchiari</w:t>
      </w:r>
      <w:proofErr w:type="spellEnd"/>
      <w:r>
        <w:t xml:space="preserve"> D, et al. Effect of immunosuppression in miRNAs from extracellular vesicles of colorectal cancer and their influence on the pre-metastatic niche. Sci Rep. </w:t>
      </w:r>
      <w:proofErr w:type="gramStart"/>
      <w:r>
        <w:t>2019;9:11177</w:t>
      </w:r>
      <w:proofErr w:type="gramEnd"/>
      <w:r>
        <w:t xml:space="preserve">. </w:t>
      </w:r>
      <w:proofErr w:type="spellStart"/>
      <w:r>
        <w:t>doi</w:t>
      </w:r>
      <w:proofErr w:type="spellEnd"/>
      <w:r>
        <w:t xml:space="preserve">: </w:t>
      </w:r>
      <w:hyperlink r:id="rId16" w:history="1">
        <w:r>
          <w:rPr>
            <w:rStyle w:val="af5"/>
          </w:rPr>
          <w:t>10.1038/s41598-019-47581-y</w:t>
        </w:r>
      </w:hyperlink>
      <w:r>
        <w:t>.</w:t>
      </w:r>
    </w:p>
    <w:p w14:paraId="2046FAA7" w14:textId="77777777" w:rsidR="00BE2C54" w:rsidRDefault="00DC4EDF" w:rsidP="00DC4EDF">
      <w:pPr>
        <w:spacing w:line="480" w:lineRule="auto"/>
      </w:pPr>
      <w:r>
        <w:t xml:space="preserve">5. Hou R, Liu Y, Su Y, Shu Z. Overexpression of long non-coding RNA FGF14-AS2 inhibits colorectal cancer proliferation via the RERG/Ras/ERK signaling by sponging microRNA-1288-3p. </w:t>
      </w:r>
      <w:proofErr w:type="spellStart"/>
      <w:r>
        <w:t>Pathol</w:t>
      </w:r>
      <w:proofErr w:type="spellEnd"/>
      <w:r>
        <w:t xml:space="preserve"> Oncol Res. 2020;26:2659–67. </w:t>
      </w:r>
      <w:proofErr w:type="spellStart"/>
      <w:r>
        <w:t>doi</w:t>
      </w:r>
      <w:proofErr w:type="spellEnd"/>
      <w:r>
        <w:t xml:space="preserve">: </w:t>
      </w:r>
      <w:hyperlink r:id="rId17" w:history="1">
        <w:r>
          <w:rPr>
            <w:rStyle w:val="af5"/>
          </w:rPr>
          <w:t>10.1007/s12253-020-00862-8</w:t>
        </w:r>
      </w:hyperlink>
      <w:r>
        <w:t>.</w:t>
      </w:r>
    </w:p>
    <w:p w14:paraId="5E0A901D" w14:textId="77777777" w:rsidR="00BE2C54" w:rsidRDefault="00DC4EDF" w:rsidP="00DC4EDF">
      <w:pPr>
        <w:spacing w:line="480" w:lineRule="auto"/>
      </w:pPr>
      <w:r>
        <w:t xml:space="preserve">6. Mirzaei R, Babakhani S, </w:t>
      </w:r>
      <w:proofErr w:type="spellStart"/>
      <w:r>
        <w:t>Ajorloo</w:t>
      </w:r>
      <w:proofErr w:type="spellEnd"/>
      <w:r>
        <w:t xml:space="preserve"> P, Ahmadi RH, Hosseini-Fard SR, </w:t>
      </w:r>
      <w:proofErr w:type="spellStart"/>
      <w:r>
        <w:t>Keyvani</w:t>
      </w:r>
      <w:proofErr w:type="spellEnd"/>
      <w:r>
        <w:t xml:space="preserve"> H, et al. The emerging role of </w:t>
      </w:r>
      <w:proofErr w:type="spellStart"/>
      <w:r>
        <w:t>exosomal</w:t>
      </w:r>
      <w:proofErr w:type="spellEnd"/>
      <w:r>
        <w:t xml:space="preserve"> miRNAs as a diagnostic and therapeutic biomarker in Mycobacterium tuberculosis infection. Mol Med. </w:t>
      </w:r>
      <w:proofErr w:type="gramStart"/>
      <w:r>
        <w:t>2021;27:34</w:t>
      </w:r>
      <w:proofErr w:type="gramEnd"/>
      <w:r>
        <w:t xml:space="preserve">. </w:t>
      </w:r>
      <w:proofErr w:type="spellStart"/>
      <w:r>
        <w:t>doi</w:t>
      </w:r>
      <w:proofErr w:type="spellEnd"/>
      <w:r>
        <w:t xml:space="preserve">: </w:t>
      </w:r>
      <w:hyperlink r:id="rId18" w:history="1">
        <w:r>
          <w:rPr>
            <w:rStyle w:val="af5"/>
          </w:rPr>
          <w:t>10.1186/s10020-021-00296-1</w:t>
        </w:r>
      </w:hyperlink>
      <w:r>
        <w:t>.</w:t>
      </w:r>
    </w:p>
    <w:p w14:paraId="56479242" w14:textId="77777777" w:rsidR="00BE2C54" w:rsidRDefault="00DC4EDF" w:rsidP="00DC4EDF">
      <w:pPr>
        <w:spacing w:line="480" w:lineRule="auto"/>
      </w:pPr>
      <w:r>
        <w:lastRenderedPageBreak/>
        <w:t xml:space="preserve">7. Oliver GF, Orang AV, </w:t>
      </w:r>
      <w:proofErr w:type="spellStart"/>
      <w:r>
        <w:t>Appukuttan</w:t>
      </w:r>
      <w:proofErr w:type="spellEnd"/>
      <w:r>
        <w:t xml:space="preserve"> B, Marri S, Michael MZ, Marsh GA, et al. Expression of microRNA in human retinal pigment epithelial cells following infection with Zaire Ebolavirus. BMC Res Notes. </w:t>
      </w:r>
      <w:proofErr w:type="gramStart"/>
      <w:r>
        <w:t>2019;12:639</w:t>
      </w:r>
      <w:proofErr w:type="gramEnd"/>
      <w:r>
        <w:t xml:space="preserve">. </w:t>
      </w:r>
      <w:proofErr w:type="spellStart"/>
      <w:r>
        <w:t>doi</w:t>
      </w:r>
      <w:proofErr w:type="spellEnd"/>
      <w:r>
        <w:t xml:space="preserve">: </w:t>
      </w:r>
      <w:hyperlink r:id="rId19" w:history="1">
        <w:r>
          <w:rPr>
            <w:rStyle w:val="af5"/>
          </w:rPr>
          <w:t>10.1186/s13104-019-4671-8</w:t>
        </w:r>
      </w:hyperlink>
      <w:r>
        <w:t>.</w:t>
      </w:r>
    </w:p>
    <w:p w14:paraId="12C2D322" w14:textId="77777777" w:rsidR="00BE2C54" w:rsidRPr="00DC4EDF" w:rsidRDefault="00DC4EDF" w:rsidP="00DC4EDF">
      <w:pPr>
        <w:spacing w:line="480" w:lineRule="auto"/>
      </w:pPr>
      <w:r>
        <w:t xml:space="preserve">8. You A, Rao G, Wang J, Li J, Zhang Y, Gu J, et al. MiR-433-3p restrains the proliferation, migration and invasion of glioma cells via targeting SMC4. </w:t>
      </w:r>
      <w:r w:rsidRPr="00DC4EDF">
        <w:t xml:space="preserve">Brain Res. </w:t>
      </w:r>
      <w:proofErr w:type="gramStart"/>
      <w:r w:rsidRPr="00DC4EDF">
        <w:t>2021;1767:147563</w:t>
      </w:r>
      <w:proofErr w:type="gramEnd"/>
      <w:r w:rsidRPr="00DC4EDF">
        <w:t xml:space="preserve">. </w:t>
      </w:r>
      <w:proofErr w:type="spellStart"/>
      <w:r w:rsidRPr="00DC4EDF">
        <w:t>doi</w:t>
      </w:r>
      <w:proofErr w:type="spellEnd"/>
      <w:r w:rsidRPr="00DC4EDF">
        <w:t xml:space="preserve">: </w:t>
      </w:r>
      <w:hyperlink r:id="rId20" w:history="1">
        <w:r w:rsidRPr="00DC4EDF">
          <w:rPr>
            <w:rStyle w:val="af5"/>
          </w:rPr>
          <w:t>10.1016/j.brainres.2021.147563</w:t>
        </w:r>
      </w:hyperlink>
      <w:r w:rsidRPr="00DC4EDF">
        <w:t>.</w:t>
      </w:r>
    </w:p>
    <w:p w14:paraId="572A7B11" w14:textId="77777777" w:rsidR="00BE2C54" w:rsidRDefault="00DC4EDF" w:rsidP="00DC4EDF">
      <w:pPr>
        <w:spacing w:line="480" w:lineRule="auto"/>
      </w:pPr>
      <w:r w:rsidRPr="00DC4EDF">
        <w:t xml:space="preserve">9. Zhang J, Guo Y, Ma Y, Wang L, Li W, Zhang M, et al. </w:t>
      </w:r>
      <w:r>
        <w:t xml:space="preserve">miR-433-3p targets AJUBA to inhibit malignant progression of glioma. Neuroimmunomodulation. </w:t>
      </w:r>
      <w:proofErr w:type="gramStart"/>
      <w:r>
        <w:t>2022;29:44</w:t>
      </w:r>
      <w:proofErr w:type="gramEnd"/>
      <w:r>
        <w:t xml:space="preserve">–54. </w:t>
      </w:r>
      <w:proofErr w:type="spellStart"/>
      <w:r>
        <w:t>doi</w:t>
      </w:r>
      <w:proofErr w:type="spellEnd"/>
      <w:r>
        <w:t xml:space="preserve">: </w:t>
      </w:r>
      <w:hyperlink r:id="rId21" w:history="1">
        <w:r>
          <w:t>10.1159/000518084</w:t>
        </w:r>
      </w:hyperlink>
      <w:r>
        <w:t>.</w:t>
      </w:r>
    </w:p>
    <w:p w14:paraId="13C03277" w14:textId="77777777" w:rsidR="00BE2C54" w:rsidRDefault="00DC4EDF" w:rsidP="00DC4EDF">
      <w:pPr>
        <w:spacing w:line="480" w:lineRule="auto"/>
      </w:pPr>
      <w:r>
        <w:t>10. Chen S, Tu Y, Yuan H, Shi Z, Guo Y, Gong W, et al. Regulatory functions of miR</w:t>
      </w:r>
      <w:r>
        <w:noBreakHyphen/>
        <w:t>200b</w:t>
      </w:r>
      <w:r>
        <w:noBreakHyphen/>
        <w:t xml:space="preserve">3p in tumor development ((Review). Oncol Rep. </w:t>
      </w:r>
      <w:proofErr w:type="gramStart"/>
      <w:r>
        <w:t>2022;47:96</w:t>
      </w:r>
      <w:proofErr w:type="gramEnd"/>
      <w:r>
        <w:t xml:space="preserve">. </w:t>
      </w:r>
      <w:proofErr w:type="spellStart"/>
      <w:r>
        <w:t>doi</w:t>
      </w:r>
      <w:proofErr w:type="spellEnd"/>
      <w:r>
        <w:t xml:space="preserve">: </w:t>
      </w:r>
      <w:hyperlink r:id="rId22" w:history="1">
        <w:r>
          <w:rPr>
            <w:rStyle w:val="af5"/>
          </w:rPr>
          <w:t>10.3892/or.2022.8307</w:t>
        </w:r>
      </w:hyperlink>
      <w:r>
        <w:t>.</w:t>
      </w:r>
    </w:p>
    <w:sectPr w:rsidR="00BE2C54" w:rsidSect="00DC4EDF">
      <w:headerReference w:type="even" r:id="rId23"/>
      <w:footerReference w:type="even" r:id="rId24"/>
      <w:footerReference w:type="default" r:id="rId25"/>
      <w:headerReference w:type="first" r:id="rId26"/>
      <w:pgSz w:w="11906" w:h="16838"/>
      <w:pgMar w:top="1701" w:right="1440" w:bottom="1440" w:left="1440" w:header="720" w:footer="720" w:gutter="0"/>
      <w:lnNumType w:countBy="1" w:restart="continuous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077E0A" w14:textId="77777777" w:rsidR="00067026" w:rsidRDefault="00067026">
      <w:pPr>
        <w:spacing w:before="0" w:after="0"/>
      </w:pPr>
      <w:r>
        <w:separator/>
      </w:r>
    </w:p>
  </w:endnote>
  <w:endnote w:type="continuationSeparator" w:id="0">
    <w:p w14:paraId="2AC6BE64" w14:textId="77777777" w:rsidR="00067026" w:rsidRDefault="00067026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2895990"/>
      <w:docPartObj>
        <w:docPartGallery w:val="Page Numbers (Bottom of Page)"/>
        <w:docPartUnique/>
      </w:docPartObj>
    </w:sdtPr>
    <w:sdtEndPr/>
    <w:sdtContent>
      <w:p w14:paraId="506280E7" w14:textId="178BE633" w:rsidR="008452A5" w:rsidRDefault="008452A5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 w:eastAsia="ko-KR"/>
          </w:rPr>
          <w:t>2</w:t>
        </w:r>
        <w:r>
          <w:fldChar w:fldCharType="end"/>
        </w:r>
      </w:p>
    </w:sdtContent>
  </w:sdt>
  <w:p w14:paraId="168227B6" w14:textId="77777777" w:rsidR="008452A5" w:rsidRDefault="008452A5">
    <w:pPr>
      <w:pStyle w:val="af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686599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9E9889E" w14:textId="77777777" w:rsidR="00F53BDF" w:rsidRDefault="00DC4EDF">
        <w:pPr>
          <w:pStyle w:val="af2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F2AF1A2" w14:textId="77777777" w:rsidR="00BE2C54" w:rsidRDefault="00BE2C54">
    <w:pPr>
      <w:pStyle w:val="af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75722692"/>
      <w:docPartObj>
        <w:docPartGallery w:val="Page Numbers (Bottom of Page)"/>
        <w:docPartUnique/>
      </w:docPartObj>
    </w:sdtPr>
    <w:sdtEndPr/>
    <w:sdtContent>
      <w:p w14:paraId="507B4787" w14:textId="1E391026" w:rsidR="008452A5" w:rsidRDefault="008452A5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 w:eastAsia="ko-KR"/>
          </w:rPr>
          <w:t>2</w:t>
        </w:r>
        <w:r>
          <w:fldChar w:fldCharType="end"/>
        </w:r>
      </w:p>
    </w:sdtContent>
  </w:sdt>
  <w:p w14:paraId="16337E26" w14:textId="77777777" w:rsidR="008452A5" w:rsidRDefault="008452A5">
    <w:pPr>
      <w:pStyle w:val="af2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AEA17" w14:textId="77777777" w:rsidR="00BE2C54" w:rsidRDefault="00DC4EDF">
    <w:pPr>
      <w:rPr>
        <w:color w:val="C00000"/>
      </w:rPr>
    </w:pPr>
    <w:r>
      <w:rPr>
        <w:noProof/>
        <w:color w:val="000000"/>
        <w:lang w:bidi="he-I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B34CC48" wp14:editId="338DECA7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50F5651" w14:textId="77777777" w:rsidR="00BE2C54" w:rsidRDefault="00DC4EDF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F53BDF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6</w:t>
                          </w:r>
                          <w:r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B34CC4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" filled="f" stroked="f" strokeweight=".5pt">
              <v:textbox style="mso-fit-shape-to-text:t">
                <w:txbxContent>
                  <w:p w14:paraId="650F5651" w14:textId="77777777" w:rsidR="00BE2C54" w:rsidRDefault="00DC4EDF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F53BDF">
                      <w:rPr>
                        <w:noProof/>
                        <w:color w:val="000000" w:themeColor="text1"/>
                        <w:szCs w:val="40"/>
                      </w:rPr>
                      <w:t>6</w:t>
                    </w:r>
                    <w:r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16361806"/>
      <w:docPartObj>
        <w:docPartGallery w:val="Page Numbers (Bottom of Page)"/>
        <w:docPartUnique/>
      </w:docPartObj>
    </w:sdtPr>
    <w:sdtEndPr/>
    <w:sdtContent>
      <w:p w14:paraId="4BE246E2" w14:textId="79AA253F" w:rsidR="008452A5" w:rsidRDefault="008452A5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 w:eastAsia="ko-KR"/>
          </w:rPr>
          <w:t>2</w:t>
        </w:r>
        <w:r>
          <w:fldChar w:fldCharType="end"/>
        </w:r>
      </w:p>
    </w:sdtContent>
  </w:sdt>
  <w:p w14:paraId="3FF0BFE3" w14:textId="49BF530F" w:rsidR="00BE2C54" w:rsidRDefault="00BE2C54">
    <w:pPr>
      <w:rPr>
        <w:b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0AE5FA" w14:textId="77777777" w:rsidR="00067026" w:rsidRDefault="00067026">
      <w:pPr>
        <w:spacing w:before="0" w:after="0"/>
      </w:pPr>
      <w:r>
        <w:separator/>
      </w:r>
    </w:p>
  </w:footnote>
  <w:footnote w:type="continuationSeparator" w:id="0">
    <w:p w14:paraId="349C33BB" w14:textId="77777777" w:rsidR="00067026" w:rsidRDefault="00067026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AA96B" w14:textId="77777777" w:rsidR="00BE2C54" w:rsidRDefault="00DC4EDF">
    <w:r>
      <w:ptab w:relativeTo="margin" w:alignment="center" w:leader="none"/>
    </w:r>
    <w:r>
      <w:ptab w:relativeTo="margin" w:alignment="right" w:leader="none"/>
    </w:r>
    <w: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8A7CD" w14:textId="77777777" w:rsidR="00BE2C54" w:rsidRDefault="00DC4EDF"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56791"/>
    <w:multiLevelType w:val="multilevel"/>
    <w:tmpl w:val="00000000"/>
    <w:lvl w:ilvl="0">
      <w:start w:val="1"/>
      <w:numFmt w:val="decimal"/>
      <w:lvlText w:val="%1."/>
      <w:lvlJc w:val="left"/>
      <w:pPr>
        <w:ind w:left="0" w:firstLine="0"/>
      </w:pPr>
      <w:rPr>
        <w:b/>
      </w:r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eastAsia="Times New Roman" w:hAnsi="Times New Roman" w:cs="Times New Roman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A406FA1"/>
    <w:multiLevelType w:val="multilevel"/>
    <w:tmpl w:val="98EAB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B1D45D"/>
    <w:multiLevelType w:val="multilevel"/>
    <w:tmpl w:val="00000000"/>
    <w:lvl w:ilvl="0">
      <w:start w:val="1"/>
      <w:numFmt w:val="decimal"/>
      <w:pStyle w:val="1"/>
      <w:lvlText w:val="%1"/>
      <w:lvlJc w:val="left"/>
      <w:pPr>
        <w:ind w:left="567" w:hanging="567"/>
      </w:pPr>
    </w:lvl>
    <w:lvl w:ilvl="1">
      <w:start w:val="1"/>
      <w:numFmt w:val="decimal"/>
      <w:lvlText w:val="%1.%2"/>
      <w:lvlJc w:val="left"/>
      <w:pPr>
        <w:ind w:left="567" w:hanging="567"/>
      </w:pPr>
    </w:lvl>
    <w:lvl w:ilvl="2">
      <w:start w:val="1"/>
      <w:numFmt w:val="decimal"/>
      <w:pStyle w:val="3"/>
      <w:lvlText w:val="%1.%2.%3"/>
      <w:lvlJc w:val="left"/>
      <w:pPr>
        <w:ind w:left="567" w:hanging="567"/>
      </w:pPr>
    </w:lvl>
    <w:lvl w:ilvl="3">
      <w:start w:val="1"/>
      <w:numFmt w:val="decimal"/>
      <w:lvlText w:val="%1.%2.%3.%4"/>
      <w:lvlJc w:val="left"/>
      <w:pPr>
        <w:ind w:left="567" w:hanging="567"/>
      </w:pPr>
    </w:lvl>
    <w:lvl w:ilvl="4">
      <w:start w:val="1"/>
      <w:numFmt w:val="decimal"/>
      <w:lvlText w:val="%1.%2.%3.%4.%5"/>
      <w:lvlJc w:val="left"/>
      <w:pPr>
        <w:ind w:left="567" w:hanging="567"/>
      </w:pPr>
    </w:lvl>
    <w:lvl w:ilvl="5">
      <w:start w:val="1"/>
      <w:numFmt w:val="lowerRoman"/>
      <w:lvlText w:val="%6."/>
      <w:lvlJc w:val="left"/>
      <w:pPr>
        <w:ind w:left="567" w:hanging="567"/>
      </w:pPr>
    </w:lvl>
    <w:lvl w:ilvl="6">
      <w:start w:val="1"/>
      <w:numFmt w:val="decimal"/>
      <w:lvlText w:val="%7."/>
      <w:lvlJc w:val="left"/>
      <w:pPr>
        <w:ind w:left="567" w:hanging="567"/>
      </w:pPr>
    </w:lvl>
    <w:lvl w:ilvl="7">
      <w:start w:val="1"/>
      <w:numFmt w:val="lowerLetter"/>
      <w:lvlText w:val="%8."/>
      <w:lvlJc w:val="left"/>
      <w:pPr>
        <w:ind w:left="567" w:hanging="567"/>
      </w:pPr>
    </w:lvl>
    <w:lvl w:ilvl="8">
      <w:start w:val="1"/>
      <w:numFmt w:val="lowerRoman"/>
      <w:lvlText w:val="%9."/>
      <w:lvlJc w:val="left"/>
      <w:pPr>
        <w:ind w:left="567" w:hanging="567"/>
      </w:pPr>
    </w:lvl>
  </w:abstractNum>
  <w:abstractNum w:abstractNumId="3" w15:restartNumberingAfterBreak="0">
    <w:nsid w:val="4EE03FB6"/>
    <w:multiLevelType w:val="hybridMultilevel"/>
    <w:tmpl w:val="00000000"/>
    <w:lvl w:ilvl="0" w:tplc="E74CE574">
      <w:start w:val="1"/>
      <w:numFmt w:val="bullet"/>
      <w:pStyle w:val="a"/>
      <w:lvlText w:val=""/>
      <w:lvlJc w:val="left"/>
      <w:pPr>
        <w:ind w:left="1440" w:hanging="360"/>
      </w:pPr>
      <w:rPr>
        <w:rFonts w:ascii="Symbol" w:eastAsia="Symbol" w:hAnsi="Symbol" w:cs="Symbol"/>
      </w:rPr>
    </w:lvl>
    <w:lvl w:ilvl="1" w:tplc="22CEC332">
      <w:start w:val="1"/>
      <w:numFmt w:val="decimal"/>
      <w:lvlText w:val=""/>
      <w:lvlJc w:val="left"/>
    </w:lvl>
    <w:lvl w:ilvl="2" w:tplc="D0DE8C36">
      <w:start w:val="1"/>
      <w:numFmt w:val="decimal"/>
      <w:lvlText w:val=""/>
      <w:lvlJc w:val="left"/>
    </w:lvl>
    <w:lvl w:ilvl="3" w:tplc="71507C4C">
      <w:start w:val="1"/>
      <w:numFmt w:val="decimal"/>
      <w:lvlText w:val=""/>
      <w:lvlJc w:val="left"/>
    </w:lvl>
    <w:lvl w:ilvl="4" w:tplc="FB2A3320">
      <w:start w:val="1"/>
      <w:numFmt w:val="decimal"/>
      <w:lvlText w:val=""/>
      <w:lvlJc w:val="left"/>
    </w:lvl>
    <w:lvl w:ilvl="5" w:tplc="A44C7CFA">
      <w:start w:val="1"/>
      <w:numFmt w:val="decimal"/>
      <w:lvlText w:val=""/>
      <w:lvlJc w:val="left"/>
    </w:lvl>
    <w:lvl w:ilvl="6" w:tplc="08E0E84C">
      <w:start w:val="1"/>
      <w:numFmt w:val="decimal"/>
      <w:lvlText w:val=""/>
      <w:lvlJc w:val="left"/>
    </w:lvl>
    <w:lvl w:ilvl="7" w:tplc="54ACA600">
      <w:start w:val="1"/>
      <w:numFmt w:val="decimal"/>
      <w:lvlText w:val=""/>
      <w:lvlJc w:val="left"/>
    </w:lvl>
    <w:lvl w:ilvl="8" w:tplc="F732E0F6">
      <w:start w:val="1"/>
      <w:numFmt w:val="decimal"/>
      <w:lvlText w:val=""/>
      <w:lvlJc w:val="left"/>
    </w:lvl>
  </w:abstractNum>
  <w:abstractNum w:abstractNumId="4" w15:restartNumberingAfterBreak="0">
    <w:nsid w:val="54472591"/>
    <w:multiLevelType w:val="hybridMultilevel"/>
    <w:tmpl w:val="00000000"/>
    <w:lvl w:ilvl="0" w:tplc="318C0DA2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5B4C0C88">
      <w:start w:val="1"/>
      <w:numFmt w:val="decimal"/>
      <w:lvlText w:val=""/>
      <w:lvlJc w:val="left"/>
    </w:lvl>
    <w:lvl w:ilvl="2" w:tplc="FBEC100A">
      <w:start w:val="1"/>
      <w:numFmt w:val="decimal"/>
      <w:lvlText w:val=""/>
      <w:lvlJc w:val="left"/>
    </w:lvl>
    <w:lvl w:ilvl="3" w:tplc="BDAAC7A0">
      <w:start w:val="1"/>
      <w:numFmt w:val="decimal"/>
      <w:lvlText w:val=""/>
      <w:lvlJc w:val="left"/>
    </w:lvl>
    <w:lvl w:ilvl="4" w:tplc="D8DC16CA">
      <w:start w:val="1"/>
      <w:numFmt w:val="decimal"/>
      <w:lvlText w:val=""/>
      <w:lvlJc w:val="left"/>
    </w:lvl>
    <w:lvl w:ilvl="5" w:tplc="8E5E2F18">
      <w:start w:val="1"/>
      <w:numFmt w:val="decimal"/>
      <w:lvlText w:val=""/>
      <w:lvlJc w:val="left"/>
    </w:lvl>
    <w:lvl w:ilvl="6" w:tplc="F8BABA40">
      <w:start w:val="1"/>
      <w:numFmt w:val="decimal"/>
      <w:lvlText w:val=""/>
      <w:lvlJc w:val="left"/>
    </w:lvl>
    <w:lvl w:ilvl="7" w:tplc="D8B8C332">
      <w:start w:val="1"/>
      <w:numFmt w:val="decimal"/>
      <w:lvlText w:val=""/>
      <w:lvlJc w:val="left"/>
    </w:lvl>
    <w:lvl w:ilvl="8" w:tplc="CC208FAE">
      <w:start w:val="1"/>
      <w:numFmt w:val="decimal"/>
      <w:lvlText w:val=""/>
      <w:lvlJc w:val="left"/>
    </w:lvl>
  </w:abstractNum>
  <w:abstractNum w:abstractNumId="5" w15:restartNumberingAfterBreak="0">
    <w:nsid w:val="61FE47AB"/>
    <w:multiLevelType w:val="multilevel"/>
    <w:tmpl w:val="00000000"/>
    <w:lvl w:ilvl="0">
      <w:start w:val="1"/>
      <w:numFmt w:val="decimal"/>
      <w:lvlText w:val="%1"/>
      <w:lvlJc w:val="left"/>
      <w:pPr>
        <w:ind w:left="567" w:hanging="567"/>
      </w:pPr>
    </w:lvl>
    <w:lvl w:ilvl="1">
      <w:start w:val="1"/>
      <w:numFmt w:val="decimal"/>
      <w:lvlText w:val="%1.%2"/>
      <w:lvlJc w:val="left"/>
      <w:pPr>
        <w:ind w:left="567" w:hanging="567"/>
      </w:pPr>
    </w:lvl>
    <w:lvl w:ilvl="2">
      <w:start w:val="1"/>
      <w:numFmt w:val="decimal"/>
      <w:lvlText w:val="%1.%2.%3"/>
      <w:lvlJc w:val="left"/>
      <w:pPr>
        <w:ind w:left="567" w:hanging="567"/>
      </w:pPr>
    </w:lvl>
    <w:lvl w:ilvl="3">
      <w:start w:val="1"/>
      <w:numFmt w:val="decimal"/>
      <w:lvlText w:val="%1.%2.%3.%4"/>
      <w:lvlJc w:val="left"/>
      <w:pPr>
        <w:ind w:left="567" w:hanging="567"/>
      </w:pPr>
    </w:lvl>
    <w:lvl w:ilvl="4">
      <w:start w:val="1"/>
      <w:numFmt w:val="decimal"/>
      <w:lvlText w:val="%1.%2.%3.%4.%5"/>
      <w:lvlJc w:val="left"/>
      <w:pPr>
        <w:ind w:left="567" w:hanging="567"/>
      </w:pPr>
    </w:lvl>
    <w:lvl w:ilvl="5">
      <w:start w:val="1"/>
      <w:numFmt w:val="lowerRoman"/>
      <w:lvlText w:val="%6."/>
      <w:lvlJc w:val="left"/>
      <w:pPr>
        <w:ind w:left="567" w:hanging="567"/>
      </w:pPr>
    </w:lvl>
    <w:lvl w:ilvl="6">
      <w:start w:val="1"/>
      <w:numFmt w:val="decimal"/>
      <w:lvlText w:val="%7."/>
      <w:lvlJc w:val="left"/>
      <w:pPr>
        <w:ind w:left="567" w:hanging="567"/>
      </w:pPr>
    </w:lvl>
    <w:lvl w:ilvl="7">
      <w:start w:val="1"/>
      <w:numFmt w:val="lowerLetter"/>
      <w:lvlText w:val="%8."/>
      <w:lvlJc w:val="left"/>
      <w:pPr>
        <w:ind w:left="567" w:hanging="567"/>
      </w:pPr>
    </w:lvl>
    <w:lvl w:ilvl="8">
      <w:start w:val="1"/>
      <w:numFmt w:val="lowerRoman"/>
      <w:lvlText w:val="%9."/>
      <w:lvlJc w:val="left"/>
      <w:pPr>
        <w:ind w:left="567" w:hanging="567"/>
      </w:pPr>
    </w:lvl>
  </w:abstractNum>
  <w:abstractNum w:abstractNumId="6" w15:restartNumberingAfterBreak="0">
    <w:nsid w:val="6BBFF794"/>
    <w:multiLevelType w:val="hybridMultilevel"/>
    <w:tmpl w:val="00000000"/>
    <w:lvl w:ilvl="0" w:tplc="45F65882">
      <w:start w:val="1"/>
      <w:numFmt w:val="decimal"/>
      <w:lvlText w:val="%1."/>
      <w:lvlJc w:val="left"/>
      <w:pPr>
        <w:ind w:left="720" w:hanging="360"/>
      </w:pPr>
    </w:lvl>
    <w:lvl w:ilvl="1" w:tplc="D9D2DCEC">
      <w:start w:val="1"/>
      <w:numFmt w:val="decimal"/>
      <w:lvlText w:val=""/>
      <w:lvlJc w:val="left"/>
    </w:lvl>
    <w:lvl w:ilvl="2" w:tplc="F0AA4CB0">
      <w:start w:val="1"/>
      <w:numFmt w:val="decimal"/>
      <w:lvlText w:val=""/>
      <w:lvlJc w:val="left"/>
    </w:lvl>
    <w:lvl w:ilvl="3" w:tplc="85B4C2F2">
      <w:start w:val="1"/>
      <w:numFmt w:val="decimal"/>
      <w:lvlText w:val=""/>
      <w:lvlJc w:val="left"/>
    </w:lvl>
    <w:lvl w:ilvl="4" w:tplc="4EDA677E">
      <w:start w:val="1"/>
      <w:numFmt w:val="decimal"/>
      <w:lvlText w:val=""/>
      <w:lvlJc w:val="left"/>
    </w:lvl>
    <w:lvl w:ilvl="5" w:tplc="C6764A0E">
      <w:start w:val="1"/>
      <w:numFmt w:val="decimal"/>
      <w:lvlText w:val=""/>
      <w:lvlJc w:val="left"/>
    </w:lvl>
    <w:lvl w:ilvl="6" w:tplc="5F18A6DC">
      <w:start w:val="1"/>
      <w:numFmt w:val="decimal"/>
      <w:lvlText w:val=""/>
      <w:lvlJc w:val="left"/>
    </w:lvl>
    <w:lvl w:ilvl="7" w:tplc="B5A895D8">
      <w:start w:val="1"/>
      <w:numFmt w:val="decimal"/>
      <w:lvlText w:val=""/>
      <w:lvlJc w:val="left"/>
    </w:lvl>
    <w:lvl w:ilvl="8" w:tplc="0CD463A0">
      <w:start w:val="1"/>
      <w:numFmt w:val="decimal"/>
      <w:lvlText w:val=""/>
      <w:lvlJc w:val="left"/>
    </w:lvl>
  </w:abstractNum>
  <w:abstractNum w:abstractNumId="7" w15:restartNumberingAfterBreak="0">
    <w:nsid w:val="6E216A11"/>
    <w:multiLevelType w:val="hybridMultilevel"/>
    <w:tmpl w:val="00000000"/>
    <w:lvl w:ilvl="0" w:tplc="3E5224C8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59F8F8B6">
      <w:start w:val="1"/>
      <w:numFmt w:val="decimal"/>
      <w:lvlText w:val=""/>
      <w:lvlJc w:val="left"/>
    </w:lvl>
    <w:lvl w:ilvl="2" w:tplc="13B6A1FE">
      <w:start w:val="1"/>
      <w:numFmt w:val="decimal"/>
      <w:lvlText w:val=""/>
      <w:lvlJc w:val="left"/>
    </w:lvl>
    <w:lvl w:ilvl="3" w:tplc="0AFCB8C4">
      <w:start w:val="1"/>
      <w:numFmt w:val="decimal"/>
      <w:lvlText w:val=""/>
      <w:lvlJc w:val="left"/>
    </w:lvl>
    <w:lvl w:ilvl="4" w:tplc="AF42EDDE">
      <w:start w:val="1"/>
      <w:numFmt w:val="decimal"/>
      <w:lvlText w:val=""/>
      <w:lvlJc w:val="left"/>
    </w:lvl>
    <w:lvl w:ilvl="5" w:tplc="014AE12E">
      <w:start w:val="1"/>
      <w:numFmt w:val="decimal"/>
      <w:lvlText w:val=""/>
      <w:lvlJc w:val="left"/>
    </w:lvl>
    <w:lvl w:ilvl="6" w:tplc="2994782A">
      <w:start w:val="1"/>
      <w:numFmt w:val="decimal"/>
      <w:lvlText w:val=""/>
      <w:lvlJc w:val="left"/>
    </w:lvl>
    <w:lvl w:ilvl="7" w:tplc="6262E300">
      <w:start w:val="1"/>
      <w:numFmt w:val="decimal"/>
      <w:lvlText w:val=""/>
      <w:lvlJc w:val="left"/>
    </w:lvl>
    <w:lvl w:ilvl="8" w:tplc="29D4127C">
      <w:start w:val="1"/>
      <w:numFmt w:val="decimal"/>
      <w:lvlText w:val=""/>
      <w:lvlJc w:val="left"/>
    </w:lvl>
  </w:abstractNum>
  <w:num w:numId="1" w16cid:durableId="821701801">
    <w:abstractNumId w:val="0"/>
  </w:num>
  <w:num w:numId="2" w16cid:durableId="62677648">
    <w:abstractNumId w:val="4"/>
  </w:num>
  <w:num w:numId="3" w16cid:durableId="166093781">
    <w:abstractNumId w:val="2"/>
  </w:num>
  <w:num w:numId="4" w16cid:durableId="276765584">
    <w:abstractNumId w:val="3"/>
  </w:num>
  <w:num w:numId="5" w16cid:durableId="169103498">
    <w:abstractNumId w:val="6"/>
  </w:num>
  <w:num w:numId="6" w16cid:durableId="511069546">
    <w:abstractNumId w:val="7"/>
  </w:num>
  <w:num w:numId="7" w16cid:durableId="175389435">
    <w:abstractNumId w:val="5"/>
  </w:num>
  <w:num w:numId="8" w16cid:durableId="16533651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zA3MDYxt7A0BQEjJR2l4NTi4sz8PJACw1oAx6GzHSwAAAA="/>
  </w:docVars>
  <w:rsids>
    <w:rsidRoot w:val="00BE2C54"/>
    <w:rsid w:val="00067026"/>
    <w:rsid w:val="00096E57"/>
    <w:rsid w:val="000D3416"/>
    <w:rsid w:val="001B057C"/>
    <w:rsid w:val="00211911"/>
    <w:rsid w:val="00241437"/>
    <w:rsid w:val="006B1C30"/>
    <w:rsid w:val="006B3A80"/>
    <w:rsid w:val="006B4CEC"/>
    <w:rsid w:val="007713FD"/>
    <w:rsid w:val="007834E9"/>
    <w:rsid w:val="008452A5"/>
    <w:rsid w:val="0094322A"/>
    <w:rsid w:val="009E69F0"/>
    <w:rsid w:val="00B10E2D"/>
    <w:rsid w:val="00B303D0"/>
    <w:rsid w:val="00B54CB4"/>
    <w:rsid w:val="00B978E9"/>
    <w:rsid w:val="00BE2C54"/>
    <w:rsid w:val="00CB1472"/>
    <w:rsid w:val="00CB37A6"/>
    <w:rsid w:val="00D41575"/>
    <w:rsid w:val="00DC4EDF"/>
    <w:rsid w:val="00E13737"/>
    <w:rsid w:val="00E30BD4"/>
    <w:rsid w:val="00F01C32"/>
    <w:rsid w:val="00F53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ko-K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04B03C"/>
  <w15:docId w15:val="{7E39C2D0-D77F-4E80-85AF-E14EC58CE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바탕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spacing w:before="120" w:after="240" w:line="240" w:lineRule="auto"/>
    </w:pPr>
    <w:rPr>
      <w:rFonts w:ascii="Times New Roman" w:eastAsia="Times New Roman" w:hAnsi="Times New Roman" w:cs="Times New Roman"/>
      <w:sz w:val="24"/>
    </w:rPr>
  </w:style>
  <w:style w:type="paragraph" w:styleId="1">
    <w:name w:val="heading 1"/>
    <w:basedOn w:val="a"/>
    <w:qFormat/>
    <w:pPr>
      <w:numPr>
        <w:numId w:val="3"/>
      </w:numPr>
      <w:spacing w:before="240"/>
      <w:contextualSpacing w:val="0"/>
      <w:outlineLvl w:val="0"/>
    </w:pPr>
    <w:rPr>
      <w:b/>
    </w:rPr>
  </w:style>
  <w:style w:type="paragraph" w:styleId="2">
    <w:name w:val="heading 2"/>
    <w:basedOn w:val="1"/>
    <w:qFormat/>
    <w:pPr>
      <w:spacing w:after="200"/>
      <w:outlineLvl w:val="1"/>
    </w:pPr>
  </w:style>
  <w:style w:type="paragraph" w:styleId="3">
    <w:name w:val="heading 3"/>
    <w:basedOn w:val="a0"/>
    <w:qFormat/>
    <w:pPr>
      <w:keepNext/>
      <w:keepLines/>
      <w:numPr>
        <w:ilvl w:val="2"/>
        <w:numId w:val="3"/>
      </w:numPr>
      <w:spacing w:before="40" w:after="120"/>
      <w:outlineLvl w:val="2"/>
    </w:pPr>
    <w:rPr>
      <w:b/>
    </w:rPr>
  </w:style>
  <w:style w:type="paragraph" w:styleId="4">
    <w:name w:val="heading 4"/>
    <w:basedOn w:val="3"/>
    <w:pPr>
      <w:outlineLvl w:val="3"/>
    </w:pPr>
  </w:style>
  <w:style w:type="paragraph" w:styleId="5">
    <w:name w:val="heading 5"/>
    <w:basedOn w:val="4"/>
    <w:pPr>
      <w:outlineLvl w:val="4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TOC11">
    <w:name w:val="TOC 11"/>
    <w:basedOn w:val="a0"/>
    <w:pPr>
      <w:spacing w:line="305" w:lineRule="auto"/>
    </w:pPr>
    <w:rPr>
      <w:rFonts w:ascii="Calibri" w:eastAsia="Calibri" w:hAnsi="Calibri" w:cs="Calibri"/>
      <w:sz w:val="26"/>
    </w:rPr>
  </w:style>
  <w:style w:type="paragraph" w:customStyle="1" w:styleId="TOC21">
    <w:name w:val="TOC 21"/>
    <w:basedOn w:val="a0"/>
    <w:pPr>
      <w:spacing w:line="330" w:lineRule="auto"/>
    </w:pPr>
    <w:rPr>
      <w:rFonts w:ascii="Calibri" w:eastAsia="Calibri" w:hAnsi="Calibri" w:cs="Calibri"/>
    </w:rPr>
  </w:style>
  <w:style w:type="paragraph" w:customStyle="1" w:styleId="TOC31">
    <w:name w:val="TOC 31"/>
    <w:basedOn w:val="a0"/>
    <w:pPr>
      <w:spacing w:line="360" w:lineRule="auto"/>
    </w:pPr>
    <w:rPr>
      <w:rFonts w:ascii="Calibri" w:eastAsia="Calibri" w:hAnsi="Calibri" w:cs="Calibri"/>
      <w:sz w:val="22"/>
    </w:rPr>
  </w:style>
  <w:style w:type="paragraph" w:customStyle="1" w:styleId="TOC41">
    <w:name w:val="TOC 41"/>
    <w:basedOn w:val="a0"/>
    <w:pPr>
      <w:spacing w:line="330" w:lineRule="exact"/>
    </w:pPr>
    <w:rPr>
      <w:rFonts w:ascii="Calibri" w:eastAsia="Calibri" w:hAnsi="Calibri" w:cs="Calibri"/>
    </w:rPr>
  </w:style>
  <w:style w:type="paragraph" w:customStyle="1" w:styleId="TOC51">
    <w:name w:val="TOC 51"/>
    <w:basedOn w:val="a0"/>
    <w:pPr>
      <w:spacing w:line="330" w:lineRule="exact"/>
    </w:pPr>
    <w:rPr>
      <w:rFonts w:ascii="Calibri" w:eastAsia="Calibri" w:hAnsi="Calibri" w:cs="Calibri"/>
    </w:rPr>
  </w:style>
  <w:style w:type="paragraph" w:customStyle="1" w:styleId="TOC61">
    <w:name w:val="TOC 61"/>
    <w:basedOn w:val="a0"/>
    <w:pPr>
      <w:spacing w:line="330" w:lineRule="exact"/>
    </w:pPr>
    <w:rPr>
      <w:rFonts w:ascii="Calibri" w:eastAsia="Calibri" w:hAnsi="Calibri" w:cs="Calibri"/>
    </w:rPr>
  </w:style>
  <w:style w:type="paragraph" w:customStyle="1" w:styleId="TOC71">
    <w:name w:val="TOC 71"/>
    <w:basedOn w:val="a0"/>
    <w:pPr>
      <w:spacing w:line="330" w:lineRule="exact"/>
    </w:pPr>
    <w:rPr>
      <w:rFonts w:ascii="Calibri" w:eastAsia="Calibri" w:hAnsi="Calibri" w:cs="Calibri"/>
    </w:rPr>
  </w:style>
  <w:style w:type="paragraph" w:customStyle="1" w:styleId="TOC81">
    <w:name w:val="TOC 81"/>
    <w:basedOn w:val="a0"/>
    <w:pPr>
      <w:spacing w:line="330" w:lineRule="exact"/>
    </w:pPr>
    <w:rPr>
      <w:rFonts w:ascii="Calibri" w:eastAsia="Calibri" w:hAnsi="Calibri" w:cs="Calibri"/>
    </w:rPr>
  </w:style>
  <w:style w:type="paragraph" w:customStyle="1" w:styleId="TOC91">
    <w:name w:val="TOC 91"/>
    <w:basedOn w:val="a0"/>
    <w:pPr>
      <w:spacing w:line="330" w:lineRule="exact"/>
    </w:pPr>
    <w:rPr>
      <w:rFonts w:ascii="Calibri" w:eastAsia="Calibri" w:hAnsi="Calibri" w:cs="Calibri"/>
    </w:rPr>
  </w:style>
  <w:style w:type="table" w:styleId="a4">
    <w:name w:val="Table Grid"/>
    <w:basedOn w:val="a2"/>
    <w:pPr>
      <w:spacing w:after="0" w:line="240" w:lineRule="auto"/>
    </w:pPr>
    <w:rPr>
      <w:rFonts w:ascii="Cambria" w:eastAsia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ldDefaultTableStyle">
    <w:name w:val="Old Default Table Style"/>
    <w:tblPr>
      <w:tblOverlap w:val="never"/>
      <w:tblCellMar>
        <w:top w:w="0" w:type="dxa"/>
        <w:left w:w="10" w:type="dxa"/>
        <w:bottom w:w="0" w:type="dxa"/>
        <w:right w:w="10" w:type="dxa"/>
      </w:tblCellMar>
    </w:tblPr>
  </w:style>
  <w:style w:type="character" w:customStyle="1" w:styleId="CommentReference1">
    <w:name w:val="Comment Reference1"/>
    <w:basedOn w:val="a1"/>
    <w:rPr>
      <w:sz w:val="16"/>
    </w:rPr>
  </w:style>
  <w:style w:type="character" w:styleId="a5">
    <w:name w:val="endnote reference"/>
    <w:basedOn w:val="a1"/>
    <w:rPr>
      <w:vertAlign w:val="superscript"/>
    </w:rPr>
  </w:style>
  <w:style w:type="character" w:styleId="a6">
    <w:name w:val="footnote reference"/>
    <w:basedOn w:val="a1"/>
    <w:rPr>
      <w:vertAlign w:val="superscript"/>
    </w:rPr>
  </w:style>
  <w:style w:type="paragraph" w:styleId="a7">
    <w:name w:val="Subtitle"/>
    <w:basedOn w:val="a0"/>
    <w:qFormat/>
    <w:pPr>
      <w:spacing w:before="240"/>
    </w:pPr>
    <w:rPr>
      <w:b/>
    </w:rPr>
  </w:style>
  <w:style w:type="paragraph" w:customStyle="1" w:styleId="AuthorList">
    <w:name w:val="Author List"/>
    <w:basedOn w:val="a7"/>
  </w:style>
  <w:style w:type="paragraph" w:styleId="a8">
    <w:name w:val="Balloon Text"/>
    <w:basedOn w:val="a0"/>
    <w:pPr>
      <w:spacing w:after="0"/>
    </w:pPr>
    <w:rPr>
      <w:rFonts w:ascii="Tahoma" w:eastAsia="Tahoma" w:hAnsi="Tahoma" w:cs="Tahoma"/>
      <w:sz w:val="16"/>
    </w:rPr>
  </w:style>
  <w:style w:type="character" w:styleId="a9">
    <w:name w:val="Book Title"/>
    <w:basedOn w:val="a1"/>
    <w:qFormat/>
    <w:rPr>
      <w:rFonts w:ascii="Times New Roman" w:eastAsia="Times New Roman" w:hAnsi="Times New Roman" w:cs="Times New Roman"/>
      <w:b/>
      <w:i/>
    </w:rPr>
  </w:style>
  <w:style w:type="paragraph" w:styleId="aa">
    <w:name w:val="caption"/>
    <w:basedOn w:val="a0"/>
    <w:pPr>
      <w:keepNext/>
    </w:pPr>
    <w:rPr>
      <w:b/>
    </w:rPr>
  </w:style>
  <w:style w:type="paragraph" w:styleId="ab">
    <w:name w:val="No Spacing"/>
    <w:pPr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character" w:styleId="ac">
    <w:name w:val="annotation reference"/>
    <w:basedOn w:val="a1"/>
    <w:rPr>
      <w:sz w:val="16"/>
    </w:rPr>
  </w:style>
  <w:style w:type="paragraph" w:styleId="ad">
    <w:name w:val="annotation text"/>
    <w:basedOn w:val="a0"/>
    <w:rPr>
      <w:sz w:val="20"/>
    </w:rPr>
  </w:style>
  <w:style w:type="paragraph" w:styleId="ae">
    <w:name w:val="annotation subject"/>
    <w:basedOn w:val="ad"/>
    <w:rPr>
      <w:b/>
    </w:rPr>
  </w:style>
  <w:style w:type="character" w:styleId="af">
    <w:name w:val="Emphasis"/>
    <w:basedOn w:val="a1"/>
    <w:qFormat/>
    <w:rPr>
      <w:rFonts w:ascii="Times New Roman" w:eastAsia="Times New Roman" w:hAnsi="Times New Roman" w:cs="Times New Roman"/>
      <w:i/>
    </w:rPr>
  </w:style>
  <w:style w:type="paragraph" w:styleId="af0">
    <w:name w:val="endnote text"/>
    <w:basedOn w:val="a0"/>
    <w:pPr>
      <w:spacing w:after="0"/>
    </w:pPr>
    <w:rPr>
      <w:sz w:val="20"/>
    </w:rPr>
  </w:style>
  <w:style w:type="character" w:styleId="af1">
    <w:name w:val="FollowedHyperlink"/>
    <w:basedOn w:val="a1"/>
    <w:rPr>
      <w:color w:val="800080"/>
      <w:u w:val="single"/>
    </w:rPr>
  </w:style>
  <w:style w:type="paragraph" w:styleId="af2">
    <w:name w:val="footer"/>
    <w:basedOn w:val="a0"/>
    <w:link w:val="Char"/>
    <w:uiPriority w:val="99"/>
    <w:pPr>
      <w:tabs>
        <w:tab w:val="center" w:pos="4844"/>
        <w:tab w:val="right" w:pos="9689"/>
      </w:tabs>
      <w:spacing w:after="0"/>
    </w:pPr>
  </w:style>
  <w:style w:type="paragraph" w:styleId="af3">
    <w:name w:val="footnote text"/>
    <w:basedOn w:val="a0"/>
    <w:pPr>
      <w:spacing w:after="0"/>
    </w:pPr>
    <w:rPr>
      <w:sz w:val="20"/>
    </w:rPr>
  </w:style>
  <w:style w:type="paragraph" w:styleId="af4">
    <w:name w:val="header"/>
    <w:basedOn w:val="a0"/>
    <w:pPr>
      <w:tabs>
        <w:tab w:val="center" w:pos="4844"/>
        <w:tab w:val="right" w:pos="9689"/>
      </w:tabs>
    </w:pPr>
    <w:rPr>
      <w:b/>
    </w:rPr>
  </w:style>
  <w:style w:type="paragraph" w:styleId="a">
    <w:name w:val="List Paragraph"/>
    <w:basedOn w:val="a0"/>
    <w:pPr>
      <w:numPr>
        <w:numId w:val="4"/>
      </w:numPr>
      <w:contextualSpacing/>
    </w:pPr>
  </w:style>
  <w:style w:type="character" w:styleId="af5">
    <w:name w:val="Hyperlink"/>
    <w:basedOn w:val="a1"/>
    <w:rPr>
      <w:color w:val="0000FF"/>
      <w:u w:val="single"/>
    </w:rPr>
  </w:style>
  <w:style w:type="character" w:styleId="af6">
    <w:name w:val="Intense Emphasis"/>
    <w:basedOn w:val="a1"/>
    <w:qFormat/>
    <w:rPr>
      <w:rFonts w:ascii="Times New Roman" w:eastAsia="Times New Roman" w:hAnsi="Times New Roman" w:cs="Times New Roman"/>
      <w:i/>
      <w:color w:val="auto"/>
    </w:rPr>
  </w:style>
  <w:style w:type="character" w:styleId="af7">
    <w:name w:val="Intense Reference"/>
    <w:basedOn w:val="a1"/>
    <w:rPr>
      <w:b/>
      <w:color w:val="auto"/>
    </w:rPr>
  </w:style>
  <w:style w:type="character" w:styleId="af8">
    <w:name w:val="line number"/>
    <w:basedOn w:val="a1"/>
  </w:style>
  <w:style w:type="paragraph" w:styleId="af9">
    <w:name w:val="Normal (Web)"/>
    <w:basedOn w:val="a0"/>
    <w:uiPriority w:val="99"/>
    <w:qFormat/>
    <w:pPr>
      <w:spacing w:before="100" w:beforeAutospacing="1" w:after="100" w:afterAutospacing="1"/>
    </w:pPr>
  </w:style>
  <w:style w:type="paragraph" w:styleId="afa">
    <w:name w:val="Quote"/>
    <w:basedOn w:val="a0"/>
    <w:qFormat/>
    <w:pPr>
      <w:spacing w:before="200" w:after="160"/>
      <w:ind w:left="864" w:right="864"/>
      <w:jc w:val="center"/>
    </w:pPr>
    <w:rPr>
      <w:i/>
      <w:color w:val="404040"/>
    </w:rPr>
  </w:style>
  <w:style w:type="character" w:styleId="afb">
    <w:name w:val="Strong"/>
    <w:basedOn w:val="a1"/>
    <w:uiPriority w:val="22"/>
    <w:qFormat/>
    <w:rPr>
      <w:rFonts w:ascii="Times New Roman" w:eastAsia="Times New Roman" w:hAnsi="Times New Roman" w:cs="Times New Roman"/>
      <w:b/>
    </w:rPr>
  </w:style>
  <w:style w:type="character" w:styleId="afc">
    <w:name w:val="Subtle Emphasis"/>
    <w:basedOn w:val="a1"/>
    <w:qFormat/>
    <w:rPr>
      <w:rFonts w:ascii="Times New Roman" w:eastAsia="Times New Roman" w:hAnsi="Times New Roman" w:cs="Times New Roman"/>
      <w:i/>
      <w:color w:val="404040"/>
    </w:rPr>
  </w:style>
  <w:style w:type="paragraph" w:styleId="afd">
    <w:name w:val="Title"/>
    <w:basedOn w:val="a0"/>
    <w:qFormat/>
    <w:pPr>
      <w:spacing w:before="240" w:after="360"/>
      <w:jc w:val="center"/>
    </w:pPr>
    <w:rPr>
      <w:b/>
      <w:sz w:val="32"/>
    </w:rPr>
  </w:style>
  <w:style w:type="paragraph" w:customStyle="1" w:styleId="SupplementaryMaterial">
    <w:name w:val="Supplementary Material"/>
    <w:basedOn w:val="afd"/>
    <w:pPr>
      <w:spacing w:after="120"/>
    </w:pPr>
    <w:rPr>
      <w:i/>
    </w:rPr>
  </w:style>
  <w:style w:type="paragraph" w:styleId="afe">
    <w:name w:val="Revision"/>
    <w:pPr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character" w:customStyle="1" w:styleId="10">
    <w:name w:val="확인되지 않은 멘션1"/>
    <w:basedOn w:val="a1"/>
    <w:rPr>
      <w:color w:val="605E5C"/>
    </w:rPr>
  </w:style>
  <w:style w:type="paragraph" w:customStyle="1" w:styleId="QuotationSource">
    <w:name w:val="Quotation Source"/>
    <w:basedOn w:val="a0"/>
    <w:pPr>
      <w:spacing w:after="170" w:line="360" w:lineRule="auto"/>
      <w:ind w:left="1200"/>
      <w:jc w:val="right"/>
    </w:pPr>
    <w:rPr>
      <w:rFonts w:ascii="Calibri" w:eastAsia="Calibri" w:hAnsi="Calibri" w:cs="Calibri"/>
      <w:sz w:val="22"/>
    </w:rPr>
  </w:style>
  <w:style w:type="character" w:customStyle="1" w:styleId="GeneSequence">
    <w:name w:val="Gene Sequence"/>
    <w:basedOn w:val="a1"/>
    <w:rPr>
      <w:shd w:val="clear" w:color="auto" w:fill="FFCDF2"/>
    </w:rPr>
  </w:style>
  <w:style w:type="character" w:customStyle="1" w:styleId="GlossaryTerm">
    <w:name w:val="Glossary Term"/>
    <w:basedOn w:val="a1"/>
    <w:rPr>
      <w:shd w:val="clear" w:color="auto" w:fill="FFCFD7"/>
    </w:rPr>
  </w:style>
  <w:style w:type="character" w:customStyle="1" w:styleId="Publisher">
    <w:name w:val="Publisher"/>
    <w:basedOn w:val="a1"/>
    <w:rPr>
      <w:shd w:val="clear" w:color="auto" w:fill="F2DDFF"/>
    </w:rPr>
  </w:style>
  <w:style w:type="paragraph" w:customStyle="1" w:styleId="Note">
    <w:name w:val="Note"/>
    <w:basedOn w:val="a0"/>
    <w:pPr>
      <w:shd w:val="clear" w:color="auto" w:fill="EDF0FF"/>
      <w:spacing w:line="432" w:lineRule="auto"/>
    </w:pPr>
    <w:rPr>
      <w:rFonts w:ascii="Calibri" w:eastAsia="Calibri" w:hAnsi="Calibri" w:cs="Calibri"/>
      <w:sz w:val="20"/>
      <w:shd w:val="clear" w:color="auto" w:fill="EDF0FF"/>
    </w:rPr>
  </w:style>
  <w:style w:type="paragraph" w:customStyle="1" w:styleId="List8">
    <w:name w:val="List 8"/>
    <w:basedOn w:val="a0"/>
    <w:pPr>
      <w:spacing w:line="360" w:lineRule="auto"/>
      <w:ind w:left="1980" w:hanging="400"/>
    </w:pPr>
    <w:rPr>
      <w:rFonts w:ascii="Calibri" w:eastAsia="Calibri" w:hAnsi="Calibri" w:cs="Calibri"/>
      <w:sz w:val="22"/>
    </w:rPr>
  </w:style>
  <w:style w:type="paragraph" w:customStyle="1" w:styleId="Reference">
    <w:name w:val="Reference"/>
    <w:basedOn w:val="a0"/>
    <w:pPr>
      <w:spacing w:after="320" w:line="360" w:lineRule="auto"/>
      <w:ind w:left="400" w:hanging="400"/>
      <w:jc w:val="both"/>
    </w:pPr>
    <w:rPr>
      <w:rFonts w:ascii="Calibri" w:eastAsia="Calibri" w:hAnsi="Calibri" w:cs="Calibri"/>
      <w:sz w:val="22"/>
    </w:rPr>
  </w:style>
  <w:style w:type="paragraph" w:customStyle="1" w:styleId="Copyright">
    <w:name w:val="Copyright"/>
    <w:basedOn w:val="a0"/>
    <w:pPr>
      <w:shd w:val="clear" w:color="auto" w:fill="E9F9FF"/>
    </w:pPr>
    <w:rPr>
      <w:rFonts w:ascii="Calibri" w:eastAsia="Calibri" w:hAnsi="Calibri" w:cs="Calibri"/>
      <w:sz w:val="18"/>
      <w:shd w:val="clear" w:color="auto" w:fill="E9F9FF"/>
    </w:rPr>
  </w:style>
  <w:style w:type="character" w:customStyle="1" w:styleId="Region">
    <w:name w:val="Region"/>
    <w:basedOn w:val="a1"/>
    <w:rPr>
      <w:shd w:val="clear" w:color="auto" w:fill="D8E9EE"/>
    </w:rPr>
  </w:style>
  <w:style w:type="paragraph" w:customStyle="1" w:styleId="TableBody">
    <w:name w:val="Table Body"/>
    <w:basedOn w:val="a0"/>
    <w:pPr>
      <w:spacing w:after="160" w:line="396" w:lineRule="auto"/>
    </w:pPr>
    <w:rPr>
      <w:rFonts w:ascii="Calibri" w:eastAsia="Calibri" w:hAnsi="Calibri" w:cs="Calibri"/>
      <w:sz w:val="20"/>
    </w:rPr>
  </w:style>
  <w:style w:type="paragraph" w:styleId="aff">
    <w:name w:val="Block Text"/>
    <w:basedOn w:val="a0"/>
    <w:pPr>
      <w:spacing w:after="160" w:line="360" w:lineRule="auto"/>
      <w:ind w:left="1200"/>
    </w:pPr>
    <w:rPr>
      <w:rFonts w:ascii="Calibri" w:eastAsia="Calibri" w:hAnsi="Calibri" w:cs="Calibri"/>
      <w:sz w:val="22"/>
    </w:rPr>
  </w:style>
  <w:style w:type="character" w:customStyle="1" w:styleId="FamilyName">
    <w:name w:val="Family Name"/>
    <w:basedOn w:val="a1"/>
    <w:rPr>
      <w:shd w:val="clear" w:color="auto" w:fill="88F4BE"/>
    </w:rPr>
  </w:style>
  <w:style w:type="character" w:customStyle="1" w:styleId="Location">
    <w:name w:val="Location"/>
    <w:basedOn w:val="a1"/>
    <w:rPr>
      <w:shd w:val="clear" w:color="auto" w:fill="F9EDFF"/>
    </w:rPr>
  </w:style>
  <w:style w:type="paragraph" w:customStyle="1" w:styleId="TableHeadSpan">
    <w:name w:val="Table Head Span"/>
    <w:basedOn w:val="a0"/>
    <w:pPr>
      <w:shd w:val="clear" w:color="auto" w:fill="FFEDFA"/>
    </w:pPr>
    <w:rPr>
      <w:rFonts w:ascii="Calibri" w:eastAsia="Calibri" w:hAnsi="Calibri" w:cs="Calibri"/>
      <w:shd w:val="clear" w:color="auto" w:fill="FFEDFA"/>
    </w:rPr>
  </w:style>
  <w:style w:type="character" w:customStyle="1" w:styleId="DatabaseLink">
    <w:name w:val="Database Link"/>
    <w:basedOn w:val="a1"/>
    <w:rPr>
      <w:shd w:val="clear" w:color="auto" w:fill="AFBEFF"/>
    </w:rPr>
  </w:style>
  <w:style w:type="paragraph" w:customStyle="1" w:styleId="Acknowledgements">
    <w:name w:val="Acknowledgements"/>
    <w:basedOn w:val="a0"/>
    <w:pPr>
      <w:shd w:val="clear" w:color="auto" w:fill="F9EDFF"/>
      <w:spacing w:after="160" w:line="396" w:lineRule="auto"/>
      <w:jc w:val="both"/>
    </w:pPr>
    <w:rPr>
      <w:rFonts w:ascii="Calibri" w:eastAsia="Calibri" w:hAnsi="Calibri" w:cs="Calibri"/>
      <w:sz w:val="20"/>
      <w:shd w:val="clear" w:color="auto" w:fill="F9EDFF"/>
    </w:rPr>
  </w:style>
  <w:style w:type="character" w:customStyle="1" w:styleId="VolumeNumber">
    <w:name w:val="Volume Number"/>
    <w:basedOn w:val="a1"/>
    <w:rPr>
      <w:shd w:val="clear" w:color="auto" w:fill="EDF0FF"/>
    </w:rPr>
  </w:style>
  <w:style w:type="paragraph" w:customStyle="1" w:styleId="Quotation">
    <w:name w:val="Quotation"/>
    <w:basedOn w:val="a0"/>
    <w:pPr>
      <w:spacing w:after="160" w:line="360" w:lineRule="auto"/>
      <w:ind w:left="1200" w:right="1200"/>
      <w:jc w:val="both"/>
    </w:pPr>
    <w:rPr>
      <w:rFonts w:ascii="Calibri" w:eastAsia="Calibri" w:hAnsi="Calibri" w:cs="Calibri"/>
      <w:sz w:val="22"/>
    </w:rPr>
  </w:style>
  <w:style w:type="character" w:customStyle="1" w:styleId="GivenName">
    <w:name w:val="Given Name"/>
    <w:basedOn w:val="a1"/>
    <w:rPr>
      <w:shd w:val="clear" w:color="auto" w:fill="D0FCE2"/>
    </w:rPr>
  </w:style>
  <w:style w:type="paragraph" w:customStyle="1" w:styleId="Correspondence">
    <w:name w:val="Correspondence"/>
    <w:basedOn w:val="a0"/>
    <w:pPr>
      <w:shd w:val="clear" w:color="auto" w:fill="F3F7F9"/>
      <w:spacing w:before="240" w:after="120" w:line="396" w:lineRule="auto"/>
      <w:ind w:left="400" w:hanging="400"/>
    </w:pPr>
    <w:rPr>
      <w:rFonts w:ascii="Calibri" w:eastAsia="Calibri" w:hAnsi="Calibri" w:cs="Calibri"/>
      <w:sz w:val="20"/>
      <w:shd w:val="clear" w:color="auto" w:fill="F3F7F9"/>
    </w:rPr>
  </w:style>
  <w:style w:type="paragraph" w:customStyle="1" w:styleId="List6">
    <w:name w:val="List 6"/>
    <w:basedOn w:val="a0"/>
    <w:pPr>
      <w:spacing w:line="360" w:lineRule="auto"/>
      <w:ind w:left="1860" w:hanging="400"/>
    </w:pPr>
    <w:rPr>
      <w:rFonts w:ascii="Calibri" w:eastAsia="Calibri" w:hAnsi="Calibri" w:cs="Calibri"/>
      <w:sz w:val="22"/>
    </w:rPr>
  </w:style>
  <w:style w:type="paragraph" w:customStyle="1" w:styleId="Formula">
    <w:name w:val="Formula"/>
    <w:basedOn w:val="a0"/>
    <w:pPr>
      <w:shd w:val="clear" w:color="auto" w:fill="FFF5ED"/>
      <w:spacing w:after="120" w:line="360" w:lineRule="auto"/>
    </w:pPr>
    <w:rPr>
      <w:rFonts w:ascii="Calibri" w:eastAsia="Calibri" w:hAnsi="Calibri" w:cs="Calibri"/>
      <w:sz w:val="22"/>
      <w:shd w:val="clear" w:color="auto" w:fill="FFF5ED"/>
    </w:rPr>
  </w:style>
  <w:style w:type="paragraph" w:customStyle="1" w:styleId="TableNote">
    <w:name w:val="Table Note"/>
    <w:basedOn w:val="a0"/>
    <w:rPr>
      <w:rFonts w:ascii="Calibri" w:eastAsia="Calibri" w:hAnsi="Calibri" w:cs="Calibri"/>
      <w:sz w:val="18"/>
    </w:rPr>
  </w:style>
  <w:style w:type="character" w:customStyle="1" w:styleId="NameScientific">
    <w:name w:val="Name Scientific"/>
    <w:basedOn w:val="a1"/>
    <w:rPr>
      <w:shd w:val="clear" w:color="auto" w:fill="91E0FF"/>
    </w:rPr>
  </w:style>
  <w:style w:type="paragraph" w:customStyle="1" w:styleId="Glossary">
    <w:name w:val="Glossary"/>
    <w:basedOn w:val="a0"/>
    <w:pPr>
      <w:shd w:val="clear" w:color="auto" w:fill="FFEDF0"/>
      <w:spacing w:after="120" w:line="432" w:lineRule="auto"/>
    </w:pPr>
    <w:rPr>
      <w:rFonts w:ascii="Calibri" w:eastAsia="Calibri" w:hAnsi="Calibri" w:cs="Calibri"/>
      <w:sz w:val="20"/>
      <w:shd w:val="clear" w:color="auto" w:fill="FFEDF0"/>
    </w:rPr>
  </w:style>
  <w:style w:type="paragraph" w:customStyle="1" w:styleId="Annotation">
    <w:name w:val="Annotation"/>
    <w:basedOn w:val="a0"/>
    <w:pPr>
      <w:spacing w:before="0" w:after="160" w:line="360" w:lineRule="auto"/>
      <w:ind w:left="400"/>
    </w:pPr>
    <w:rPr>
      <w:rFonts w:ascii="Calibri" w:eastAsia="Calibri" w:hAnsi="Calibri" w:cs="Calibri"/>
      <w:sz w:val="22"/>
    </w:rPr>
  </w:style>
  <w:style w:type="paragraph" w:styleId="50">
    <w:name w:val="List 5"/>
    <w:basedOn w:val="a0"/>
    <w:pPr>
      <w:spacing w:line="360" w:lineRule="auto"/>
      <w:ind w:left="1800" w:hanging="400"/>
    </w:pPr>
    <w:rPr>
      <w:rFonts w:ascii="Calibri" w:eastAsia="Calibri" w:hAnsi="Calibri" w:cs="Calibri"/>
      <w:sz w:val="22"/>
    </w:rPr>
  </w:style>
  <w:style w:type="character" w:customStyle="1" w:styleId="Conference">
    <w:name w:val="Conference"/>
    <w:basedOn w:val="a1"/>
    <w:rPr>
      <w:shd w:val="clear" w:color="auto" w:fill="FFAFBC"/>
    </w:rPr>
  </w:style>
  <w:style w:type="character" w:customStyle="1" w:styleId="Cross-reference">
    <w:name w:val="Cross-reference"/>
    <w:basedOn w:val="a1"/>
    <w:rPr>
      <w:shd w:val="clear" w:color="auto" w:fill="FFE3C9"/>
    </w:rPr>
  </w:style>
  <w:style w:type="paragraph" w:customStyle="1" w:styleId="Authors">
    <w:name w:val="Authors"/>
    <w:basedOn w:val="a0"/>
    <w:pPr>
      <w:spacing w:before="360" w:after="120" w:line="283" w:lineRule="auto"/>
    </w:pPr>
    <w:rPr>
      <w:rFonts w:ascii="Calibri" w:eastAsia="Calibri" w:hAnsi="Calibri" w:cs="Calibri"/>
      <w:sz w:val="28"/>
    </w:rPr>
  </w:style>
  <w:style w:type="character" w:customStyle="1" w:styleId="IssueNumber">
    <w:name w:val="Issue Number"/>
    <w:basedOn w:val="a1"/>
    <w:rPr>
      <w:shd w:val="clear" w:color="auto" w:fill="CDD5FF"/>
    </w:rPr>
  </w:style>
  <w:style w:type="paragraph" w:customStyle="1" w:styleId="Affiliation">
    <w:name w:val="Affiliation"/>
    <w:basedOn w:val="a0"/>
    <w:pPr>
      <w:shd w:val="clear" w:color="auto" w:fill="F4FFED"/>
      <w:spacing w:before="240" w:after="120" w:line="396" w:lineRule="auto"/>
      <w:ind w:left="400" w:hanging="400"/>
    </w:pPr>
    <w:rPr>
      <w:rFonts w:ascii="Calibri" w:eastAsia="Calibri" w:hAnsi="Calibri" w:cs="Calibri"/>
      <w:sz w:val="20"/>
      <w:shd w:val="clear" w:color="auto" w:fill="F4FFED"/>
    </w:rPr>
  </w:style>
  <w:style w:type="character" w:customStyle="1" w:styleId="Edition">
    <w:name w:val="Edition"/>
    <w:basedOn w:val="a1"/>
    <w:rPr>
      <w:shd w:val="clear" w:color="auto" w:fill="FFF6A4"/>
    </w:rPr>
  </w:style>
  <w:style w:type="paragraph" w:styleId="30">
    <w:name w:val="List 3"/>
    <w:basedOn w:val="a0"/>
    <w:pPr>
      <w:spacing w:line="360" w:lineRule="auto"/>
      <w:ind w:left="1200" w:hanging="400"/>
      <w:jc w:val="both"/>
    </w:pPr>
    <w:rPr>
      <w:rFonts w:ascii="Calibri" w:eastAsia="Calibri" w:hAnsi="Calibri" w:cs="Calibri"/>
      <w:sz w:val="22"/>
    </w:rPr>
  </w:style>
  <w:style w:type="paragraph" w:customStyle="1" w:styleId="Keywords">
    <w:name w:val="Keywords"/>
    <w:basedOn w:val="a0"/>
    <w:pPr>
      <w:spacing w:line="396" w:lineRule="auto"/>
      <w:ind w:left="1000"/>
    </w:pPr>
    <w:rPr>
      <w:rFonts w:ascii="Calibri" w:eastAsia="Calibri" w:hAnsi="Calibri" w:cs="Calibri"/>
      <w:sz w:val="20"/>
    </w:rPr>
  </w:style>
  <w:style w:type="paragraph" w:customStyle="1" w:styleId="Statement">
    <w:name w:val="Statement"/>
    <w:basedOn w:val="a0"/>
    <w:pPr>
      <w:ind w:left="900"/>
    </w:pPr>
    <w:rPr>
      <w:rFonts w:ascii="Calibri" w:eastAsia="Calibri" w:hAnsi="Calibri" w:cs="Calibri"/>
      <w:sz w:val="22"/>
    </w:rPr>
  </w:style>
  <w:style w:type="character" w:customStyle="1" w:styleId="City">
    <w:name w:val="City"/>
    <w:basedOn w:val="a1"/>
    <w:rPr>
      <w:shd w:val="clear" w:color="auto" w:fill="D7D7D7"/>
    </w:rPr>
  </w:style>
  <w:style w:type="paragraph" w:customStyle="1" w:styleId="AbstractSubheading">
    <w:name w:val="Abstract Subheading"/>
    <w:basedOn w:val="a0"/>
    <w:pPr>
      <w:numPr>
        <w:ilvl w:val="8"/>
      </w:numPr>
      <w:ind w:left="1440"/>
      <w:outlineLvl w:val="8"/>
    </w:pPr>
    <w:rPr>
      <w:sz w:val="22"/>
    </w:rPr>
  </w:style>
  <w:style w:type="paragraph" w:customStyle="1" w:styleId="TableHead">
    <w:name w:val="Table Head"/>
    <w:basedOn w:val="a0"/>
    <w:pPr>
      <w:shd w:val="clear" w:color="auto" w:fill="FFEDFA"/>
    </w:pPr>
    <w:rPr>
      <w:rFonts w:ascii="Calibri" w:eastAsia="Calibri" w:hAnsi="Calibri" w:cs="Calibri"/>
      <w:sz w:val="20"/>
      <w:shd w:val="clear" w:color="auto" w:fill="FFEDFA"/>
    </w:rPr>
  </w:style>
  <w:style w:type="paragraph" w:styleId="aff0">
    <w:name w:val="List"/>
    <w:basedOn w:val="a0"/>
    <w:pPr>
      <w:spacing w:line="360" w:lineRule="auto"/>
      <w:ind w:left="400" w:hanging="400"/>
      <w:jc w:val="both"/>
    </w:pPr>
    <w:rPr>
      <w:rFonts w:ascii="Calibri" w:eastAsia="Calibri" w:hAnsi="Calibri" w:cs="Calibri"/>
      <w:sz w:val="22"/>
    </w:rPr>
  </w:style>
  <w:style w:type="character" w:customStyle="1" w:styleId="Organization">
    <w:name w:val="Organization"/>
    <w:basedOn w:val="a1"/>
    <w:rPr>
      <w:shd w:val="clear" w:color="auto" w:fill="D1FFB5"/>
    </w:rPr>
  </w:style>
  <w:style w:type="character" w:customStyle="1" w:styleId="ArticleTitle">
    <w:name w:val="Article Title"/>
    <w:basedOn w:val="a1"/>
    <w:qFormat/>
    <w:rPr>
      <w:shd w:val="clear" w:color="auto" w:fill="E9F9FF"/>
    </w:rPr>
  </w:style>
  <w:style w:type="character" w:customStyle="1" w:styleId="Miscellaneous">
    <w:name w:val="Miscellaneous"/>
    <w:basedOn w:val="a1"/>
    <w:rPr>
      <w:shd w:val="clear" w:color="auto" w:fill="F0F0F0"/>
    </w:rPr>
  </w:style>
  <w:style w:type="paragraph" w:customStyle="1" w:styleId="CommentText0">
    <w:name w:val="Comment Text_0"/>
    <w:basedOn w:val="a0"/>
    <w:pPr>
      <w:spacing w:before="0" w:after="0"/>
    </w:pPr>
    <w:rPr>
      <w:rFonts w:ascii="Calibri" w:eastAsia="Calibri" w:hAnsi="Calibri" w:cs="Calibri"/>
      <w:sz w:val="20"/>
    </w:rPr>
  </w:style>
  <w:style w:type="paragraph" w:styleId="40">
    <w:name w:val="List 4"/>
    <w:basedOn w:val="a0"/>
    <w:pPr>
      <w:spacing w:line="360" w:lineRule="auto"/>
      <w:ind w:left="1600" w:hanging="400"/>
    </w:pPr>
    <w:rPr>
      <w:rFonts w:ascii="Calibri" w:eastAsia="Calibri" w:hAnsi="Calibri" w:cs="Calibri"/>
      <w:sz w:val="22"/>
    </w:rPr>
  </w:style>
  <w:style w:type="paragraph" w:styleId="20">
    <w:name w:val="List 2"/>
    <w:basedOn w:val="a0"/>
    <w:pPr>
      <w:spacing w:line="360" w:lineRule="auto"/>
      <w:ind w:left="800" w:hanging="400"/>
      <w:jc w:val="both"/>
    </w:pPr>
    <w:rPr>
      <w:rFonts w:ascii="Calibri" w:eastAsia="Calibri" w:hAnsi="Calibri" w:cs="Calibri"/>
      <w:sz w:val="22"/>
    </w:rPr>
  </w:style>
  <w:style w:type="paragraph" w:customStyle="1" w:styleId="Biography">
    <w:name w:val="Biography"/>
    <w:basedOn w:val="a0"/>
    <w:pPr>
      <w:shd w:val="clear" w:color="auto" w:fill="EEFEF4"/>
      <w:spacing w:after="160" w:line="396" w:lineRule="auto"/>
    </w:pPr>
    <w:rPr>
      <w:rFonts w:ascii="Calibri" w:eastAsia="Calibri" w:hAnsi="Calibri" w:cs="Calibri"/>
      <w:sz w:val="20"/>
      <w:shd w:val="clear" w:color="auto" w:fill="EEFEF4"/>
    </w:rPr>
  </w:style>
  <w:style w:type="character" w:customStyle="1" w:styleId="Year">
    <w:name w:val="Year"/>
    <w:basedOn w:val="a1"/>
    <w:rPr>
      <w:shd w:val="clear" w:color="auto" w:fill="FFF9C9"/>
    </w:rPr>
  </w:style>
  <w:style w:type="character" w:customStyle="1" w:styleId="PageNumbers">
    <w:name w:val="Page Numbers"/>
    <w:basedOn w:val="a1"/>
    <w:rPr>
      <w:shd w:val="clear" w:color="auto" w:fill="FFEDF0"/>
    </w:rPr>
  </w:style>
  <w:style w:type="character" w:customStyle="1" w:styleId="Postcode">
    <w:name w:val="Postcode"/>
    <w:basedOn w:val="a1"/>
    <w:rPr>
      <w:shd w:val="clear" w:color="auto" w:fill="BEBEBE"/>
    </w:rPr>
  </w:style>
  <w:style w:type="paragraph" w:customStyle="1" w:styleId="List7">
    <w:name w:val="List 7"/>
    <w:basedOn w:val="a0"/>
    <w:pPr>
      <w:spacing w:line="360" w:lineRule="auto"/>
      <w:ind w:left="1920" w:hanging="400"/>
    </w:pPr>
    <w:rPr>
      <w:rFonts w:ascii="Calibri" w:eastAsia="Calibri" w:hAnsi="Calibri" w:cs="Calibri"/>
      <w:sz w:val="22"/>
    </w:rPr>
  </w:style>
  <w:style w:type="paragraph" w:styleId="aff1">
    <w:name w:val="Normal Indent"/>
    <w:basedOn w:val="a0"/>
    <w:qFormat/>
    <w:pPr>
      <w:ind w:firstLine="480"/>
    </w:pPr>
    <w:rPr>
      <w:sz w:val="22"/>
    </w:rPr>
  </w:style>
  <w:style w:type="paragraph" w:customStyle="1" w:styleId="TableList">
    <w:name w:val="Table List"/>
    <w:basedOn w:val="a0"/>
    <w:pPr>
      <w:ind w:left="300" w:hanging="300"/>
    </w:pPr>
    <w:rPr>
      <w:rFonts w:ascii="Calibri" w:eastAsia="Calibri" w:hAnsi="Calibri" w:cs="Calibri"/>
      <w:sz w:val="20"/>
    </w:rPr>
  </w:style>
  <w:style w:type="paragraph" w:customStyle="1" w:styleId="Surtitle">
    <w:name w:val="Surtitle"/>
    <w:basedOn w:val="a0"/>
    <w:qFormat/>
    <w:pPr>
      <w:spacing w:after="160" w:line="208" w:lineRule="auto"/>
    </w:pPr>
    <w:rPr>
      <w:rFonts w:ascii="Calibri" w:eastAsia="Calibri" w:hAnsi="Calibri" w:cs="Calibri"/>
      <w:sz w:val="38"/>
    </w:rPr>
  </w:style>
  <w:style w:type="character" w:customStyle="1" w:styleId="Source">
    <w:name w:val="Source"/>
    <w:basedOn w:val="a1"/>
    <w:rPr>
      <w:shd w:val="clear" w:color="auto" w:fill="C1EDFF"/>
    </w:rPr>
  </w:style>
  <w:style w:type="character" w:customStyle="1" w:styleId="GrantID">
    <w:name w:val="Grant ID"/>
    <w:basedOn w:val="a1"/>
    <w:rPr>
      <w:shd w:val="clear" w:color="auto" w:fill="DDA5FF"/>
    </w:rPr>
  </w:style>
  <w:style w:type="paragraph" w:customStyle="1" w:styleId="ChapterNumber">
    <w:name w:val="Chapter Number"/>
    <w:basedOn w:val="a0"/>
    <w:rPr>
      <w:rFonts w:ascii="Calibri" w:eastAsia="Calibri" w:hAnsi="Calibri" w:cs="Calibri"/>
    </w:rPr>
  </w:style>
  <w:style w:type="character" w:customStyle="1" w:styleId="Heading">
    <w:name w:val="Heading:"/>
    <w:basedOn w:val="a1"/>
    <w:rPr>
      <w:color w:val="5B89C1"/>
    </w:rPr>
  </w:style>
  <w:style w:type="character" w:customStyle="1" w:styleId="Country">
    <w:name w:val="Country"/>
    <w:basedOn w:val="a1"/>
    <w:rPr>
      <w:shd w:val="clear" w:color="auto" w:fill="97C5D1"/>
    </w:rPr>
  </w:style>
  <w:style w:type="paragraph" w:customStyle="1" w:styleId="Abstract">
    <w:name w:val="Abstract"/>
    <w:basedOn w:val="a0"/>
    <w:pPr>
      <w:spacing w:before="0" w:after="160" w:line="360" w:lineRule="auto"/>
      <w:ind w:left="1440" w:right="1440"/>
      <w:jc w:val="both"/>
    </w:pPr>
    <w:rPr>
      <w:rFonts w:ascii="Calibri" w:eastAsia="Calibri" w:hAnsi="Calibri" w:cs="Calibri"/>
      <w:sz w:val="22"/>
    </w:rPr>
  </w:style>
  <w:style w:type="character" w:customStyle="1" w:styleId="Label">
    <w:name w:val="Label"/>
    <w:basedOn w:val="a1"/>
    <w:rPr>
      <w:shd w:val="clear" w:color="auto" w:fill="FFC391"/>
      <w:vertAlign w:val="baseline"/>
    </w:rPr>
  </w:style>
  <w:style w:type="paragraph" w:customStyle="1" w:styleId="List9">
    <w:name w:val="List 9"/>
    <w:basedOn w:val="a0"/>
    <w:pPr>
      <w:ind w:left="1200" w:hanging="600"/>
      <w:jc w:val="both"/>
    </w:pPr>
    <w:rPr>
      <w:sz w:val="22"/>
    </w:rPr>
  </w:style>
  <w:style w:type="paragraph" w:customStyle="1" w:styleId="List1">
    <w:name w:val="List 1"/>
    <w:basedOn w:val="a0"/>
    <w:pPr>
      <w:ind w:left="1200" w:hanging="600"/>
      <w:jc w:val="both"/>
    </w:pPr>
    <w:rPr>
      <w:sz w:val="22"/>
    </w:rPr>
  </w:style>
  <w:style w:type="character" w:customStyle="1" w:styleId="Char">
    <w:name w:val="바닥글 Char"/>
    <w:basedOn w:val="a1"/>
    <w:link w:val="af2"/>
    <w:uiPriority w:val="99"/>
    <w:rsid w:val="00F53BDF"/>
    <w:rPr>
      <w:rFonts w:ascii="Times New Roman" w:eastAsia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doi.org/10.3389/fimmu.2021.781815" TargetMode="External"/><Relationship Id="rId18" Type="http://schemas.openxmlformats.org/officeDocument/2006/relationships/hyperlink" Target="https://doi.org/10.1186/s10020-021-00296-1" TargetMode="External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yperlink" Target="https://doi.org/10.1159/000518084" TargetMode="Externa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hyperlink" Target="https://doi.org/10.1007/s12253-020-00862-8" TargetMode="External"/><Relationship Id="rId25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hyperlink" Target="https://doi.org/10.1038/s41598-019-47581-y" TargetMode="External"/><Relationship Id="rId20" Type="http://schemas.openxmlformats.org/officeDocument/2006/relationships/hyperlink" Target="https://doi.org/10.1016/j.brainres.2021.147563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hyperlink" Target="https://doi.org/10.1186/s11658-021-00257-w" TargetMode="External"/><Relationship Id="rId23" Type="http://schemas.openxmlformats.org/officeDocument/2006/relationships/header" Target="header1.xml"/><Relationship Id="rId28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hyperlink" Target="https://doi.org/10.1186/s13104-019-4671-8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doi.org/10.1016/j.imbio.2023.152710" TargetMode="External"/><Relationship Id="rId22" Type="http://schemas.openxmlformats.org/officeDocument/2006/relationships/hyperlink" Target="https://doi.org/10.3892/or.2022.8307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44D86E-20B6-46DF-9327-F4C5E04CA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5</Pages>
  <Words>841</Words>
  <Characters>4800</Characters>
  <Application>Microsoft Office Word</Application>
  <DocSecurity>0</DocSecurity>
  <Lines>40</Lines>
  <Paragraphs>11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Lissa</dc:creator>
  <cp:lastModifiedBy>Jungho Kim</cp:lastModifiedBy>
  <cp:revision>14</cp:revision>
  <dcterms:created xsi:type="dcterms:W3CDTF">2024-09-09T05:46:00Z</dcterms:created>
  <dcterms:modified xsi:type="dcterms:W3CDTF">2026-03-11T12:05:00Z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ceptedDate">
    <vt:lpwstr/>
  </property>
  <property fmtid="{D5CDD505-2E9C-101B-9397-08002B2CF9AE}" pid="3" name="ComplianceAssetId">
    <vt:lpwstr/>
  </property>
  <property fmtid="{D5CDD505-2E9C-101B-9397-08002B2CF9AE}" pid="4" name="ContentTypeId">
    <vt:lpwstr>0x01010026445AF306EBB441B7A6158762C40D43</vt:lpwstr>
  </property>
  <property fmtid="{D5CDD505-2E9C-101B-9397-08002B2CF9AE}" pid="5" name="DOI">
    <vt:lpwstr/>
  </property>
  <property fmtid="{D5CDD505-2E9C-101B-9397-08002B2CF9AE}" pid="6" name="epub">
    <vt:lpwstr/>
  </property>
  <property fmtid="{D5CDD505-2E9C-101B-9397-08002B2CF9AE}" pid="7" name="JournalID">
    <vt:lpwstr/>
  </property>
  <property fmtid="{D5CDD505-2E9C-101B-9397-08002B2CF9AE}" pid="8" name="MediaServiceImageTags">
    <vt:lpwstr/>
  </property>
  <property fmtid="{D5CDD505-2E9C-101B-9397-08002B2CF9AE}" pid="9" name="Merops -Original extension">
    <vt:lpwstr>docx</vt:lpwstr>
  </property>
  <property fmtid="{D5CDD505-2E9C-101B-9397-08002B2CF9AE}" pid="10" name="Merops change count">
    <vt:lpwstr>249</vt:lpwstr>
  </property>
  <property fmtid="{D5CDD505-2E9C-101B-9397-08002B2CF9AE}" pid="11" name="Merops client version">
    <vt:lpwstr/>
  </property>
  <property fmtid="{D5CDD505-2E9C-101B-9397-08002B2CF9AE}" pid="12" name="Merops comment count">
    <vt:lpwstr>0</vt:lpwstr>
  </property>
  <property fmtid="{D5CDD505-2E9C-101B-9397-08002B2CF9AE}" pid="13" name="Merops DOI links count">
    <vt:lpwstr>10</vt:lpwstr>
  </property>
  <property fmtid="{D5CDD505-2E9C-101B-9397-08002B2CF9AE}" pid="14" name="Merops email addresses count">
    <vt:lpwstr>0</vt:lpwstr>
  </property>
  <property fmtid="{D5CDD505-2E9C-101B-9397-08002B2CF9AE}" pid="15" name="Merops figures count">
    <vt:lpwstr>2</vt:lpwstr>
  </property>
  <property fmtid="{D5CDD505-2E9C-101B-9397-08002B2CF9AE}" pid="16" name="Merops footnotes/endnotes count">
    <vt:lpwstr>0</vt:lpwstr>
  </property>
  <property fmtid="{D5CDD505-2E9C-101B-9397-08002B2CF9AE}" pid="17" name="Merops graphics count">
    <vt:lpwstr>3</vt:lpwstr>
  </property>
  <property fmtid="{D5CDD505-2E9C-101B-9397-08002B2CF9AE}" pid="18" name="Merops input file path">
    <vt:lpwstr>51b4aa9f-3994-4727-8519-afdc949a04b6.docx</vt:lpwstr>
  </property>
  <property fmtid="{D5CDD505-2E9C-101B-9397-08002B2CF9AE}" pid="19" name="Merops intra-document links count">
    <vt:lpwstr>0</vt:lpwstr>
  </property>
  <property fmtid="{D5CDD505-2E9C-101B-9397-08002B2CF9AE}" pid="20" name="Merops item path">
    <vt:lpwstr>MG-Session/On-20240909/I:14725722-c3b7-4a69-8273-a25844196e20</vt:lpwstr>
  </property>
  <property fmtid="{D5CDD505-2E9C-101B-9397-08002B2CF9AE}" pid="21" name="Merops processed date">
    <vt:lpwstr>2024/09/09 01:35:57 AM</vt:lpwstr>
  </property>
  <property fmtid="{D5CDD505-2E9C-101B-9397-08002B2CF9AE}" pid="22" name="Merops PubMed links count">
    <vt:lpwstr>0</vt:lpwstr>
  </property>
  <property fmtid="{D5CDD505-2E9C-101B-9397-08002B2CF9AE}" pid="23" name="Merops references count">
    <vt:lpwstr>10</vt:lpwstr>
  </property>
  <property fmtid="{D5CDD505-2E9C-101B-9397-08002B2CF9AE}" pid="24" name="Merops Scopus links count">
    <vt:lpwstr>0</vt:lpwstr>
  </property>
  <property fmtid="{D5CDD505-2E9C-101B-9397-08002B2CF9AE}" pid="25" name="Merops server path">
    <vt:lpwstr/>
  </property>
  <property fmtid="{D5CDD505-2E9C-101B-9397-08002B2CF9AE}" pid="26" name="Merops Standard Set">
    <vt:lpwstr>merops/preset-v1/biomed-central</vt:lpwstr>
  </property>
  <property fmtid="{D5CDD505-2E9C-101B-9397-08002B2CF9AE}" pid="27" name="Merops Standard Set modified">
    <vt:lpwstr/>
  </property>
  <property fmtid="{D5CDD505-2E9C-101B-9397-08002B2CF9AE}" pid="28" name="Merops tables count">
    <vt:lpwstr>1</vt:lpwstr>
  </property>
  <property fmtid="{D5CDD505-2E9C-101B-9397-08002B2CF9AE}" pid="29" name="Merops word count">
    <vt:lpwstr>695</vt:lpwstr>
  </property>
  <property fmtid="{D5CDD505-2E9C-101B-9397-08002B2CF9AE}" pid="30" name="Merops WorldCat links count">
    <vt:lpwstr>0</vt:lpwstr>
  </property>
  <property fmtid="{D5CDD505-2E9C-101B-9397-08002B2CF9AE}" pid="31" name="Order">
    <vt:lpwstr>1011900</vt:lpwstr>
  </property>
  <property fmtid="{D5CDD505-2E9C-101B-9397-08002B2CF9AE}" pid="32" name="ppub">
    <vt:lpwstr/>
  </property>
  <property fmtid="{D5CDD505-2E9C-101B-9397-08002B2CF9AE}" pid="33" name="Publisher">
    <vt:lpwstr/>
  </property>
  <property fmtid="{D5CDD505-2E9C-101B-9397-08002B2CF9AE}" pid="34" name="Publisher-location">
    <vt:lpwstr/>
  </property>
  <property fmtid="{D5CDD505-2E9C-101B-9397-08002B2CF9AE}" pid="35" name="ReceivedDate">
    <vt:lpwstr/>
  </property>
  <property fmtid="{D5CDD505-2E9C-101B-9397-08002B2CF9AE}" pid="36" name="Reference citation style">
    <vt:lpwstr>numerical</vt:lpwstr>
  </property>
  <property fmtid="{D5CDD505-2E9C-101B-9397-08002B2CF9AE}" pid="37" name="Source">
    <vt:lpwstr/>
  </property>
  <property fmtid="{D5CDD505-2E9C-101B-9397-08002B2CF9AE}" pid="38" name="Source-abbreviated">
    <vt:lpwstr/>
  </property>
  <property fmtid="{D5CDD505-2E9C-101B-9397-08002B2CF9AE}" pid="39" name="Source-short">
    <vt:lpwstr/>
  </property>
  <property fmtid="{D5CDD505-2E9C-101B-9397-08002B2CF9AE}" pid="40" name="Subject">
    <vt:lpwstr/>
  </property>
  <property fmtid="{D5CDD505-2E9C-101B-9397-08002B2CF9AE}" pid="41" name="TemplateUrl">
    <vt:lpwstr/>
  </property>
  <property fmtid="{D5CDD505-2E9C-101B-9397-08002B2CF9AE}" pid="42" name="xd_ProgID">
    <vt:lpwstr/>
  </property>
  <property fmtid="{D5CDD505-2E9C-101B-9397-08002B2CF9AE}" pid="43" name="xd_Signature">
    <vt:lpwstr>false</vt:lpwstr>
  </property>
  <property fmtid="{D5CDD505-2E9C-101B-9397-08002B2CF9AE}" pid="44" name="_dlc_DocIdItemGuid">
    <vt:lpwstr>f82bb101-9b00-462e-af01-9a0e7ec06274</vt:lpwstr>
  </property>
</Properties>
</file>