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E9297">
      <w:pPr>
        <w:spacing w:after="40" w:line="276" w:lineRule="auto"/>
      </w:pPr>
      <w:r>
        <w:rPr>
          <w:rFonts w:ascii="Times New Roman" w:hAnsi="Times New Roman" w:eastAsia="Times New Roman"/>
          <w:b/>
          <w:i w:val="0"/>
          <w:sz w:val="22"/>
        </w:rPr>
        <w:t>Supplementary Table S1. Model coefficients for individual risk calculation.</w:t>
      </w:r>
    </w:p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340"/>
        <w:gridCol w:w="2340"/>
        <w:gridCol w:w="2340"/>
      </w:tblGrid>
      <w:tr w14:paraId="70A3F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234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2D46EB8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0"/>
              </w:rPr>
              <w:t>Predictor</w:t>
            </w:r>
          </w:p>
        </w:tc>
        <w:tc>
          <w:tcPr>
            <w:tcW w:w="234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4247A6E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0"/>
              </w:rPr>
              <w:t>Coding / unit</w:t>
            </w:r>
          </w:p>
        </w:tc>
        <w:tc>
          <w:tcPr>
            <w:tcW w:w="234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68DA0DB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β coefficient</w:t>
            </w:r>
          </w:p>
        </w:tc>
        <w:tc>
          <w:tcPr>
            <w:tcW w:w="234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172C819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Adjusted OR</w:t>
            </w:r>
          </w:p>
        </w:tc>
      </w:tr>
      <w:tr w14:paraId="79EE0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220F999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Intercept</w:t>
            </w:r>
          </w:p>
        </w:tc>
        <w:tc>
          <w:tcPr>
            <w:tcW w:w="2340" w:type="dxa"/>
            <w:vAlign w:val="center"/>
          </w:tcPr>
          <w:p w14:paraId="51E6001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–</w:t>
            </w:r>
          </w:p>
        </w:tc>
        <w:tc>
          <w:tcPr>
            <w:tcW w:w="2340" w:type="dxa"/>
            <w:vAlign w:val="center"/>
          </w:tcPr>
          <w:p w14:paraId="7369729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-2.6229</w:t>
            </w:r>
          </w:p>
        </w:tc>
        <w:tc>
          <w:tcPr>
            <w:tcW w:w="2340" w:type="dxa"/>
            <w:vAlign w:val="center"/>
          </w:tcPr>
          <w:p w14:paraId="0709538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–</w:t>
            </w:r>
          </w:p>
        </w:tc>
      </w:tr>
      <w:tr w14:paraId="7B2FB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1C3359F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Age (months)</w:t>
            </w:r>
          </w:p>
        </w:tc>
        <w:tc>
          <w:tcPr>
            <w:tcW w:w="2340" w:type="dxa"/>
            <w:vAlign w:val="center"/>
          </w:tcPr>
          <w:p w14:paraId="7913432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Per 1 month increase</w:t>
            </w:r>
          </w:p>
        </w:tc>
        <w:tc>
          <w:tcPr>
            <w:tcW w:w="2340" w:type="dxa"/>
            <w:vAlign w:val="center"/>
          </w:tcPr>
          <w:p w14:paraId="2442857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-0.0819</w:t>
            </w:r>
          </w:p>
        </w:tc>
        <w:tc>
          <w:tcPr>
            <w:tcW w:w="2340" w:type="dxa"/>
            <w:vAlign w:val="center"/>
          </w:tcPr>
          <w:p w14:paraId="3A887D9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0.92</w:t>
            </w:r>
          </w:p>
        </w:tc>
      </w:tr>
      <w:tr w14:paraId="27FD0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08BAD59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Male sex</w:t>
            </w:r>
          </w:p>
        </w:tc>
        <w:tc>
          <w:tcPr>
            <w:tcW w:w="2340" w:type="dxa"/>
            <w:vAlign w:val="center"/>
          </w:tcPr>
          <w:p w14:paraId="1227443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= male; 0 = female</w:t>
            </w:r>
          </w:p>
        </w:tc>
        <w:tc>
          <w:tcPr>
            <w:tcW w:w="2340" w:type="dxa"/>
            <w:vAlign w:val="center"/>
          </w:tcPr>
          <w:p w14:paraId="4D9D590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0.0469</w:t>
            </w:r>
          </w:p>
        </w:tc>
        <w:tc>
          <w:tcPr>
            <w:tcW w:w="2340" w:type="dxa"/>
            <w:vAlign w:val="center"/>
          </w:tcPr>
          <w:p w14:paraId="651EA66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1.05</w:t>
            </w:r>
          </w:p>
        </w:tc>
      </w:tr>
      <w:tr w14:paraId="4FAA2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672BE01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Symptom duration before admission (days)</w:t>
            </w:r>
          </w:p>
        </w:tc>
        <w:tc>
          <w:tcPr>
            <w:tcW w:w="2340" w:type="dxa"/>
            <w:vAlign w:val="center"/>
          </w:tcPr>
          <w:p w14:paraId="617DF20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Per 1 day increase</w:t>
            </w:r>
          </w:p>
        </w:tc>
        <w:tc>
          <w:tcPr>
            <w:tcW w:w="2340" w:type="dxa"/>
            <w:vAlign w:val="center"/>
          </w:tcPr>
          <w:p w14:paraId="28860C1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-0.0393</w:t>
            </w:r>
          </w:p>
        </w:tc>
        <w:tc>
          <w:tcPr>
            <w:tcW w:w="2340" w:type="dxa"/>
            <w:vAlign w:val="center"/>
          </w:tcPr>
          <w:p w14:paraId="304FD7A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0.96</w:t>
            </w:r>
          </w:p>
        </w:tc>
      </w:tr>
      <w:tr w14:paraId="1CD31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093C058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Paroxysmal cyanosis at presentation</w:t>
            </w:r>
          </w:p>
        </w:tc>
        <w:tc>
          <w:tcPr>
            <w:tcW w:w="2340" w:type="dxa"/>
            <w:vAlign w:val="center"/>
          </w:tcPr>
          <w:p w14:paraId="6FFFE36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= yes; 0 = no</w:t>
            </w:r>
          </w:p>
        </w:tc>
        <w:tc>
          <w:tcPr>
            <w:tcW w:w="2340" w:type="dxa"/>
            <w:vAlign w:val="center"/>
          </w:tcPr>
          <w:p w14:paraId="05EFE47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1.6429</w:t>
            </w:r>
          </w:p>
        </w:tc>
        <w:tc>
          <w:tcPr>
            <w:tcW w:w="2340" w:type="dxa"/>
            <w:vAlign w:val="center"/>
          </w:tcPr>
          <w:p w14:paraId="3D6C0E0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5.17</w:t>
            </w:r>
          </w:p>
        </w:tc>
      </w:tr>
      <w:tr w14:paraId="17A3C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4902CC4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Imaging consolidation/atelectasis</w:t>
            </w:r>
          </w:p>
        </w:tc>
        <w:tc>
          <w:tcPr>
            <w:tcW w:w="2340" w:type="dxa"/>
            <w:vAlign w:val="center"/>
          </w:tcPr>
          <w:p w14:paraId="3258885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= yes; 0 = no</w:t>
            </w:r>
          </w:p>
        </w:tc>
        <w:tc>
          <w:tcPr>
            <w:tcW w:w="2340" w:type="dxa"/>
            <w:vAlign w:val="center"/>
          </w:tcPr>
          <w:p w14:paraId="5CFB29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1.5723</w:t>
            </w:r>
          </w:p>
        </w:tc>
        <w:tc>
          <w:tcPr>
            <w:tcW w:w="2340" w:type="dxa"/>
            <w:vAlign w:val="center"/>
          </w:tcPr>
          <w:p w14:paraId="0628A8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4.82</w:t>
            </w:r>
          </w:p>
        </w:tc>
      </w:tr>
      <w:tr w14:paraId="33CBD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4D93DB0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Admission WBC (per 5×10⁹/L)</w:t>
            </w:r>
          </w:p>
        </w:tc>
        <w:tc>
          <w:tcPr>
            <w:tcW w:w="2340" w:type="dxa"/>
            <w:vAlign w:val="center"/>
          </w:tcPr>
          <w:p w14:paraId="213C2F0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WBC5 = WBC/5</w:t>
            </w:r>
          </w:p>
        </w:tc>
        <w:tc>
          <w:tcPr>
            <w:tcW w:w="2340" w:type="dxa"/>
            <w:vAlign w:val="center"/>
          </w:tcPr>
          <w:p w14:paraId="698DEF4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0.5928</w:t>
            </w:r>
          </w:p>
        </w:tc>
        <w:tc>
          <w:tcPr>
            <w:tcW w:w="2340" w:type="dxa"/>
            <w:vAlign w:val="center"/>
          </w:tcPr>
          <w:p w14:paraId="42A62A2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1.81</w:t>
            </w:r>
          </w:p>
        </w:tc>
      </w:tr>
      <w:tr w14:paraId="6B75F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tcBorders>
              <w:bottom w:val="single" w:color="000000" w:sz="12" w:space="0"/>
            </w:tcBorders>
            <w:vAlign w:val="center"/>
          </w:tcPr>
          <w:p w14:paraId="62601CC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Vaccinated (any dose recorded)</w:t>
            </w:r>
          </w:p>
        </w:tc>
        <w:tc>
          <w:tcPr>
            <w:tcW w:w="2340" w:type="dxa"/>
            <w:tcBorders>
              <w:bottom w:val="single" w:color="000000" w:sz="12" w:space="0"/>
            </w:tcBorders>
            <w:vAlign w:val="center"/>
          </w:tcPr>
          <w:p w14:paraId="00B6F56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= yes; 0 = no</w:t>
            </w:r>
          </w:p>
        </w:tc>
        <w:tc>
          <w:tcPr>
            <w:tcW w:w="2340" w:type="dxa"/>
            <w:tcBorders>
              <w:bottom w:val="single" w:color="000000" w:sz="12" w:space="0"/>
            </w:tcBorders>
            <w:vAlign w:val="center"/>
          </w:tcPr>
          <w:p w14:paraId="0407D1C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-1.2759</w:t>
            </w:r>
          </w:p>
        </w:tc>
        <w:tc>
          <w:tcPr>
            <w:tcW w:w="2340" w:type="dxa"/>
            <w:tcBorders>
              <w:bottom w:val="single" w:color="000000" w:sz="12" w:space="0"/>
            </w:tcBorders>
            <w:vAlign w:val="center"/>
          </w:tcPr>
          <w:p w14:paraId="5204B25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0.28</w:t>
            </w:r>
          </w:p>
        </w:tc>
      </w:tr>
    </w:tbl>
    <w:p w14:paraId="598B2B13">
      <w:pPr>
        <w:spacing w:after="40" w:line="276" w:lineRule="auto"/>
      </w:pPr>
      <w:r>
        <w:rPr>
          <w:rFonts w:ascii="Times New Roman" w:hAnsi="Times New Roman" w:eastAsia="Times New Roman"/>
          <w:b w:val="0"/>
          <w:i w:val="0"/>
          <w:sz w:val="19"/>
        </w:rPr>
        <w:t>Predicted probability: p = 1/(1+exp(-LP)), where LP = intercept + ΣβX.</w:t>
      </w:r>
    </w:p>
    <w:p w14:paraId="5055DF46">
      <w:pPr>
        <w:spacing w:after="40" w:line="276" w:lineRule="auto"/>
      </w:pPr>
      <w:r>
        <w:rPr>
          <w:rFonts w:ascii="Times New Roman" w:hAnsi="Times New Roman" w:eastAsia="Times New Roman"/>
          <w:b w:val="0"/>
          <w:i w:val="0"/>
          <w:sz w:val="19"/>
        </w:rPr>
        <w:t>WBC is measured in ×10⁹/L. Binary predictors are coded as 1 = yes/present and 0 = no/absent.</w:t>
      </w:r>
    </w:p>
    <w:p w14:paraId="6FF405E1"/>
    <w:p w14:paraId="54C50A5D">
      <w:pPr>
        <w:spacing w:after="40" w:line="276" w:lineRule="auto"/>
      </w:pPr>
      <w:r>
        <w:rPr>
          <w:rFonts w:ascii="Times New Roman" w:hAnsi="Times New Roman" w:eastAsia="Times New Roman"/>
          <w:b/>
          <w:i w:val="0"/>
          <w:sz w:val="22"/>
        </w:rPr>
        <w:t>Supplementary Table S2. Threshold-based classification performance (out-of-fold predictions).</w:t>
      </w:r>
    </w:p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872"/>
        <w:gridCol w:w="1872"/>
        <w:gridCol w:w="1872"/>
        <w:gridCol w:w="1872"/>
      </w:tblGrid>
      <w:tr w14:paraId="5E841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27C7CF9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Threshold</w:t>
            </w:r>
          </w:p>
        </w:tc>
        <w:tc>
          <w:tcPr>
            <w:tcW w:w="1872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614F770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Sensitivity (%)</w:t>
            </w:r>
          </w:p>
        </w:tc>
        <w:tc>
          <w:tcPr>
            <w:tcW w:w="1872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672C116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Specificity (%)</w:t>
            </w:r>
          </w:p>
        </w:tc>
        <w:tc>
          <w:tcPr>
            <w:tcW w:w="1872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184CFD7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PPV (%)</w:t>
            </w:r>
          </w:p>
        </w:tc>
        <w:tc>
          <w:tcPr>
            <w:tcW w:w="1872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53FC641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NPV (%)</w:t>
            </w:r>
          </w:p>
        </w:tc>
      </w:tr>
      <w:tr w14:paraId="19FE3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vAlign w:val="center"/>
          </w:tcPr>
          <w:p w14:paraId="4A971AE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10%</w:t>
            </w:r>
          </w:p>
        </w:tc>
        <w:tc>
          <w:tcPr>
            <w:tcW w:w="1872" w:type="dxa"/>
            <w:vAlign w:val="center"/>
          </w:tcPr>
          <w:p w14:paraId="1223EE1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93.5</w:t>
            </w:r>
          </w:p>
        </w:tc>
        <w:tc>
          <w:tcPr>
            <w:tcW w:w="1872" w:type="dxa"/>
            <w:vAlign w:val="center"/>
          </w:tcPr>
          <w:p w14:paraId="5E2B35B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86.2</w:t>
            </w:r>
          </w:p>
        </w:tc>
        <w:tc>
          <w:tcPr>
            <w:tcW w:w="1872" w:type="dxa"/>
            <w:vAlign w:val="center"/>
          </w:tcPr>
          <w:p w14:paraId="5457ADB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41.1</w:t>
            </w:r>
          </w:p>
        </w:tc>
        <w:tc>
          <w:tcPr>
            <w:tcW w:w="1872" w:type="dxa"/>
            <w:vAlign w:val="center"/>
          </w:tcPr>
          <w:p w14:paraId="61CE00B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99.2</w:t>
            </w:r>
          </w:p>
        </w:tc>
      </w:tr>
      <w:tr w14:paraId="0DEE5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tcBorders>
              <w:bottom w:val="single" w:color="000000" w:sz="12" w:space="0"/>
            </w:tcBorders>
            <w:vAlign w:val="center"/>
          </w:tcPr>
          <w:p w14:paraId="7B8FC6E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20%</w:t>
            </w:r>
          </w:p>
        </w:tc>
        <w:tc>
          <w:tcPr>
            <w:tcW w:w="1872" w:type="dxa"/>
            <w:tcBorders>
              <w:bottom w:val="single" w:color="000000" w:sz="12" w:space="0"/>
            </w:tcBorders>
            <w:vAlign w:val="center"/>
          </w:tcPr>
          <w:p w14:paraId="5002E21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82.3</w:t>
            </w:r>
          </w:p>
        </w:tc>
        <w:tc>
          <w:tcPr>
            <w:tcW w:w="1872" w:type="dxa"/>
            <w:tcBorders>
              <w:bottom w:val="single" w:color="000000" w:sz="12" w:space="0"/>
            </w:tcBorders>
            <w:vAlign w:val="center"/>
          </w:tcPr>
          <w:p w14:paraId="28678CF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92.8</w:t>
            </w:r>
          </w:p>
        </w:tc>
        <w:tc>
          <w:tcPr>
            <w:tcW w:w="1872" w:type="dxa"/>
            <w:tcBorders>
              <w:bottom w:val="single" w:color="000000" w:sz="12" w:space="0"/>
            </w:tcBorders>
            <w:vAlign w:val="center"/>
          </w:tcPr>
          <w:p w14:paraId="36441BC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54.3</w:t>
            </w:r>
          </w:p>
        </w:tc>
        <w:tc>
          <w:tcPr>
            <w:tcW w:w="1872" w:type="dxa"/>
            <w:tcBorders>
              <w:bottom w:val="single" w:color="000000" w:sz="12" w:space="0"/>
            </w:tcBorders>
            <w:vAlign w:val="center"/>
          </w:tcPr>
          <w:p w14:paraId="66E8904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98.1</w:t>
            </w:r>
          </w:p>
        </w:tc>
      </w:tr>
    </w:tbl>
    <w:p w14:paraId="3D5332ED">
      <w:pPr>
        <w:spacing w:after="40" w:line="276" w:lineRule="auto"/>
      </w:pPr>
      <w:r>
        <w:rPr>
          <w:rFonts w:ascii="Times New Roman" w:hAnsi="Times New Roman" w:eastAsia="Times New Roman"/>
          <w:b w:val="0"/>
          <w:i w:val="0"/>
          <w:sz w:val="19"/>
        </w:rPr>
        <w:t>Performance metrics were calculated from OOF predictions in 5-fold cross-validation. Sensitivity, specificity, PPV, and NPV were computed at prespecified risk thresholds of 10% and 20%.</w:t>
      </w:r>
    </w:p>
    <w:p w14:paraId="7F53FD12"/>
    <w:p w14:paraId="7FA12A8E">
      <w:pPr>
        <w:spacing w:after="40" w:line="276" w:lineRule="auto"/>
      </w:pPr>
      <w:r>
        <w:rPr>
          <w:rFonts w:ascii="Times New Roman" w:hAnsi="Times New Roman" w:eastAsia="Times New Roman"/>
          <w:b/>
          <w:i w:val="0"/>
          <w:sz w:val="22"/>
        </w:rPr>
        <w:t>Supplementary Table S3. Distribution of clearly documented major underlying comorbidities in the analytic cohort (n=662).</w:t>
      </w:r>
    </w:p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340"/>
        <w:gridCol w:w="2340"/>
        <w:gridCol w:w="2340"/>
      </w:tblGrid>
      <w:tr w14:paraId="1AC1C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1BEE24E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0"/>
              </w:rPr>
              <w:t>Major category</w:t>
            </w:r>
          </w:p>
        </w:tc>
        <w:tc>
          <w:tcPr>
            <w:tcW w:w="234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78EDFF6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0"/>
              </w:rPr>
              <w:t>Subcategory</w:t>
            </w:r>
          </w:p>
        </w:tc>
        <w:tc>
          <w:tcPr>
            <w:tcW w:w="234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1A8BC13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n</w:t>
            </w:r>
          </w:p>
        </w:tc>
        <w:tc>
          <w:tcPr>
            <w:tcW w:w="234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060B60B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% of 662</w:t>
            </w:r>
          </w:p>
        </w:tc>
      </w:tr>
      <w:tr w14:paraId="10F21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026B0C2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Any major underlying comorbidity</w:t>
            </w:r>
          </w:p>
        </w:tc>
        <w:tc>
          <w:tcPr>
            <w:tcW w:w="2340" w:type="dxa"/>
            <w:vAlign w:val="center"/>
          </w:tcPr>
          <w:p w14:paraId="282D0D18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5FC2032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62</w:t>
            </w:r>
          </w:p>
        </w:tc>
        <w:tc>
          <w:tcPr>
            <w:tcW w:w="2340" w:type="dxa"/>
            <w:vAlign w:val="center"/>
          </w:tcPr>
          <w:p w14:paraId="0A6D44A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9.4</w:t>
            </w:r>
          </w:p>
        </w:tc>
      </w:tr>
      <w:tr w14:paraId="23000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32D99BC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Congenital heart disease (CHD)</w:t>
            </w:r>
          </w:p>
        </w:tc>
        <w:tc>
          <w:tcPr>
            <w:tcW w:w="2340" w:type="dxa"/>
            <w:vAlign w:val="center"/>
          </w:tcPr>
          <w:p w14:paraId="7849B4DD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13E6C6C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48</w:t>
            </w:r>
          </w:p>
        </w:tc>
        <w:tc>
          <w:tcPr>
            <w:tcW w:w="2340" w:type="dxa"/>
            <w:vAlign w:val="center"/>
          </w:tcPr>
          <w:p w14:paraId="20419CF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7.3</w:t>
            </w:r>
          </w:p>
        </w:tc>
      </w:tr>
      <w:tr w14:paraId="5BF8F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5EEC3430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0B97EB8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Atrial septal defect (ASD)</w:t>
            </w:r>
          </w:p>
        </w:tc>
        <w:tc>
          <w:tcPr>
            <w:tcW w:w="2340" w:type="dxa"/>
            <w:vAlign w:val="center"/>
          </w:tcPr>
          <w:p w14:paraId="437DAC5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45</w:t>
            </w:r>
          </w:p>
        </w:tc>
        <w:tc>
          <w:tcPr>
            <w:tcW w:w="2340" w:type="dxa"/>
            <w:vAlign w:val="center"/>
          </w:tcPr>
          <w:p w14:paraId="02A20C9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6.8</w:t>
            </w:r>
          </w:p>
        </w:tc>
      </w:tr>
      <w:tr w14:paraId="61DD7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50E69D3B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64D900D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Ventricular septal defect (VSD)</w:t>
            </w:r>
          </w:p>
        </w:tc>
        <w:tc>
          <w:tcPr>
            <w:tcW w:w="2340" w:type="dxa"/>
            <w:vAlign w:val="center"/>
          </w:tcPr>
          <w:p w14:paraId="37E1D47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w="2340" w:type="dxa"/>
            <w:vAlign w:val="center"/>
          </w:tcPr>
          <w:p w14:paraId="2501B59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0.5</w:t>
            </w:r>
          </w:p>
        </w:tc>
      </w:tr>
      <w:tr w14:paraId="19F45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280078CF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59FF014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Patent ductus arteriosus (PDA)</w:t>
            </w:r>
          </w:p>
        </w:tc>
        <w:tc>
          <w:tcPr>
            <w:tcW w:w="2340" w:type="dxa"/>
            <w:vAlign w:val="center"/>
          </w:tcPr>
          <w:p w14:paraId="055E1F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308942D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0.2</w:t>
            </w:r>
          </w:p>
        </w:tc>
      </w:tr>
      <w:tr w14:paraId="704A7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0A322F6F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20349BA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Aortic valve stenosis</w:t>
            </w:r>
          </w:p>
        </w:tc>
        <w:tc>
          <w:tcPr>
            <w:tcW w:w="2340" w:type="dxa"/>
            <w:vAlign w:val="center"/>
          </w:tcPr>
          <w:p w14:paraId="2BCDD09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01CF434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0.2</w:t>
            </w:r>
          </w:p>
        </w:tc>
      </w:tr>
      <w:tr w14:paraId="7DC14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554D2A1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Major airway structural abnormality</w:t>
            </w:r>
          </w:p>
        </w:tc>
        <w:tc>
          <w:tcPr>
            <w:tcW w:w="2340" w:type="dxa"/>
            <w:vAlign w:val="center"/>
          </w:tcPr>
          <w:p w14:paraId="18A9C8F2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0B30666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16</w:t>
            </w:r>
          </w:p>
        </w:tc>
        <w:tc>
          <w:tcPr>
            <w:tcW w:w="2340" w:type="dxa"/>
            <w:vAlign w:val="center"/>
          </w:tcPr>
          <w:p w14:paraId="48B5D4A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2.4</w:t>
            </w:r>
          </w:p>
        </w:tc>
      </w:tr>
      <w:tr w14:paraId="615F8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6E63FE48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1C4F7E2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Laryngomalacia / laryngeal cartilage malacia</w:t>
            </w:r>
          </w:p>
        </w:tc>
        <w:tc>
          <w:tcPr>
            <w:tcW w:w="2340" w:type="dxa"/>
            <w:vAlign w:val="center"/>
          </w:tcPr>
          <w:p w14:paraId="7273E55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w="2340" w:type="dxa"/>
            <w:vAlign w:val="center"/>
          </w:tcPr>
          <w:p w14:paraId="244EB97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0.6</w:t>
            </w:r>
          </w:p>
        </w:tc>
      </w:tr>
      <w:tr w14:paraId="0477E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43807A68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597E548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Tracheomalacia</w:t>
            </w:r>
          </w:p>
        </w:tc>
        <w:tc>
          <w:tcPr>
            <w:tcW w:w="2340" w:type="dxa"/>
            <w:vAlign w:val="center"/>
          </w:tcPr>
          <w:p w14:paraId="008EA31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7</w:t>
            </w:r>
          </w:p>
        </w:tc>
        <w:tc>
          <w:tcPr>
            <w:tcW w:w="2340" w:type="dxa"/>
            <w:vAlign w:val="center"/>
          </w:tcPr>
          <w:p w14:paraId="35CAFDD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1.1</w:t>
            </w:r>
          </w:p>
        </w:tc>
      </w:tr>
      <w:tr w14:paraId="397D8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05FF734C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62ED60C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Bronchomalacia</w:t>
            </w:r>
          </w:p>
        </w:tc>
        <w:tc>
          <w:tcPr>
            <w:tcW w:w="2340" w:type="dxa"/>
            <w:vAlign w:val="center"/>
          </w:tcPr>
          <w:p w14:paraId="047961D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w="2340" w:type="dxa"/>
            <w:vAlign w:val="center"/>
          </w:tcPr>
          <w:p w14:paraId="49B6B74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0.6</w:t>
            </w:r>
          </w:p>
        </w:tc>
      </w:tr>
      <w:tr w14:paraId="0E915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7E74C216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36DB7C8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Airway or subglottic stenosis</w:t>
            </w:r>
          </w:p>
        </w:tc>
        <w:tc>
          <w:tcPr>
            <w:tcW w:w="2340" w:type="dxa"/>
            <w:vAlign w:val="center"/>
          </w:tcPr>
          <w:p w14:paraId="5612E8F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12</w:t>
            </w:r>
          </w:p>
        </w:tc>
        <w:tc>
          <w:tcPr>
            <w:tcW w:w="2340" w:type="dxa"/>
            <w:vAlign w:val="center"/>
          </w:tcPr>
          <w:p w14:paraId="2B7886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1.8</w:t>
            </w:r>
          </w:p>
        </w:tc>
      </w:tr>
      <w:tr w14:paraId="18130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59107680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404C16F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Bronchial stenosis</w:t>
            </w:r>
          </w:p>
        </w:tc>
        <w:tc>
          <w:tcPr>
            <w:tcW w:w="2340" w:type="dxa"/>
            <w:vAlign w:val="center"/>
          </w:tcPr>
          <w:p w14:paraId="20179F8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8</w:t>
            </w:r>
          </w:p>
        </w:tc>
        <w:tc>
          <w:tcPr>
            <w:tcW w:w="2340" w:type="dxa"/>
            <w:vAlign w:val="center"/>
          </w:tcPr>
          <w:p w14:paraId="4AC89C5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1.2</w:t>
            </w:r>
          </w:p>
        </w:tc>
      </w:tr>
      <w:tr w14:paraId="4927D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141B2A14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11B036F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Tracheoesophageal fistula</w:t>
            </w:r>
          </w:p>
        </w:tc>
        <w:tc>
          <w:tcPr>
            <w:tcW w:w="2340" w:type="dxa"/>
            <w:vAlign w:val="center"/>
          </w:tcPr>
          <w:p w14:paraId="5E92C5F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25739D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0.2</w:t>
            </w:r>
          </w:p>
        </w:tc>
      </w:tr>
      <w:tr w14:paraId="62BFC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3F58C64C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3941353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Congenital tracheal or pulmonary developmental abnormality</w:t>
            </w:r>
          </w:p>
        </w:tc>
        <w:tc>
          <w:tcPr>
            <w:tcW w:w="2340" w:type="dxa"/>
            <w:vAlign w:val="center"/>
          </w:tcPr>
          <w:p w14:paraId="1C1C580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1CF3E05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0.3</w:t>
            </w:r>
          </w:p>
        </w:tc>
      </w:tr>
      <w:tr w14:paraId="466AD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686DE8F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Asthma / chronic airway disease</w:t>
            </w:r>
          </w:p>
        </w:tc>
        <w:tc>
          <w:tcPr>
            <w:tcW w:w="2340" w:type="dxa"/>
            <w:vAlign w:val="center"/>
          </w:tcPr>
          <w:p w14:paraId="2D37C3D4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74A6B8C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w="2340" w:type="dxa"/>
            <w:vAlign w:val="center"/>
          </w:tcPr>
          <w:p w14:paraId="128CC46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0.5</w:t>
            </w:r>
          </w:p>
        </w:tc>
      </w:tr>
      <w:tr w14:paraId="4AD46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206B4417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47FFBB1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Bronchial asthma</w:t>
            </w:r>
          </w:p>
        </w:tc>
        <w:tc>
          <w:tcPr>
            <w:tcW w:w="2340" w:type="dxa"/>
            <w:vAlign w:val="center"/>
          </w:tcPr>
          <w:p w14:paraId="7650445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311BB41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0.3</w:t>
            </w:r>
          </w:p>
        </w:tc>
      </w:tr>
      <w:tr w14:paraId="1E4F4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54689A83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74B62F8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Bronchopulmonary dysplasia (BPD)</w:t>
            </w:r>
          </w:p>
        </w:tc>
        <w:tc>
          <w:tcPr>
            <w:tcW w:w="2340" w:type="dxa"/>
            <w:vAlign w:val="center"/>
          </w:tcPr>
          <w:p w14:paraId="108613C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0A1DF57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0.2</w:t>
            </w:r>
          </w:p>
        </w:tc>
      </w:tr>
      <w:tr w14:paraId="198AF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117CC33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Neurologic or aspiration-prone underlying disorder</w:t>
            </w:r>
          </w:p>
        </w:tc>
        <w:tc>
          <w:tcPr>
            <w:tcW w:w="2340" w:type="dxa"/>
            <w:vAlign w:val="center"/>
          </w:tcPr>
          <w:p w14:paraId="450B62D0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0F5279A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556A55D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0.3</w:t>
            </w:r>
          </w:p>
        </w:tc>
      </w:tr>
      <w:tr w14:paraId="03C33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55FC1C86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6A14675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Cerebral palsy</w:t>
            </w:r>
          </w:p>
        </w:tc>
        <w:tc>
          <w:tcPr>
            <w:tcW w:w="2340" w:type="dxa"/>
            <w:vAlign w:val="center"/>
          </w:tcPr>
          <w:p w14:paraId="537D5EB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774719D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0.2</w:t>
            </w:r>
          </w:p>
        </w:tc>
      </w:tr>
      <w:tr w14:paraId="5421A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4C5F6628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476CCAA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Dysphagia / swallowing dysfunction</w:t>
            </w:r>
          </w:p>
        </w:tc>
        <w:tc>
          <w:tcPr>
            <w:tcW w:w="2340" w:type="dxa"/>
            <w:vAlign w:val="center"/>
          </w:tcPr>
          <w:p w14:paraId="0A05A26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2944087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0.2</w:t>
            </w:r>
          </w:p>
        </w:tc>
      </w:tr>
      <w:tr w14:paraId="51A67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vAlign w:val="center"/>
          </w:tcPr>
          <w:p w14:paraId="2135AE9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Immunologic disorder</w:t>
            </w:r>
          </w:p>
        </w:tc>
        <w:tc>
          <w:tcPr>
            <w:tcW w:w="2340" w:type="dxa"/>
            <w:vAlign w:val="center"/>
          </w:tcPr>
          <w:p w14:paraId="3C055FB7">
            <w:pPr>
              <w:spacing w:after="0" w:line="240" w:lineRule="auto"/>
              <w:jc w:val="left"/>
            </w:pPr>
          </w:p>
        </w:tc>
        <w:tc>
          <w:tcPr>
            <w:tcW w:w="2340" w:type="dxa"/>
            <w:vAlign w:val="center"/>
          </w:tcPr>
          <w:p w14:paraId="29A99A9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4DD59AB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0.3</w:t>
            </w:r>
          </w:p>
        </w:tc>
      </w:tr>
      <w:tr w14:paraId="6D12F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tcBorders>
              <w:bottom w:val="single" w:color="000000" w:sz="12" w:space="0"/>
            </w:tcBorders>
            <w:vAlign w:val="center"/>
          </w:tcPr>
          <w:p w14:paraId="6A862BC3">
            <w:pPr>
              <w:spacing w:after="0" w:line="240" w:lineRule="auto"/>
              <w:jc w:val="left"/>
            </w:pPr>
          </w:p>
        </w:tc>
        <w:tc>
          <w:tcPr>
            <w:tcW w:w="2340" w:type="dxa"/>
            <w:tcBorders>
              <w:bottom w:val="single" w:color="000000" w:sz="12" w:space="0"/>
            </w:tcBorders>
            <w:vAlign w:val="center"/>
          </w:tcPr>
          <w:p w14:paraId="4A7C182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Disease involving immune mechanisms</w:t>
            </w:r>
          </w:p>
        </w:tc>
        <w:tc>
          <w:tcPr>
            <w:tcW w:w="2340" w:type="dxa"/>
            <w:tcBorders>
              <w:bottom w:val="single" w:color="000000" w:sz="12" w:space="0"/>
            </w:tcBorders>
            <w:vAlign w:val="center"/>
          </w:tcPr>
          <w:p w14:paraId="67BA4FF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w="2340" w:type="dxa"/>
            <w:tcBorders>
              <w:bottom w:val="single" w:color="000000" w:sz="12" w:space="0"/>
            </w:tcBorders>
            <w:vAlign w:val="center"/>
          </w:tcPr>
          <w:p w14:paraId="0AA39D7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0.3</w:t>
            </w:r>
          </w:p>
        </w:tc>
      </w:tr>
    </w:tbl>
    <w:p w14:paraId="6A446EB8">
      <w:pPr>
        <w:spacing w:after="40" w:line="276" w:lineRule="auto"/>
        <w:jc w:val="both"/>
      </w:pPr>
      <w:r>
        <w:rPr>
          <w:rFonts w:ascii="Times New Roman" w:hAnsi="Times New Roman" w:eastAsia="Times New Roman"/>
          <w:b w:val="0"/>
          <w:i w:val="0"/>
          <w:sz w:val="19"/>
        </w:rPr>
        <w:t>Major underlying comorbidity was defined for sensitivity analysis only and was not included in the primary nomogram.</w:t>
      </w:r>
    </w:p>
    <w:p w14:paraId="1A0CFB13">
      <w:pPr>
        <w:spacing w:after="40" w:line="276" w:lineRule="auto"/>
        <w:jc w:val="both"/>
      </w:pPr>
      <w:r>
        <w:rPr>
          <w:rFonts w:ascii="Times New Roman" w:hAnsi="Times New Roman" w:eastAsia="Times New Roman"/>
          <w:b w:val="0"/>
          <w:i w:val="0"/>
          <w:sz w:val="19"/>
        </w:rPr>
        <w:t>Categories and subcategories are not mutually exclusive; one child may contribute to more than one category or subcategory. Percentages are calculated using the analytic cohort (n=662) as the denominator.</w:t>
      </w:r>
    </w:p>
    <w:p w14:paraId="79CA7A4F"/>
    <w:p w14:paraId="1CFC2B10">
      <w:pPr>
        <w:spacing w:after="40" w:line="276" w:lineRule="auto"/>
      </w:pPr>
      <w:r>
        <w:rPr>
          <w:rFonts w:ascii="Times New Roman" w:hAnsi="Times New Roman" w:eastAsia="Times New Roman"/>
          <w:b/>
          <w:i w:val="0"/>
          <w:sz w:val="22"/>
        </w:rPr>
        <w:t>Supplementary Table S4. Sensitivity analyses addressing major underlying comorbidity.</w:t>
      </w:r>
    </w:p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872"/>
        <w:gridCol w:w="1872"/>
        <w:gridCol w:w="1872"/>
        <w:gridCol w:w="1872"/>
      </w:tblGrid>
      <w:tr w14:paraId="46F47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31A3429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0"/>
              </w:rPr>
              <w:t>Model</w:t>
            </w:r>
          </w:p>
        </w:tc>
        <w:tc>
          <w:tcPr>
            <w:tcW w:w="1872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6D3901B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Analytic sample</w:t>
            </w:r>
          </w:p>
        </w:tc>
        <w:tc>
          <w:tcPr>
            <w:tcW w:w="1872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71D006D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ICU events</w:t>
            </w:r>
          </w:p>
        </w:tc>
        <w:tc>
          <w:tcPr>
            <w:tcW w:w="1872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3BACF43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AUC (5-fold CV)</w:t>
            </w:r>
          </w:p>
        </w:tc>
        <w:tc>
          <w:tcPr>
            <w:tcW w:w="1872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595EFFF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Brier score</w:t>
            </w:r>
          </w:p>
        </w:tc>
      </w:tr>
      <w:tr w14:paraId="5F595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vAlign w:val="center"/>
          </w:tcPr>
          <w:p w14:paraId="17F98E4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Primary model (7 admission-time predictors)</w:t>
            </w:r>
          </w:p>
        </w:tc>
        <w:tc>
          <w:tcPr>
            <w:tcW w:w="1872" w:type="dxa"/>
            <w:vAlign w:val="center"/>
          </w:tcPr>
          <w:p w14:paraId="36039A9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662</w:t>
            </w:r>
          </w:p>
        </w:tc>
        <w:tc>
          <w:tcPr>
            <w:tcW w:w="1872" w:type="dxa"/>
            <w:vAlign w:val="center"/>
          </w:tcPr>
          <w:p w14:paraId="1785531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61</w:t>
            </w:r>
          </w:p>
        </w:tc>
        <w:tc>
          <w:tcPr>
            <w:tcW w:w="1872" w:type="dxa"/>
            <w:vAlign w:val="center"/>
          </w:tcPr>
          <w:p w14:paraId="2FD6BD7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0.953</w:t>
            </w:r>
          </w:p>
        </w:tc>
        <w:tc>
          <w:tcPr>
            <w:tcW w:w="1872" w:type="dxa"/>
            <w:vAlign w:val="center"/>
          </w:tcPr>
          <w:p w14:paraId="4AFDFD9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0.045</w:t>
            </w:r>
          </w:p>
        </w:tc>
      </w:tr>
      <w:tr w14:paraId="3990B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vAlign w:val="center"/>
          </w:tcPr>
          <w:p w14:paraId="3484CAC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Primary model plus major underlying comorbidity</w:t>
            </w:r>
          </w:p>
        </w:tc>
        <w:tc>
          <w:tcPr>
            <w:tcW w:w="1872" w:type="dxa"/>
            <w:vAlign w:val="center"/>
          </w:tcPr>
          <w:p w14:paraId="6ADFEA7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662</w:t>
            </w:r>
          </w:p>
        </w:tc>
        <w:tc>
          <w:tcPr>
            <w:tcW w:w="1872" w:type="dxa"/>
            <w:vAlign w:val="center"/>
          </w:tcPr>
          <w:p w14:paraId="0986127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61</w:t>
            </w:r>
          </w:p>
        </w:tc>
        <w:tc>
          <w:tcPr>
            <w:tcW w:w="1872" w:type="dxa"/>
            <w:vAlign w:val="center"/>
          </w:tcPr>
          <w:p w14:paraId="4DEB418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0.952</w:t>
            </w:r>
          </w:p>
        </w:tc>
        <w:tc>
          <w:tcPr>
            <w:tcW w:w="1872" w:type="dxa"/>
            <w:vAlign w:val="center"/>
          </w:tcPr>
          <w:p w14:paraId="140C6BE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0.045</w:t>
            </w:r>
          </w:p>
        </w:tc>
      </w:tr>
      <w:tr w14:paraId="698F6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tcBorders>
              <w:bottom w:val="single" w:color="000000" w:sz="12" w:space="0"/>
            </w:tcBorders>
            <w:vAlign w:val="center"/>
          </w:tcPr>
          <w:p w14:paraId="01CF4C2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Excluding children with major underlying comorbidity</w:t>
            </w:r>
          </w:p>
        </w:tc>
        <w:tc>
          <w:tcPr>
            <w:tcW w:w="1872" w:type="dxa"/>
            <w:tcBorders>
              <w:bottom w:val="single" w:color="000000" w:sz="12" w:space="0"/>
            </w:tcBorders>
            <w:vAlign w:val="center"/>
          </w:tcPr>
          <w:p w14:paraId="4A8F83C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600</w:t>
            </w:r>
          </w:p>
        </w:tc>
        <w:tc>
          <w:tcPr>
            <w:tcW w:w="1872" w:type="dxa"/>
            <w:tcBorders>
              <w:bottom w:val="single" w:color="000000" w:sz="12" w:space="0"/>
            </w:tcBorders>
            <w:vAlign w:val="center"/>
          </w:tcPr>
          <w:p w14:paraId="7E2A20E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38</w:t>
            </w:r>
          </w:p>
        </w:tc>
        <w:tc>
          <w:tcPr>
            <w:tcW w:w="1872" w:type="dxa"/>
            <w:tcBorders>
              <w:bottom w:val="single" w:color="000000" w:sz="12" w:space="0"/>
            </w:tcBorders>
            <w:vAlign w:val="center"/>
          </w:tcPr>
          <w:p w14:paraId="705087A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0.953</w:t>
            </w:r>
          </w:p>
        </w:tc>
        <w:tc>
          <w:tcPr>
            <w:tcW w:w="1872" w:type="dxa"/>
            <w:tcBorders>
              <w:bottom w:val="single" w:color="000000" w:sz="12" w:space="0"/>
            </w:tcBorders>
            <w:vAlign w:val="center"/>
          </w:tcPr>
          <w:p w14:paraId="61C2A1D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0.033</w:t>
            </w:r>
          </w:p>
        </w:tc>
      </w:tr>
    </w:tbl>
    <w:p w14:paraId="2EAEF89D">
      <w:pPr>
        <w:spacing w:after="40" w:line="276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b w:val="0"/>
          <w:i w:val="0"/>
          <w:color w:val="000000" w:themeColor="text1"/>
          <w:sz w:val="19"/>
          <w14:textFill>
            <w14:solidFill>
              <w14:schemeClr w14:val="tx1"/>
            </w14:solidFill>
          </w14:textFill>
        </w:rPr>
        <w:t>The primary model comprised the seven admission-time predictors prespecified in the main manuscript: age, sex, symptom duration before admission, paroxysmal cyanosis at presentation, imaging consolidation/atelectasis, admission WBC, and vaccination status.</w:t>
      </w:r>
    </w:p>
    <w:p w14:paraId="65D0FE7F">
      <w:pPr>
        <w:spacing w:after="40" w:line="276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b w:val="0"/>
          <w:i w:val="0"/>
          <w:color w:val="000000" w:themeColor="text1"/>
          <w:sz w:val="19"/>
          <w14:textFill>
            <w14:solidFill>
              <w14:schemeClr w14:val="tx1"/>
            </w14:solidFill>
          </w14:textFill>
        </w:rPr>
        <w:t>In the comorbidity-adjusted sensitivity model, major underlying comorbidity was independently associated with ICU admission (adjusted OR 2.58, 95% CI 1.07–6.21; P=0.035), while the directions of the original seven predictors remained unchanged.</w:t>
      </w:r>
    </w:p>
    <w:p w14:paraId="2509D082">
      <w:pPr>
        <w:spacing w:after="40" w:line="276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b w:val="0"/>
          <w:i w:val="0"/>
          <w:color w:val="000000" w:themeColor="text1"/>
          <w:sz w:val="19"/>
          <w14:textFill>
            <w14:solidFill>
              <w14:schemeClr w14:val="tx1"/>
            </w14:solidFill>
          </w14:textFill>
        </w:rPr>
        <w:t>After excluding children with clearly documented major underlying comorbidities, the original seven predictors remained directionally consistent, with similar discrimination.</w:t>
      </w:r>
    </w:p>
    <w:p w14:paraId="1E114452"/>
    <w:p w14:paraId="4EFBDC34">
      <w:pPr>
        <w:spacing w:after="40" w:line="276" w:lineRule="auto"/>
      </w:pPr>
      <w:r>
        <w:rPr>
          <w:rFonts w:ascii="Times New Roman" w:hAnsi="Times New Roman" w:eastAsia="Times New Roman"/>
          <w:b/>
          <w:i w:val="0"/>
          <w:sz w:val="22"/>
        </w:rPr>
        <w:t>Supplementary Table S5. Additional model checks and sensitivity analyses.</w:t>
      </w:r>
    </w:p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 w14:paraId="4684A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6B10544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0"/>
              </w:rPr>
              <w:t>Analysis</w:t>
            </w:r>
          </w:p>
        </w:tc>
        <w:tc>
          <w:tcPr>
            <w:tcW w:w="156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0EF0F17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Analytic sample</w:t>
            </w:r>
          </w:p>
        </w:tc>
        <w:tc>
          <w:tcPr>
            <w:tcW w:w="156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6A735F8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0"/>
              </w:rPr>
              <w:t>Key statistical result</w:t>
            </w:r>
          </w:p>
        </w:tc>
        <w:tc>
          <w:tcPr>
            <w:tcW w:w="156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2D1BEF9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5-fold CV AUC</w:t>
            </w:r>
          </w:p>
        </w:tc>
        <w:tc>
          <w:tcPr>
            <w:tcW w:w="156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5FF2EBA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Brier score</w:t>
            </w:r>
          </w:p>
        </w:tc>
        <w:tc>
          <w:tcPr>
            <w:tcW w:w="1560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 w14:paraId="4B3F93F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0"/>
              </w:rPr>
              <w:t>Interpretation</w:t>
            </w:r>
          </w:p>
        </w:tc>
      </w:tr>
      <w:tr w14:paraId="72AAD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Align w:val="center"/>
          </w:tcPr>
          <w:p w14:paraId="763CE2E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Age × cyanosis interaction</w:t>
            </w:r>
          </w:p>
        </w:tc>
        <w:tc>
          <w:tcPr>
            <w:tcW w:w="1560" w:type="dxa"/>
            <w:vAlign w:val="center"/>
          </w:tcPr>
          <w:p w14:paraId="59BF41B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 = 662</w:t>
            </w:r>
          </w:p>
        </w:tc>
        <w:tc>
          <w:tcPr>
            <w:tcW w:w="1560" w:type="dxa"/>
            <w:vAlign w:val="center"/>
          </w:tcPr>
          <w:p w14:paraId="22ED789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Interaction OR 1.05 (95% CI 0.90–1.23); P = 0.530</w:t>
            </w:r>
          </w:p>
        </w:tc>
        <w:tc>
          <w:tcPr>
            <w:tcW w:w="1560" w:type="dxa"/>
            <w:vAlign w:val="center"/>
          </w:tcPr>
          <w:p w14:paraId="0244779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0.952</w:t>
            </w:r>
          </w:p>
        </w:tc>
        <w:tc>
          <w:tcPr>
            <w:tcW w:w="1560" w:type="dxa"/>
            <w:vAlign w:val="center"/>
          </w:tcPr>
          <w:p w14:paraId="0FFB5A3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0.048</w:t>
            </w:r>
          </w:p>
        </w:tc>
        <w:tc>
          <w:tcPr>
            <w:tcW w:w="1560" w:type="dxa"/>
            <w:vAlign w:val="center"/>
          </w:tcPr>
          <w:p w14:paraId="7957C00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No evidence supporting retention of an age-by-cyanosis interaction term in the primary model.</w:t>
            </w:r>
          </w:p>
        </w:tc>
      </w:tr>
      <w:tr w14:paraId="2E2F9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Align w:val="center"/>
          </w:tcPr>
          <w:p w14:paraId="46EE10C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Age non-linearity check (cubic spline)</w:t>
            </w:r>
          </w:p>
        </w:tc>
        <w:tc>
          <w:tcPr>
            <w:tcW w:w="1560" w:type="dxa"/>
            <w:vAlign w:val="center"/>
          </w:tcPr>
          <w:p w14:paraId="2B46926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 = 662</w:t>
            </w:r>
          </w:p>
        </w:tc>
        <w:tc>
          <w:tcPr>
            <w:tcW w:w="1560" w:type="dxa"/>
            <w:vAlign w:val="center"/>
          </w:tcPr>
          <w:p w14:paraId="72A36C6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Likelihood-ratio P for non-linearity = 0.584</w:t>
            </w:r>
          </w:p>
        </w:tc>
        <w:tc>
          <w:tcPr>
            <w:tcW w:w="1560" w:type="dxa"/>
            <w:vAlign w:val="center"/>
          </w:tcPr>
          <w:p w14:paraId="421E7BE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0.953</w:t>
            </w:r>
          </w:p>
        </w:tc>
        <w:tc>
          <w:tcPr>
            <w:tcW w:w="1560" w:type="dxa"/>
            <w:vAlign w:val="center"/>
          </w:tcPr>
          <w:p w14:paraId="2CE65E2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0.047</w:t>
            </w:r>
          </w:p>
        </w:tc>
        <w:tc>
          <w:tcPr>
            <w:tcW w:w="1560" w:type="dxa"/>
            <w:vAlign w:val="center"/>
          </w:tcPr>
          <w:p w14:paraId="179114B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No meaningful evidence that a non-linear age term improved model fit or performance.</w:t>
            </w:r>
          </w:p>
        </w:tc>
      </w:tr>
      <w:tr w14:paraId="0BF40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Align w:val="center"/>
          </w:tcPr>
          <w:p w14:paraId="760C0E4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Admission WBC non-linearity check (cubic spline)</w:t>
            </w:r>
          </w:p>
        </w:tc>
        <w:tc>
          <w:tcPr>
            <w:tcW w:w="1560" w:type="dxa"/>
            <w:vAlign w:val="center"/>
          </w:tcPr>
          <w:p w14:paraId="3E9E139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 = 662</w:t>
            </w:r>
          </w:p>
        </w:tc>
        <w:tc>
          <w:tcPr>
            <w:tcW w:w="1560" w:type="dxa"/>
            <w:vAlign w:val="center"/>
          </w:tcPr>
          <w:p w14:paraId="00ABC89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Likelihood-ratio P for non-linearity = 0.004</w:t>
            </w:r>
          </w:p>
        </w:tc>
        <w:tc>
          <w:tcPr>
            <w:tcW w:w="1560" w:type="dxa"/>
            <w:vAlign w:val="center"/>
          </w:tcPr>
          <w:p w14:paraId="410C484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0.948</w:t>
            </w:r>
          </w:p>
        </w:tc>
        <w:tc>
          <w:tcPr>
            <w:tcW w:w="1560" w:type="dxa"/>
            <w:vAlign w:val="center"/>
          </w:tcPr>
          <w:p w14:paraId="079B913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0.045</w:t>
            </w:r>
          </w:p>
        </w:tc>
        <w:tc>
          <w:tcPr>
            <w:tcW w:w="1560" w:type="dxa"/>
            <w:vAlign w:val="center"/>
          </w:tcPr>
          <w:p w14:paraId="2A29FF6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WBC showed some evidence of non-linearity, but overall predictive performance changed only modestly; the linear term can be retained for parsimony if preferred.</w:t>
            </w:r>
          </w:p>
        </w:tc>
      </w:tr>
      <w:tr w14:paraId="53C57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Align w:val="center"/>
          </w:tcPr>
          <w:p w14:paraId="3533990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Age-eligible vaccination sensitivity analysis</w:t>
            </w:r>
          </w:p>
        </w:tc>
        <w:tc>
          <w:tcPr>
            <w:tcW w:w="1560" w:type="dxa"/>
            <w:vAlign w:val="center"/>
          </w:tcPr>
          <w:p w14:paraId="36CE501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 = 582</w:t>
            </w:r>
          </w:p>
        </w:tc>
        <w:tc>
          <w:tcPr>
            <w:tcW w:w="1560" w:type="dxa"/>
            <w:vAlign w:val="center"/>
          </w:tcPr>
          <w:p w14:paraId="1EF90C4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Vaccination OR 0.58 (95% CI 0.16–2.18); P = 0.424</w:t>
            </w:r>
          </w:p>
        </w:tc>
        <w:tc>
          <w:tcPr>
            <w:tcW w:w="1560" w:type="dxa"/>
            <w:vAlign w:val="center"/>
          </w:tcPr>
          <w:p w14:paraId="4230BD1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0.952</w:t>
            </w:r>
          </w:p>
        </w:tc>
        <w:tc>
          <w:tcPr>
            <w:tcW w:w="1560" w:type="dxa"/>
            <w:vAlign w:val="center"/>
          </w:tcPr>
          <w:p w14:paraId="5878413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0.024</w:t>
            </w:r>
          </w:p>
        </w:tc>
        <w:tc>
          <w:tcPr>
            <w:tcW w:w="1560" w:type="dxa"/>
            <w:vAlign w:val="center"/>
          </w:tcPr>
          <w:p w14:paraId="1B57C89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Among children who had reached vaccine-eligible age, the vaccination coefficient was attenuated and no longer statistically significant.</w:t>
            </w:r>
          </w:p>
        </w:tc>
      </w:tr>
      <w:tr w14:paraId="4F914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Align w:val="center"/>
          </w:tcPr>
          <w:p w14:paraId="11CB271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Ridge logistic regression</w:t>
            </w:r>
          </w:p>
        </w:tc>
        <w:tc>
          <w:tcPr>
            <w:tcW w:w="1560" w:type="dxa"/>
            <w:vAlign w:val="center"/>
          </w:tcPr>
          <w:p w14:paraId="4D483BD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 = 662</w:t>
            </w:r>
          </w:p>
        </w:tc>
        <w:tc>
          <w:tcPr>
            <w:tcW w:w="1560" w:type="dxa"/>
            <w:vAlign w:val="center"/>
          </w:tcPr>
          <w:p w14:paraId="7051209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L2-penalized model used as an overfitting-robustness check</w:t>
            </w:r>
          </w:p>
        </w:tc>
        <w:tc>
          <w:tcPr>
            <w:tcW w:w="1560" w:type="dxa"/>
            <w:vAlign w:val="center"/>
          </w:tcPr>
          <w:p w14:paraId="75A4C4F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0.953</w:t>
            </w:r>
          </w:p>
        </w:tc>
        <w:tc>
          <w:tcPr>
            <w:tcW w:w="1560" w:type="dxa"/>
            <w:vAlign w:val="center"/>
          </w:tcPr>
          <w:p w14:paraId="5BD6E33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0.046</w:t>
            </w:r>
          </w:p>
        </w:tc>
        <w:tc>
          <w:tcPr>
            <w:tcW w:w="1560" w:type="dxa"/>
            <w:vAlign w:val="center"/>
          </w:tcPr>
          <w:p w14:paraId="75DCC6E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Discrimination and overall error were similar to the primary model, supporting robustness despite modest EPV.</w:t>
            </w:r>
          </w:p>
        </w:tc>
      </w:tr>
      <w:tr w14:paraId="0CA14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bottom w:val="single" w:color="000000" w:sz="12" w:space="0"/>
            </w:tcBorders>
            <w:vAlign w:val="center"/>
          </w:tcPr>
          <w:p w14:paraId="274DBF2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Class-weighted logistic regression</w:t>
            </w:r>
          </w:p>
        </w:tc>
        <w:tc>
          <w:tcPr>
            <w:tcW w:w="1560" w:type="dxa"/>
            <w:tcBorders>
              <w:bottom w:val="single" w:color="000000" w:sz="12" w:space="0"/>
            </w:tcBorders>
            <w:vAlign w:val="center"/>
          </w:tcPr>
          <w:p w14:paraId="2E3307E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 = 662</w:t>
            </w:r>
          </w:p>
        </w:tc>
        <w:tc>
          <w:tcPr>
            <w:tcW w:w="1560" w:type="dxa"/>
            <w:tcBorders>
              <w:bottom w:val="single" w:color="000000" w:sz="12" w:space="0"/>
            </w:tcBorders>
            <w:vAlign w:val="center"/>
          </w:tcPr>
          <w:p w14:paraId="190E4E9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Balanced class weights applied to address ICU/non-ICU imbalance</w:t>
            </w:r>
          </w:p>
        </w:tc>
        <w:tc>
          <w:tcPr>
            <w:tcW w:w="1560" w:type="dxa"/>
            <w:tcBorders>
              <w:bottom w:val="single" w:color="000000" w:sz="12" w:space="0"/>
            </w:tcBorders>
            <w:vAlign w:val="center"/>
          </w:tcPr>
          <w:p w14:paraId="228086E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0.952</w:t>
            </w:r>
          </w:p>
        </w:tc>
        <w:tc>
          <w:tcPr>
            <w:tcW w:w="1560" w:type="dxa"/>
            <w:tcBorders>
              <w:bottom w:val="single" w:color="000000" w:sz="12" w:space="0"/>
            </w:tcBorders>
            <w:vAlign w:val="center"/>
          </w:tcPr>
          <w:p w14:paraId="09D60CF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0.091</w:t>
            </w:r>
          </w:p>
        </w:tc>
        <w:tc>
          <w:tcPr>
            <w:tcW w:w="1560" w:type="dxa"/>
            <w:tcBorders>
              <w:bottom w:val="single" w:color="000000" w:sz="12" w:space="0"/>
            </w:tcBorders>
            <w:vAlign w:val="center"/>
          </w:tcPr>
          <w:p w14:paraId="45752F8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AUC was similar, but Brier score worsened, suggesting no clear advantage over the primary unweighted model.</w:t>
            </w:r>
          </w:p>
        </w:tc>
      </w:tr>
    </w:tbl>
    <w:p w14:paraId="37A1EBDE">
      <w:pPr>
        <w:spacing w:after="40" w:line="276" w:lineRule="auto"/>
        <w:rPr>
          <w:rFonts w:hint="default" w:ascii="Times New Roman" w:hAnsi="Times New Roman" w:eastAsia="宋体"/>
          <w:b w:val="0"/>
          <w:i w:val="0"/>
          <w:sz w:val="19"/>
          <w:lang w:val="en-US" w:eastAsia="zh-CN"/>
        </w:rPr>
      </w:pPr>
      <w:r>
        <w:rPr>
          <w:rFonts w:ascii="Times New Roman" w:hAnsi="Times New Roman" w:eastAsia="Times New Roman"/>
          <w:b w:val="0"/>
          <w:i w:val="0"/>
          <w:sz w:val="19"/>
        </w:rPr>
        <w:t>Age and WBC non-linearity checks used cubic spline terms. The age-eligible vaccination analysis was restricted to children who had reached the age threshold for pertussis-containing vaccination.</w:t>
      </w:r>
      <w:r>
        <w:rPr>
          <w:rFonts w:hint="eastAsia" w:eastAsia="宋体"/>
          <w:b w:val="0"/>
          <w:i w:val="0"/>
          <w:sz w:val="19"/>
          <w:lang w:val="en-US" w:eastAsia="zh-CN"/>
        </w:rPr>
        <w:t xml:space="preserve"> </w:t>
      </w:r>
      <w:bookmarkStart w:id="0" w:name="_GoBack"/>
      <w:bookmarkEnd w:id="0"/>
      <w:r>
        <w:rPr>
          <w:rFonts w:ascii="Times New Roman" w:hAnsi="Times New Roman" w:eastAsia="Times New Roman"/>
          <w:b w:val="0"/>
          <w:i w:val="0"/>
          <w:sz w:val="19"/>
        </w:rPr>
        <w:t>Age-eligible was defined as ≥2 months (the earliest age for the first pertussis-containing vaccine dose in China</w:t>
      </w:r>
      <w:r>
        <w:rPr>
          <w:rFonts w:hint="eastAsia" w:eastAsia="宋体"/>
          <w:b w:val="0"/>
          <w:i w:val="0"/>
          <w:sz w:val="19"/>
          <w:lang w:val="en-US" w:eastAsia="zh-CN"/>
        </w:rPr>
        <w:t xml:space="preserve">). </w:t>
      </w:r>
    </w:p>
    <w:p w14:paraId="282AE770">
      <w:pPr>
        <w:spacing w:after="40" w:line="276" w:lineRule="auto"/>
        <w:rPr>
          <w:rFonts w:ascii="Times New Roman" w:hAnsi="Times New Roman" w:eastAsia="Times New Roman"/>
          <w:b w:val="0"/>
          <w:i w:val="0"/>
          <w:sz w:val="19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40732B"/>
    <w:rsid w:val="4DBC150C"/>
    <w:rsid w:val="6304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732</Words>
  <Characters>4381</Characters>
  <Lines>0</Lines>
  <Paragraphs>0</Paragraphs>
  <TotalTime>7</TotalTime>
  <ScaleCrop>false</ScaleCrop>
  <LinksUpToDate>false</LinksUpToDate>
  <CharactersWithSpaces>4916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铜驼巷陌</cp:lastModifiedBy>
  <dcterms:modified xsi:type="dcterms:W3CDTF">2026-04-27T12:28:40Z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eyJoZGlkIjoiMDIyZjBmM2VmNWYyNzNmY2E2OTBmZDk3YTcyNjM1YmYiLCJ1c2VySWQiOiIyOTc5MTU5MjIifQ==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13BB839EB6554EEBB1B8FA586A76CB7F_12</vt:lpwstr>
  </property>
</Properties>
</file>