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F2BC" w14:textId="77777777" w:rsidR="00F759FB" w:rsidRDefault="00000000">
      <w:pPr>
        <w:adjustRightInd w:val="0"/>
        <w:snapToGrid w:val="0"/>
        <w:spacing w:line="300" w:lineRule="auto"/>
        <w:jc w:val="center"/>
        <w:outlineLvl w:val="0"/>
        <w:rPr>
          <w:rFonts w:ascii="Times New Roman" w:eastAsia="方正仿宋_GBK" w:hAnsi="Times New Roman" w:cs="Times New Roman"/>
          <w:b/>
          <w:sz w:val="24"/>
          <w:szCs w:val="24"/>
        </w:rPr>
      </w:pPr>
      <w:r>
        <w:rPr>
          <w:rFonts w:ascii="Times New Roman" w:eastAsia="方正仿宋_GBK" w:hAnsi="Times New Roman" w:cs="Times New Roman"/>
          <w:b/>
          <w:sz w:val="24"/>
          <w:szCs w:val="24"/>
        </w:rPr>
        <w:t>Additional Information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方正仿宋_GBK" w:hAnsi="Times New Roman" w:cs="Times New Roman"/>
          <w:b/>
          <w:sz w:val="24"/>
          <w:szCs w:val="24"/>
        </w:rPr>
        <w:t>Web Appendix</w:t>
      </w:r>
    </w:p>
    <w:p w14:paraId="1C7CF10A" w14:textId="77777777" w:rsidR="00F759FB" w:rsidRDefault="00000000">
      <w:pPr>
        <w:pStyle w:val="Caption"/>
        <w:keepNext/>
        <w:spacing w:afterLines="50" w:after="156" w:line="360" w:lineRule="auto"/>
        <w:jc w:val="left"/>
        <w:rPr>
          <w:rFonts w:cs="Times New Roman"/>
          <w:sz w:val="22"/>
        </w:rPr>
      </w:pPr>
      <w:bookmarkStart w:id="0" w:name="OLE_LINK180"/>
      <w:bookmarkStart w:id="1" w:name="OLE_LINK170"/>
      <w:r>
        <w:rPr>
          <w:rFonts w:cs="Times New Roman"/>
          <w:b/>
          <w:bCs/>
          <w:sz w:val="24"/>
          <w:szCs w:val="24"/>
        </w:rPr>
        <w:t>Supplementary Table 1</w:t>
      </w:r>
      <w:bookmarkEnd w:id="0"/>
      <w:r>
        <w:rPr>
          <w:rFonts w:cs="Times New Roman"/>
          <w:b/>
          <w:bCs/>
          <w:sz w:val="24"/>
          <w:szCs w:val="24"/>
        </w:rPr>
        <w:t>.</w:t>
      </w:r>
      <w:bookmarkEnd w:id="1"/>
      <w:r>
        <w:rPr>
          <w:rFonts w:cs="Times New Roman"/>
          <w:sz w:val="24"/>
          <w:szCs w:val="24"/>
        </w:rPr>
        <w:t xml:space="preserve"> </w:t>
      </w:r>
      <w:bookmarkStart w:id="2" w:name="OLE_LINK179"/>
      <w:r>
        <w:rPr>
          <w:rFonts w:cs="Times New Roman"/>
          <w:sz w:val="22"/>
        </w:rPr>
        <w:t>Annual incidence of scarlet fever by administrative districts</w:t>
      </w:r>
      <w:bookmarkEnd w:id="2"/>
      <w:r>
        <w:rPr>
          <w:rFonts w:cs="Times New Roman"/>
          <w:sz w:val="22"/>
        </w:rPr>
        <w:t xml:space="preserve"> </w:t>
      </w:r>
      <w:r>
        <w:rPr>
          <w:rFonts w:eastAsia="宋体" w:cs="Times New Roman"/>
          <w:sz w:val="22"/>
        </w:rPr>
        <w:t xml:space="preserve">of Guangzhou </w:t>
      </w:r>
      <w:r>
        <w:rPr>
          <w:rFonts w:cs="Times New Roman"/>
          <w:sz w:val="22"/>
        </w:rPr>
        <w:t>(2005</w:t>
      </w:r>
      <w:r>
        <w:rPr>
          <w:rFonts w:eastAsia="宋体" w:cs="Times New Roman"/>
          <w:sz w:val="22"/>
        </w:rPr>
        <w:t>-</w:t>
      </w:r>
      <w:r>
        <w:rPr>
          <w:rFonts w:cs="Times New Roman"/>
          <w:sz w:val="22"/>
        </w:rPr>
        <w:t xml:space="preserve">2024).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82"/>
        <w:gridCol w:w="1018"/>
        <w:gridCol w:w="1018"/>
        <w:gridCol w:w="1018"/>
        <w:gridCol w:w="1018"/>
        <w:gridCol w:w="1018"/>
        <w:gridCol w:w="2050"/>
      </w:tblGrid>
      <w:tr w:rsidR="00F759FB" w14:paraId="545C9716" w14:textId="77777777">
        <w:trPr>
          <w:trHeight w:val="270"/>
        </w:trPr>
        <w:tc>
          <w:tcPr>
            <w:tcW w:w="814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037BED7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Districts</w:t>
            </w:r>
          </w:p>
        </w:tc>
        <w:tc>
          <w:tcPr>
            <w:tcW w:w="2998" w:type="pct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75A0E60A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Annualized mean incidence (per 100,000 people)</w:t>
            </w:r>
          </w:p>
        </w:tc>
        <w:tc>
          <w:tcPr>
            <w:tcW w:w="1188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8A606B8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AAPC (95 %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CI)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F759FB" w14:paraId="4D9DE118" w14:textId="77777777">
        <w:trPr>
          <w:trHeight w:val="27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F1D0373" w14:textId="77777777" w:rsidR="00F759FB" w:rsidRDefault="00F759F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71A5887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2005-2024</w:t>
            </w:r>
          </w:p>
        </w:tc>
        <w:tc>
          <w:tcPr>
            <w:tcW w:w="60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8C2EF5C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2005-2016</w:t>
            </w:r>
          </w:p>
        </w:tc>
        <w:tc>
          <w:tcPr>
            <w:tcW w:w="60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9657EBB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2017-2019</w:t>
            </w:r>
          </w:p>
        </w:tc>
        <w:tc>
          <w:tcPr>
            <w:tcW w:w="60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5BB8B65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2020-2022</w:t>
            </w:r>
          </w:p>
        </w:tc>
        <w:tc>
          <w:tcPr>
            <w:tcW w:w="60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6DF9C1F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2023-2024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7549D3" w14:textId="77777777" w:rsidR="00F759FB" w:rsidRDefault="00F759F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F759FB" w14:paraId="4BD5B52E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3CD12D76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Liwan</w:t>
            </w:r>
          </w:p>
        </w:tc>
        <w:tc>
          <w:tcPr>
            <w:tcW w:w="600" w:type="pct"/>
            <w:noWrap/>
            <w:vAlign w:val="center"/>
          </w:tcPr>
          <w:p w14:paraId="3FC9D63E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3.03 </w:t>
            </w:r>
          </w:p>
        </w:tc>
        <w:tc>
          <w:tcPr>
            <w:tcW w:w="600" w:type="pct"/>
            <w:noWrap/>
            <w:vAlign w:val="center"/>
          </w:tcPr>
          <w:p w14:paraId="3D2CE237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1.20 </w:t>
            </w:r>
          </w:p>
        </w:tc>
        <w:tc>
          <w:tcPr>
            <w:tcW w:w="600" w:type="pct"/>
            <w:noWrap/>
            <w:vAlign w:val="center"/>
          </w:tcPr>
          <w:p w14:paraId="7DEF1BB6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4.32 </w:t>
            </w:r>
          </w:p>
        </w:tc>
        <w:tc>
          <w:tcPr>
            <w:tcW w:w="600" w:type="pct"/>
            <w:noWrap/>
            <w:vAlign w:val="center"/>
          </w:tcPr>
          <w:p w14:paraId="59071D1C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2.43 </w:t>
            </w:r>
          </w:p>
        </w:tc>
        <w:tc>
          <w:tcPr>
            <w:tcW w:w="600" w:type="pct"/>
            <w:noWrap/>
            <w:vAlign w:val="center"/>
          </w:tcPr>
          <w:p w14:paraId="00F4AF17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10.76 </w:t>
            </w:r>
          </w:p>
        </w:tc>
        <w:tc>
          <w:tcPr>
            <w:tcW w:w="1188" w:type="pct"/>
            <w:noWrap/>
            <w:vAlign w:val="center"/>
          </w:tcPr>
          <w:p w14:paraId="45EDB8C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13.99 (6.07,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31.27)*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F759FB" w14:paraId="2F599984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60948EAF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Yuexiu</w:t>
            </w:r>
          </w:p>
        </w:tc>
        <w:tc>
          <w:tcPr>
            <w:tcW w:w="600" w:type="pct"/>
            <w:noWrap/>
            <w:vAlign w:val="center"/>
          </w:tcPr>
          <w:p w14:paraId="3E32BBC5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3.98 </w:t>
            </w:r>
          </w:p>
        </w:tc>
        <w:tc>
          <w:tcPr>
            <w:tcW w:w="600" w:type="pct"/>
            <w:noWrap/>
            <w:vAlign w:val="center"/>
          </w:tcPr>
          <w:p w14:paraId="3B5A597F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1.57 </w:t>
            </w:r>
          </w:p>
        </w:tc>
        <w:tc>
          <w:tcPr>
            <w:tcW w:w="600" w:type="pct"/>
            <w:noWrap/>
            <w:vAlign w:val="center"/>
          </w:tcPr>
          <w:p w14:paraId="14282A51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8.84 </w:t>
            </w:r>
          </w:p>
        </w:tc>
        <w:tc>
          <w:tcPr>
            <w:tcW w:w="600" w:type="pct"/>
            <w:noWrap/>
            <w:vAlign w:val="center"/>
          </w:tcPr>
          <w:p w14:paraId="63EC1C59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2.67 </w:t>
            </w:r>
          </w:p>
        </w:tc>
        <w:tc>
          <w:tcPr>
            <w:tcW w:w="600" w:type="pct"/>
            <w:noWrap/>
            <w:vAlign w:val="center"/>
          </w:tcPr>
          <w:p w14:paraId="740861A3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14.33 </w:t>
            </w:r>
          </w:p>
        </w:tc>
        <w:tc>
          <w:tcPr>
            <w:tcW w:w="1188" w:type="pct"/>
            <w:noWrap/>
            <w:vAlign w:val="center"/>
          </w:tcPr>
          <w:p w14:paraId="0096AC38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11.59 (3.71,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27.73)*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F759FB" w14:paraId="0F9A39EB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1B632723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Haizhu</w:t>
            </w:r>
            <w:proofErr w:type="spellEnd"/>
          </w:p>
        </w:tc>
        <w:tc>
          <w:tcPr>
            <w:tcW w:w="600" w:type="pct"/>
            <w:noWrap/>
            <w:vAlign w:val="center"/>
          </w:tcPr>
          <w:p w14:paraId="45E121F3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3.20 </w:t>
            </w:r>
          </w:p>
        </w:tc>
        <w:tc>
          <w:tcPr>
            <w:tcW w:w="600" w:type="pct"/>
            <w:noWrap/>
            <w:vAlign w:val="center"/>
          </w:tcPr>
          <w:p w14:paraId="68E03A4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1.63 </w:t>
            </w:r>
          </w:p>
        </w:tc>
        <w:tc>
          <w:tcPr>
            <w:tcW w:w="600" w:type="pct"/>
            <w:noWrap/>
            <w:vAlign w:val="center"/>
          </w:tcPr>
          <w:p w14:paraId="7D27E95D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6.69 </w:t>
            </w:r>
          </w:p>
        </w:tc>
        <w:tc>
          <w:tcPr>
            <w:tcW w:w="600" w:type="pct"/>
            <w:noWrap/>
            <w:vAlign w:val="center"/>
          </w:tcPr>
          <w:p w14:paraId="7F308A7E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1.64 </w:t>
            </w:r>
          </w:p>
        </w:tc>
        <w:tc>
          <w:tcPr>
            <w:tcW w:w="600" w:type="pct"/>
            <w:noWrap/>
            <w:vAlign w:val="center"/>
          </w:tcPr>
          <w:p w14:paraId="043E11C4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8.34 </w:t>
            </w:r>
          </w:p>
        </w:tc>
        <w:tc>
          <w:tcPr>
            <w:tcW w:w="1188" w:type="pct"/>
            <w:noWrap/>
            <w:vAlign w:val="center"/>
          </w:tcPr>
          <w:p w14:paraId="5C3C47C5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7.84 (-0.60, 24.68)</w:t>
            </w:r>
          </w:p>
        </w:tc>
      </w:tr>
      <w:tr w:rsidR="00F759FB" w14:paraId="5CC4CC31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2AACAEAF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Tianhe</w:t>
            </w:r>
          </w:p>
        </w:tc>
        <w:tc>
          <w:tcPr>
            <w:tcW w:w="600" w:type="pct"/>
            <w:noWrap/>
            <w:vAlign w:val="center"/>
          </w:tcPr>
          <w:p w14:paraId="3DB63FE6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3.84 </w:t>
            </w:r>
          </w:p>
        </w:tc>
        <w:tc>
          <w:tcPr>
            <w:tcW w:w="600" w:type="pct"/>
            <w:noWrap/>
            <w:vAlign w:val="center"/>
          </w:tcPr>
          <w:p w14:paraId="13BE299B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2.14 </w:t>
            </w:r>
          </w:p>
        </w:tc>
        <w:tc>
          <w:tcPr>
            <w:tcW w:w="600" w:type="pct"/>
            <w:noWrap/>
            <w:vAlign w:val="center"/>
          </w:tcPr>
          <w:p w14:paraId="014EEAFE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6.30 </w:t>
            </w:r>
          </w:p>
        </w:tc>
        <w:tc>
          <w:tcPr>
            <w:tcW w:w="600" w:type="pct"/>
            <w:noWrap/>
            <w:vAlign w:val="center"/>
          </w:tcPr>
          <w:p w14:paraId="4B99B0EB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1.95 </w:t>
            </w:r>
          </w:p>
        </w:tc>
        <w:tc>
          <w:tcPr>
            <w:tcW w:w="600" w:type="pct"/>
            <w:noWrap/>
            <w:vAlign w:val="center"/>
          </w:tcPr>
          <w:p w14:paraId="62250C60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9.92 </w:t>
            </w:r>
          </w:p>
        </w:tc>
        <w:tc>
          <w:tcPr>
            <w:tcW w:w="1188" w:type="pct"/>
            <w:noWrap/>
            <w:vAlign w:val="center"/>
          </w:tcPr>
          <w:p w14:paraId="42589E7C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8.35 (0.01,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24.08)*</w:t>
            </w:r>
            <w:proofErr w:type="gramEnd"/>
          </w:p>
        </w:tc>
      </w:tr>
      <w:tr w:rsidR="00F759FB" w14:paraId="4F470EA3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04DA6924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Baiyun</w:t>
            </w:r>
          </w:p>
        </w:tc>
        <w:tc>
          <w:tcPr>
            <w:tcW w:w="600" w:type="pct"/>
            <w:noWrap/>
            <w:vAlign w:val="center"/>
          </w:tcPr>
          <w:p w14:paraId="4A004EC9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4.01 </w:t>
            </w:r>
          </w:p>
        </w:tc>
        <w:tc>
          <w:tcPr>
            <w:tcW w:w="600" w:type="pct"/>
            <w:noWrap/>
            <w:vAlign w:val="center"/>
          </w:tcPr>
          <w:p w14:paraId="08DB6484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2.53 </w:t>
            </w:r>
          </w:p>
        </w:tc>
        <w:tc>
          <w:tcPr>
            <w:tcW w:w="600" w:type="pct"/>
            <w:noWrap/>
            <w:vAlign w:val="center"/>
          </w:tcPr>
          <w:p w14:paraId="63ABDA37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8.33 </w:t>
            </w:r>
          </w:p>
        </w:tc>
        <w:tc>
          <w:tcPr>
            <w:tcW w:w="600" w:type="pct"/>
            <w:noWrap/>
            <w:vAlign w:val="center"/>
          </w:tcPr>
          <w:p w14:paraId="52DF6E0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1.85 </w:t>
            </w:r>
          </w:p>
        </w:tc>
        <w:tc>
          <w:tcPr>
            <w:tcW w:w="600" w:type="pct"/>
            <w:noWrap/>
            <w:vAlign w:val="center"/>
          </w:tcPr>
          <w:p w14:paraId="608C307F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6.68 </w:t>
            </w:r>
          </w:p>
        </w:tc>
        <w:tc>
          <w:tcPr>
            <w:tcW w:w="1188" w:type="pct"/>
            <w:noWrap/>
            <w:vAlign w:val="center"/>
          </w:tcPr>
          <w:p w14:paraId="7D2D55F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3.34 (-11.27, 31.91)</w:t>
            </w:r>
          </w:p>
        </w:tc>
      </w:tr>
      <w:tr w:rsidR="00F759FB" w14:paraId="298753C1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74096871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Huangpu</w:t>
            </w:r>
          </w:p>
        </w:tc>
        <w:tc>
          <w:tcPr>
            <w:tcW w:w="600" w:type="pct"/>
            <w:noWrap/>
            <w:vAlign w:val="center"/>
          </w:tcPr>
          <w:p w14:paraId="27F8A01A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2.89 </w:t>
            </w:r>
          </w:p>
        </w:tc>
        <w:tc>
          <w:tcPr>
            <w:tcW w:w="600" w:type="pct"/>
            <w:noWrap/>
            <w:vAlign w:val="center"/>
          </w:tcPr>
          <w:p w14:paraId="0822D267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1.41 </w:t>
            </w:r>
          </w:p>
        </w:tc>
        <w:tc>
          <w:tcPr>
            <w:tcW w:w="600" w:type="pct"/>
            <w:noWrap/>
            <w:vAlign w:val="center"/>
          </w:tcPr>
          <w:p w14:paraId="3AEE5B70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4.45 </w:t>
            </w:r>
          </w:p>
        </w:tc>
        <w:tc>
          <w:tcPr>
            <w:tcW w:w="600" w:type="pct"/>
            <w:noWrap/>
            <w:vAlign w:val="center"/>
          </w:tcPr>
          <w:p w14:paraId="65369CFF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1.86 </w:t>
            </w:r>
          </w:p>
        </w:tc>
        <w:tc>
          <w:tcPr>
            <w:tcW w:w="600" w:type="pct"/>
            <w:noWrap/>
            <w:vAlign w:val="center"/>
          </w:tcPr>
          <w:p w14:paraId="7B31BD26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7.98 </w:t>
            </w:r>
          </w:p>
        </w:tc>
        <w:tc>
          <w:tcPr>
            <w:tcW w:w="1188" w:type="pct"/>
            <w:noWrap/>
            <w:vAlign w:val="center"/>
          </w:tcPr>
          <w:p w14:paraId="3E3244D4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9.69 (1.70,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25.00)*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F759FB" w14:paraId="318C793B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47A4EBAE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Panyu</w:t>
            </w:r>
          </w:p>
        </w:tc>
        <w:tc>
          <w:tcPr>
            <w:tcW w:w="600" w:type="pct"/>
            <w:noWrap/>
            <w:vAlign w:val="center"/>
          </w:tcPr>
          <w:p w14:paraId="1CF24083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2.25 </w:t>
            </w:r>
          </w:p>
        </w:tc>
        <w:tc>
          <w:tcPr>
            <w:tcW w:w="600" w:type="pct"/>
            <w:noWrap/>
            <w:vAlign w:val="center"/>
          </w:tcPr>
          <w:p w14:paraId="14A1B450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0.97 </w:t>
            </w:r>
          </w:p>
        </w:tc>
        <w:tc>
          <w:tcPr>
            <w:tcW w:w="600" w:type="pct"/>
            <w:noWrap/>
            <w:vAlign w:val="center"/>
          </w:tcPr>
          <w:p w14:paraId="1A8F28EC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4.24 </w:t>
            </w:r>
          </w:p>
        </w:tc>
        <w:tc>
          <w:tcPr>
            <w:tcW w:w="600" w:type="pct"/>
            <w:noWrap/>
            <w:vAlign w:val="center"/>
          </w:tcPr>
          <w:p w14:paraId="0121A0A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1.37 </w:t>
            </w:r>
          </w:p>
        </w:tc>
        <w:tc>
          <w:tcPr>
            <w:tcW w:w="600" w:type="pct"/>
            <w:noWrap/>
            <w:vAlign w:val="center"/>
          </w:tcPr>
          <w:p w14:paraId="021C117D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5.68 </w:t>
            </w:r>
          </w:p>
        </w:tc>
        <w:tc>
          <w:tcPr>
            <w:tcW w:w="1188" w:type="pct"/>
            <w:noWrap/>
            <w:vAlign w:val="center"/>
          </w:tcPr>
          <w:p w14:paraId="09D7A974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8.64 (0.27, 27.00)</w:t>
            </w:r>
          </w:p>
        </w:tc>
      </w:tr>
      <w:tr w:rsidR="00F759FB" w14:paraId="0DA9D7A5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75138C77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Huadu</w:t>
            </w:r>
            <w:proofErr w:type="spellEnd"/>
          </w:p>
        </w:tc>
        <w:tc>
          <w:tcPr>
            <w:tcW w:w="600" w:type="pct"/>
            <w:noWrap/>
            <w:vAlign w:val="center"/>
          </w:tcPr>
          <w:p w14:paraId="0A00B5A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2.22 </w:t>
            </w:r>
          </w:p>
        </w:tc>
        <w:tc>
          <w:tcPr>
            <w:tcW w:w="600" w:type="pct"/>
            <w:noWrap/>
            <w:vAlign w:val="center"/>
          </w:tcPr>
          <w:p w14:paraId="5844B9D4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1.41 </w:t>
            </w:r>
          </w:p>
        </w:tc>
        <w:tc>
          <w:tcPr>
            <w:tcW w:w="600" w:type="pct"/>
            <w:noWrap/>
            <w:vAlign w:val="center"/>
          </w:tcPr>
          <w:p w14:paraId="5F99D9C6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4.14 </w:t>
            </w:r>
          </w:p>
        </w:tc>
        <w:tc>
          <w:tcPr>
            <w:tcW w:w="600" w:type="pct"/>
            <w:noWrap/>
            <w:vAlign w:val="center"/>
          </w:tcPr>
          <w:p w14:paraId="2C446004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1.18 </w:t>
            </w:r>
          </w:p>
        </w:tc>
        <w:tc>
          <w:tcPr>
            <w:tcW w:w="600" w:type="pct"/>
            <w:noWrap/>
            <w:vAlign w:val="center"/>
          </w:tcPr>
          <w:p w14:paraId="5624402F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3.97 </w:t>
            </w:r>
          </w:p>
        </w:tc>
        <w:tc>
          <w:tcPr>
            <w:tcW w:w="1188" w:type="pct"/>
            <w:noWrap/>
            <w:vAlign w:val="center"/>
          </w:tcPr>
          <w:p w14:paraId="47BF36E5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 (-6.15, 24.75)</w:t>
            </w:r>
          </w:p>
        </w:tc>
      </w:tr>
      <w:tr w:rsidR="00F759FB" w14:paraId="31FBFD09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47C2905C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Nansha</w:t>
            </w:r>
          </w:p>
        </w:tc>
        <w:tc>
          <w:tcPr>
            <w:tcW w:w="600" w:type="pct"/>
            <w:noWrap/>
            <w:vAlign w:val="center"/>
          </w:tcPr>
          <w:p w14:paraId="0E28F4D6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1.96 </w:t>
            </w:r>
          </w:p>
        </w:tc>
        <w:tc>
          <w:tcPr>
            <w:tcW w:w="600" w:type="pct"/>
            <w:noWrap/>
            <w:vAlign w:val="center"/>
          </w:tcPr>
          <w:p w14:paraId="5445804C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600" w:type="pct"/>
            <w:noWrap/>
            <w:vAlign w:val="center"/>
          </w:tcPr>
          <w:p w14:paraId="0957B330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3.42 </w:t>
            </w:r>
          </w:p>
        </w:tc>
        <w:tc>
          <w:tcPr>
            <w:tcW w:w="600" w:type="pct"/>
            <w:noWrap/>
            <w:vAlign w:val="center"/>
          </w:tcPr>
          <w:p w14:paraId="0481E82C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1.53 </w:t>
            </w:r>
          </w:p>
        </w:tc>
        <w:tc>
          <w:tcPr>
            <w:tcW w:w="600" w:type="pct"/>
            <w:noWrap/>
            <w:vAlign w:val="center"/>
          </w:tcPr>
          <w:p w14:paraId="06B48826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4.97 </w:t>
            </w:r>
          </w:p>
        </w:tc>
        <w:tc>
          <w:tcPr>
            <w:tcW w:w="1188" w:type="pct"/>
            <w:noWrap/>
            <w:vAlign w:val="center"/>
          </w:tcPr>
          <w:p w14:paraId="56D7DB11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10.94 (-6.61, 52.49)</w:t>
            </w:r>
          </w:p>
        </w:tc>
      </w:tr>
      <w:tr w:rsidR="00F759FB" w14:paraId="4D73484F" w14:textId="77777777">
        <w:trPr>
          <w:trHeight w:val="270"/>
        </w:trPr>
        <w:tc>
          <w:tcPr>
            <w:tcW w:w="814" w:type="pct"/>
            <w:noWrap/>
            <w:vAlign w:val="center"/>
          </w:tcPr>
          <w:p w14:paraId="2B26FE4A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Conghua</w:t>
            </w:r>
            <w:proofErr w:type="spellEnd"/>
          </w:p>
        </w:tc>
        <w:tc>
          <w:tcPr>
            <w:tcW w:w="600" w:type="pct"/>
            <w:noWrap/>
            <w:vAlign w:val="center"/>
          </w:tcPr>
          <w:p w14:paraId="11F6235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1.73 </w:t>
            </w:r>
          </w:p>
        </w:tc>
        <w:tc>
          <w:tcPr>
            <w:tcW w:w="600" w:type="pct"/>
            <w:noWrap/>
            <w:vAlign w:val="center"/>
          </w:tcPr>
          <w:p w14:paraId="2AB5AA60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0.66 </w:t>
            </w:r>
          </w:p>
        </w:tc>
        <w:tc>
          <w:tcPr>
            <w:tcW w:w="600" w:type="pct"/>
            <w:noWrap/>
            <w:vAlign w:val="center"/>
          </w:tcPr>
          <w:p w14:paraId="1655F773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3.44 </w:t>
            </w:r>
          </w:p>
        </w:tc>
        <w:tc>
          <w:tcPr>
            <w:tcW w:w="600" w:type="pct"/>
            <w:noWrap/>
            <w:vAlign w:val="center"/>
          </w:tcPr>
          <w:p w14:paraId="7B02B0B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2.15 </w:t>
            </w:r>
          </w:p>
        </w:tc>
        <w:tc>
          <w:tcPr>
            <w:tcW w:w="600" w:type="pct"/>
            <w:noWrap/>
            <w:vAlign w:val="center"/>
          </w:tcPr>
          <w:p w14:paraId="3141862A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3.74 </w:t>
            </w:r>
          </w:p>
        </w:tc>
        <w:tc>
          <w:tcPr>
            <w:tcW w:w="1188" w:type="pct"/>
            <w:noWrap/>
            <w:vAlign w:val="center"/>
          </w:tcPr>
          <w:p w14:paraId="39C4C98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7.59 (-1.06, 23.27)</w:t>
            </w:r>
          </w:p>
        </w:tc>
      </w:tr>
      <w:tr w:rsidR="00F759FB" w14:paraId="4F15A36F" w14:textId="77777777">
        <w:trPr>
          <w:trHeight w:val="270"/>
        </w:trPr>
        <w:tc>
          <w:tcPr>
            <w:tcW w:w="814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AA9CE7F" w14:textId="77777777" w:rsidR="00F759FB" w:rsidRDefault="0000000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Zengcheng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F63C922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3.64 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22805E0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4764B21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8.74 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92CE211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2.59 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9E97F0A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8.91 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DBB8CCE" w14:textId="77777777" w:rsidR="00F759FB" w:rsidRDefault="00000000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7.22 (-11.42, 49.47)</w:t>
            </w:r>
          </w:p>
        </w:tc>
      </w:tr>
    </w:tbl>
    <w:p w14:paraId="0C2BC90C" w14:textId="77777777" w:rsidR="00F759FB" w:rsidRDefault="00000000">
      <w:pPr>
        <w:widowControl/>
        <w:jc w:val="left"/>
        <w:rPr>
          <w:rFonts w:ascii="Times New Roman" w:hAnsi="Times New Roman" w:cs="Times New Roman"/>
          <w:sz w:val="18"/>
          <w:szCs w:val="18"/>
          <w:vertAlign w:val="superscript"/>
        </w:rPr>
      </w:pPr>
      <w:proofErr w:type="gramStart"/>
      <w:r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AAPC: Average annual percentage change. (*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0.05, ** 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0.01, ***</w:t>
      </w:r>
      <w:r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 &lt; 0.001).</w:t>
      </w:r>
    </w:p>
    <w:p w14:paraId="06CC7E2C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6E1102EC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1DAA06A1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1ECD21BC" w14:textId="77777777" w:rsidR="00F759FB" w:rsidRDefault="00000000">
      <w:pPr>
        <w:pStyle w:val="Caption"/>
        <w:keepNext/>
        <w:spacing w:afterLines="50" w:after="156" w:line="360" w:lineRule="auto"/>
        <w:jc w:val="left"/>
        <w:rPr>
          <w:rFonts w:cs="Times New Roman"/>
          <w:sz w:val="22"/>
        </w:rPr>
      </w:pPr>
      <w:r>
        <w:rPr>
          <w:rFonts w:cs="Times New Roman"/>
          <w:b/>
          <w:bCs/>
          <w:sz w:val="24"/>
          <w:szCs w:val="24"/>
        </w:rPr>
        <w:t xml:space="preserve">Supplementary Table </w:t>
      </w:r>
      <w:r>
        <w:rPr>
          <w:rFonts w:eastAsiaTheme="minorEastAsia" w:cs="Times New Roman"/>
          <w:b/>
          <w:bCs/>
          <w:sz w:val="24"/>
          <w:szCs w:val="24"/>
        </w:rPr>
        <w:t>2</w:t>
      </w:r>
      <w:r>
        <w:rPr>
          <w:rFonts w:cs="Times New Roman"/>
          <w:b/>
          <w:bCs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2"/>
        </w:rPr>
        <w:t xml:space="preserve">Results of global spatial </w:t>
      </w:r>
      <w:proofErr w:type="spellStart"/>
      <w:r>
        <w:rPr>
          <w:rFonts w:cs="Times New Roman"/>
          <w:sz w:val="22"/>
        </w:rPr>
        <w:t>autocorrlation</w:t>
      </w:r>
      <w:proofErr w:type="spellEnd"/>
      <w:r>
        <w:rPr>
          <w:rFonts w:cs="Times New Roman"/>
          <w:sz w:val="22"/>
        </w:rPr>
        <w:t xml:space="preserve"> analysis for incidence of scarlet fever in Guangzhou, 2005–2024.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75"/>
        <w:gridCol w:w="1648"/>
        <w:gridCol w:w="1261"/>
        <w:gridCol w:w="1314"/>
        <w:gridCol w:w="1312"/>
        <w:gridCol w:w="1312"/>
      </w:tblGrid>
      <w:tr w:rsidR="00F759FB" w14:paraId="00D2F711" w14:textId="77777777">
        <w:trPr>
          <w:trHeight w:val="300"/>
          <w:jc w:val="center"/>
        </w:trPr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93FB92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Year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26D473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Moran′s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B11366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z-score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41FECF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bookmarkStart w:id="3" w:name="OLE_LINK103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  <w:bookmarkEnd w:id="3"/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8FB00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222ADB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Cluster</w:t>
            </w:r>
          </w:p>
        </w:tc>
      </w:tr>
      <w:tr w:rsidR="00F759FB" w14:paraId="5486FB4F" w14:textId="77777777">
        <w:trPr>
          <w:trHeight w:val="270"/>
          <w:jc w:val="center"/>
        </w:trPr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D030B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2005-2016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A9BDB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A0437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2.85 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07BC8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A4A3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0.007 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DDA28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759FB" w14:paraId="6C6892A7" w14:textId="77777777">
        <w:trPr>
          <w:trHeight w:val="300"/>
          <w:jc w:val="center"/>
        </w:trPr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3EA2D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2017-2019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BB070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CAEB3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1.39 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6E617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0.163 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5CAC3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0.165 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05C7B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759FB" w14:paraId="4697856E" w14:textId="77777777">
        <w:trPr>
          <w:trHeight w:val="300"/>
          <w:jc w:val="center"/>
        </w:trPr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F04D0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2020-2022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841A7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B9651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3.88 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24218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E740E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6FA27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759FB" w14:paraId="4B44751C" w14:textId="77777777">
        <w:trPr>
          <w:trHeight w:val="300"/>
          <w:jc w:val="center"/>
        </w:trPr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6AFF1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2023-2024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8885E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4537E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5.36 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3DE57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59A15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4CF5F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F759FB" w14:paraId="670712E7" w14:textId="77777777">
        <w:trPr>
          <w:trHeight w:val="300"/>
          <w:jc w:val="center"/>
        </w:trPr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4D87EB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2005-2024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64068E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5C5AAA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2.19 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0F06DE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6876E0F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0.036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95EF38" w14:textId="77777777" w:rsidR="00F759FB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</w:tbl>
    <w:p w14:paraId="156D26C6" w14:textId="77777777" w:rsidR="00F759FB" w:rsidRDefault="00000000">
      <w:pPr>
        <w:pStyle w:val="EndNoteBibliography"/>
        <w:spacing w:beforeLines="50" w:before="156" w:afterLines="50" w:after="156"/>
        <w:jc w:val="left"/>
        <w:rPr>
          <w:rFonts w:eastAsiaTheme="minorEastAsia"/>
          <w:bCs/>
          <w:sz w:val="20"/>
          <w:szCs w:val="20"/>
        </w:rPr>
      </w:pPr>
      <w:bookmarkStart w:id="4" w:name="OLE_LINK102"/>
      <w:r>
        <w:rPr>
          <w:rFonts w:eastAsiaTheme="minorEastAsia"/>
          <w:bCs/>
          <w:sz w:val="20"/>
          <w:szCs w:val="20"/>
        </w:rPr>
        <w:t xml:space="preserve">The </w:t>
      </w:r>
      <w:r>
        <w:rPr>
          <w:rFonts w:eastAsiaTheme="minorEastAsia"/>
          <w:bCs/>
          <w:i/>
          <w:iCs/>
          <w:sz w:val="20"/>
          <w:szCs w:val="20"/>
        </w:rPr>
        <w:t>q</w:t>
      </w:r>
      <w:r>
        <w:rPr>
          <w:rFonts w:eastAsiaTheme="minorEastAsia"/>
          <w:bCs/>
          <w:sz w:val="20"/>
          <w:szCs w:val="20"/>
        </w:rPr>
        <w:t xml:space="preserve"> values (false discovery rate adjusted </w:t>
      </w:r>
      <w:r>
        <w:rPr>
          <w:rFonts w:eastAsiaTheme="minorEastAsia"/>
          <w:bCs/>
          <w:i/>
          <w:iCs/>
          <w:sz w:val="20"/>
          <w:szCs w:val="20"/>
        </w:rPr>
        <w:t>P</w:t>
      </w:r>
      <w:r>
        <w:rPr>
          <w:rFonts w:eastAsiaTheme="minorEastAsia"/>
          <w:bCs/>
          <w:sz w:val="20"/>
          <w:szCs w:val="20"/>
        </w:rPr>
        <w:t>-value) were calculated using the Benjamini-Hochberg method.</w:t>
      </w:r>
      <w:bookmarkEnd w:id="4"/>
    </w:p>
    <w:p w14:paraId="17754144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08557E2F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52D6988E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0DA7645E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69C22963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58BAA07E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0AABE056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7EC9FF8E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265DF342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7D49EA70" w14:textId="77777777" w:rsidR="00F759FB" w:rsidRDefault="00F759FB">
      <w:pPr>
        <w:rPr>
          <w:rFonts w:ascii="Times New Roman" w:hAnsi="Times New Roman" w:cs="Times New Roman"/>
          <w:sz w:val="24"/>
          <w:szCs w:val="24"/>
        </w:rPr>
      </w:pPr>
    </w:p>
    <w:p w14:paraId="17B3C520" w14:textId="77777777" w:rsidR="00F759FB" w:rsidRDefault="00000000">
      <w:pPr>
        <w:rPr>
          <w:rFonts w:ascii="Times New Roman" w:hAnsi="Times New Roman" w:cs="Times New Roman"/>
          <w:sz w:val="24"/>
          <w:szCs w:val="24"/>
        </w:rPr>
      </w:pPr>
      <w:bookmarkStart w:id="5" w:name="OLE_LINK166"/>
      <w:bookmarkStart w:id="6" w:name="OLE_LINK167"/>
      <w:bookmarkStart w:id="7" w:name="OLE_LINK176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Fig. 1.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>
        <w:rPr>
          <w:rFonts w:ascii="Times New Roman" w:hAnsi="Times New Roman" w:cs="Times New Roman"/>
          <w:sz w:val="24"/>
          <w:szCs w:val="24"/>
        </w:rPr>
        <w:t>Administrative divisions and hierarchical structure of Guangzhou, China. (A) Spatial boundaries of the 11 districts; (B) Spatial boundaries of the subdistricts and towns.</w:t>
      </w:r>
      <w:bookmarkEnd w:id="7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E089B" w14:textId="3982B8B0" w:rsidR="00F759FB" w:rsidRDefault="0017152E" w:rsidP="001715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F3F826" wp14:editId="036D3C46">
            <wp:extent cx="4159320" cy="8164061"/>
            <wp:effectExtent l="0" t="0" r="0" b="8890"/>
            <wp:docPr id="1997312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312447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59320" cy="816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D140C" w14:textId="77777777" w:rsidR="00F759FB" w:rsidRDefault="00000000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Fig. 2.</w:t>
      </w:r>
      <w:r>
        <w:rPr>
          <w:rFonts w:ascii="Times New Roman" w:hAnsi="Times New Roman" w:cs="Times New Roman"/>
          <w:sz w:val="24"/>
          <w:szCs w:val="24"/>
        </w:rPr>
        <w:t xml:space="preserve"> Spatiotemporal distribution of annual average incidence of scarlet fever at district level in Guangzhou, 2005–2024.</w:t>
      </w:r>
    </w:p>
    <w:p w14:paraId="0BB7063A" w14:textId="77777777" w:rsidR="00F759FB" w:rsidRDefault="00000000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C910FF" wp14:editId="2F9DC1E8">
            <wp:extent cx="5274310" cy="3728720"/>
            <wp:effectExtent l="0" t="0" r="2540" b="5080"/>
            <wp:docPr id="1250756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56295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C003F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6478B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DB158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C36CFB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9C22A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E1BB7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BC106F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6D910" w14:textId="77777777" w:rsidR="00512886" w:rsidRDefault="00512886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687D6" w14:textId="59CF4C16" w:rsidR="00F759FB" w:rsidRDefault="00000000">
      <w:pPr>
        <w:spacing w:beforeLines="50" w:before="156" w:afterLines="50" w:after="156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Fig. 3. </w:t>
      </w:r>
      <w:bookmarkStart w:id="8" w:name="OLE_LINK79"/>
      <w:r>
        <w:rPr>
          <w:rFonts w:ascii="Times New Roman" w:hAnsi="Times New Roman" w:cs="Times New Roman"/>
          <w:sz w:val="24"/>
          <w:szCs w:val="24"/>
        </w:rPr>
        <w:t>Annual LISA cluster maps of scarlet fever in Guangzhou, 2005–2024.</w:t>
      </w:r>
      <w:bookmarkEnd w:id="8"/>
    </w:p>
    <w:p w14:paraId="6945C906" w14:textId="77777777" w:rsidR="00F759FB" w:rsidRDefault="00000000">
      <w:pPr>
        <w:spacing w:beforeLines="50" w:before="156" w:afterLines="50" w:after="156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24AEC2" wp14:editId="64511B45">
            <wp:extent cx="5274310" cy="7459980"/>
            <wp:effectExtent l="0" t="0" r="2540" b="7620"/>
            <wp:docPr id="1888691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691253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D26F" w14:textId="77777777" w:rsidR="00F759FB" w:rsidRDefault="00F759FB">
      <w:pPr>
        <w:rPr>
          <w:rFonts w:ascii="Times New Roman" w:hAnsi="Times New Roman" w:cs="Times New Roman"/>
          <w:sz w:val="18"/>
          <w:szCs w:val="18"/>
        </w:rPr>
      </w:pPr>
    </w:p>
    <w:sectPr w:rsidR="00F759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962E" w14:textId="77777777" w:rsidR="00ED3C65" w:rsidRDefault="00ED3C65" w:rsidP="001E1F9C">
      <w:r>
        <w:separator/>
      </w:r>
    </w:p>
  </w:endnote>
  <w:endnote w:type="continuationSeparator" w:id="0">
    <w:p w14:paraId="12673300" w14:textId="77777777" w:rsidR="00ED3C65" w:rsidRDefault="00ED3C65" w:rsidP="001E1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0000000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5E4F8" w14:textId="77777777" w:rsidR="00ED3C65" w:rsidRDefault="00ED3C65" w:rsidP="001E1F9C">
      <w:r>
        <w:separator/>
      </w:r>
    </w:p>
  </w:footnote>
  <w:footnote w:type="continuationSeparator" w:id="0">
    <w:p w14:paraId="14B6CAF3" w14:textId="77777777" w:rsidR="00ED3C65" w:rsidRDefault="00ED3C65" w:rsidP="001E1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1MDY3tbQwNTE0NjBS0lEKTi0uzszPAykwrAUAubmMZCwAAAA="/>
  </w:docVars>
  <w:rsids>
    <w:rsidRoot w:val="748676A5"/>
    <w:rsid w:val="00052F84"/>
    <w:rsid w:val="0005605A"/>
    <w:rsid w:val="000D7C74"/>
    <w:rsid w:val="0017152E"/>
    <w:rsid w:val="001E1F9C"/>
    <w:rsid w:val="00455C8C"/>
    <w:rsid w:val="00512886"/>
    <w:rsid w:val="005506F4"/>
    <w:rsid w:val="005515B3"/>
    <w:rsid w:val="0055481D"/>
    <w:rsid w:val="005C7D72"/>
    <w:rsid w:val="006B10E5"/>
    <w:rsid w:val="006C16F6"/>
    <w:rsid w:val="006F4107"/>
    <w:rsid w:val="007024B6"/>
    <w:rsid w:val="0070622C"/>
    <w:rsid w:val="007D2792"/>
    <w:rsid w:val="007F2D76"/>
    <w:rsid w:val="00917E88"/>
    <w:rsid w:val="00992984"/>
    <w:rsid w:val="00A266ED"/>
    <w:rsid w:val="00A56342"/>
    <w:rsid w:val="00A929F1"/>
    <w:rsid w:val="00B86996"/>
    <w:rsid w:val="00BB46E5"/>
    <w:rsid w:val="00BB7061"/>
    <w:rsid w:val="00D97635"/>
    <w:rsid w:val="00E83BBA"/>
    <w:rsid w:val="00E857FE"/>
    <w:rsid w:val="00E91991"/>
    <w:rsid w:val="00EA63DE"/>
    <w:rsid w:val="00ED3C65"/>
    <w:rsid w:val="00F26952"/>
    <w:rsid w:val="00F5504F"/>
    <w:rsid w:val="00F759FB"/>
    <w:rsid w:val="04C410F4"/>
    <w:rsid w:val="06FE6B3F"/>
    <w:rsid w:val="0D7C6A10"/>
    <w:rsid w:val="1BA620E3"/>
    <w:rsid w:val="3491429F"/>
    <w:rsid w:val="3BFF6804"/>
    <w:rsid w:val="409273D5"/>
    <w:rsid w:val="505E3468"/>
    <w:rsid w:val="69F00A13"/>
    <w:rsid w:val="748676A5"/>
    <w:rsid w:val="76A16C97"/>
    <w:rsid w:val="7B11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ED7E48"/>
  <w14:defaultImageDpi w14:val="32767"/>
  <w15:docId w15:val="{77F6A88A-5CDD-4C05-B13E-F78D90D0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uiPriority="35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Pr>
      <w:rFonts w:ascii="Times New Roman" w:eastAsia="Times New Roman" w:hAnsi="Times New Roman" w:cstheme="majorBidi"/>
      <w:sz w:val="20"/>
      <w:szCs w:val="20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b/>
      <w:bCs/>
      <w:i/>
      <w:iCs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DefaultParagraphFont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Times New Roman" w:eastAsia="宋体" w:hAnsi="Times New Roman" w:cs="Times New Roman"/>
      <w:sz w:val="24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296</Words>
  <Characters>1649</Characters>
  <Application>Microsoft Office Word</Application>
  <DocSecurity>0</DocSecurity>
  <Lines>183</Lines>
  <Paragraphs>162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 hong riu.</dc:creator>
  <cp:lastModifiedBy>hongrou lin</cp:lastModifiedBy>
  <cp:revision>17</cp:revision>
  <dcterms:created xsi:type="dcterms:W3CDTF">2026-01-26T12:42:00Z</dcterms:created>
  <dcterms:modified xsi:type="dcterms:W3CDTF">2026-06-09T17:41:00Z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9A173C3F8B274EC6901673D6A9298E4C_11</vt:lpwstr>
  </property>
  <property fmtid="{D5CDD505-2E9C-101B-9397-08002B2CF9AE}" pid="4" name="KSOTemplateDocerSaveRecord">
    <vt:lpwstr>eyJoZGlkIjoiYTNjZmI3MDg3NzJhMjExZjEzMTdjM2IzNTRlNTk4ODgiLCJ1c2VySWQiOiIyNzA0NzgyODAifQ==</vt:lpwstr>
  </property>
</Properties>
</file>