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ADD" w:rsidRDefault="00C16AE6">
      <w:r>
        <w:rPr>
          <w:noProof/>
        </w:rPr>
        <w:drawing>
          <wp:inline distT="0" distB="0" distL="0" distR="0">
            <wp:extent cx="5735955" cy="46736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6-06-05 at 09.10.1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513" cy="467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E6" w:rsidRDefault="00C16AE6"/>
    <w:p w:rsidR="00C16AE6" w:rsidRPr="00C16AE6" w:rsidRDefault="00C16AE6" w:rsidP="00C16AE6">
      <w:pPr>
        <w:spacing w:line="276" w:lineRule="auto"/>
        <w:jc w:val="both"/>
        <w:rPr>
          <w:rFonts w:ascii="Arial" w:hAnsi="Arial" w:cs="Arial"/>
        </w:rPr>
      </w:pPr>
      <w:r w:rsidRPr="00C16AE6">
        <w:rPr>
          <w:rFonts w:ascii="Arial" w:hAnsi="Arial" w:cs="Arial"/>
        </w:rPr>
        <w:t>Supplementary Figure S1. Distribution of anti-HCV signal-to-cutoff (S/CO) ratios according to HCV RNA status. Anti-HCV S/CO ratios were compared between HCV RNA-negative and HCV RNA-positive patients. HCV RNA-positive cases included both patients identified through routine confirmatory testing and those identified through retrospective testing without an initial clinician request. Similarly, HCV RNA-negative cases included both routinely tested and retrospectively tested patients in the pooled analysis. The figure illustrates the distribution of anti-HCV S/CO ratios according to HCV RNA status.</w:t>
      </w:r>
      <w:bookmarkStart w:id="0" w:name="_GoBack"/>
      <w:bookmarkEnd w:id="0"/>
    </w:p>
    <w:sectPr w:rsidR="00C16AE6" w:rsidRPr="00C16AE6" w:rsidSect="00C16AE6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6"/>
    <w:rsid w:val="000F39BC"/>
    <w:rsid w:val="00297D4A"/>
    <w:rsid w:val="003C0EBC"/>
    <w:rsid w:val="00402FCD"/>
    <w:rsid w:val="004A2F15"/>
    <w:rsid w:val="004C6E97"/>
    <w:rsid w:val="006805CF"/>
    <w:rsid w:val="00806BE4"/>
    <w:rsid w:val="008C45F5"/>
    <w:rsid w:val="009402A6"/>
    <w:rsid w:val="00C16AE6"/>
    <w:rsid w:val="00D56A89"/>
    <w:rsid w:val="00FC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E2537D4B-E096-B54E-BC58-098CCE18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Microsoft Office Kullanıcısı</cp:lastModifiedBy>
  <cp:revision>2</cp:revision>
  <dcterms:created xsi:type="dcterms:W3CDTF">2026-06-05T06:14:00Z</dcterms:created>
  <dcterms:modified xsi:type="dcterms:W3CDTF">2026-06-05T06:14:00Z</dcterms:modified>
</cp:coreProperties>
</file>