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73F" w:rsidRDefault="0072473F" w:rsidP="007965A7">
      <w:pPr>
        <w:shd w:val="clear" w:color="auto" w:fill="FFFFFF"/>
        <w:bidi w:val="0"/>
        <w:spacing w:before="240" w:after="240" w:line="240" w:lineRule="auto"/>
        <w:rPr>
          <w:rFonts w:ascii="Times New Roman" w:eastAsia="Times New Roman" w:hAnsi="Times New Roman" w:cs="Times New Roman"/>
          <w:b/>
          <w:bCs/>
          <w:color w:val="0F1115"/>
          <w:sz w:val="24"/>
          <w:szCs w:val="24"/>
        </w:rPr>
      </w:pPr>
      <w:r>
        <w:rPr>
          <w:rFonts w:ascii="Times New Roman" w:eastAsia="Times New Roman" w:hAnsi="Times New Roman" w:cs="Times New Roman"/>
          <w:b/>
          <w:bCs/>
          <w:color w:val="0F1115"/>
          <w:sz w:val="24"/>
          <w:szCs w:val="24"/>
        </w:rPr>
        <w:t>Supplementary S1</w:t>
      </w:r>
    </w:p>
    <w:p w:rsidR="00F521A1" w:rsidRPr="00F521A1" w:rsidRDefault="0072473F" w:rsidP="0072473F">
      <w:pPr>
        <w:shd w:val="clear" w:color="auto" w:fill="FFFFFF"/>
        <w:bidi w:val="0"/>
        <w:spacing w:before="240" w:after="240" w:line="240" w:lineRule="auto"/>
        <w:rPr>
          <w:rFonts w:ascii="Times New Roman" w:eastAsia="Times New Roman" w:hAnsi="Times New Roman" w:cs="Times New Roman"/>
          <w:color w:val="0F1115"/>
          <w:sz w:val="24"/>
          <w:szCs w:val="24"/>
        </w:rPr>
      </w:pPr>
      <w:r>
        <w:rPr>
          <w:rFonts w:ascii="Times New Roman" w:eastAsia="Times New Roman" w:hAnsi="Times New Roman" w:cs="Times New Roman"/>
          <w:b/>
          <w:bCs/>
          <w:color w:val="0F1115"/>
          <w:sz w:val="24"/>
          <w:szCs w:val="24"/>
        </w:rPr>
        <w:t>Table S1</w:t>
      </w:r>
      <w:bookmarkStart w:id="0" w:name="_GoBack"/>
      <w:bookmarkEnd w:id="0"/>
      <w:r>
        <w:rPr>
          <w:rFonts w:ascii="Times New Roman" w:eastAsia="Times New Roman" w:hAnsi="Times New Roman" w:cs="Times New Roman"/>
          <w:b/>
          <w:bCs/>
          <w:color w:val="0F1115"/>
          <w:sz w:val="24"/>
          <w:szCs w:val="24"/>
        </w:rPr>
        <w:t>.</w:t>
      </w:r>
      <w:r w:rsidR="007965A7">
        <w:rPr>
          <w:rFonts w:ascii="Times New Roman" w:eastAsia="Times New Roman" w:hAnsi="Times New Roman" w:cs="Times New Roman"/>
          <w:b/>
          <w:bCs/>
          <w:color w:val="0F1115"/>
          <w:sz w:val="24"/>
          <w:szCs w:val="24"/>
        </w:rPr>
        <w:t xml:space="preserve"> </w:t>
      </w:r>
      <w:r w:rsidR="00F521A1" w:rsidRPr="00F521A1">
        <w:rPr>
          <w:rFonts w:ascii="Times New Roman" w:eastAsia="Times New Roman" w:hAnsi="Times New Roman" w:cs="Times New Roman"/>
          <w:b/>
          <w:bCs/>
          <w:color w:val="0F1115"/>
          <w:sz w:val="24"/>
          <w:szCs w:val="24"/>
        </w:rPr>
        <w:t>Cause-specific Cox proportional hazards models for death and AIDS progression</w:t>
      </w:r>
    </w:p>
    <w:tbl>
      <w:tblPr>
        <w:tblStyle w:val="PlainTable1"/>
        <w:tblW w:w="9209" w:type="dxa"/>
        <w:tblLook w:val="04A0" w:firstRow="1" w:lastRow="0" w:firstColumn="1" w:lastColumn="0" w:noHBand="0" w:noVBand="1"/>
      </w:tblPr>
      <w:tblGrid>
        <w:gridCol w:w="2262"/>
        <w:gridCol w:w="1896"/>
        <w:gridCol w:w="1082"/>
        <w:gridCol w:w="2851"/>
        <w:gridCol w:w="1118"/>
      </w:tblGrid>
      <w:tr w:rsidR="00F521A1" w:rsidRPr="00F521A1" w:rsidTr="00F521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2" w:type="dxa"/>
            <w:hideMark/>
          </w:tcPr>
          <w:p w:rsidR="00F521A1" w:rsidRPr="00F521A1" w:rsidRDefault="00F521A1" w:rsidP="00F521A1">
            <w:pPr>
              <w:bidi w:val="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Variable</w:t>
            </w:r>
          </w:p>
        </w:tc>
        <w:tc>
          <w:tcPr>
            <w:tcW w:w="1896" w:type="dxa"/>
            <w:hideMark/>
          </w:tcPr>
          <w:p w:rsidR="00F521A1" w:rsidRPr="00F521A1" w:rsidRDefault="00F521A1" w:rsidP="00F521A1">
            <w:pPr>
              <w:bidi w:val="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Death (Cause-specific Cox HR, 95% CI)</w:t>
            </w:r>
          </w:p>
        </w:tc>
        <w:tc>
          <w:tcPr>
            <w:tcW w:w="1082" w:type="dxa"/>
            <w:hideMark/>
          </w:tcPr>
          <w:p w:rsidR="00F521A1" w:rsidRPr="00F521A1" w:rsidRDefault="00F521A1" w:rsidP="00F521A1">
            <w:pPr>
              <w:bidi w:val="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p-value</w:t>
            </w:r>
          </w:p>
        </w:tc>
        <w:tc>
          <w:tcPr>
            <w:tcW w:w="2851" w:type="dxa"/>
            <w:hideMark/>
          </w:tcPr>
          <w:p w:rsidR="00F521A1" w:rsidRPr="00F521A1" w:rsidRDefault="00F521A1" w:rsidP="00F521A1">
            <w:pPr>
              <w:bidi w:val="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AIDS progression (Cause-specific Cox HR, 95% CI)</w:t>
            </w:r>
          </w:p>
        </w:tc>
        <w:tc>
          <w:tcPr>
            <w:tcW w:w="1118" w:type="dxa"/>
            <w:hideMark/>
          </w:tcPr>
          <w:p w:rsidR="00F521A1" w:rsidRPr="00F521A1" w:rsidRDefault="00F521A1" w:rsidP="00F521A1">
            <w:pPr>
              <w:bidi w:val="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p-value</w:t>
            </w:r>
          </w:p>
        </w:tc>
      </w:tr>
      <w:tr w:rsidR="00F521A1" w:rsidRPr="00F521A1" w:rsidTr="00F521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2" w:type="dxa"/>
            <w:hideMark/>
          </w:tcPr>
          <w:p w:rsidR="00F521A1" w:rsidRPr="00F521A1" w:rsidRDefault="00F521A1" w:rsidP="00F521A1">
            <w:pPr>
              <w:bidi w:val="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Late diagnosis (CD4 &lt;350)</w:t>
            </w:r>
          </w:p>
        </w:tc>
        <w:tc>
          <w:tcPr>
            <w:tcW w:w="1896" w:type="dxa"/>
            <w:hideMark/>
          </w:tcPr>
          <w:p w:rsidR="00F521A1" w:rsidRPr="00F521A1" w:rsidRDefault="00F521A1" w:rsidP="00F521A1">
            <w:pPr>
              <w:bidi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2.04 (1.34–3.11)</w:t>
            </w:r>
          </w:p>
        </w:tc>
        <w:tc>
          <w:tcPr>
            <w:tcW w:w="1082" w:type="dxa"/>
            <w:hideMark/>
          </w:tcPr>
          <w:p w:rsidR="00F521A1" w:rsidRPr="00F521A1" w:rsidRDefault="00F521A1" w:rsidP="00F521A1">
            <w:pPr>
              <w:bidi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&lt;0.001</w:t>
            </w:r>
          </w:p>
        </w:tc>
        <w:tc>
          <w:tcPr>
            <w:tcW w:w="2851" w:type="dxa"/>
            <w:hideMark/>
          </w:tcPr>
          <w:p w:rsidR="00F521A1" w:rsidRPr="00F521A1" w:rsidRDefault="00F521A1" w:rsidP="00F521A1">
            <w:pPr>
              <w:bidi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2.28 (1.61–3.24)</w:t>
            </w:r>
          </w:p>
        </w:tc>
        <w:tc>
          <w:tcPr>
            <w:tcW w:w="1118" w:type="dxa"/>
            <w:hideMark/>
          </w:tcPr>
          <w:p w:rsidR="00F521A1" w:rsidRPr="00F521A1" w:rsidRDefault="00F521A1" w:rsidP="00F521A1">
            <w:pPr>
              <w:bidi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&lt;0.001</w:t>
            </w:r>
          </w:p>
        </w:tc>
      </w:tr>
      <w:tr w:rsidR="00F521A1" w:rsidRPr="00F521A1" w:rsidTr="00F521A1">
        <w:tc>
          <w:tcPr>
            <w:cnfStyle w:val="001000000000" w:firstRow="0" w:lastRow="0" w:firstColumn="1" w:lastColumn="0" w:oddVBand="0" w:evenVBand="0" w:oddHBand="0" w:evenHBand="0" w:firstRowFirstColumn="0" w:firstRowLastColumn="0" w:lastRowFirstColumn="0" w:lastRowLastColumn="0"/>
            <w:tcW w:w="2262" w:type="dxa"/>
            <w:hideMark/>
          </w:tcPr>
          <w:p w:rsidR="00F521A1" w:rsidRPr="00F521A1" w:rsidRDefault="00F521A1" w:rsidP="00F521A1">
            <w:pPr>
              <w:bidi w:val="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Age 30–40 vs &lt;30</w:t>
            </w:r>
          </w:p>
        </w:tc>
        <w:tc>
          <w:tcPr>
            <w:tcW w:w="1896" w:type="dxa"/>
            <w:hideMark/>
          </w:tcPr>
          <w:p w:rsidR="00F521A1" w:rsidRPr="00F521A1" w:rsidRDefault="00F521A1" w:rsidP="00F521A1">
            <w:pPr>
              <w:bidi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1.69 (0.89–3.22)</w:t>
            </w:r>
          </w:p>
        </w:tc>
        <w:tc>
          <w:tcPr>
            <w:tcW w:w="1082" w:type="dxa"/>
            <w:hideMark/>
          </w:tcPr>
          <w:p w:rsidR="00F521A1" w:rsidRPr="00F521A1" w:rsidRDefault="00F521A1" w:rsidP="00F521A1">
            <w:pPr>
              <w:bidi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0.11</w:t>
            </w:r>
          </w:p>
        </w:tc>
        <w:tc>
          <w:tcPr>
            <w:tcW w:w="2851" w:type="dxa"/>
            <w:hideMark/>
          </w:tcPr>
          <w:p w:rsidR="00F521A1" w:rsidRPr="00F521A1" w:rsidRDefault="00F521A1" w:rsidP="00F521A1">
            <w:pPr>
              <w:bidi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1.98 (1.18–3.32)</w:t>
            </w:r>
          </w:p>
        </w:tc>
        <w:tc>
          <w:tcPr>
            <w:tcW w:w="1118" w:type="dxa"/>
            <w:hideMark/>
          </w:tcPr>
          <w:p w:rsidR="00F521A1" w:rsidRPr="00F521A1" w:rsidRDefault="00F521A1" w:rsidP="00F521A1">
            <w:pPr>
              <w:bidi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0.010</w:t>
            </w:r>
          </w:p>
        </w:tc>
      </w:tr>
      <w:tr w:rsidR="00F521A1" w:rsidRPr="00F521A1" w:rsidTr="00F521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2" w:type="dxa"/>
            <w:hideMark/>
          </w:tcPr>
          <w:p w:rsidR="00F521A1" w:rsidRPr="00F521A1" w:rsidRDefault="00F521A1" w:rsidP="00F521A1">
            <w:pPr>
              <w:bidi w:val="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Age 40–50 vs &lt;30</w:t>
            </w:r>
          </w:p>
        </w:tc>
        <w:tc>
          <w:tcPr>
            <w:tcW w:w="1896" w:type="dxa"/>
            <w:hideMark/>
          </w:tcPr>
          <w:p w:rsidR="00F521A1" w:rsidRPr="00F521A1" w:rsidRDefault="00F521A1" w:rsidP="00F521A1">
            <w:pPr>
              <w:bidi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2.15 (0.97–4.76)</w:t>
            </w:r>
          </w:p>
        </w:tc>
        <w:tc>
          <w:tcPr>
            <w:tcW w:w="1082" w:type="dxa"/>
            <w:hideMark/>
          </w:tcPr>
          <w:p w:rsidR="00F521A1" w:rsidRPr="00F521A1" w:rsidRDefault="00F521A1" w:rsidP="00F521A1">
            <w:pPr>
              <w:bidi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0.059</w:t>
            </w:r>
          </w:p>
        </w:tc>
        <w:tc>
          <w:tcPr>
            <w:tcW w:w="2851" w:type="dxa"/>
            <w:hideMark/>
          </w:tcPr>
          <w:p w:rsidR="00F521A1" w:rsidRPr="00F521A1" w:rsidRDefault="00F521A1" w:rsidP="00F521A1">
            <w:pPr>
              <w:bidi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2.54 (1.17–5.49)</w:t>
            </w:r>
          </w:p>
        </w:tc>
        <w:tc>
          <w:tcPr>
            <w:tcW w:w="1118" w:type="dxa"/>
            <w:hideMark/>
          </w:tcPr>
          <w:p w:rsidR="00F521A1" w:rsidRPr="00F521A1" w:rsidRDefault="00F521A1" w:rsidP="00F521A1">
            <w:pPr>
              <w:bidi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0.019</w:t>
            </w:r>
          </w:p>
        </w:tc>
      </w:tr>
      <w:tr w:rsidR="00F521A1" w:rsidRPr="00F521A1" w:rsidTr="00F521A1">
        <w:tc>
          <w:tcPr>
            <w:cnfStyle w:val="001000000000" w:firstRow="0" w:lastRow="0" w:firstColumn="1" w:lastColumn="0" w:oddVBand="0" w:evenVBand="0" w:oddHBand="0" w:evenHBand="0" w:firstRowFirstColumn="0" w:firstRowLastColumn="0" w:lastRowFirstColumn="0" w:lastRowLastColumn="0"/>
            <w:tcW w:w="2262" w:type="dxa"/>
            <w:hideMark/>
          </w:tcPr>
          <w:p w:rsidR="00F521A1" w:rsidRPr="00F521A1" w:rsidRDefault="00F521A1" w:rsidP="00F521A1">
            <w:pPr>
              <w:bidi w:val="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Age &gt;50 vs &lt;30</w:t>
            </w:r>
          </w:p>
        </w:tc>
        <w:tc>
          <w:tcPr>
            <w:tcW w:w="1896" w:type="dxa"/>
            <w:hideMark/>
          </w:tcPr>
          <w:p w:rsidR="00F521A1" w:rsidRPr="00F521A1" w:rsidRDefault="00F521A1" w:rsidP="00F521A1">
            <w:pPr>
              <w:bidi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2.34 (1.50–3.65)</w:t>
            </w:r>
          </w:p>
        </w:tc>
        <w:tc>
          <w:tcPr>
            <w:tcW w:w="1082" w:type="dxa"/>
            <w:hideMark/>
          </w:tcPr>
          <w:p w:rsidR="00F521A1" w:rsidRPr="00F521A1" w:rsidRDefault="00F521A1" w:rsidP="00F521A1">
            <w:pPr>
              <w:bidi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&lt;0.001</w:t>
            </w:r>
          </w:p>
        </w:tc>
        <w:tc>
          <w:tcPr>
            <w:tcW w:w="2851" w:type="dxa"/>
            <w:hideMark/>
          </w:tcPr>
          <w:p w:rsidR="00F521A1" w:rsidRPr="00F521A1" w:rsidRDefault="00F521A1" w:rsidP="00F521A1">
            <w:pPr>
              <w:bidi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2.12 (1.22–3.67)</w:t>
            </w:r>
          </w:p>
        </w:tc>
        <w:tc>
          <w:tcPr>
            <w:tcW w:w="1118" w:type="dxa"/>
            <w:hideMark/>
          </w:tcPr>
          <w:p w:rsidR="00F521A1" w:rsidRPr="00F521A1" w:rsidRDefault="00F521A1" w:rsidP="00F521A1">
            <w:pPr>
              <w:bidi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0.008</w:t>
            </w:r>
          </w:p>
        </w:tc>
      </w:tr>
      <w:tr w:rsidR="00F521A1" w:rsidRPr="00F521A1" w:rsidTr="00F521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2" w:type="dxa"/>
            <w:hideMark/>
          </w:tcPr>
          <w:p w:rsidR="00F521A1" w:rsidRPr="00F521A1" w:rsidRDefault="00F521A1" w:rsidP="00F521A1">
            <w:pPr>
              <w:bidi w:val="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Male sex</w:t>
            </w:r>
          </w:p>
        </w:tc>
        <w:tc>
          <w:tcPr>
            <w:tcW w:w="1896" w:type="dxa"/>
            <w:hideMark/>
          </w:tcPr>
          <w:p w:rsidR="00F521A1" w:rsidRPr="00F521A1" w:rsidRDefault="00F521A1" w:rsidP="00F521A1">
            <w:pPr>
              <w:bidi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2.71 (1.18–6.18)</w:t>
            </w:r>
          </w:p>
        </w:tc>
        <w:tc>
          <w:tcPr>
            <w:tcW w:w="1082" w:type="dxa"/>
            <w:hideMark/>
          </w:tcPr>
          <w:p w:rsidR="00F521A1" w:rsidRPr="00F521A1" w:rsidRDefault="00F521A1" w:rsidP="00F521A1">
            <w:pPr>
              <w:bidi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0.019</w:t>
            </w:r>
          </w:p>
        </w:tc>
        <w:tc>
          <w:tcPr>
            <w:tcW w:w="2851" w:type="dxa"/>
            <w:hideMark/>
          </w:tcPr>
          <w:p w:rsidR="00F521A1" w:rsidRPr="00F521A1" w:rsidRDefault="00F521A1" w:rsidP="00F521A1">
            <w:pPr>
              <w:bidi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1.84 (1.04–3.25)</w:t>
            </w:r>
          </w:p>
        </w:tc>
        <w:tc>
          <w:tcPr>
            <w:tcW w:w="1118" w:type="dxa"/>
            <w:hideMark/>
          </w:tcPr>
          <w:p w:rsidR="00F521A1" w:rsidRPr="00F521A1" w:rsidRDefault="00F521A1" w:rsidP="00F521A1">
            <w:pPr>
              <w:bidi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0.036</w:t>
            </w:r>
          </w:p>
        </w:tc>
      </w:tr>
      <w:tr w:rsidR="00F521A1" w:rsidRPr="00F521A1" w:rsidTr="00F521A1">
        <w:tc>
          <w:tcPr>
            <w:cnfStyle w:val="001000000000" w:firstRow="0" w:lastRow="0" w:firstColumn="1" w:lastColumn="0" w:oddVBand="0" w:evenVBand="0" w:oddHBand="0" w:evenHBand="0" w:firstRowFirstColumn="0" w:firstRowLastColumn="0" w:lastRowFirstColumn="0" w:lastRowLastColumn="0"/>
            <w:tcW w:w="2262" w:type="dxa"/>
            <w:hideMark/>
          </w:tcPr>
          <w:p w:rsidR="00F521A1" w:rsidRPr="00F521A1" w:rsidRDefault="00F521A1" w:rsidP="00F521A1">
            <w:pPr>
              <w:bidi w:val="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Single vs married</w:t>
            </w:r>
          </w:p>
        </w:tc>
        <w:tc>
          <w:tcPr>
            <w:tcW w:w="1896" w:type="dxa"/>
            <w:hideMark/>
          </w:tcPr>
          <w:p w:rsidR="00F521A1" w:rsidRPr="00F521A1" w:rsidRDefault="00F521A1" w:rsidP="00F521A1">
            <w:pPr>
              <w:bidi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1.71 (1.05–2.78)</w:t>
            </w:r>
          </w:p>
        </w:tc>
        <w:tc>
          <w:tcPr>
            <w:tcW w:w="1082" w:type="dxa"/>
            <w:hideMark/>
          </w:tcPr>
          <w:p w:rsidR="00F521A1" w:rsidRPr="00F521A1" w:rsidRDefault="00F521A1" w:rsidP="00F521A1">
            <w:pPr>
              <w:bidi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0.031</w:t>
            </w:r>
          </w:p>
        </w:tc>
        <w:tc>
          <w:tcPr>
            <w:tcW w:w="2851" w:type="dxa"/>
            <w:hideMark/>
          </w:tcPr>
          <w:p w:rsidR="00F521A1" w:rsidRPr="00F521A1" w:rsidRDefault="00F521A1" w:rsidP="00F521A1">
            <w:pPr>
              <w:bidi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1.66 (1.02–2.68)</w:t>
            </w:r>
          </w:p>
        </w:tc>
        <w:tc>
          <w:tcPr>
            <w:tcW w:w="1118" w:type="dxa"/>
            <w:hideMark/>
          </w:tcPr>
          <w:p w:rsidR="00F521A1" w:rsidRPr="00F521A1" w:rsidRDefault="00F521A1" w:rsidP="00F521A1">
            <w:pPr>
              <w:bidi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0.041</w:t>
            </w:r>
          </w:p>
        </w:tc>
      </w:tr>
      <w:tr w:rsidR="00F521A1" w:rsidRPr="00F521A1" w:rsidTr="00F521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2" w:type="dxa"/>
            <w:hideMark/>
          </w:tcPr>
          <w:p w:rsidR="00F521A1" w:rsidRPr="00F521A1" w:rsidRDefault="00F521A1" w:rsidP="00F521A1">
            <w:pPr>
              <w:bidi w:val="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Literate vs illiterate</w:t>
            </w:r>
          </w:p>
        </w:tc>
        <w:tc>
          <w:tcPr>
            <w:tcW w:w="1896" w:type="dxa"/>
            <w:hideMark/>
          </w:tcPr>
          <w:p w:rsidR="00F521A1" w:rsidRPr="00F521A1" w:rsidRDefault="00F521A1" w:rsidP="00F521A1">
            <w:pPr>
              <w:bidi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1.20 (0.69–2.08)</w:t>
            </w:r>
          </w:p>
        </w:tc>
        <w:tc>
          <w:tcPr>
            <w:tcW w:w="1082" w:type="dxa"/>
            <w:hideMark/>
          </w:tcPr>
          <w:p w:rsidR="00F521A1" w:rsidRPr="00F521A1" w:rsidRDefault="00F521A1" w:rsidP="00F521A1">
            <w:pPr>
              <w:bidi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0.52</w:t>
            </w:r>
          </w:p>
        </w:tc>
        <w:tc>
          <w:tcPr>
            <w:tcW w:w="2851" w:type="dxa"/>
            <w:hideMark/>
          </w:tcPr>
          <w:p w:rsidR="00F521A1" w:rsidRPr="00F521A1" w:rsidRDefault="00F521A1" w:rsidP="00F521A1">
            <w:pPr>
              <w:bidi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1.16 (0.79–1.71)</w:t>
            </w:r>
          </w:p>
        </w:tc>
        <w:tc>
          <w:tcPr>
            <w:tcW w:w="1118" w:type="dxa"/>
            <w:hideMark/>
          </w:tcPr>
          <w:p w:rsidR="00F521A1" w:rsidRPr="00F521A1" w:rsidRDefault="00F521A1" w:rsidP="00F521A1">
            <w:pPr>
              <w:bidi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0.45</w:t>
            </w:r>
          </w:p>
        </w:tc>
      </w:tr>
      <w:tr w:rsidR="00F521A1" w:rsidRPr="00F521A1" w:rsidTr="00F521A1">
        <w:tc>
          <w:tcPr>
            <w:cnfStyle w:val="001000000000" w:firstRow="0" w:lastRow="0" w:firstColumn="1" w:lastColumn="0" w:oddVBand="0" w:evenVBand="0" w:oddHBand="0" w:evenHBand="0" w:firstRowFirstColumn="0" w:firstRowLastColumn="0" w:lastRowFirstColumn="0" w:lastRowLastColumn="0"/>
            <w:tcW w:w="2262" w:type="dxa"/>
            <w:hideMark/>
          </w:tcPr>
          <w:p w:rsidR="00F521A1" w:rsidRPr="00F521A1" w:rsidRDefault="00F521A1" w:rsidP="00F521A1">
            <w:pPr>
              <w:bidi w:val="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Sexual contact vs IDU</w:t>
            </w:r>
          </w:p>
        </w:tc>
        <w:tc>
          <w:tcPr>
            <w:tcW w:w="1896" w:type="dxa"/>
            <w:hideMark/>
          </w:tcPr>
          <w:p w:rsidR="00F521A1" w:rsidRPr="00F521A1" w:rsidRDefault="00F521A1" w:rsidP="00F521A1">
            <w:pPr>
              <w:bidi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0.55 (0.25–1.17)</w:t>
            </w:r>
          </w:p>
        </w:tc>
        <w:tc>
          <w:tcPr>
            <w:tcW w:w="1082" w:type="dxa"/>
            <w:hideMark/>
          </w:tcPr>
          <w:p w:rsidR="00F521A1" w:rsidRPr="00F521A1" w:rsidRDefault="00F521A1" w:rsidP="00F521A1">
            <w:pPr>
              <w:bidi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0.12</w:t>
            </w:r>
          </w:p>
        </w:tc>
        <w:tc>
          <w:tcPr>
            <w:tcW w:w="2851" w:type="dxa"/>
            <w:hideMark/>
          </w:tcPr>
          <w:p w:rsidR="00F521A1" w:rsidRPr="00F521A1" w:rsidRDefault="00F521A1" w:rsidP="00F521A1">
            <w:pPr>
              <w:bidi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1.85 (0.42–8.12)</w:t>
            </w:r>
          </w:p>
        </w:tc>
        <w:tc>
          <w:tcPr>
            <w:tcW w:w="1118" w:type="dxa"/>
            <w:hideMark/>
          </w:tcPr>
          <w:p w:rsidR="00F521A1" w:rsidRPr="00F521A1" w:rsidRDefault="00F521A1" w:rsidP="00F521A1">
            <w:pPr>
              <w:bidi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0.41</w:t>
            </w:r>
          </w:p>
        </w:tc>
      </w:tr>
      <w:tr w:rsidR="00F521A1" w:rsidRPr="00F521A1" w:rsidTr="00F521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2" w:type="dxa"/>
            <w:hideMark/>
          </w:tcPr>
          <w:p w:rsidR="00F521A1" w:rsidRPr="00F521A1" w:rsidRDefault="00F521A1" w:rsidP="00F521A1">
            <w:pPr>
              <w:bidi w:val="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Unknown vs IDU</w:t>
            </w:r>
          </w:p>
        </w:tc>
        <w:tc>
          <w:tcPr>
            <w:tcW w:w="1896" w:type="dxa"/>
            <w:hideMark/>
          </w:tcPr>
          <w:p w:rsidR="00F521A1" w:rsidRPr="00F521A1" w:rsidRDefault="00F521A1" w:rsidP="00F521A1">
            <w:pPr>
              <w:bidi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0.69 (0.44–1.08)</w:t>
            </w:r>
          </w:p>
        </w:tc>
        <w:tc>
          <w:tcPr>
            <w:tcW w:w="1082" w:type="dxa"/>
            <w:hideMark/>
          </w:tcPr>
          <w:p w:rsidR="00F521A1" w:rsidRPr="00F521A1" w:rsidRDefault="00F521A1" w:rsidP="00F521A1">
            <w:pPr>
              <w:bidi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0.10</w:t>
            </w:r>
          </w:p>
        </w:tc>
        <w:tc>
          <w:tcPr>
            <w:tcW w:w="2851" w:type="dxa"/>
            <w:hideMark/>
          </w:tcPr>
          <w:p w:rsidR="00F521A1" w:rsidRPr="00F521A1" w:rsidRDefault="00F521A1" w:rsidP="00F521A1">
            <w:pPr>
              <w:bidi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1.21 (0.51–2.86)</w:t>
            </w:r>
          </w:p>
        </w:tc>
        <w:tc>
          <w:tcPr>
            <w:tcW w:w="1118" w:type="dxa"/>
            <w:hideMark/>
          </w:tcPr>
          <w:p w:rsidR="00F521A1" w:rsidRPr="00F521A1" w:rsidRDefault="00F521A1" w:rsidP="00F521A1">
            <w:pPr>
              <w:bidi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0.66</w:t>
            </w:r>
          </w:p>
        </w:tc>
      </w:tr>
      <w:tr w:rsidR="00F521A1" w:rsidRPr="00F521A1" w:rsidTr="00F521A1">
        <w:tc>
          <w:tcPr>
            <w:cnfStyle w:val="001000000000" w:firstRow="0" w:lastRow="0" w:firstColumn="1" w:lastColumn="0" w:oddVBand="0" w:evenVBand="0" w:oddHBand="0" w:evenHBand="0" w:firstRowFirstColumn="0" w:firstRowLastColumn="0" w:lastRowFirstColumn="0" w:lastRowLastColumn="0"/>
            <w:tcW w:w="2262" w:type="dxa"/>
            <w:hideMark/>
          </w:tcPr>
          <w:p w:rsidR="00F521A1" w:rsidRPr="00F521A1" w:rsidRDefault="00F521A1" w:rsidP="00F521A1">
            <w:pPr>
              <w:bidi w:val="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TB co-infection</w:t>
            </w:r>
          </w:p>
        </w:tc>
        <w:tc>
          <w:tcPr>
            <w:tcW w:w="1896" w:type="dxa"/>
            <w:hideMark/>
          </w:tcPr>
          <w:p w:rsidR="00F521A1" w:rsidRPr="00F521A1" w:rsidRDefault="00F521A1" w:rsidP="00F521A1">
            <w:pPr>
              <w:bidi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1.97 (1.40–2.77)</w:t>
            </w:r>
          </w:p>
        </w:tc>
        <w:tc>
          <w:tcPr>
            <w:tcW w:w="1082" w:type="dxa"/>
            <w:hideMark/>
          </w:tcPr>
          <w:p w:rsidR="00F521A1" w:rsidRPr="00F521A1" w:rsidRDefault="00F521A1" w:rsidP="00F521A1">
            <w:pPr>
              <w:bidi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&lt;0.001</w:t>
            </w:r>
          </w:p>
        </w:tc>
        <w:tc>
          <w:tcPr>
            <w:tcW w:w="2851" w:type="dxa"/>
            <w:hideMark/>
          </w:tcPr>
          <w:p w:rsidR="00F521A1" w:rsidRPr="00F521A1" w:rsidRDefault="00F521A1" w:rsidP="00F521A1">
            <w:pPr>
              <w:bidi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2.21 (1.01–4.86)</w:t>
            </w:r>
          </w:p>
        </w:tc>
        <w:tc>
          <w:tcPr>
            <w:tcW w:w="1118" w:type="dxa"/>
            <w:hideMark/>
          </w:tcPr>
          <w:p w:rsidR="00F521A1" w:rsidRPr="00F521A1" w:rsidRDefault="00F521A1" w:rsidP="00F521A1">
            <w:pPr>
              <w:bidi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521A1">
              <w:rPr>
                <w:rFonts w:ascii="Times New Roman" w:eastAsia="Times New Roman" w:hAnsi="Times New Roman" w:cs="Times New Roman"/>
                <w:sz w:val="24"/>
                <w:szCs w:val="24"/>
              </w:rPr>
              <w:t>0.048</w:t>
            </w:r>
          </w:p>
        </w:tc>
      </w:tr>
    </w:tbl>
    <w:p w:rsidR="00F521A1" w:rsidRPr="00F521A1" w:rsidRDefault="00F521A1" w:rsidP="00F521A1">
      <w:pPr>
        <w:shd w:val="clear" w:color="auto" w:fill="FFFFFF"/>
        <w:bidi w:val="0"/>
        <w:spacing w:before="240" w:after="240" w:line="240" w:lineRule="auto"/>
        <w:rPr>
          <w:rFonts w:ascii="Times New Roman" w:eastAsia="Times New Roman" w:hAnsi="Times New Roman" w:cs="Times New Roman"/>
          <w:i/>
          <w:iCs/>
          <w:color w:val="0F1115"/>
          <w:sz w:val="24"/>
          <w:szCs w:val="24"/>
        </w:rPr>
      </w:pPr>
      <w:r w:rsidRPr="00F521A1">
        <w:rPr>
          <w:rFonts w:ascii="Times New Roman" w:eastAsia="Times New Roman" w:hAnsi="Times New Roman" w:cs="Times New Roman"/>
          <w:b/>
          <w:bCs/>
          <w:i/>
          <w:iCs/>
          <w:color w:val="0F1115"/>
          <w:sz w:val="24"/>
          <w:szCs w:val="24"/>
        </w:rPr>
        <w:t>Note:</w:t>
      </w:r>
      <w:r w:rsidRPr="00F521A1">
        <w:rPr>
          <w:rFonts w:ascii="Times New Roman" w:eastAsia="Times New Roman" w:hAnsi="Times New Roman" w:cs="Times New Roman"/>
          <w:i/>
          <w:iCs/>
          <w:color w:val="0F1115"/>
          <w:sz w:val="24"/>
          <w:szCs w:val="24"/>
        </w:rPr>
        <w:t> Cause-specific Cox models yielded results that were consistent in direction, magnitude, and statistical significance with the primary analyses (Cox model for death and Fine–Gray model for AIDS progression), supporting the robustness of the findings.</w:t>
      </w:r>
    </w:p>
    <w:p w:rsidR="00F54EBC" w:rsidRPr="00784152" w:rsidRDefault="00F54EBC" w:rsidP="00784152">
      <w:pPr>
        <w:jc w:val="right"/>
        <w:rPr>
          <w:rFonts w:asciiTheme="majorBidi" w:hAnsiTheme="majorBidi" w:cstheme="majorBidi"/>
          <w:sz w:val="24"/>
          <w:szCs w:val="24"/>
          <w:rtl/>
        </w:rPr>
      </w:pPr>
    </w:p>
    <w:sectPr w:rsidR="00F54EBC" w:rsidRPr="00784152" w:rsidSect="001A343D">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0943B1"/>
    <w:multiLevelType w:val="multilevel"/>
    <w:tmpl w:val="343C7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152"/>
    <w:rsid w:val="000B502E"/>
    <w:rsid w:val="001A343D"/>
    <w:rsid w:val="00266EA1"/>
    <w:rsid w:val="004D4B31"/>
    <w:rsid w:val="004E1304"/>
    <w:rsid w:val="0057074D"/>
    <w:rsid w:val="0072473F"/>
    <w:rsid w:val="00734AEF"/>
    <w:rsid w:val="00784152"/>
    <w:rsid w:val="007965A7"/>
    <w:rsid w:val="008F6E6E"/>
    <w:rsid w:val="009F3738"/>
    <w:rsid w:val="00A16A77"/>
    <w:rsid w:val="00A36C0A"/>
    <w:rsid w:val="00AA5D9D"/>
    <w:rsid w:val="00F521A1"/>
    <w:rsid w:val="00F54EB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B3E23"/>
  <w15:chartTrackingRefBased/>
  <w15:docId w15:val="{AD0A6043-50AB-4F10-8A5D-E2EA5265F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1">
    <w:name w:val="Plain Table 1"/>
    <w:basedOn w:val="TableNormal"/>
    <w:uiPriority w:val="41"/>
    <w:rsid w:val="0078415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475563">
      <w:bodyDiv w:val="1"/>
      <w:marLeft w:val="0"/>
      <w:marRight w:val="0"/>
      <w:marTop w:val="0"/>
      <w:marBottom w:val="0"/>
      <w:divBdr>
        <w:top w:val="none" w:sz="0" w:space="0" w:color="auto"/>
        <w:left w:val="none" w:sz="0" w:space="0" w:color="auto"/>
        <w:bottom w:val="none" w:sz="0" w:space="0" w:color="auto"/>
        <w:right w:val="none" w:sz="0" w:space="0" w:color="auto"/>
      </w:divBdr>
      <w:divsChild>
        <w:div w:id="1631938630">
          <w:marLeft w:val="0"/>
          <w:marRight w:val="0"/>
          <w:marTop w:val="0"/>
          <w:marBottom w:val="0"/>
          <w:divBdr>
            <w:top w:val="none" w:sz="0" w:space="0" w:color="auto"/>
            <w:left w:val="none" w:sz="0" w:space="0" w:color="auto"/>
            <w:bottom w:val="none" w:sz="0" w:space="0" w:color="auto"/>
            <w:right w:val="none" w:sz="0" w:space="0" w:color="auto"/>
          </w:divBdr>
        </w:div>
      </w:divsChild>
    </w:div>
    <w:div w:id="2017267562">
      <w:bodyDiv w:val="1"/>
      <w:marLeft w:val="0"/>
      <w:marRight w:val="0"/>
      <w:marTop w:val="0"/>
      <w:marBottom w:val="0"/>
      <w:divBdr>
        <w:top w:val="none" w:sz="0" w:space="0" w:color="auto"/>
        <w:left w:val="none" w:sz="0" w:space="0" w:color="auto"/>
        <w:bottom w:val="none" w:sz="0" w:space="0" w:color="auto"/>
        <w:right w:val="none" w:sz="0" w:space="0" w:color="auto"/>
      </w:divBdr>
      <w:divsChild>
        <w:div w:id="2308503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2225</TotalTime>
  <Pages>1</Pages>
  <Words>167</Words>
  <Characters>953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MSL-pc</dc:creator>
  <cp:keywords/>
  <dc:description/>
  <cp:lastModifiedBy>MSL-pc</cp:lastModifiedBy>
  <cp:revision>5</cp:revision>
  <dcterms:created xsi:type="dcterms:W3CDTF">2026-05-08T06:34:00Z</dcterms:created>
  <dcterms:modified xsi:type="dcterms:W3CDTF">2026-06-11T22:15:00Z</dcterms:modified>
</cp:coreProperties>
</file>