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4AD" w:rsidRDefault="00514E6D" w:rsidP="00D514AD">
      <w:pPr>
        <w:rPr>
          <w:rFonts w:asciiTheme="majorBidi" w:hAnsiTheme="majorBidi" w:cstheme="majorBidi"/>
          <w:b/>
          <w:bCs/>
          <w:sz w:val="24"/>
          <w:szCs w:val="24"/>
        </w:rPr>
      </w:pPr>
      <w:r w:rsidRPr="00514E6D">
        <w:rPr>
          <w:rFonts w:asciiTheme="majorBidi" w:hAnsiTheme="majorBidi" w:cstheme="majorBidi"/>
          <w:b/>
          <w:bCs/>
          <w:sz w:val="24"/>
          <w:szCs w:val="24"/>
        </w:rPr>
        <w:t xml:space="preserve">Supplementary </w:t>
      </w:r>
      <w:r w:rsidR="00D514AD">
        <w:rPr>
          <w:rFonts w:asciiTheme="majorBidi" w:hAnsiTheme="majorBidi" w:cstheme="majorBidi"/>
          <w:b/>
          <w:bCs/>
          <w:sz w:val="24"/>
          <w:szCs w:val="24"/>
        </w:rPr>
        <w:t>S3</w:t>
      </w:r>
    </w:p>
    <w:p w:rsidR="00514E6D" w:rsidRPr="00514E6D" w:rsidRDefault="00D514AD" w:rsidP="00D514AD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Table S3.</w:t>
      </w:r>
      <w:bookmarkStart w:id="0" w:name="_GoBack"/>
      <w:bookmarkEnd w:id="0"/>
      <w:r w:rsidR="00514E6D" w:rsidRPr="00514E6D">
        <w:rPr>
          <w:rFonts w:asciiTheme="majorBidi" w:hAnsiTheme="majorBidi" w:cstheme="majorBidi"/>
          <w:b/>
          <w:bCs/>
          <w:sz w:val="24"/>
          <w:szCs w:val="24"/>
        </w:rPr>
        <w:t xml:space="preserve"> Sensitivity analyses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514E6D" w:rsidRPr="00514E6D" w:rsidRDefault="00393120" w:rsidP="00514E6D">
      <w:pPr>
        <w:rPr>
          <w:rFonts w:asciiTheme="majorBidi" w:hAnsiTheme="majorBidi" w:cstheme="majorBidi"/>
          <w:b/>
          <w:bCs/>
        </w:rPr>
      </w:pPr>
      <w:r w:rsidRPr="00393120">
        <w:rPr>
          <w:rFonts w:asciiTheme="majorBidi" w:hAnsiTheme="majorBidi" w:cstheme="majorBidi"/>
          <w:b/>
          <w:bCs/>
        </w:rPr>
        <w:t>S3a. Sensitivity analysis using midpoint imputation for interval-censored AIDS events</w:t>
      </w:r>
    </w:p>
    <w:tbl>
      <w:tblPr>
        <w:tblStyle w:val="TableGrid"/>
        <w:tblW w:w="9325" w:type="dxa"/>
        <w:tblLook w:val="04A0" w:firstRow="1" w:lastRow="0" w:firstColumn="1" w:lastColumn="0" w:noHBand="0" w:noVBand="1"/>
      </w:tblPr>
      <w:tblGrid>
        <w:gridCol w:w="2145"/>
        <w:gridCol w:w="3290"/>
        <w:gridCol w:w="3890"/>
      </w:tblGrid>
      <w:tr w:rsidR="00514E6D" w:rsidRPr="00514E6D" w:rsidTr="00514E6D">
        <w:trPr>
          <w:trHeight w:val="290"/>
        </w:trPr>
        <w:tc>
          <w:tcPr>
            <w:tcW w:w="0" w:type="auto"/>
            <w:hideMark/>
          </w:tcPr>
          <w:p w:rsidR="00514E6D" w:rsidRPr="00514E6D" w:rsidRDefault="00514E6D" w:rsidP="00514E6D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514E6D">
              <w:rPr>
                <w:rFonts w:asciiTheme="majorBidi" w:hAnsiTheme="majorBidi" w:cstheme="majorBidi"/>
                <w:b/>
                <w:bCs/>
              </w:rPr>
              <w:t>Variable</w:t>
            </w:r>
          </w:p>
        </w:tc>
        <w:tc>
          <w:tcPr>
            <w:tcW w:w="0" w:type="auto"/>
            <w:hideMark/>
          </w:tcPr>
          <w:p w:rsidR="00514E6D" w:rsidRPr="00514E6D" w:rsidRDefault="00514E6D" w:rsidP="00514E6D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514E6D">
              <w:rPr>
                <w:rFonts w:asciiTheme="majorBidi" w:hAnsiTheme="majorBidi" w:cstheme="majorBidi"/>
                <w:b/>
                <w:bCs/>
              </w:rPr>
              <w:t>Primary model (HR, 95% CI)</w:t>
            </w:r>
          </w:p>
        </w:tc>
        <w:tc>
          <w:tcPr>
            <w:tcW w:w="0" w:type="auto"/>
            <w:hideMark/>
          </w:tcPr>
          <w:p w:rsidR="00514E6D" w:rsidRPr="00514E6D" w:rsidRDefault="00514E6D" w:rsidP="00514E6D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514E6D">
              <w:rPr>
                <w:rFonts w:asciiTheme="majorBidi" w:hAnsiTheme="majorBidi" w:cstheme="majorBidi"/>
                <w:b/>
                <w:bCs/>
              </w:rPr>
              <w:t>Midpoint imputation (HR, 95% CI)</w:t>
            </w:r>
          </w:p>
        </w:tc>
      </w:tr>
      <w:tr w:rsidR="00514E6D" w:rsidRPr="00514E6D" w:rsidTr="00514E6D">
        <w:trPr>
          <w:trHeight w:val="290"/>
        </w:trPr>
        <w:tc>
          <w:tcPr>
            <w:tcW w:w="0" w:type="auto"/>
            <w:hideMark/>
          </w:tcPr>
          <w:p w:rsidR="00514E6D" w:rsidRPr="00514E6D" w:rsidRDefault="00514E6D" w:rsidP="00393120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14E6D">
              <w:rPr>
                <w:rFonts w:asciiTheme="majorBidi" w:hAnsiTheme="majorBidi" w:cstheme="majorBidi"/>
              </w:rPr>
              <w:t xml:space="preserve">Late diagnosis </w:t>
            </w:r>
          </w:p>
        </w:tc>
        <w:tc>
          <w:tcPr>
            <w:tcW w:w="0" w:type="auto"/>
            <w:hideMark/>
          </w:tcPr>
          <w:p w:rsidR="00514E6D" w:rsidRPr="00514E6D" w:rsidRDefault="00514E6D" w:rsidP="00514E6D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14E6D">
              <w:rPr>
                <w:rFonts w:asciiTheme="majorBidi" w:hAnsiTheme="majorBidi" w:cstheme="majorBidi"/>
              </w:rPr>
              <w:t>2.35 (1.92–3.91)</w:t>
            </w:r>
          </w:p>
        </w:tc>
        <w:tc>
          <w:tcPr>
            <w:tcW w:w="0" w:type="auto"/>
            <w:hideMark/>
          </w:tcPr>
          <w:p w:rsidR="00514E6D" w:rsidRPr="00514E6D" w:rsidRDefault="00514E6D" w:rsidP="00514E6D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14E6D">
              <w:rPr>
                <w:rFonts w:asciiTheme="majorBidi" w:hAnsiTheme="majorBidi" w:cstheme="majorBidi"/>
              </w:rPr>
              <w:t>2.33 (1.89–3.88)</w:t>
            </w:r>
          </w:p>
        </w:tc>
      </w:tr>
      <w:tr w:rsidR="00514E6D" w:rsidRPr="00514E6D" w:rsidTr="00514E6D">
        <w:trPr>
          <w:trHeight w:val="280"/>
        </w:trPr>
        <w:tc>
          <w:tcPr>
            <w:tcW w:w="0" w:type="auto"/>
            <w:hideMark/>
          </w:tcPr>
          <w:p w:rsidR="00514E6D" w:rsidRPr="00514E6D" w:rsidRDefault="00514E6D" w:rsidP="00514E6D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14E6D">
              <w:rPr>
                <w:rFonts w:asciiTheme="majorBidi" w:hAnsiTheme="majorBidi" w:cstheme="majorBidi"/>
              </w:rPr>
              <w:t>Male sex</w:t>
            </w:r>
          </w:p>
        </w:tc>
        <w:tc>
          <w:tcPr>
            <w:tcW w:w="0" w:type="auto"/>
            <w:hideMark/>
          </w:tcPr>
          <w:p w:rsidR="00514E6D" w:rsidRPr="00514E6D" w:rsidRDefault="00514E6D" w:rsidP="00514E6D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14E6D">
              <w:rPr>
                <w:rFonts w:asciiTheme="majorBidi" w:hAnsiTheme="majorBidi" w:cstheme="majorBidi"/>
              </w:rPr>
              <w:t>1.91 (1.09–3.35)</w:t>
            </w:r>
          </w:p>
        </w:tc>
        <w:tc>
          <w:tcPr>
            <w:tcW w:w="0" w:type="auto"/>
            <w:hideMark/>
          </w:tcPr>
          <w:p w:rsidR="00514E6D" w:rsidRPr="00514E6D" w:rsidRDefault="00514E6D" w:rsidP="00514E6D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14E6D">
              <w:rPr>
                <w:rFonts w:asciiTheme="majorBidi" w:hAnsiTheme="majorBidi" w:cstheme="majorBidi"/>
              </w:rPr>
              <w:t>1.90 (1.08–3.33)</w:t>
            </w:r>
          </w:p>
        </w:tc>
      </w:tr>
      <w:tr w:rsidR="00514E6D" w:rsidRPr="00514E6D" w:rsidTr="00514E6D">
        <w:trPr>
          <w:trHeight w:val="290"/>
        </w:trPr>
        <w:tc>
          <w:tcPr>
            <w:tcW w:w="0" w:type="auto"/>
            <w:hideMark/>
          </w:tcPr>
          <w:p w:rsidR="00514E6D" w:rsidRPr="00514E6D" w:rsidRDefault="00514E6D" w:rsidP="00514E6D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14E6D">
              <w:rPr>
                <w:rFonts w:asciiTheme="majorBidi" w:hAnsiTheme="majorBidi" w:cstheme="majorBidi"/>
              </w:rPr>
              <w:t>Single (vs. married)</w:t>
            </w:r>
          </w:p>
        </w:tc>
        <w:tc>
          <w:tcPr>
            <w:tcW w:w="0" w:type="auto"/>
            <w:hideMark/>
          </w:tcPr>
          <w:p w:rsidR="00514E6D" w:rsidRPr="00514E6D" w:rsidRDefault="00514E6D" w:rsidP="00514E6D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14E6D">
              <w:rPr>
                <w:rFonts w:asciiTheme="majorBidi" w:hAnsiTheme="majorBidi" w:cstheme="majorBidi"/>
              </w:rPr>
              <w:t>1.70 (1.07–2.71)</w:t>
            </w:r>
          </w:p>
        </w:tc>
        <w:tc>
          <w:tcPr>
            <w:tcW w:w="0" w:type="auto"/>
            <w:hideMark/>
          </w:tcPr>
          <w:p w:rsidR="00514E6D" w:rsidRPr="00514E6D" w:rsidRDefault="00514E6D" w:rsidP="00514E6D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14E6D">
              <w:rPr>
                <w:rFonts w:asciiTheme="majorBidi" w:hAnsiTheme="majorBidi" w:cstheme="majorBidi"/>
              </w:rPr>
              <w:t>1.69 (1.06–2.70)</w:t>
            </w:r>
          </w:p>
        </w:tc>
      </w:tr>
      <w:tr w:rsidR="00514E6D" w:rsidRPr="00514E6D" w:rsidTr="00514E6D">
        <w:trPr>
          <w:trHeight w:val="409"/>
        </w:trPr>
        <w:tc>
          <w:tcPr>
            <w:tcW w:w="0" w:type="auto"/>
            <w:hideMark/>
          </w:tcPr>
          <w:p w:rsidR="00514E6D" w:rsidRPr="00514E6D" w:rsidRDefault="00514E6D" w:rsidP="00514E6D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14E6D">
              <w:rPr>
                <w:rFonts w:asciiTheme="majorBidi" w:hAnsiTheme="majorBidi" w:cstheme="majorBidi"/>
              </w:rPr>
              <w:t>TB co-infection</w:t>
            </w:r>
          </w:p>
        </w:tc>
        <w:tc>
          <w:tcPr>
            <w:tcW w:w="0" w:type="auto"/>
            <w:hideMark/>
          </w:tcPr>
          <w:p w:rsidR="00514E6D" w:rsidRPr="00514E6D" w:rsidRDefault="00514E6D" w:rsidP="00514E6D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14E6D">
              <w:rPr>
                <w:rFonts w:asciiTheme="majorBidi" w:hAnsiTheme="majorBidi" w:cstheme="majorBidi"/>
              </w:rPr>
              <w:t>2.30 (1.02–5.19)</w:t>
            </w:r>
          </w:p>
        </w:tc>
        <w:tc>
          <w:tcPr>
            <w:tcW w:w="0" w:type="auto"/>
            <w:hideMark/>
          </w:tcPr>
          <w:p w:rsidR="00514E6D" w:rsidRPr="00514E6D" w:rsidRDefault="00514E6D" w:rsidP="00514E6D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14E6D">
              <w:rPr>
                <w:rFonts w:asciiTheme="majorBidi" w:hAnsiTheme="majorBidi" w:cstheme="majorBidi"/>
              </w:rPr>
              <w:t>2.28 (1.01–5.17)</w:t>
            </w:r>
          </w:p>
        </w:tc>
      </w:tr>
    </w:tbl>
    <w:p w:rsidR="00514E6D" w:rsidRPr="00514E6D" w:rsidRDefault="00393120" w:rsidP="00514E6D">
      <w:pPr>
        <w:rPr>
          <w:rFonts w:asciiTheme="majorBidi" w:hAnsiTheme="majorBidi" w:cstheme="majorBidi"/>
        </w:rPr>
      </w:pPr>
      <w:r w:rsidRPr="00393120">
        <w:rPr>
          <w:rFonts w:asciiTheme="majorBidi" w:hAnsiTheme="majorBidi" w:cstheme="majorBidi"/>
          <w:i/>
          <w:iCs/>
        </w:rPr>
        <w:t>Note: Effect estimates remained highly consistent between the primary analysis and midpoint imputation, suggesting that interval-censoring bias was unlikely to materially affect the study findings.</w:t>
      </w:r>
      <w:r w:rsidR="00D514AD">
        <w:rPr>
          <w:rFonts w:asciiTheme="majorBidi" w:hAnsiTheme="majorBidi" w:cstheme="majorBidi"/>
        </w:rPr>
        <w:pict>
          <v:rect id="_x0000_i1025" style="width:0;height:.75pt" o:hralign="center" o:hrstd="t" o:hrnoshade="t" o:hr="t" fillcolor="#0f1115" stroked="f"/>
        </w:pict>
      </w:r>
    </w:p>
    <w:p w:rsidR="00514E6D" w:rsidRPr="00514E6D" w:rsidRDefault="00263086" w:rsidP="00514E6D">
      <w:pPr>
        <w:rPr>
          <w:rFonts w:asciiTheme="majorBidi" w:hAnsiTheme="majorBidi" w:cstheme="majorBidi"/>
          <w:b/>
          <w:bCs/>
        </w:rPr>
      </w:pPr>
      <w:r w:rsidRPr="00263086">
        <w:rPr>
          <w:rFonts w:asciiTheme="majorBidi" w:hAnsiTheme="majorBidi" w:cstheme="majorBidi"/>
          <w:b/>
          <w:bCs/>
        </w:rPr>
        <w:t>S3b. Sensitivity analysis using Firth penalized cause-specific Cox regression for AIDS</w:t>
      </w:r>
    </w:p>
    <w:tbl>
      <w:tblPr>
        <w:tblStyle w:val="TableGrid"/>
        <w:tblW w:w="9836" w:type="dxa"/>
        <w:tblLook w:val="04A0" w:firstRow="1" w:lastRow="0" w:firstColumn="1" w:lastColumn="0" w:noHBand="0" w:noVBand="1"/>
      </w:tblPr>
      <w:tblGrid>
        <w:gridCol w:w="2000"/>
        <w:gridCol w:w="4315"/>
        <w:gridCol w:w="3521"/>
      </w:tblGrid>
      <w:tr w:rsidR="00393120" w:rsidRPr="00514E6D" w:rsidTr="00514E6D">
        <w:trPr>
          <w:trHeight w:val="377"/>
        </w:trPr>
        <w:tc>
          <w:tcPr>
            <w:tcW w:w="0" w:type="auto"/>
            <w:hideMark/>
          </w:tcPr>
          <w:p w:rsidR="00514E6D" w:rsidRPr="00514E6D" w:rsidRDefault="00514E6D" w:rsidP="00514E6D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514E6D">
              <w:rPr>
                <w:rFonts w:asciiTheme="majorBidi" w:hAnsiTheme="majorBidi" w:cstheme="majorBidi"/>
                <w:b/>
                <w:bCs/>
              </w:rPr>
              <w:t>Variable</w:t>
            </w:r>
          </w:p>
        </w:tc>
        <w:tc>
          <w:tcPr>
            <w:tcW w:w="0" w:type="auto"/>
            <w:hideMark/>
          </w:tcPr>
          <w:p w:rsidR="00514E6D" w:rsidRPr="00514E6D" w:rsidRDefault="00514E6D" w:rsidP="00393120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514E6D">
              <w:rPr>
                <w:rFonts w:asciiTheme="majorBidi" w:hAnsiTheme="majorBidi" w:cstheme="majorBidi"/>
                <w:b/>
                <w:bCs/>
              </w:rPr>
              <w:t xml:space="preserve">Primary </w:t>
            </w:r>
            <w:r w:rsidR="00393120">
              <w:rPr>
                <w:rFonts w:asciiTheme="majorBidi" w:hAnsiTheme="majorBidi" w:cstheme="majorBidi"/>
                <w:b/>
                <w:bCs/>
              </w:rPr>
              <w:t>cause-specifics Cox</w:t>
            </w:r>
            <w:r w:rsidRPr="00514E6D">
              <w:rPr>
                <w:rFonts w:asciiTheme="majorBidi" w:hAnsiTheme="majorBidi" w:cstheme="majorBidi"/>
                <w:b/>
                <w:bCs/>
              </w:rPr>
              <w:t xml:space="preserve"> (HR, 95% CI)</w:t>
            </w:r>
          </w:p>
        </w:tc>
        <w:tc>
          <w:tcPr>
            <w:tcW w:w="0" w:type="auto"/>
            <w:hideMark/>
          </w:tcPr>
          <w:p w:rsidR="00514E6D" w:rsidRPr="00514E6D" w:rsidRDefault="00514E6D" w:rsidP="00393120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514E6D">
              <w:rPr>
                <w:rFonts w:asciiTheme="majorBidi" w:hAnsiTheme="majorBidi" w:cstheme="majorBidi"/>
                <w:b/>
                <w:bCs/>
              </w:rPr>
              <w:t xml:space="preserve">Firth </w:t>
            </w:r>
            <w:r w:rsidR="00393120">
              <w:rPr>
                <w:rFonts w:asciiTheme="majorBidi" w:hAnsiTheme="majorBidi" w:cstheme="majorBidi"/>
                <w:b/>
                <w:bCs/>
              </w:rPr>
              <w:t>penalized Cox</w:t>
            </w:r>
            <w:r w:rsidRPr="00514E6D">
              <w:rPr>
                <w:rFonts w:asciiTheme="majorBidi" w:hAnsiTheme="majorBidi" w:cstheme="majorBidi"/>
                <w:b/>
                <w:bCs/>
              </w:rPr>
              <w:t xml:space="preserve"> (HR, 95% CI)</w:t>
            </w:r>
          </w:p>
        </w:tc>
      </w:tr>
      <w:tr w:rsidR="00393120" w:rsidRPr="00514E6D" w:rsidTr="00514E6D">
        <w:trPr>
          <w:trHeight w:val="364"/>
        </w:trPr>
        <w:tc>
          <w:tcPr>
            <w:tcW w:w="0" w:type="auto"/>
            <w:hideMark/>
          </w:tcPr>
          <w:p w:rsidR="00514E6D" w:rsidRPr="00514E6D" w:rsidRDefault="00514E6D" w:rsidP="00263086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14E6D">
              <w:rPr>
                <w:rFonts w:asciiTheme="majorBidi" w:hAnsiTheme="majorBidi" w:cstheme="majorBidi"/>
              </w:rPr>
              <w:t xml:space="preserve">Late diagnosis </w:t>
            </w:r>
          </w:p>
        </w:tc>
        <w:tc>
          <w:tcPr>
            <w:tcW w:w="0" w:type="auto"/>
            <w:hideMark/>
          </w:tcPr>
          <w:p w:rsidR="00514E6D" w:rsidRPr="00514E6D" w:rsidRDefault="00514E6D" w:rsidP="00514E6D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14E6D">
              <w:rPr>
                <w:rFonts w:asciiTheme="majorBidi" w:hAnsiTheme="majorBidi" w:cstheme="majorBidi"/>
              </w:rPr>
              <w:t>2.35 (1.92–3.91)</w:t>
            </w:r>
          </w:p>
        </w:tc>
        <w:tc>
          <w:tcPr>
            <w:tcW w:w="0" w:type="auto"/>
            <w:hideMark/>
          </w:tcPr>
          <w:p w:rsidR="00514E6D" w:rsidRPr="00514E6D" w:rsidRDefault="00514E6D" w:rsidP="00514E6D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14E6D">
              <w:rPr>
                <w:rFonts w:asciiTheme="majorBidi" w:hAnsiTheme="majorBidi" w:cstheme="majorBidi"/>
              </w:rPr>
              <w:t>2.33 (1.90–3.88)</w:t>
            </w:r>
          </w:p>
        </w:tc>
      </w:tr>
      <w:tr w:rsidR="00393120" w:rsidRPr="00514E6D" w:rsidTr="00514E6D">
        <w:trPr>
          <w:trHeight w:val="364"/>
        </w:trPr>
        <w:tc>
          <w:tcPr>
            <w:tcW w:w="0" w:type="auto"/>
            <w:hideMark/>
          </w:tcPr>
          <w:p w:rsidR="00514E6D" w:rsidRPr="00514E6D" w:rsidRDefault="00514E6D" w:rsidP="00514E6D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14E6D">
              <w:rPr>
                <w:rFonts w:asciiTheme="majorBidi" w:hAnsiTheme="majorBidi" w:cstheme="majorBidi"/>
              </w:rPr>
              <w:t>Male sex</w:t>
            </w:r>
          </w:p>
        </w:tc>
        <w:tc>
          <w:tcPr>
            <w:tcW w:w="0" w:type="auto"/>
            <w:hideMark/>
          </w:tcPr>
          <w:p w:rsidR="00514E6D" w:rsidRPr="00514E6D" w:rsidRDefault="00514E6D" w:rsidP="00514E6D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14E6D">
              <w:rPr>
                <w:rFonts w:asciiTheme="majorBidi" w:hAnsiTheme="majorBidi" w:cstheme="majorBidi"/>
              </w:rPr>
              <w:t>1.91 (1.09–3.35)</w:t>
            </w:r>
          </w:p>
        </w:tc>
        <w:tc>
          <w:tcPr>
            <w:tcW w:w="0" w:type="auto"/>
            <w:hideMark/>
          </w:tcPr>
          <w:p w:rsidR="00514E6D" w:rsidRPr="00514E6D" w:rsidRDefault="00514E6D" w:rsidP="00514E6D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14E6D">
              <w:rPr>
                <w:rFonts w:asciiTheme="majorBidi" w:hAnsiTheme="majorBidi" w:cstheme="majorBidi"/>
              </w:rPr>
              <w:t>1.90 (1.08–3.33)</w:t>
            </w:r>
          </w:p>
        </w:tc>
      </w:tr>
      <w:tr w:rsidR="00393120" w:rsidRPr="00514E6D" w:rsidTr="00514E6D">
        <w:trPr>
          <w:trHeight w:val="377"/>
        </w:trPr>
        <w:tc>
          <w:tcPr>
            <w:tcW w:w="0" w:type="auto"/>
            <w:hideMark/>
          </w:tcPr>
          <w:p w:rsidR="00514E6D" w:rsidRPr="00514E6D" w:rsidRDefault="00514E6D" w:rsidP="00514E6D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14E6D">
              <w:rPr>
                <w:rFonts w:asciiTheme="majorBidi" w:hAnsiTheme="majorBidi" w:cstheme="majorBidi"/>
              </w:rPr>
              <w:t>Single (vs. married)</w:t>
            </w:r>
          </w:p>
        </w:tc>
        <w:tc>
          <w:tcPr>
            <w:tcW w:w="0" w:type="auto"/>
            <w:hideMark/>
          </w:tcPr>
          <w:p w:rsidR="00514E6D" w:rsidRPr="00514E6D" w:rsidRDefault="00514E6D" w:rsidP="00514E6D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14E6D">
              <w:rPr>
                <w:rFonts w:asciiTheme="majorBidi" w:hAnsiTheme="majorBidi" w:cstheme="majorBidi"/>
              </w:rPr>
              <w:t>1.70 (1.07–2.71)</w:t>
            </w:r>
          </w:p>
        </w:tc>
        <w:tc>
          <w:tcPr>
            <w:tcW w:w="0" w:type="auto"/>
            <w:hideMark/>
          </w:tcPr>
          <w:p w:rsidR="00514E6D" w:rsidRPr="00514E6D" w:rsidRDefault="00514E6D" w:rsidP="00514E6D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14E6D">
              <w:rPr>
                <w:rFonts w:asciiTheme="majorBidi" w:hAnsiTheme="majorBidi" w:cstheme="majorBidi"/>
              </w:rPr>
              <w:t>1.69 (1.06–2.70)</w:t>
            </w:r>
          </w:p>
        </w:tc>
      </w:tr>
      <w:tr w:rsidR="00393120" w:rsidRPr="00514E6D" w:rsidTr="00514E6D">
        <w:trPr>
          <w:trHeight w:val="364"/>
        </w:trPr>
        <w:tc>
          <w:tcPr>
            <w:tcW w:w="0" w:type="auto"/>
            <w:hideMark/>
          </w:tcPr>
          <w:p w:rsidR="00514E6D" w:rsidRPr="00514E6D" w:rsidRDefault="00514E6D" w:rsidP="00514E6D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14E6D">
              <w:rPr>
                <w:rFonts w:asciiTheme="majorBidi" w:hAnsiTheme="majorBidi" w:cstheme="majorBidi"/>
              </w:rPr>
              <w:t>TB co-infection</w:t>
            </w:r>
          </w:p>
        </w:tc>
        <w:tc>
          <w:tcPr>
            <w:tcW w:w="0" w:type="auto"/>
            <w:hideMark/>
          </w:tcPr>
          <w:p w:rsidR="00514E6D" w:rsidRPr="00514E6D" w:rsidRDefault="00514E6D" w:rsidP="00514E6D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14E6D">
              <w:rPr>
                <w:rFonts w:asciiTheme="majorBidi" w:hAnsiTheme="majorBidi" w:cstheme="majorBidi"/>
              </w:rPr>
              <w:t>2.30 (1.02–5.19)</w:t>
            </w:r>
          </w:p>
        </w:tc>
        <w:tc>
          <w:tcPr>
            <w:tcW w:w="0" w:type="auto"/>
            <w:hideMark/>
          </w:tcPr>
          <w:p w:rsidR="00514E6D" w:rsidRPr="00514E6D" w:rsidRDefault="00514E6D" w:rsidP="00514E6D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14E6D">
              <w:rPr>
                <w:rFonts w:asciiTheme="majorBidi" w:hAnsiTheme="majorBidi" w:cstheme="majorBidi"/>
              </w:rPr>
              <w:t>2.28 (1.01–5.17)</w:t>
            </w:r>
          </w:p>
        </w:tc>
      </w:tr>
    </w:tbl>
    <w:p w:rsidR="00EE5045" w:rsidRPr="00514E6D" w:rsidRDefault="00263086" w:rsidP="00514E6D">
      <w:pPr>
        <w:rPr>
          <w:rFonts w:asciiTheme="majorBidi" w:hAnsiTheme="majorBidi" w:cstheme="majorBidi"/>
        </w:rPr>
      </w:pPr>
      <w:r w:rsidRPr="00263086">
        <w:rPr>
          <w:rFonts w:asciiTheme="majorBidi" w:hAnsiTheme="majorBidi" w:cstheme="majorBidi"/>
          <w:i/>
          <w:iCs/>
        </w:rPr>
        <w:t>Note: Results from Firth penalized regression were consistent with those obtained from the standard cause-specific Cox model, indicating that the relatively low events-per-variable ratio (~5.4) was unlikely to have materially biased the estimates.</w:t>
      </w:r>
    </w:p>
    <w:sectPr w:rsidR="00EE5045" w:rsidRPr="00514E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E6D"/>
    <w:rsid w:val="00263086"/>
    <w:rsid w:val="00393120"/>
    <w:rsid w:val="00514E6D"/>
    <w:rsid w:val="00D514AD"/>
    <w:rsid w:val="00EE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715B2"/>
  <w15:chartTrackingRefBased/>
  <w15:docId w15:val="{8C95C3E6-1D5C-4037-8243-FC1880C2F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4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0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arvand</dc:creator>
  <cp:keywords/>
  <dc:description/>
  <cp:lastModifiedBy>MSL-pc</cp:lastModifiedBy>
  <cp:revision>3</cp:revision>
  <dcterms:created xsi:type="dcterms:W3CDTF">2026-06-03T05:30:00Z</dcterms:created>
  <dcterms:modified xsi:type="dcterms:W3CDTF">2026-06-11T22:17:00Z</dcterms:modified>
</cp:coreProperties>
</file>