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7F92" w:rsidRDefault="00117F92">
      <w:pPr>
        <w:rPr>
          <w:rFonts w:asciiTheme="majorBidi" w:hAnsiTheme="majorBidi" w:cstheme="majorBidi"/>
          <w:b/>
          <w:bCs/>
          <w:sz w:val="24"/>
          <w:szCs w:val="24"/>
        </w:rPr>
      </w:pPr>
      <w:r w:rsidRPr="00117F92">
        <w:rPr>
          <w:rFonts w:asciiTheme="majorBidi" w:hAnsiTheme="majorBidi" w:cstheme="majorBidi"/>
          <w:b/>
          <w:bCs/>
          <w:sz w:val="24"/>
          <w:szCs w:val="24"/>
        </w:rPr>
        <w:t xml:space="preserve">Supplementary Table S2. </w:t>
      </w:r>
    </w:p>
    <w:p w:rsidR="002859F3" w:rsidRPr="00B40BD4" w:rsidRDefault="00702D71" w:rsidP="00702D71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702D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Antimicrobial susceptibility testing results for the two </w:t>
      </w:r>
      <w:r w:rsidRPr="00B40BD4">
        <w:rPr>
          <w:rFonts w:ascii="Times New Roman" w:eastAsia="Times New Roman" w:hAnsi="Times New Roman" w:cs="Times New Roman"/>
          <w:b/>
          <w:bCs/>
          <w:i/>
          <w:iCs/>
          <w:kern w:val="0"/>
          <w:sz w:val="24"/>
          <w:szCs w:val="24"/>
          <w14:ligatures w14:val="none"/>
        </w:rPr>
        <w:t>Pseudomonas aeruginosa</w:t>
      </w:r>
      <w:r w:rsidRPr="00702D71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isolates included in this study.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30"/>
        <w:gridCol w:w="1608"/>
        <w:gridCol w:w="1778"/>
        <w:gridCol w:w="1712"/>
        <w:gridCol w:w="1629"/>
        <w:gridCol w:w="1003"/>
      </w:tblGrid>
      <w:tr w:rsidR="00702D71" w:rsidRPr="00702D71" w:rsidTr="00702D71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Antimicrobial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SRR36105565 (PDR)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SRR36105564 (XDR/near-PDR)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AST method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Breakpoint standard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  <w:t>MIC (µg/mL)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Piperacillin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Piperacillin–</w:t>
            </w: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Tazobactam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Ceftazidime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Cefepime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Imipenem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Meropenem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Doripenem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Aztreonam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Tobramycin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Netilmicin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Amikacin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Ciprofloxacin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Levofloxacin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Norfloxacin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Ofloxacin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Gatifloxacin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Disk diffusion / VITEK 2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CLSI 2024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—</w:t>
            </w:r>
          </w:p>
        </w:tc>
      </w:tr>
      <w:tr w:rsidR="00702D71" w:rsidRPr="00702D71" w:rsidTr="00702D71">
        <w:trPr>
          <w:tblCellSpacing w:w="15" w:type="dxa"/>
        </w:trPr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proofErr w:type="spellStart"/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Colistin</w:t>
            </w:r>
            <w:proofErr w:type="spellEnd"/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R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S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Broth </w:t>
            </w:r>
            <w:proofErr w:type="spellStart"/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microdilution</w:t>
            </w:r>
            <w:proofErr w:type="spellEnd"/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 xml:space="preserve"> (reference method)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CLSI/EUCAST</w:t>
            </w:r>
          </w:p>
        </w:tc>
        <w:tc>
          <w:tcPr>
            <w:tcW w:w="0" w:type="auto"/>
            <w:vAlign w:val="center"/>
            <w:hideMark/>
          </w:tcPr>
          <w:p w:rsidR="00702D71" w:rsidRPr="00702D71" w:rsidRDefault="00702D71" w:rsidP="00702D7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14:ligatures w14:val="none"/>
              </w:rPr>
            </w:pPr>
            <w:r w:rsidRPr="00702D71">
              <w:rPr>
                <w:rFonts w:ascii="Times New Roman" w:eastAsia="Times New Roman" w:hAnsi="Times New Roman" w:cs="Times New Roman"/>
                <w:b/>
                <w:bCs/>
                <w:kern w:val="0"/>
                <w14:ligatures w14:val="none"/>
              </w:rPr>
              <w:t>&gt;64 / 2</w:t>
            </w:r>
          </w:p>
        </w:tc>
      </w:tr>
    </w:tbl>
    <w:p w:rsidR="00B40BD4" w:rsidRDefault="00B40BD4" w:rsidP="00B40BD4">
      <w:pPr>
        <w:pStyle w:val="NormalWeb"/>
        <w:jc w:val="both"/>
      </w:pPr>
      <w:bookmarkStart w:id="0" w:name="_GoBack"/>
      <w:r>
        <w:rPr>
          <w:rStyle w:val="Strong"/>
        </w:rPr>
        <w:lastRenderedPageBreak/>
        <w:t>Abbreviations:</w:t>
      </w:r>
      <w:r>
        <w:t xml:space="preserve"> AST, antimicrobial susceptibility testing; BMD, broth </w:t>
      </w:r>
      <w:proofErr w:type="spellStart"/>
      <w:r>
        <w:t>microdilution</w:t>
      </w:r>
      <w:proofErr w:type="spellEnd"/>
      <w:r>
        <w:t>; CLSI, Clinical and Laboratory Standards Institute; MIC, minimum inhibitory concentration; R, resistant; S, susceptible.</w:t>
      </w:r>
    </w:p>
    <w:p w:rsidR="00B40BD4" w:rsidRDefault="00B40BD4" w:rsidP="00B40BD4">
      <w:pPr>
        <w:pStyle w:val="NormalWeb"/>
        <w:jc w:val="both"/>
      </w:pPr>
      <w:r>
        <w:rPr>
          <w:rStyle w:val="Strong"/>
        </w:rPr>
        <w:t xml:space="preserve">- </w:t>
      </w:r>
      <w:r>
        <w:t xml:space="preserve">Antimicrobial susceptibility testing was performed using the VITEK® 2 automated system and confirmed by disk diffusion according to CLSI recommendations. </w:t>
      </w:r>
      <w:proofErr w:type="spellStart"/>
      <w:r>
        <w:t>Colistin</w:t>
      </w:r>
      <w:proofErr w:type="spellEnd"/>
      <w:r>
        <w:t xml:space="preserve"> susceptibility was determined exclusively by broth </w:t>
      </w:r>
      <w:proofErr w:type="spellStart"/>
      <w:r>
        <w:t>microdilution</w:t>
      </w:r>
      <w:proofErr w:type="spellEnd"/>
      <w:r>
        <w:t xml:space="preserve"> (BMD), the reference method recommended by CLSI and EUCAST, because automated susceptibility testing systems may not provide reliable </w:t>
      </w:r>
      <w:proofErr w:type="spellStart"/>
      <w:r>
        <w:t>colistin</w:t>
      </w:r>
      <w:proofErr w:type="spellEnd"/>
      <w:r>
        <w:t xml:space="preserve"> MIC values. </w:t>
      </w:r>
    </w:p>
    <w:p w:rsidR="00B40BD4" w:rsidRDefault="00B40BD4" w:rsidP="00B40BD4">
      <w:pPr>
        <w:pStyle w:val="NormalWeb"/>
        <w:jc w:val="both"/>
      </w:pPr>
      <w:r>
        <w:t xml:space="preserve">- </w:t>
      </w:r>
      <w:r>
        <w:t xml:space="preserve">MIC values are reported only for </w:t>
      </w:r>
      <w:proofErr w:type="spellStart"/>
      <w:r>
        <w:t>colistin</w:t>
      </w:r>
      <w:proofErr w:type="spellEnd"/>
      <w:r>
        <w:t xml:space="preserve"> because broth </w:t>
      </w:r>
      <w:proofErr w:type="spellStart"/>
      <w:r>
        <w:t>microdilution</w:t>
      </w:r>
      <w:proofErr w:type="spellEnd"/>
      <w:r>
        <w:t xml:space="preserve"> was specifically performed for </w:t>
      </w:r>
      <w:proofErr w:type="spellStart"/>
      <w:r>
        <w:t>polymyxin</w:t>
      </w:r>
      <w:proofErr w:type="spellEnd"/>
      <w:r>
        <w:t xml:space="preserve"> susceptibility testing, whereas the remaining antimicrobial agents were interpreted according to routine AST categorical results generated by VITEK® 2 and disk diffusion testing. </w:t>
      </w:r>
    </w:p>
    <w:bookmarkEnd w:id="0"/>
    <w:p w:rsidR="00117F92" w:rsidRPr="00117F92" w:rsidRDefault="00117F92">
      <w:pPr>
        <w:rPr>
          <w:b/>
          <w:bCs/>
        </w:rPr>
      </w:pPr>
    </w:p>
    <w:sectPr w:rsidR="00117F92" w:rsidRPr="00117F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7F92"/>
    <w:rsid w:val="00117F92"/>
    <w:rsid w:val="002859F3"/>
    <w:rsid w:val="00611570"/>
    <w:rsid w:val="00702D71"/>
    <w:rsid w:val="00AE4D59"/>
    <w:rsid w:val="00B40B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05BEE7A"/>
  <w15:chartTrackingRefBased/>
  <w15:docId w15:val="{F463C6A6-5436-409E-8F7E-DE7AE2E8B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702D7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702D71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rsid w:val="00702D71"/>
    <w:rPr>
      <w:rFonts w:ascii="Times New Roman" w:eastAsia="Times New Roman" w:hAnsi="Times New Roman" w:cs="Times New Roman"/>
      <w:b/>
      <w:bCs/>
      <w:kern w:val="0"/>
      <w:sz w:val="27"/>
      <w:szCs w:val="27"/>
      <w14:ligatures w14:val="none"/>
    </w:rPr>
  </w:style>
  <w:style w:type="character" w:styleId="Emphasis">
    <w:name w:val="Emphasis"/>
    <w:basedOn w:val="DefaultParagraphFont"/>
    <w:uiPriority w:val="20"/>
    <w:qFormat/>
    <w:rsid w:val="00702D71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B40B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836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173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09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04351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6766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ayaah</dc:creator>
  <cp:keywords/>
  <dc:description/>
  <cp:lastModifiedBy>ayaah</cp:lastModifiedBy>
  <cp:revision>2</cp:revision>
  <dcterms:created xsi:type="dcterms:W3CDTF">2026-05-24T23:07:00Z</dcterms:created>
  <dcterms:modified xsi:type="dcterms:W3CDTF">2026-06-27T14:03:00Z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c7886e72-2e35-49ff-af6f-0644608a0352</vt:lpwstr>
  </property>
</Properties>
</file>