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CB">
      <w:pPr>
        <w:pStyle w:val="Title"/>
        <w:spacing w:after="48" w:lineRule="auto"/>
        <w:ind w:firstLine="100"/>
        <w:rPr>
          <w:sz w:val="24"/>
          <w:szCs w:val="24"/>
        </w:rPr>
      </w:pPr>
      <w:r>
        <w:rPr>
          <w:sz w:val="24"/>
          <w:szCs w:val="24"/>
          <w:rtl w:val="0"/>
        </w:rPr>
        <w:t xml:space="preserve">Supplementary Table S1: Detailed search strategy</w:t>
      </w:r>
    </w:p>
    <w:tbl>
      <w:tblPr>
        <w:tblStyle w:val="Table2"/>
        <w:tblW w:w="9361.0" w:type="dxa"/>
        <w:jc w:val="left"/>
        <w:tblInd w:w="107.0" w:type="dxa"/>
        <w:tblLayout w:type="fixed"/>
        <w:tblLook w:val="0000"/>
      </w:tblPr>
      <w:tblGrid>
        <w:gridCol w:w="2040"/>
        <w:gridCol w:w="5685"/>
        <w:gridCol w:w="1636"/>
        <w:tblGridChange w:id="0">
          <w:tblGrid>
            <w:gridCol w:w="2040"/>
            <w:gridCol w:w="5685"/>
            <w:gridCol w:w="1636"/>
          </w:tblGrid>
        </w:tblGridChange>
      </w:tblGrid>
      <w:tr>
        <w:trPr>
          <w:cantSplit w:val="1"/>
          <w:trHeight w:val="470" w:hRule="atLeast"/>
          <w:tblHeader w:val="1"/>
        </w:trPr>
        <w:tc>
          <w:tcPr>
            <w:tcBorders>
              <w:top w:color="b6b6b6" w:space="0" w:sz="12" w:val="single"/>
              <w:bottom w:color="b6b6b6" w:space="0" w:sz="12" w:val="single"/>
            </w:tcBorders>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after="0" w:before="105" w:line="240" w:lineRule="auto"/>
              <w:ind w:left="10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Database</w:t>
            </w:r>
          </w:p>
        </w:tc>
        <w:tc>
          <w:tcPr>
            <w:tcBorders>
              <w:top w:color="b6b6b6" w:space="0" w:sz="12" w:val="single"/>
              <w:bottom w:color="b6b6b6" w:space="0" w:sz="12" w:val="single"/>
            </w:tcBorders>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after="0" w:before="105" w:line="240"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Search Strategy</w:t>
            </w:r>
          </w:p>
        </w:tc>
        <w:tc>
          <w:tcPr>
            <w:tcBorders>
              <w:top w:color="b6b6b6" w:space="0" w:sz="12" w:val="single"/>
              <w:bottom w:color="b6b6b6" w:space="0" w:sz="12" w:val="single"/>
            </w:tcBorders>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after="0" w:before="105" w:line="240" w:lineRule="auto"/>
              <w:ind w:left="120"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Results</w:t>
            </w:r>
          </w:p>
        </w:tc>
      </w:tr>
      <w:tr>
        <w:trPr>
          <w:cantSplit w:val="1"/>
          <w:trHeight w:val="408" w:hRule="atLeast"/>
          <w:tblHeader w:val="1"/>
        </w:trPr>
        <w:tc>
          <w:tcPr>
            <w:tcBorders>
              <w:top w:color="b6b6b6" w:space="0" w:sz="12" w:val="single"/>
            </w:tcBorders>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after="0" w:before="106" w:line="240" w:lineRule="auto"/>
              <w:ind w:left="10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PubMed</w:t>
            </w:r>
          </w:p>
        </w:tc>
        <w:tc>
          <w:tcPr>
            <w:tcBorders>
              <w:top w:color="b6b6b6" w:space="0" w:sz="12" w:val="single"/>
            </w:tcBorders>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after="0" w:before="106" w:line="240" w:lineRule="auto"/>
              <w:ind w:left="435" w:firstLine="0"/>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highlight w:val="yellow"/>
                <w:rtl w:val="0"/>
              </w:rPr>
              <w:t xml:space="preserve">(((("Hepatitis B"[MeSH Terms] OR "Hepatitis B virus"[MeSH Terms] OR (hepatitis b) OR (Hepatitis B Virus)) OR (HBV)))</w:t>
            </w:r>
          </w:p>
        </w:tc>
        <w:tc>
          <w:tcPr>
            <w:tcBorders>
              <w:top w:color="b6b6b6" w:space="0" w:sz="12" w:val="single"/>
            </w:tcBorders>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after="0" w:before="106" w:line="240" w:lineRule="auto"/>
              <w:ind w:left="120"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11659</w:t>
            </w:r>
          </w:p>
        </w:tc>
      </w:tr>
      <w:tr>
        <w:trPr>
          <w:cantSplit w:val="1"/>
          <w:trHeight w:val="317" w:hRule="atLeast"/>
          <w:tblHeader w:val="1"/>
        </w:trPr>
        <w:tc>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after="0" w:before="15" w:line="240" w:lineRule="auto"/>
              <w:ind w:left="435" w:firstLine="0"/>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highlight w:val="yellow"/>
                <w:rtl w:val="0"/>
              </w:rPr>
              <w:t xml:space="preserve">OR ((Hepatitis B) AND (Tenofovir Alfenamide)) OR</w:t>
            </w:r>
          </w:p>
        </w:tc>
        <w:tc>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317" w:hRule="atLeast"/>
          <w:tblHeader w:val="1"/>
        </w:trPr>
        <w:tc>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after="0" w:before="15" w:line="240" w:lineRule="auto"/>
              <w:ind w:left="435" w:firstLine="0"/>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highlight w:val="yellow"/>
                <w:rtl w:val="0"/>
              </w:rPr>
              <w:t xml:space="preserve">(Tenofovir alafenamide fumarate) OR (TAF)) AND</w:t>
            </w:r>
          </w:p>
        </w:tc>
        <w:tc>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317" w:hRule="atLeast"/>
          <w:tblHeader w:val="1"/>
        </w:trPr>
        <w:tc>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after="0" w:before="15" w:line="240" w:lineRule="auto"/>
              <w:ind w:left="435" w:firstLine="0"/>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highlight w:val="yellow"/>
                <w:rtl w:val="0"/>
              </w:rPr>
              <w:t xml:space="preserve">(Tenofovir disoproxil)) OR ((Tenofovir Disoproxil</w:t>
            </w:r>
          </w:p>
        </w:tc>
        <w:tc>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422" w:hRule="atLeast"/>
          <w:tblHeader w:val="1"/>
        </w:trPr>
        <w:tc>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after="0" w:before="15" w:line="240" w:lineRule="auto"/>
              <w:ind w:left="435" w:firstLine="0"/>
              <w:rPr>
                <w:rFonts w:ascii="Times New Roman" w:cs="Times New Roman" w:eastAsia="Times New Roman" w:hAnsi="Times New Roman"/>
                <w:color w:val="000000"/>
                <w:sz w:val="24"/>
                <w:szCs w:val="24"/>
                <w:highlight w:val="yellow"/>
              </w:rPr>
            </w:pPr>
            <w:r>
              <w:rPr>
                <w:rFonts w:ascii="Times New Roman" w:cs="Times New Roman" w:eastAsia="Times New Roman" w:hAnsi="Times New Roman"/>
                <w:color w:val="000000"/>
                <w:sz w:val="24"/>
                <w:szCs w:val="24"/>
                <w:highlight w:val="yellow"/>
                <w:rtl w:val="0"/>
              </w:rPr>
              <w:t xml:space="preserve">Fumarate)) OR (TDF)</w:t>
            </w:r>
          </w:p>
        </w:tc>
        <w:tc>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1333" w:hRule="atLeast"/>
          <w:tblHeader w:val="1"/>
        </w:trPr>
        <w:tc>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after="0" w:before="120" w:line="240" w:lineRule="auto"/>
              <w:ind w:left="10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Google Scholar</w:t>
            </w:r>
          </w:p>
        </w:tc>
        <w:tc>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after="0" w:before="120" w:line="240" w:lineRule="auto"/>
              <w:ind w:left="435" w:right="272"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"hepatitis b"|"Hepatitis B Virus"|"HBV"|"Hepatitis B" "Tenofovir Alfenamide"|"Tenofovir alafenamide fumarate"|"TAF" "Tenofovir disoproxil"|"Tenofovir Disoproxil Fumarate"|"TDF"</w:t>
            </w:r>
          </w:p>
        </w:tc>
        <w:tc>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after="0" w:before="120" w:line="240" w:lineRule="auto"/>
              <w:ind w:left="120"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5150</w:t>
            </w:r>
          </w:p>
        </w:tc>
      </w:tr>
      <w:tr>
        <w:trPr>
          <w:cantSplit w:val="1"/>
          <w:trHeight w:val="394" w:hRule="atLeast"/>
          <w:tblHeader w:val="1"/>
        </w:trPr>
        <w:tc>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after="0" w:before="101" w:line="273" w:lineRule="auto"/>
              <w:ind w:left="10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Cochrane</w:t>
            </w:r>
          </w:p>
        </w:tc>
        <w:tc>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after="0" w:before="101" w:line="240"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"hepatitis B":ti,ab,kw OR "hepatitis B virus":ti,ab,kw</w:t>
            </w:r>
          </w:p>
        </w:tc>
        <w:tc>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after="0" w:before="101" w:line="273" w:lineRule="auto"/>
              <w:ind w:left="120"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11315</w:t>
            </w:r>
          </w:p>
        </w:tc>
      </w:tr>
      <w:tr>
        <w:trPr>
          <w:cantSplit w:val="1"/>
          <w:trHeight w:val="292" w:hRule="atLeast"/>
          <w:tblHeader w:val="1"/>
        </w:trPr>
        <w:tc>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after="0" w:before="10" w:line="240"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AND tenofovir alafenamide fumarate:ti,ab,kw AND</w:t>
            </w:r>
          </w:p>
        </w:tc>
        <w:tc>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303" w:hRule="atLeast"/>
          <w:tblHeader w:val="1"/>
        </w:trPr>
        <w:tc>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after="0" w:before="21" w:line="240"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"tenofovir disoproxil fumarate":ti,ab,kw OR "tenofovir</w:t>
            </w:r>
          </w:p>
        </w:tc>
        <w:tc>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303" w:hRule="atLeast"/>
          <w:tblHeader w:val="1"/>
        </w:trPr>
        <w:tc>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after="0" w:before="21" w:line="240"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disoproxil":ti,ab,kw (Word variations have been</w:t>
            </w:r>
          </w:p>
        </w:tc>
        <w:tc>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r>
        <w:trPr>
          <w:cantSplit w:val="1"/>
          <w:trHeight w:val="274" w:hRule="atLeast"/>
          <w:tblHeader w:val="1"/>
        </w:trPr>
        <w:tc>
          <w:tcPr/>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c>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after="0" w:before="21" w:line="233" w:lineRule="auto"/>
              <w:ind w:left="435"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searched)</w:t>
            </w:r>
          </w:p>
        </w:tc>
        <w:tc>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Pr>
                <w:rtl w:val="0"/>
              </w:rPr>
            </w:r>
          </w:p>
        </w:tc>
      </w:tr>
    </w:tbl>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Pr>
          <w:rtl w:val="0"/>
        </w:rPr>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after="0" w:before="6" w:line="240" w:lineRule="auto"/>
        <w:rPr>
          <w:rFonts w:ascii="Times New Roman" w:cs="Times New Roman" w:eastAsia="Times New Roman" w:hAnsi="Times New Roman"/>
          <w:b w:val="1"/>
          <w:bCs w:val="1"/>
          <w:color w:val="000000"/>
          <w:sz w:val="24"/>
          <w:szCs w:val="24"/>
        </w:rPr>
      </w:pPr>
      <w:r>
        <w:rPr>
          <w:rtl w:val="0"/>
        </w:rPr>
      </w:r>
    </w:p>
    <w:p w:rsidR="00000000" w:rsidDel="00000000" w:rsidP="00000000" w:rsidRDefault="00000000" w:rsidRPr="00000000" w14:paraId="000000F2">
      <w:pPr>
        <w:pStyle w:val="Title"/>
        <w:spacing w:before="185" w:lineRule="auto"/>
        <w:ind w:firstLine="100"/>
        <w:rPr>
          <w:sz w:val="24"/>
          <w:szCs w:val="24"/>
        </w:rPr>
      </w:pPr>
      <w:r>
        <w:rPr>
          <w:rtl w:val="0"/>
        </w:rPr>
      </w:r>
    </w:p>
    <w:p w:rsidR="00000000" w:rsidDel="00000000" w:rsidP="00000000" w:rsidRDefault="00000000" w:rsidRPr="00000000" w14:paraId="000000F3">
      <w:pPr>
        <w:pStyle w:val="Title"/>
        <w:spacing w:before="185" w:lineRule="auto"/>
        <w:ind w:firstLine="100"/>
        <w:rPr>
          <w:sz w:val="24"/>
          <w:szCs w:val="24"/>
        </w:rPr>
      </w:pPr>
      <w:r>
        <w:rPr>
          <w:rtl w:val="0"/>
        </w:rPr>
      </w:r>
    </w:p>
    <w:p w:rsidR="00000000" w:rsidDel="00000000" w:rsidP="00000000" w:rsidRDefault="00000000" w:rsidRPr="00000000" w14:paraId="000000F4">
      <w:pPr>
        <w:pStyle w:val="Title"/>
        <w:spacing w:before="185" w:lineRule="auto"/>
        <w:ind w:firstLine="100"/>
        <w:rPr>
          <w:sz w:val="24"/>
          <w:szCs w:val="24"/>
        </w:rPr>
      </w:pPr>
      <w:r>
        <w:rPr>
          <w:rtl w:val="0"/>
        </w:rPr>
      </w:r>
    </w:p>
    <w:p w:rsidR="00000000" w:rsidDel="00000000" w:rsidP="00000000" w:rsidRDefault="00000000" w:rsidRPr="00000000" w14:paraId="000000F5">
      <w:pPr>
        <w:pStyle w:val="Title"/>
        <w:spacing w:before="185" w:lineRule="auto"/>
        <w:ind w:firstLine="100"/>
        <w:rPr>
          <w:sz w:val="24"/>
          <w:szCs w:val="24"/>
        </w:rPr>
      </w:pPr>
      <w:r>
        <w:rPr>
          <w:rtl w:val="0"/>
        </w:rPr>
      </w:r>
    </w:p>
    <w:p w:rsidR="00000000" w:rsidDel="00000000" w:rsidP="00000000" w:rsidRDefault="00000000" w:rsidRPr="00000000" w14:paraId="000000F6">
      <w:pPr>
        <w:pStyle w:val="Title"/>
        <w:spacing w:before="185" w:lineRule="auto"/>
        <w:ind w:firstLine="100"/>
        <w:rPr>
          <w:sz w:val="24"/>
          <w:szCs w:val="24"/>
        </w:rPr>
      </w:pPr>
      <w:r>
        <w:rPr>
          <w:rtl w:val="0"/>
        </w:rPr>
      </w:r>
    </w:p>
    <w:p w:rsidR="00000000" w:rsidDel="00000000" w:rsidP="00000000" w:rsidRDefault="00000000" w:rsidRPr="00000000" w14:paraId="000000F7">
      <w:pPr>
        <w:pStyle w:val="Title"/>
        <w:spacing w:before="185" w:lineRule="auto"/>
        <w:ind w:firstLine="100"/>
        <w:rPr>
          <w:sz w:val="24"/>
          <w:szCs w:val="24"/>
        </w:rPr>
      </w:pPr>
      <w:r>
        <w:rPr>
          <w:rtl w:val="0"/>
        </w:rPr>
      </w:r>
    </w:p>
    <w:p w:rsidR="00000000" w:rsidDel="00000000" w:rsidP="00000000" w:rsidRDefault="00000000" w:rsidRPr="00000000" w14:paraId="000000F8">
      <w:pPr>
        <w:pStyle w:val="Title"/>
        <w:spacing w:before="185" w:lineRule="auto"/>
        <w:ind w:firstLine="100"/>
        <w:rPr>
          <w:sz w:val="24"/>
          <w:szCs w:val="24"/>
        </w:rPr>
      </w:pPr>
      <w:r>
        <w:rPr>
          <w:rtl w:val="0"/>
        </w:rPr>
      </w:r>
    </w:p>
    <w:p w:rsidR="00000000" w:rsidDel="00000000" w:rsidP="00000000" w:rsidRDefault="00000000" w:rsidRPr="00000000" w14:paraId="000000F9">
      <w:pPr>
        <w:pStyle w:val="Title"/>
        <w:spacing w:before="185" w:lineRule="auto"/>
        <w:ind w:firstLine="100"/>
        <w:rPr>
          <w:sz w:val="24"/>
          <w:szCs w:val="24"/>
        </w:rPr>
      </w:pPr>
      <w:r>
        <w:rPr>
          <w:rtl w:val="0"/>
        </w:rPr>
      </w:r>
    </w:p>
    <w:p w:rsidR="00000000" w:rsidDel="00000000" w:rsidP="00000000" w:rsidRDefault="00000000" w:rsidRPr="00000000" w14:paraId="000000FA">
      <w:pPr>
        <w:pStyle w:val="Title"/>
        <w:spacing w:before="185" w:lineRule="auto"/>
        <w:ind w:firstLine="100"/>
        <w:rPr>
          <w:sz w:val="24"/>
          <w:szCs w:val="24"/>
        </w:rPr>
      </w:pPr>
      <w:r>
        <w:rPr>
          <w:rtl w:val="0"/>
        </w:rPr>
      </w:r>
    </w:p>
    <w:p w:rsidR="00000000" w:rsidDel="00000000" w:rsidP="00000000" w:rsidRDefault="00000000" w:rsidRPr="00000000" w14:paraId="000000FB">
      <w:pPr>
        <w:pStyle w:val="Title"/>
        <w:spacing w:before="185" w:lineRule="auto"/>
        <w:ind w:firstLine="100"/>
        <w:rPr>
          <w:sz w:val="24"/>
          <w:szCs w:val="24"/>
        </w:rPr>
      </w:pPr>
      <w:r>
        <w:rPr>
          <w:rtl w:val="0"/>
        </w:rPr>
      </w:r>
    </w:p>
    <w:p w:rsidR="00000000" w:rsidDel="00000000" w:rsidP="00000000" w:rsidRDefault="00000000" w:rsidRPr="00000000" w14:paraId="000000FC">
      <w:pPr>
        <w:pStyle w:val="Title"/>
        <w:spacing w:before="185" w:lineRule="auto"/>
        <w:ind w:firstLine="100"/>
        <w:rPr>
          <w:sz w:val="24"/>
          <w:szCs w:val="24"/>
        </w:rPr>
      </w:pPr>
      <w:r>
        <w:rPr>
          <w:rtl w:val="0"/>
        </w:rPr>
      </w:r>
    </w:p>
    <w:p w:rsidR="00000000" w:rsidDel="00000000" w:rsidP="00000000" w:rsidRDefault="00000000" w:rsidRPr="00000000" w14:paraId="000000FD">
      <w:pPr>
        <w:pStyle w:val="Title"/>
        <w:spacing w:before="185" w:lineRule="auto"/>
        <w:ind w:firstLine="100"/>
        <w:rPr>
          <w:sz w:val="24"/>
          <w:szCs w:val="24"/>
        </w:rPr>
      </w:pPr>
      <w:r>
        <w:rPr>
          <w:rtl w:val="0"/>
        </w:rPr>
      </w:r>
    </w:p>
    <w:p w:rsidR="00000000" w:rsidDel="00000000" w:rsidP="00000000" w:rsidRDefault="00000000" w:rsidRPr="00000000" w14:paraId="000000FE">
      <w:pPr>
        <w:pStyle w:val="Title"/>
        <w:spacing w:before="185" w:lineRule="auto"/>
        <w:ind w:firstLine="100"/>
        <w:rPr>
          <w:sz w:val="24"/>
          <w:szCs w:val="24"/>
        </w:rPr>
      </w:pPr>
      <w:r>
        <w:rPr>
          <w:rtl w:val="0"/>
        </w:rPr>
      </w:r>
    </w:p>
    <w:p w:rsidR="00000000" w:rsidDel="00000000" w:rsidP="00000000" w:rsidRDefault="00000000" w:rsidRPr="00000000" w14:paraId="000000FF">
      <w:pPr>
        <w:pStyle w:val="Title"/>
        <w:spacing w:before="185" w:lineRule="auto"/>
        <w:ind w:firstLine="100"/>
        <w:rPr>
          <w:sz w:val="24"/>
          <w:szCs w:val="24"/>
        </w:rPr>
      </w:pPr>
      <w:r>
        <w:rPr>
          <w:rtl w:val="0"/>
        </w:rPr>
      </w:r>
    </w:p>
    <w:p w:rsidR="00000000" w:rsidDel="00000000" w:rsidP="00000000" w:rsidRDefault="00000000" w:rsidRPr="00000000" w14:paraId="00000100">
      <w:pPr>
        <w:pStyle w:val="Title"/>
        <w:spacing w:before="185" w:lineRule="auto"/>
        <w:ind w:left="0" w:firstLine="0"/>
        <w:rPr>
          <w:sz w:val="24"/>
          <w:szCs w:val="24"/>
        </w:rPr>
      </w:pPr>
      <w:r>
        <w:rPr>
          <w:rtl w:val="0"/>
        </w:rPr>
      </w:r>
    </w:p>
    <w:p w:rsidR="00000000" w:rsidDel="00000000" w:rsidP="00000000" w:rsidRDefault="00000000" w:rsidRPr="00000000" w14:paraId="00000101">
      <w:pPr>
        <w:pStyle w:val="Title"/>
        <w:spacing w:before="185" w:lineRule="auto"/>
        <w:ind w:firstLine="100"/>
        <w:rPr>
          <w:sz w:val="24"/>
          <w:szCs w:val="24"/>
        </w:rPr>
      </w:pPr>
      <w:r>
        <w:rPr>
          <w:sz w:val="24"/>
          <w:szCs w:val="24"/>
          <w:rtl w:val="0"/>
        </w:rPr>
        <w:t xml:space="preserve">Supplementary Table S2: Characteristics of RCTs</w:t>
      </w:r>
    </w:p>
    <w:p w:rsidR="00000000" w:rsidDel="00000000" w:rsidP="00000000" w:rsidRDefault="00000000" w:rsidRPr="00000000" w14:paraId="00000102">
      <w:pPr>
        <w:pStyle w:val="Title"/>
        <w:spacing w:before="185" w:lineRule="auto"/>
        <w:ind w:firstLine="100"/>
        <w:rPr>
          <w:sz w:val="24"/>
          <w:szCs w:val="24"/>
        </w:rPr>
      </w:pPr>
      <w:r>
        <w:rPr>
          <w:rtl w:val="0"/>
        </w:rPr>
      </w:r>
    </w:p>
    <w:tbl>
      <w:tblPr>
        <w:tblStyle w:val="Table3"/>
        <w:tblW w:w="11115.0" w:type="dxa"/>
        <w:jc w:val="left"/>
        <w:tblInd w:w="-113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10"/>
        <w:gridCol w:w="2385"/>
        <w:gridCol w:w="2205"/>
        <w:gridCol w:w="1980"/>
        <w:gridCol w:w="1980"/>
        <w:gridCol w:w="255"/>
        <w:tblGridChange w:id="0">
          <w:tblGrid>
            <w:gridCol w:w="2310"/>
            <w:gridCol w:w="2385"/>
            <w:gridCol w:w="2205"/>
            <w:gridCol w:w="1980"/>
            <w:gridCol w:w="1980"/>
            <w:gridCol w:w="255"/>
          </w:tblGrid>
        </w:tblGridChange>
      </w:tblGrid>
      <w:tr>
        <w:trPr>
          <w:cantSplit w:val="1"/>
          <w:tblHeader w:val="1"/>
        </w:trPr>
        <w:tc>
          <w:tcPr/>
          <w:p w:rsidR="00000000" w:rsidDel="00000000" w:rsidP="00000000" w:rsidRDefault="00000000" w:rsidRPr="00000000" w14:paraId="00000103">
            <w:pPr>
              <w:pStyle w:val="Title"/>
              <w:spacing w:before="185" w:lineRule="auto"/>
              <w:ind w:left="0" w:firstLine="0"/>
              <w:rPr>
                <w:sz w:val="24"/>
                <w:szCs w:val="24"/>
              </w:rPr>
            </w:pPr>
            <w:r>
              <w:rPr>
                <w:sz w:val="24"/>
                <w:szCs w:val="24"/>
                <w:rtl w:val="0"/>
              </w:rPr>
              <w:t xml:space="preserve">Characteristics</w:t>
            </w:r>
          </w:p>
        </w:tc>
        <w:tc>
          <w:tcPr/>
          <w:p w:rsidR="00000000" w:rsidDel="00000000" w:rsidP="00000000" w:rsidRDefault="00000000" w:rsidRPr="00000000" w14:paraId="00000104">
            <w:pPr>
              <w:pStyle w:val="Title"/>
              <w:spacing w:before="185" w:lineRule="auto"/>
              <w:ind w:left="0" w:firstLine="0"/>
              <w:rPr>
                <w:sz w:val="24"/>
                <w:szCs w:val="24"/>
              </w:rPr>
            </w:pPr>
            <w:r>
              <w:rPr>
                <w:sz w:val="24"/>
                <w:szCs w:val="24"/>
                <w:rtl w:val="0"/>
              </w:rPr>
              <w:t xml:space="preserve">Buti</w:t>
            </w:r>
          </w:p>
          <w:p w:rsidR="00000000" w:rsidDel="00000000" w:rsidP="00000000" w:rsidRDefault="00000000" w:rsidRPr="00000000" w14:paraId="00000105">
            <w:pPr>
              <w:pStyle w:val="Title"/>
              <w:spacing w:before="185" w:lineRule="auto"/>
              <w:ind w:left="0" w:firstLine="0"/>
              <w:rPr>
                <w:sz w:val="24"/>
                <w:szCs w:val="24"/>
              </w:rPr>
            </w:pPr>
            <w:r>
              <w:rPr>
                <w:sz w:val="24"/>
                <w:szCs w:val="24"/>
                <w:rtl w:val="0"/>
              </w:rPr>
              <w:t xml:space="preserve">2016</w:t>
            </w:r>
          </w:p>
        </w:tc>
        <w:tc>
          <w:tcPr/>
          <w:p w:rsidR="00000000" w:rsidDel="00000000" w:rsidP="00000000" w:rsidRDefault="00000000" w:rsidRPr="00000000" w14:paraId="00000106">
            <w:pPr>
              <w:pStyle w:val="Title"/>
              <w:spacing w:before="185" w:lineRule="auto"/>
              <w:ind w:left="0" w:firstLine="0"/>
              <w:rPr>
                <w:sz w:val="24"/>
                <w:szCs w:val="24"/>
              </w:rPr>
            </w:pPr>
            <w:r>
              <w:rPr>
                <w:sz w:val="24"/>
                <w:szCs w:val="24"/>
                <w:rtl w:val="0"/>
              </w:rPr>
              <w:t xml:space="preserve">Chan</w:t>
            </w:r>
          </w:p>
          <w:p w:rsidR="00000000" w:rsidDel="00000000" w:rsidP="00000000" w:rsidRDefault="00000000" w:rsidRPr="00000000" w14:paraId="00000107">
            <w:pPr>
              <w:pStyle w:val="Title"/>
              <w:spacing w:before="185" w:lineRule="auto"/>
              <w:ind w:left="0" w:firstLine="0"/>
              <w:rPr>
                <w:sz w:val="24"/>
                <w:szCs w:val="24"/>
              </w:rPr>
            </w:pPr>
            <w:r>
              <w:rPr>
                <w:sz w:val="24"/>
                <w:szCs w:val="24"/>
                <w:rtl w:val="0"/>
              </w:rPr>
              <w:t xml:space="preserve">2016</w:t>
            </w:r>
          </w:p>
        </w:tc>
        <w:tc>
          <w:tcPr/>
          <w:p w:rsidR="00000000" w:rsidDel="00000000" w:rsidP="00000000" w:rsidRDefault="00000000" w:rsidRPr="00000000" w14:paraId="00000108">
            <w:pPr>
              <w:pStyle w:val="Title"/>
              <w:spacing w:before="185" w:lineRule="auto"/>
              <w:ind w:left="0" w:firstLine="0"/>
              <w:rPr>
                <w:sz w:val="24"/>
                <w:szCs w:val="24"/>
              </w:rPr>
            </w:pPr>
            <w:r>
              <w:rPr>
                <w:sz w:val="24"/>
                <w:szCs w:val="24"/>
                <w:rtl w:val="0"/>
              </w:rPr>
              <w:t xml:space="preserve">Lampertico</w:t>
            </w:r>
          </w:p>
          <w:p w:rsidR="00000000" w:rsidDel="00000000" w:rsidP="00000000" w:rsidRDefault="00000000" w:rsidRPr="00000000" w14:paraId="00000109">
            <w:pPr>
              <w:pStyle w:val="Title"/>
              <w:spacing w:before="185" w:lineRule="auto"/>
              <w:ind w:left="0" w:firstLine="0"/>
              <w:rPr>
                <w:sz w:val="24"/>
                <w:szCs w:val="24"/>
              </w:rPr>
            </w:pPr>
            <w:r>
              <w:rPr>
                <w:sz w:val="24"/>
                <w:szCs w:val="24"/>
                <w:rtl w:val="0"/>
              </w:rPr>
              <w:t xml:space="preserve">2020</w:t>
            </w:r>
          </w:p>
        </w:tc>
        <w:tc>
          <w:tcPr/>
          <w:p w:rsidR="00000000" w:rsidDel="00000000" w:rsidP="00000000" w:rsidRDefault="00000000" w:rsidRPr="00000000" w14:paraId="0000010A">
            <w:pPr>
              <w:pStyle w:val="Title"/>
              <w:spacing w:before="185" w:lineRule="auto"/>
              <w:ind w:left="0" w:firstLine="0"/>
              <w:rPr>
                <w:sz w:val="24"/>
                <w:szCs w:val="24"/>
              </w:rPr>
            </w:pPr>
            <w:r>
              <w:rPr>
                <w:sz w:val="24"/>
                <w:szCs w:val="24"/>
                <w:rtl w:val="0"/>
              </w:rPr>
              <w:t xml:space="preserve">Byun</w:t>
            </w:r>
          </w:p>
          <w:p w:rsidR="00000000" w:rsidDel="00000000" w:rsidP="00000000" w:rsidRDefault="00000000" w:rsidRPr="00000000" w14:paraId="0000010B">
            <w:pPr>
              <w:pStyle w:val="Title"/>
              <w:spacing w:before="185" w:lineRule="auto"/>
              <w:ind w:left="0" w:firstLine="0"/>
              <w:rPr>
                <w:sz w:val="24"/>
                <w:szCs w:val="24"/>
              </w:rPr>
            </w:pPr>
            <w:r>
              <w:rPr>
                <w:sz w:val="24"/>
                <w:szCs w:val="24"/>
                <w:rtl w:val="0"/>
              </w:rPr>
              <w:t xml:space="preserve">2022</w:t>
            </w:r>
          </w:p>
        </w:tc>
        <w:tc>
          <w:tcPr/>
          <w:p w:rsidR="00000000" w:rsidDel="00000000" w:rsidP="00000000" w:rsidRDefault="00000000" w:rsidRPr="00000000" w14:paraId="0000010C">
            <w:pPr>
              <w:pStyle w:val="Title"/>
              <w:spacing w:before="185" w:lineRule="auto"/>
              <w:ind w:left="75" w:right="-1125" w:firstLine="0"/>
              <w:rPr>
                <w:sz w:val="24"/>
                <w:szCs w:val="24"/>
              </w:rPr>
            </w:pPr>
            <w:r>
              <w:rPr>
                <w:rtl w:val="0"/>
              </w:rPr>
            </w:r>
          </w:p>
        </w:tc>
      </w:tr>
      <w:tr>
        <w:trPr>
          <w:cantSplit w:val="1"/>
          <w:tblHeader w:val="1"/>
        </w:trPr>
        <w:tc>
          <w:tcPr/>
          <w:p w:rsidR="00000000" w:rsidDel="00000000" w:rsidP="00000000" w:rsidRDefault="00000000" w:rsidRPr="00000000" w14:paraId="0000010D">
            <w:pPr>
              <w:pStyle w:val="Title"/>
              <w:spacing w:before="185" w:lineRule="auto"/>
              <w:ind w:left="0" w:firstLine="0"/>
              <w:rPr>
                <w:sz w:val="24"/>
                <w:szCs w:val="24"/>
              </w:rPr>
            </w:pPr>
            <w:r>
              <w:rPr>
                <w:rtl w:val="0"/>
              </w:rPr>
            </w:r>
          </w:p>
        </w:tc>
        <w:tc>
          <w:tcPr/>
          <w:p w:rsidR="00000000" w:rsidDel="00000000" w:rsidP="00000000" w:rsidRDefault="00000000" w:rsidRPr="00000000" w14:paraId="0000010E">
            <w:pPr>
              <w:pStyle w:val="Title"/>
              <w:spacing w:before="185" w:lineRule="auto"/>
              <w:ind w:left="0" w:firstLine="0"/>
              <w:rPr>
                <w:sz w:val="24"/>
                <w:szCs w:val="24"/>
              </w:rPr>
            </w:pPr>
            <w:r>
              <w:rPr>
                <w:rtl w:val="0"/>
              </w:rPr>
            </w:r>
          </w:p>
        </w:tc>
        <w:tc>
          <w:tcPr/>
          <w:p w:rsidR="00000000" w:rsidDel="00000000" w:rsidP="00000000" w:rsidRDefault="00000000" w:rsidRPr="00000000" w14:paraId="0000010F">
            <w:pPr>
              <w:pStyle w:val="Title"/>
              <w:spacing w:before="185" w:lineRule="auto"/>
              <w:ind w:left="0" w:firstLine="0"/>
              <w:rPr>
                <w:sz w:val="24"/>
                <w:szCs w:val="24"/>
              </w:rPr>
            </w:pPr>
            <w:r>
              <w:rPr>
                <w:rtl w:val="0"/>
              </w:rPr>
            </w:r>
          </w:p>
        </w:tc>
        <w:tc>
          <w:tcPr/>
          <w:p w:rsidR="00000000" w:rsidDel="00000000" w:rsidP="00000000" w:rsidRDefault="00000000" w:rsidRPr="00000000" w14:paraId="00000110">
            <w:pPr>
              <w:pStyle w:val="Title"/>
              <w:spacing w:before="185" w:lineRule="auto"/>
              <w:ind w:left="0" w:firstLine="0"/>
              <w:rPr>
                <w:sz w:val="24"/>
                <w:szCs w:val="24"/>
              </w:rPr>
            </w:pPr>
            <w:r>
              <w:rPr>
                <w:rtl w:val="0"/>
              </w:rPr>
            </w:r>
          </w:p>
        </w:tc>
        <w:tc>
          <w:tcPr/>
          <w:p w:rsidR="00000000" w:rsidDel="00000000" w:rsidP="00000000" w:rsidRDefault="00000000" w:rsidRPr="00000000" w14:paraId="00000111">
            <w:pPr>
              <w:pStyle w:val="Title"/>
              <w:spacing w:before="185" w:lineRule="auto"/>
              <w:ind w:left="0" w:firstLine="0"/>
              <w:rPr>
                <w:sz w:val="24"/>
                <w:szCs w:val="24"/>
              </w:rPr>
            </w:pPr>
            <w:r>
              <w:rPr>
                <w:rtl w:val="0"/>
              </w:rPr>
            </w:r>
          </w:p>
        </w:tc>
        <w:tc>
          <w:tcPr/>
          <w:p w:rsidR="00000000" w:rsidDel="00000000" w:rsidP="00000000" w:rsidRDefault="00000000" w:rsidRPr="00000000" w14:paraId="00000112">
            <w:pPr>
              <w:pStyle w:val="Title"/>
              <w:spacing w:before="185" w:lineRule="auto"/>
              <w:ind w:left="0" w:firstLine="0"/>
              <w:rPr>
                <w:sz w:val="24"/>
                <w:szCs w:val="24"/>
              </w:rPr>
            </w:pPr>
            <w:r>
              <w:rPr>
                <w:rtl w:val="0"/>
              </w:rPr>
            </w:r>
          </w:p>
        </w:tc>
      </w:tr>
      <w:tr>
        <w:trPr>
          <w:cantSplit w:val="1"/>
          <w:tblHeader w:val="1"/>
        </w:trPr>
        <w:tc>
          <w:tcPr/>
          <w:p w:rsidR="00000000" w:rsidDel="00000000" w:rsidP="00000000" w:rsidRDefault="00000000" w:rsidRPr="00000000" w14:paraId="00000113">
            <w:pPr>
              <w:pStyle w:val="Title"/>
              <w:spacing w:before="185" w:lineRule="auto"/>
              <w:ind w:left="0" w:firstLine="0"/>
              <w:rPr>
                <w:sz w:val="24"/>
                <w:szCs w:val="24"/>
              </w:rPr>
            </w:pPr>
            <w:r>
              <w:rPr>
                <w:sz w:val="24"/>
                <w:szCs w:val="24"/>
                <w:rtl w:val="0"/>
              </w:rPr>
              <w:t xml:space="preserve">Study name </w:t>
            </w:r>
          </w:p>
        </w:tc>
        <w:tc>
          <w:tcPr/>
          <w:p w:rsidR="00000000" w:rsidDel="00000000" w:rsidP="00000000" w:rsidRDefault="00000000" w:rsidRPr="00000000" w14:paraId="00000114">
            <w:pPr>
              <w:pStyle w:val="Title"/>
              <w:spacing w:before="185" w:lineRule="auto"/>
              <w:ind w:left="0" w:firstLine="0"/>
              <w:rPr>
                <w:b w:val="0"/>
                <w:bCs w:val="0"/>
                <w:sz w:val="24"/>
                <w:szCs w:val="24"/>
              </w:rPr>
            </w:pPr>
            <w:r>
              <w:rPr>
                <w:b w:val="0"/>
                <w:bCs w:val="0"/>
                <w:sz w:val="24"/>
                <w:szCs w:val="24"/>
                <w:rtl w:val="0"/>
              </w:rPr>
              <w:t xml:space="preserve">Tenofovir alafenamide versus tenofovir disoproxil fumarate for the treatment of patients with HBeAg-negative chronic hepatitis B virus infection: a randomized, double-blind, phase 3, non-inferiority trial.</w:t>
            </w:r>
          </w:p>
          <w:p w:rsidR="00000000" w:rsidDel="00000000" w:rsidP="00000000" w:rsidRDefault="00000000" w:rsidRPr="00000000" w14:paraId="00000115">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16">
            <w:pPr>
              <w:pStyle w:val="Title"/>
              <w:spacing w:before="185" w:lineRule="auto"/>
              <w:ind w:firstLine="100"/>
              <w:rPr>
                <w:b w:val="0"/>
                <w:bCs w:val="0"/>
                <w:sz w:val="24"/>
                <w:szCs w:val="24"/>
              </w:rPr>
            </w:pPr>
            <w:r>
              <w:rPr>
                <w:b w:val="0"/>
                <w:bCs w:val="0"/>
                <w:sz w:val="24"/>
                <w:szCs w:val="24"/>
                <w:rtl w:val="0"/>
              </w:rPr>
              <w:t xml:space="preserve">Tenofovir alafenamide versus tenofovir disoproxil fumarate for the treatment of HBeAg-positive chronic hepatitis B virus infection: a randomized, double-blind, phase 3, non-inferiority trial.</w:t>
            </w:r>
          </w:p>
        </w:tc>
        <w:tc>
          <w:tcPr/>
          <w:p w:rsidR="00000000" w:rsidDel="00000000" w:rsidP="00000000" w:rsidRDefault="00000000" w:rsidRPr="00000000" w14:paraId="00000117">
            <w:pPr>
              <w:pStyle w:val="Title"/>
              <w:spacing w:before="185" w:lineRule="auto"/>
              <w:ind w:left="0" w:firstLine="0"/>
              <w:rPr>
                <w:b w:val="0"/>
                <w:bCs w:val="0"/>
                <w:sz w:val="24"/>
                <w:szCs w:val="24"/>
              </w:rPr>
            </w:pPr>
            <w:r>
              <w:rPr>
                <w:b w:val="0"/>
                <w:bCs w:val="0"/>
                <w:sz w:val="24"/>
                <w:szCs w:val="24"/>
                <w:rtl w:val="0"/>
              </w:rPr>
              <w:t xml:space="preserve">Switching from tenofovir disoproxil fumarate to tenofovir alafenamide in virologically suppressed patients with chronic hepatitis B: a randomised, double-blind, phase 3, multicentre non-inferiority study</w:t>
            </w:r>
          </w:p>
        </w:tc>
        <w:tc>
          <w:tcPr/>
          <w:p w:rsidR="00000000" w:rsidDel="00000000" w:rsidP="00000000" w:rsidRDefault="00000000" w:rsidRPr="00000000" w14:paraId="00000118">
            <w:pPr>
              <w:pStyle w:val="Title"/>
              <w:spacing w:before="185" w:lineRule="auto"/>
              <w:ind w:left="0" w:firstLine="0"/>
              <w:rPr>
                <w:b w:val="0"/>
                <w:bCs w:val="0"/>
                <w:sz w:val="24"/>
                <w:szCs w:val="24"/>
              </w:rPr>
            </w:pPr>
            <w:r>
              <w:rPr>
                <w:b w:val="0"/>
                <w:bCs w:val="0"/>
                <w:sz w:val="24"/>
                <w:szCs w:val="24"/>
                <w:rtl w:val="0"/>
              </w:rPr>
              <w:t xml:space="preserve">Tenofovir Alafenamide for Drug-Resistant Hepatitis B: A Randomized Trial for Switching From Tenofovir Disoproxil Fumarate</w:t>
            </w:r>
          </w:p>
        </w:tc>
        <w:tc>
          <w:tcPr/>
          <w:p w:rsidR="00000000" w:rsidDel="00000000" w:rsidP="00000000" w:rsidRDefault="00000000" w:rsidRPr="00000000" w14:paraId="00000119">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1A">
            <w:pPr>
              <w:pStyle w:val="Title"/>
              <w:spacing w:before="185" w:lineRule="auto"/>
              <w:ind w:left="0" w:firstLine="0"/>
              <w:rPr>
                <w:sz w:val="24"/>
                <w:szCs w:val="24"/>
              </w:rPr>
            </w:pPr>
            <w:r>
              <w:rPr>
                <w:sz w:val="24"/>
                <w:szCs w:val="24"/>
                <w:rtl w:val="0"/>
              </w:rPr>
              <w:t xml:space="preserve">Patients, n</w:t>
            </w:r>
          </w:p>
        </w:tc>
        <w:tc>
          <w:tcPr/>
          <w:p w:rsidR="00000000" w:rsidDel="00000000" w:rsidP="00000000" w:rsidRDefault="00000000" w:rsidRPr="00000000" w14:paraId="0000011B">
            <w:pPr>
              <w:pStyle w:val="Title"/>
              <w:spacing w:before="185" w:lineRule="auto"/>
              <w:ind w:left="0" w:firstLine="0"/>
              <w:rPr>
                <w:b w:val="0"/>
                <w:bCs w:val="0"/>
                <w:sz w:val="24"/>
                <w:szCs w:val="24"/>
              </w:rPr>
            </w:pPr>
            <w:r>
              <w:rPr>
                <w:b w:val="0"/>
                <w:bCs w:val="0"/>
                <w:sz w:val="24"/>
                <w:szCs w:val="24"/>
                <w:rtl w:val="0"/>
              </w:rPr>
              <w:t xml:space="preserve">425</w:t>
            </w:r>
          </w:p>
        </w:tc>
        <w:tc>
          <w:tcPr/>
          <w:p w:rsidR="00000000" w:rsidDel="00000000" w:rsidP="00000000" w:rsidRDefault="00000000" w:rsidRPr="00000000" w14:paraId="0000011C">
            <w:pPr>
              <w:pStyle w:val="Title"/>
              <w:spacing w:before="185" w:lineRule="auto"/>
              <w:ind w:left="0" w:firstLine="0"/>
              <w:rPr>
                <w:b w:val="0"/>
                <w:bCs w:val="0"/>
                <w:sz w:val="24"/>
                <w:szCs w:val="24"/>
              </w:rPr>
            </w:pPr>
            <w:r>
              <w:rPr>
                <w:b w:val="0"/>
                <w:bCs w:val="0"/>
                <w:sz w:val="24"/>
                <w:szCs w:val="24"/>
                <w:rtl w:val="0"/>
              </w:rPr>
              <w:t xml:space="preserve">873</w:t>
            </w:r>
          </w:p>
        </w:tc>
        <w:tc>
          <w:tcPr/>
          <w:p w:rsidR="00000000" w:rsidDel="00000000" w:rsidP="00000000" w:rsidRDefault="00000000" w:rsidRPr="00000000" w14:paraId="0000011D">
            <w:pPr>
              <w:pStyle w:val="Title"/>
              <w:spacing w:before="185" w:lineRule="auto"/>
              <w:ind w:left="0" w:firstLine="0"/>
              <w:rPr>
                <w:b w:val="0"/>
                <w:bCs w:val="0"/>
                <w:sz w:val="24"/>
                <w:szCs w:val="24"/>
              </w:rPr>
            </w:pPr>
            <w:r>
              <w:rPr>
                <w:b w:val="0"/>
                <w:bCs w:val="0"/>
                <w:sz w:val="24"/>
                <w:szCs w:val="24"/>
                <w:rtl w:val="0"/>
              </w:rPr>
              <w:t xml:space="preserve">488</w:t>
            </w:r>
          </w:p>
        </w:tc>
        <w:tc>
          <w:tcPr/>
          <w:p w:rsidR="00000000" w:rsidDel="00000000" w:rsidP="00000000" w:rsidRDefault="00000000" w:rsidRPr="00000000" w14:paraId="0000011E">
            <w:pPr>
              <w:pStyle w:val="Title"/>
              <w:spacing w:before="185" w:lineRule="auto"/>
              <w:ind w:left="0" w:firstLine="0"/>
              <w:rPr>
                <w:b w:val="0"/>
                <w:bCs w:val="0"/>
                <w:sz w:val="24"/>
                <w:szCs w:val="24"/>
              </w:rPr>
            </w:pPr>
            <w:r>
              <w:rPr>
                <w:b w:val="0"/>
                <w:bCs w:val="0"/>
                <w:sz w:val="24"/>
                <w:szCs w:val="24"/>
                <w:rtl w:val="0"/>
              </w:rPr>
              <w:t xml:space="preserve">174</w:t>
            </w:r>
          </w:p>
        </w:tc>
        <w:tc>
          <w:tcPr/>
          <w:p w:rsidR="00000000" w:rsidDel="00000000" w:rsidP="00000000" w:rsidRDefault="00000000" w:rsidRPr="00000000" w14:paraId="0000011F">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20">
            <w:pPr>
              <w:pStyle w:val="Title"/>
              <w:spacing w:before="185" w:lineRule="auto"/>
              <w:ind w:left="0" w:firstLine="0"/>
              <w:rPr>
                <w:sz w:val="24"/>
                <w:szCs w:val="24"/>
              </w:rPr>
            </w:pPr>
            <w:r>
              <w:rPr>
                <w:sz w:val="24"/>
                <w:szCs w:val="24"/>
                <w:rtl w:val="0"/>
              </w:rPr>
              <w:t xml:space="preserve">Enrollment initiation</w:t>
            </w:r>
          </w:p>
        </w:tc>
        <w:tc>
          <w:tcPr/>
          <w:p w:rsidR="00000000" w:rsidDel="00000000" w:rsidP="00000000" w:rsidRDefault="00000000" w:rsidRPr="00000000" w14:paraId="00000121">
            <w:pPr>
              <w:pStyle w:val="Title"/>
              <w:spacing w:before="185" w:lineRule="auto"/>
              <w:ind w:left="0" w:firstLine="0"/>
              <w:rPr>
                <w:b w:val="0"/>
                <w:bCs w:val="0"/>
                <w:sz w:val="24"/>
                <w:szCs w:val="24"/>
              </w:rPr>
            </w:pPr>
            <w:r>
              <w:rPr>
                <w:b w:val="0"/>
                <w:bCs w:val="0"/>
                <w:sz w:val="24"/>
                <w:szCs w:val="24"/>
                <w:rtl w:val="0"/>
              </w:rPr>
              <w:t xml:space="preserve">2013</w:t>
            </w:r>
          </w:p>
        </w:tc>
        <w:tc>
          <w:tcPr/>
          <w:p w:rsidR="00000000" w:rsidDel="00000000" w:rsidP="00000000" w:rsidRDefault="00000000" w:rsidRPr="00000000" w14:paraId="00000122">
            <w:pPr>
              <w:pStyle w:val="Title"/>
              <w:spacing w:before="185" w:lineRule="auto"/>
              <w:ind w:left="0" w:firstLine="0"/>
              <w:rPr>
                <w:b w:val="0"/>
                <w:bCs w:val="0"/>
                <w:sz w:val="24"/>
                <w:szCs w:val="24"/>
              </w:rPr>
            </w:pPr>
            <w:r>
              <w:rPr>
                <w:b w:val="0"/>
                <w:bCs w:val="0"/>
                <w:sz w:val="24"/>
                <w:szCs w:val="24"/>
                <w:rtl w:val="0"/>
              </w:rPr>
              <w:t xml:space="preserve">2013</w:t>
            </w:r>
          </w:p>
        </w:tc>
        <w:tc>
          <w:tcPr/>
          <w:p w:rsidR="00000000" w:rsidDel="00000000" w:rsidP="00000000" w:rsidRDefault="00000000" w:rsidRPr="00000000" w14:paraId="00000123">
            <w:pPr>
              <w:pStyle w:val="Title"/>
              <w:spacing w:before="185" w:lineRule="auto"/>
              <w:ind w:left="0" w:firstLine="0"/>
              <w:rPr>
                <w:b w:val="0"/>
                <w:bCs w:val="0"/>
                <w:sz w:val="24"/>
                <w:szCs w:val="24"/>
              </w:rPr>
            </w:pPr>
            <w:r>
              <w:rPr>
                <w:b w:val="0"/>
                <w:bCs w:val="0"/>
                <w:sz w:val="24"/>
                <w:szCs w:val="24"/>
                <w:rtl w:val="0"/>
              </w:rPr>
              <w:t xml:space="preserve">2016</w:t>
            </w:r>
          </w:p>
        </w:tc>
        <w:tc>
          <w:tcPr/>
          <w:p w:rsidR="00000000" w:rsidDel="00000000" w:rsidP="00000000" w:rsidRDefault="00000000" w:rsidRPr="00000000" w14:paraId="00000124">
            <w:pPr>
              <w:pStyle w:val="Title"/>
              <w:spacing w:before="185" w:lineRule="auto"/>
              <w:ind w:left="0" w:firstLine="0"/>
              <w:rPr>
                <w:b w:val="0"/>
                <w:bCs w:val="0"/>
                <w:sz w:val="24"/>
                <w:szCs w:val="24"/>
              </w:rPr>
            </w:pPr>
            <w:r>
              <w:rPr>
                <w:b w:val="0"/>
                <w:bCs w:val="0"/>
                <w:sz w:val="24"/>
                <w:szCs w:val="24"/>
                <w:rtl w:val="0"/>
              </w:rPr>
              <w:t xml:space="preserve">2018</w:t>
            </w:r>
          </w:p>
        </w:tc>
        <w:tc>
          <w:tcPr/>
          <w:p w:rsidR="00000000" w:rsidDel="00000000" w:rsidP="00000000" w:rsidRDefault="00000000" w:rsidRPr="00000000" w14:paraId="00000125">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26">
            <w:pPr>
              <w:pStyle w:val="Title"/>
              <w:spacing w:before="185" w:lineRule="auto"/>
              <w:ind w:left="0" w:firstLine="0"/>
              <w:rPr>
                <w:sz w:val="24"/>
                <w:szCs w:val="24"/>
              </w:rPr>
            </w:pPr>
            <w:r>
              <w:rPr>
                <w:sz w:val="24"/>
                <w:szCs w:val="24"/>
                <w:rtl w:val="0"/>
              </w:rPr>
              <w:t xml:space="preserve">Enrollment completion</w:t>
            </w:r>
          </w:p>
        </w:tc>
        <w:tc>
          <w:tcPr/>
          <w:p w:rsidR="00000000" w:rsidDel="00000000" w:rsidP="00000000" w:rsidRDefault="00000000" w:rsidRPr="00000000" w14:paraId="00000127">
            <w:pPr>
              <w:pStyle w:val="Title"/>
              <w:spacing w:before="185" w:lineRule="auto"/>
              <w:ind w:left="0" w:firstLine="0"/>
              <w:rPr>
                <w:b w:val="0"/>
                <w:bCs w:val="0"/>
                <w:sz w:val="24"/>
                <w:szCs w:val="24"/>
              </w:rPr>
            </w:pPr>
            <w:r>
              <w:rPr>
                <w:b w:val="0"/>
                <w:bCs w:val="0"/>
                <w:sz w:val="24"/>
                <w:szCs w:val="24"/>
                <w:rtl w:val="0"/>
              </w:rPr>
              <w:t xml:space="preserve">2014</w:t>
            </w:r>
          </w:p>
        </w:tc>
        <w:tc>
          <w:tcPr/>
          <w:p w:rsidR="00000000" w:rsidDel="00000000" w:rsidP="00000000" w:rsidRDefault="00000000" w:rsidRPr="00000000" w14:paraId="00000128">
            <w:pPr>
              <w:pStyle w:val="Title"/>
              <w:spacing w:before="185" w:lineRule="auto"/>
              <w:ind w:left="0" w:firstLine="0"/>
              <w:rPr>
                <w:b w:val="0"/>
                <w:bCs w:val="0"/>
                <w:sz w:val="24"/>
                <w:szCs w:val="24"/>
              </w:rPr>
            </w:pPr>
            <w:r>
              <w:rPr>
                <w:b w:val="0"/>
                <w:bCs w:val="0"/>
                <w:sz w:val="24"/>
                <w:szCs w:val="24"/>
                <w:rtl w:val="0"/>
              </w:rPr>
              <w:t xml:space="preserve">2014</w:t>
            </w:r>
          </w:p>
        </w:tc>
        <w:tc>
          <w:tcPr/>
          <w:p w:rsidR="00000000" w:rsidDel="00000000" w:rsidP="00000000" w:rsidRDefault="00000000" w:rsidRPr="00000000" w14:paraId="00000129">
            <w:pPr>
              <w:pStyle w:val="Title"/>
              <w:spacing w:before="185" w:lineRule="auto"/>
              <w:ind w:left="0" w:firstLine="0"/>
              <w:rPr>
                <w:b w:val="0"/>
                <w:bCs w:val="0"/>
                <w:sz w:val="24"/>
                <w:szCs w:val="24"/>
              </w:rPr>
            </w:pPr>
            <w:r>
              <w:rPr>
                <w:b w:val="0"/>
                <w:bCs w:val="0"/>
                <w:sz w:val="24"/>
                <w:szCs w:val="24"/>
                <w:rtl w:val="0"/>
              </w:rPr>
              <w:t xml:space="preserve">2017</w:t>
            </w:r>
          </w:p>
        </w:tc>
        <w:tc>
          <w:tcPr/>
          <w:p w:rsidR="00000000" w:rsidDel="00000000" w:rsidP="00000000" w:rsidRDefault="00000000" w:rsidRPr="00000000" w14:paraId="0000012A">
            <w:pPr>
              <w:pStyle w:val="Title"/>
              <w:spacing w:before="185" w:lineRule="auto"/>
              <w:ind w:left="0" w:firstLine="0"/>
              <w:rPr>
                <w:b w:val="0"/>
                <w:bCs w:val="0"/>
                <w:sz w:val="24"/>
                <w:szCs w:val="24"/>
              </w:rPr>
            </w:pPr>
            <w:r>
              <w:rPr>
                <w:b w:val="0"/>
                <w:bCs w:val="0"/>
                <w:sz w:val="24"/>
                <w:szCs w:val="24"/>
                <w:rtl w:val="0"/>
              </w:rPr>
              <w:t xml:space="preserve">2018</w:t>
            </w:r>
          </w:p>
        </w:tc>
        <w:tc>
          <w:tcPr/>
          <w:p w:rsidR="00000000" w:rsidDel="00000000" w:rsidP="00000000" w:rsidRDefault="00000000" w:rsidRPr="00000000" w14:paraId="0000012B">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2C">
            <w:pPr>
              <w:pStyle w:val="Title"/>
              <w:spacing w:before="185" w:lineRule="auto"/>
              <w:ind w:left="0" w:firstLine="0"/>
              <w:rPr>
                <w:sz w:val="24"/>
                <w:szCs w:val="24"/>
              </w:rPr>
            </w:pPr>
            <w:r>
              <w:rPr>
                <w:sz w:val="24"/>
                <w:szCs w:val="24"/>
                <w:rtl w:val="0"/>
              </w:rPr>
              <w:t xml:space="preserve">Year of completion</w:t>
            </w:r>
          </w:p>
        </w:tc>
        <w:tc>
          <w:tcPr/>
          <w:p w:rsidR="00000000" w:rsidDel="00000000" w:rsidP="00000000" w:rsidRDefault="00000000" w:rsidRPr="00000000" w14:paraId="0000012D">
            <w:pPr>
              <w:pStyle w:val="Title"/>
              <w:spacing w:before="185" w:lineRule="auto"/>
              <w:ind w:left="0" w:firstLine="0"/>
              <w:rPr>
                <w:b w:val="0"/>
                <w:bCs w:val="0"/>
                <w:sz w:val="24"/>
                <w:szCs w:val="24"/>
              </w:rPr>
            </w:pPr>
            <w:r>
              <w:rPr>
                <w:b w:val="0"/>
                <w:bCs w:val="0"/>
                <w:sz w:val="24"/>
                <w:szCs w:val="24"/>
                <w:rtl w:val="0"/>
              </w:rPr>
              <w:t xml:space="preserve">2022</w:t>
            </w:r>
          </w:p>
        </w:tc>
        <w:tc>
          <w:tcPr/>
          <w:p w:rsidR="00000000" w:rsidDel="00000000" w:rsidP="00000000" w:rsidRDefault="00000000" w:rsidRPr="00000000" w14:paraId="0000012E">
            <w:pPr>
              <w:pStyle w:val="Title"/>
              <w:spacing w:before="185" w:lineRule="auto"/>
              <w:ind w:left="0" w:firstLine="0"/>
              <w:rPr>
                <w:b w:val="0"/>
                <w:bCs w:val="0"/>
                <w:sz w:val="24"/>
                <w:szCs w:val="24"/>
              </w:rPr>
            </w:pPr>
            <w:r>
              <w:rPr>
                <w:b w:val="0"/>
                <w:bCs w:val="0"/>
                <w:sz w:val="24"/>
                <w:szCs w:val="24"/>
                <w:rtl w:val="0"/>
              </w:rPr>
              <w:t xml:space="preserve">2022</w:t>
            </w:r>
          </w:p>
        </w:tc>
        <w:tc>
          <w:tcPr/>
          <w:p w:rsidR="00000000" w:rsidDel="00000000" w:rsidP="00000000" w:rsidRDefault="00000000" w:rsidRPr="00000000" w14:paraId="0000012F">
            <w:pPr>
              <w:pStyle w:val="Title"/>
              <w:spacing w:before="185" w:lineRule="auto"/>
              <w:ind w:left="0" w:firstLine="0"/>
              <w:rPr>
                <w:b w:val="0"/>
                <w:bCs w:val="0"/>
                <w:sz w:val="24"/>
                <w:szCs w:val="24"/>
              </w:rPr>
            </w:pPr>
            <w:r>
              <w:rPr>
                <w:b w:val="0"/>
                <w:bCs w:val="0"/>
                <w:sz w:val="24"/>
                <w:szCs w:val="24"/>
                <w:rtl w:val="0"/>
              </w:rPr>
              <w:t xml:space="preserve">2020</w:t>
            </w:r>
          </w:p>
        </w:tc>
        <w:tc>
          <w:tcPr/>
          <w:p w:rsidR="00000000" w:rsidDel="00000000" w:rsidP="00000000" w:rsidRDefault="00000000" w:rsidRPr="00000000" w14:paraId="00000130">
            <w:pPr>
              <w:pStyle w:val="Title"/>
              <w:spacing w:before="185" w:lineRule="auto"/>
              <w:ind w:left="0" w:firstLine="0"/>
              <w:rPr>
                <w:b w:val="0"/>
                <w:bCs w:val="0"/>
                <w:sz w:val="24"/>
                <w:szCs w:val="24"/>
              </w:rPr>
            </w:pPr>
            <w:r>
              <w:rPr>
                <w:b w:val="0"/>
                <w:bCs w:val="0"/>
                <w:sz w:val="24"/>
                <w:szCs w:val="24"/>
                <w:rtl w:val="0"/>
              </w:rPr>
              <w:t xml:space="preserve">2021</w:t>
            </w:r>
          </w:p>
        </w:tc>
        <w:tc>
          <w:tcPr/>
          <w:p w:rsidR="00000000" w:rsidDel="00000000" w:rsidP="00000000" w:rsidRDefault="00000000" w:rsidRPr="00000000" w14:paraId="00000131">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32">
            <w:pPr>
              <w:pStyle w:val="Title"/>
              <w:spacing w:before="185" w:lineRule="auto"/>
              <w:ind w:left="0" w:firstLine="0"/>
              <w:rPr>
                <w:sz w:val="24"/>
                <w:szCs w:val="24"/>
              </w:rPr>
            </w:pPr>
            <w:r>
              <w:rPr>
                <w:sz w:val="24"/>
                <w:szCs w:val="24"/>
                <w:rtl w:val="0"/>
              </w:rPr>
              <w:t xml:space="preserve">Population</w:t>
            </w:r>
          </w:p>
        </w:tc>
        <w:tc>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ind w:left="184" w:right="120" w:firstLine="0"/>
              <w:rPr>
                <w:rFonts w:ascii="Times New Roman" w:cs="Times New Roman" w:eastAsia="Times New Roman" w:hAnsi="Times New Roman"/>
                <w:color w:val="000000"/>
                <w:sz w:val="24"/>
                <w:szCs w:val="24"/>
              </w:rPr>
            </w:pPr>
            <w:r>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ind w:right="1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tl w:val="0"/>
              </w:rPr>
              <w:t xml:space="preserve">Patients aged at least 18 years with</w:t>
            </w:r>
            <w:r>
              <w:rPr>
                <w:rFonts w:ascii="Times New Roman" w:cs="Times New Roman" w:eastAsia="Times New Roman" w:hAnsi="Times New Roman"/>
                <w:sz w:val="24"/>
                <w:szCs w:val="24"/>
                <w:rtl w:val="0"/>
              </w:rPr>
              <w:t xml:space="preserve"> </w:t>
            </w:r>
            <w:r>
              <w:rPr>
                <w:rFonts w:ascii="Times New Roman" w:cs="Times New Roman" w:eastAsia="Times New Roman" w:hAnsi="Times New Roman"/>
                <w:color w:val="000000"/>
                <w:sz w:val="24"/>
                <w:szCs w:val="24"/>
                <w:rtl w:val="0"/>
              </w:rPr>
              <w:t xml:space="preserve">HBeAg-negative chronic HBV infection.</w:t>
            </w:r>
          </w:p>
          <w:p w:rsidR="00000000" w:rsidDel="00000000" w:rsidP="00000000" w:rsidRDefault="00000000" w:rsidRPr="00000000" w14:paraId="00000135">
            <w:pPr>
              <w:pStyle w:val="Title"/>
              <w:spacing w:before="185" w:lineRule="auto"/>
              <w:ind w:left="0" w:firstLine="0"/>
              <w:rPr>
                <w:sz w:val="24"/>
                <w:szCs w:val="24"/>
              </w:rPr>
            </w:pPr>
            <w:r>
              <w:rPr>
                <w:rtl w:val="0"/>
              </w:rPr>
            </w:r>
          </w:p>
        </w:tc>
        <w:tc>
          <w:tcPr/>
          <w:p w:rsidR="00000000" w:rsidDel="00000000" w:rsidP="00000000" w:rsidRDefault="00000000" w:rsidRPr="00000000" w14:paraId="00000136">
            <w:pPr>
              <w:pStyle w:val="Title"/>
              <w:spacing w:before="185" w:lineRule="auto"/>
              <w:ind w:left="0" w:firstLine="0"/>
              <w:rPr>
                <w:b w:val="0"/>
                <w:bCs w:val="0"/>
                <w:sz w:val="24"/>
                <w:szCs w:val="24"/>
              </w:rPr>
            </w:pPr>
            <w:r>
              <w:rPr>
                <w:b w:val="0"/>
                <w:bCs w:val="0"/>
                <w:sz w:val="24"/>
                <w:szCs w:val="24"/>
                <w:rtl w:val="0"/>
              </w:rPr>
              <w:t xml:space="preserve">Patients aged 18 years and above with chronic HBV infection positive for the hepatitis B antigen (HBeAg).</w:t>
            </w:r>
          </w:p>
        </w:tc>
        <w:tc>
          <w:tcPr/>
          <w:p w:rsidR="00000000" w:rsidDel="00000000" w:rsidP="00000000" w:rsidRDefault="00000000" w:rsidRPr="00000000" w14:paraId="00000137">
            <w:pPr>
              <w:pStyle w:val="Title"/>
              <w:spacing w:before="185" w:lineRule="auto"/>
              <w:ind w:left="0" w:firstLine="0"/>
              <w:rPr>
                <w:b w:val="0"/>
                <w:bCs w:val="0"/>
                <w:sz w:val="24"/>
                <w:szCs w:val="24"/>
              </w:rPr>
            </w:pPr>
            <w:r>
              <w:rPr>
                <w:b w:val="0"/>
                <w:bCs w:val="0"/>
                <w:sz w:val="24"/>
                <w:szCs w:val="24"/>
                <w:rtl w:val="0"/>
              </w:rPr>
              <w:t xml:space="preserve">Patients were at least 18 years old with documented evidence of HBeAg-negative or HBeAg- positive chronic HBV infection including those with compensated cirrhosis</w:t>
            </w:r>
          </w:p>
        </w:tc>
        <w:tc>
          <w:tcPr/>
          <w:p w:rsidR="00000000" w:rsidDel="00000000" w:rsidP="00000000" w:rsidRDefault="00000000" w:rsidRPr="00000000" w14:paraId="00000138">
            <w:pPr>
              <w:pStyle w:val="Title"/>
              <w:spacing w:before="185" w:lineRule="auto"/>
              <w:ind w:left="0" w:firstLine="0"/>
              <w:rPr>
                <w:sz w:val="24"/>
                <w:szCs w:val="24"/>
              </w:rPr>
            </w:pPr>
            <w:r>
              <w:rPr>
                <w:b w:val="0"/>
                <w:bCs w:val="0"/>
                <w:sz w:val="24"/>
                <w:szCs w:val="24"/>
                <w:rtl w:val="0"/>
              </w:rPr>
              <w:t xml:space="preserve">All patients had a positive serum HBsAg test for at least 6 months. Patients were required to be between 20 to 80 years old with well preserved liver and renal function  </w:t>
            </w:r>
            <w:r>
              <w:rPr>
                <w:rtl w:val="0"/>
              </w:rPr>
            </w:r>
          </w:p>
        </w:tc>
        <w:tc>
          <w:tcPr/>
          <w:p w:rsidR="00000000" w:rsidDel="00000000" w:rsidP="00000000" w:rsidRDefault="00000000" w:rsidRPr="00000000" w14:paraId="00000139">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3A">
            <w:pPr>
              <w:pStyle w:val="Title"/>
              <w:spacing w:before="185" w:lineRule="auto"/>
              <w:ind w:left="0" w:firstLine="0"/>
              <w:rPr>
                <w:sz w:val="24"/>
                <w:szCs w:val="24"/>
              </w:rPr>
            </w:pPr>
            <w:r>
              <w:rPr>
                <w:rtl w:val="0"/>
              </w:rPr>
            </w:r>
          </w:p>
          <w:p w:rsidR="00000000" w:rsidDel="00000000" w:rsidP="00000000" w:rsidRDefault="00000000" w:rsidRPr="00000000" w14:paraId="0000013B">
            <w:pPr>
              <w:pStyle w:val="Title"/>
              <w:spacing w:before="185" w:lineRule="auto"/>
              <w:ind w:left="0" w:firstLine="0"/>
              <w:rPr>
                <w:sz w:val="24"/>
                <w:szCs w:val="24"/>
              </w:rPr>
            </w:pPr>
            <w:r>
              <w:rPr>
                <w:sz w:val="24"/>
                <w:szCs w:val="24"/>
                <w:rtl w:val="0"/>
              </w:rPr>
              <w:t xml:space="preserve">Trial type</w:t>
            </w:r>
          </w:p>
        </w:tc>
        <w:tc>
          <w:tcPr/>
          <w:p w:rsidR="00000000" w:rsidDel="00000000" w:rsidP="00000000" w:rsidRDefault="00000000" w:rsidRPr="00000000" w14:paraId="0000013C">
            <w:pPr>
              <w:pStyle w:val="Title"/>
              <w:spacing w:before="185" w:lineRule="auto"/>
              <w:ind w:left="0" w:firstLine="0"/>
              <w:rPr>
                <w:b w:val="0"/>
                <w:bCs w:val="0"/>
                <w:sz w:val="24"/>
                <w:szCs w:val="24"/>
              </w:rPr>
            </w:pPr>
            <w:r>
              <w:rPr>
                <w:rtl w:val="0"/>
              </w:rPr>
            </w:r>
          </w:p>
          <w:p w:rsidR="00000000" w:rsidDel="00000000" w:rsidP="00000000" w:rsidRDefault="00000000" w:rsidRPr="00000000" w14:paraId="0000013D">
            <w:pPr>
              <w:pStyle w:val="Title"/>
              <w:spacing w:before="185" w:lineRule="auto"/>
              <w:ind w:left="0" w:firstLine="0"/>
              <w:rPr>
                <w:b w:val="0"/>
                <w:bCs w:val="0"/>
                <w:sz w:val="24"/>
                <w:szCs w:val="24"/>
              </w:rPr>
            </w:pPr>
            <w:r>
              <w:rPr>
                <w:b w:val="0"/>
                <w:bCs w:val="0"/>
                <w:sz w:val="24"/>
                <w:szCs w:val="24"/>
                <w:rtl w:val="0"/>
              </w:rPr>
              <w:t xml:space="preserve">Randomized, double-blind, non-inferiority, multi-center study</w:t>
            </w:r>
          </w:p>
        </w:tc>
        <w:tc>
          <w:tcPr/>
          <w:p w:rsidR="00000000" w:rsidDel="00000000" w:rsidP="00000000" w:rsidRDefault="00000000" w:rsidRPr="00000000" w14:paraId="0000013E">
            <w:pPr>
              <w:pStyle w:val="Title"/>
              <w:spacing w:before="185" w:lineRule="auto"/>
              <w:ind w:left="0" w:firstLine="0"/>
              <w:rPr>
                <w:b w:val="0"/>
                <w:bCs w:val="0"/>
                <w:sz w:val="24"/>
                <w:szCs w:val="24"/>
              </w:rPr>
            </w:pPr>
            <w:r>
              <w:rPr>
                <w:rtl w:val="0"/>
              </w:rPr>
            </w:r>
          </w:p>
          <w:p w:rsidR="00000000" w:rsidDel="00000000" w:rsidP="00000000" w:rsidRDefault="00000000" w:rsidRPr="00000000" w14:paraId="0000013F">
            <w:pPr>
              <w:pStyle w:val="Title"/>
              <w:spacing w:before="185" w:lineRule="auto"/>
              <w:ind w:left="0" w:firstLine="0"/>
              <w:rPr>
                <w:sz w:val="24"/>
                <w:szCs w:val="24"/>
              </w:rPr>
            </w:pPr>
            <w:r>
              <w:rPr>
                <w:b w:val="0"/>
                <w:bCs w:val="0"/>
                <w:sz w:val="24"/>
                <w:szCs w:val="24"/>
                <w:rtl w:val="0"/>
              </w:rPr>
              <w:t xml:space="preserve">Randomized, double-blind, non-inferiority, multi-center study</w:t>
            </w:r>
            <w:r>
              <w:rPr>
                <w:rtl w:val="0"/>
              </w:rPr>
            </w:r>
          </w:p>
        </w:tc>
        <w:tc>
          <w:tcPr/>
          <w:p w:rsidR="00000000" w:rsidDel="00000000" w:rsidP="00000000" w:rsidRDefault="00000000" w:rsidRPr="00000000" w14:paraId="00000140">
            <w:pPr>
              <w:pStyle w:val="Title"/>
              <w:spacing w:before="185" w:lineRule="auto"/>
              <w:ind w:left="0" w:firstLine="0"/>
              <w:rPr>
                <w:b w:val="0"/>
                <w:bCs w:val="0"/>
                <w:sz w:val="24"/>
                <w:szCs w:val="24"/>
              </w:rPr>
            </w:pPr>
            <w:r>
              <w:rPr>
                <w:rtl w:val="0"/>
              </w:rPr>
            </w:r>
          </w:p>
          <w:p w:rsidR="00000000" w:rsidDel="00000000" w:rsidP="00000000" w:rsidRDefault="00000000" w:rsidRPr="00000000" w14:paraId="00000141">
            <w:pPr>
              <w:pStyle w:val="Title"/>
              <w:spacing w:before="185" w:lineRule="auto"/>
              <w:ind w:left="0" w:firstLine="0"/>
              <w:rPr>
                <w:sz w:val="24"/>
                <w:szCs w:val="24"/>
              </w:rPr>
            </w:pPr>
            <w:r>
              <w:rPr>
                <w:b w:val="0"/>
                <w:bCs w:val="0"/>
                <w:sz w:val="24"/>
                <w:szCs w:val="24"/>
                <w:rtl w:val="0"/>
              </w:rPr>
              <w:t xml:space="preserve">Randomized, double-blind, non-inferiority, multi-center study</w:t>
            </w:r>
            <w:r>
              <w:rPr>
                <w:rtl w:val="0"/>
              </w:rPr>
            </w:r>
          </w:p>
        </w:tc>
        <w:tc>
          <w:tcPr/>
          <w:p w:rsidR="00000000" w:rsidDel="00000000" w:rsidP="00000000" w:rsidRDefault="00000000" w:rsidRPr="00000000" w14:paraId="00000142">
            <w:pPr>
              <w:pStyle w:val="Title"/>
              <w:spacing w:before="185" w:lineRule="auto"/>
              <w:ind w:left="0" w:firstLine="0"/>
              <w:rPr>
                <w:b w:val="0"/>
                <w:bCs w:val="0"/>
                <w:sz w:val="24"/>
                <w:szCs w:val="24"/>
              </w:rPr>
            </w:pPr>
            <w:r>
              <w:rPr>
                <w:rtl w:val="0"/>
              </w:rPr>
            </w:r>
          </w:p>
          <w:p w:rsidR="00000000" w:rsidDel="00000000" w:rsidP="00000000" w:rsidRDefault="00000000" w:rsidRPr="00000000" w14:paraId="00000143">
            <w:pPr>
              <w:pStyle w:val="Title"/>
              <w:spacing w:before="185" w:lineRule="auto"/>
              <w:ind w:left="0" w:firstLine="0"/>
              <w:rPr>
                <w:sz w:val="24"/>
                <w:szCs w:val="24"/>
              </w:rPr>
            </w:pPr>
            <w:r>
              <w:rPr>
                <w:b w:val="0"/>
                <w:bCs w:val="0"/>
                <w:sz w:val="24"/>
                <w:szCs w:val="24"/>
                <w:rtl w:val="0"/>
              </w:rPr>
              <w:t xml:space="preserve">Randomized, double-blind, non-inferiority, multi-center study</w:t>
            </w:r>
            <w:r>
              <w:rPr>
                <w:rtl w:val="0"/>
              </w:rPr>
            </w:r>
          </w:p>
        </w:tc>
        <w:tc>
          <w:tcPr/>
          <w:p w:rsidR="00000000" w:rsidDel="00000000" w:rsidP="00000000" w:rsidRDefault="00000000" w:rsidRPr="00000000" w14:paraId="00000144">
            <w:pPr>
              <w:pStyle w:val="Title"/>
              <w:spacing w:before="185" w:lineRule="auto"/>
              <w:ind w:left="0" w:firstLine="0"/>
              <w:rPr>
                <w:b w:val="0"/>
                <w:bCs w:val="0"/>
                <w:sz w:val="24"/>
                <w:szCs w:val="24"/>
              </w:rPr>
            </w:pPr>
            <w:r>
              <w:rPr>
                <w:rtl w:val="0"/>
              </w:rPr>
            </w:r>
          </w:p>
        </w:tc>
      </w:tr>
      <w:tr>
        <w:trPr>
          <w:cantSplit w:val="1"/>
          <w:tblHeader w:val="1"/>
        </w:trPr>
        <w:tc>
          <w:tcPr/>
          <w:p w:rsidR="00000000" w:rsidDel="00000000" w:rsidP="00000000" w:rsidRDefault="00000000" w:rsidRPr="00000000" w14:paraId="00000145">
            <w:pPr>
              <w:pStyle w:val="Title"/>
              <w:spacing w:before="185" w:lineRule="auto"/>
              <w:ind w:left="0" w:firstLine="0"/>
              <w:rPr>
                <w:sz w:val="24"/>
                <w:szCs w:val="24"/>
              </w:rPr>
            </w:pPr>
            <w:r>
              <w:rPr>
                <w:rtl w:val="0"/>
              </w:rPr>
            </w:r>
          </w:p>
          <w:p w:rsidR="00000000" w:rsidDel="00000000" w:rsidP="00000000" w:rsidRDefault="00000000" w:rsidRPr="00000000" w14:paraId="00000146">
            <w:pPr>
              <w:pStyle w:val="Title"/>
              <w:spacing w:before="185" w:lineRule="auto"/>
              <w:ind w:left="0" w:firstLine="0"/>
              <w:rPr>
                <w:sz w:val="24"/>
                <w:szCs w:val="24"/>
              </w:rPr>
            </w:pPr>
            <w:r>
              <w:rPr>
                <w:sz w:val="24"/>
                <w:szCs w:val="24"/>
                <w:rtl w:val="0"/>
              </w:rPr>
              <w:t xml:space="preserve">Inclusion</w:t>
            </w:r>
          </w:p>
          <w:p w:rsidR="00000000" w:rsidDel="00000000" w:rsidP="00000000" w:rsidRDefault="00000000" w:rsidRPr="00000000" w14:paraId="00000147">
            <w:pPr>
              <w:pStyle w:val="Title"/>
              <w:spacing w:before="185" w:lineRule="auto"/>
              <w:ind w:left="0" w:firstLine="0"/>
              <w:rPr>
                <w:sz w:val="24"/>
                <w:szCs w:val="24"/>
              </w:rPr>
            </w:pPr>
            <w:r>
              <w:rPr>
                <w:sz w:val="24"/>
                <w:szCs w:val="24"/>
                <w:rtl w:val="0"/>
              </w:rPr>
              <w:t xml:space="preserve">criteria</w:t>
            </w:r>
          </w:p>
        </w:tc>
        <w:tc>
          <w:tcPr/>
          <w:p w:rsidR="00000000" w:rsidDel="00000000" w:rsidP="00000000" w:rsidRDefault="00000000" w:rsidRPr="00000000" w14:paraId="00000148">
            <w:pPr>
              <w:pStyle w:val="Title"/>
              <w:spacing w:before="185" w:lineRule="auto"/>
              <w:ind w:left="0" w:firstLine="0"/>
              <w:rPr>
                <w:b w:val="0"/>
                <w:bCs w:val="0"/>
                <w:sz w:val="24"/>
                <w:szCs w:val="24"/>
              </w:rPr>
            </w:pPr>
            <w:r>
              <w:rPr>
                <w:rtl w:val="0"/>
              </w:rPr>
            </w:r>
          </w:p>
          <w:p w:rsidR="00000000" w:rsidDel="00000000" w:rsidP="00000000" w:rsidRDefault="00000000" w:rsidRPr="00000000" w14:paraId="00000149">
            <w:pPr>
              <w:pStyle w:val="Title"/>
              <w:spacing w:before="185" w:lineRule="auto"/>
              <w:ind w:left="0" w:firstLine="0"/>
              <w:rPr>
                <w:b w:val="0"/>
                <w:bCs w:val="0"/>
                <w:sz w:val="24"/>
                <w:szCs w:val="24"/>
              </w:rPr>
            </w:pPr>
            <w:sdt>
              <w:sdtPr>
                <w:id w:val="-1113582199"/>
                <w:tag w:val="goog_rdk_1"/>
              </w:sdtPr>
              <w:sdtContent>
                <w:r>
                  <w:rPr>
                    <w:rFonts w:ascii="Gungsuh" w:cs="Gungsuh" w:eastAsia="Gungsuh" w:hAnsi="Gungsuh"/>
                    <w:b w:val="0"/>
                    <w:bCs w:val="0"/>
                    <w:sz w:val="24"/>
                    <w:szCs w:val="24"/>
                    <w:rtl w:val="0"/>
                  </w:rPr>
                  <w:t xml:space="preserve">Patients were aged at least 18 years with HBeAg negative chronic HBV infection (with plasma HBV DNA concentrations of &gt;20000 IU/mL), serum ALT concentrations of greater than 60 U/L in men or greater than 38 U/L in women and at no more than ten times the upper limit of normal [ULN], and estimated creatinine clearance of at least 50 mL/min (by the Cockcroft-Gault method). Treatment-naive (less than 12 weeks of previous therapy) as well as treatment- experienced patients (those who previously received treatment with any oral antiviral agent for HBV infection for ≥12 weeks).  Previous interferon use was allowed if stopped at least 6 months before study baseline</w:t>
                </w:r>
              </w:sdtContent>
            </w:sdt>
          </w:p>
          <w:p w:rsidR="00000000" w:rsidDel="00000000" w:rsidP="00000000" w:rsidRDefault="00000000" w:rsidRPr="00000000" w14:paraId="0000014A">
            <w:pPr>
              <w:pStyle w:val="Title"/>
              <w:spacing w:before="185" w:lineRule="auto"/>
              <w:ind w:left="0" w:firstLine="0"/>
              <w:rPr>
                <w:b w:val="0"/>
                <w:bCs w:val="0"/>
                <w:sz w:val="24"/>
                <w:szCs w:val="24"/>
              </w:rPr>
            </w:pPr>
            <w:r>
              <w:rPr>
                <w:b w:val="0"/>
                <w:bCs w:val="0"/>
                <w:sz w:val="24"/>
                <w:szCs w:val="24"/>
                <w:rtl w:val="0"/>
              </w:rPr>
              <w:t xml:space="preserve">Assessments were eligible between September 12th, 2013, and October 31st, 2014.</w:t>
            </w:r>
          </w:p>
          <w:p w:rsidR="00000000" w:rsidDel="00000000" w:rsidP="00000000" w:rsidRDefault="00000000" w:rsidRPr="00000000" w14:paraId="0000014B">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4C">
            <w:pPr>
              <w:pStyle w:val="Title"/>
              <w:spacing w:before="185" w:lineRule="auto"/>
              <w:ind w:left="0" w:firstLine="0"/>
              <w:rPr>
                <w:b w:val="0"/>
                <w:bCs w:val="0"/>
                <w:sz w:val="24"/>
                <w:szCs w:val="24"/>
              </w:rPr>
            </w:pPr>
            <w:r>
              <w:rPr>
                <w:rtl w:val="0"/>
              </w:rPr>
            </w:r>
          </w:p>
          <w:p w:rsidR="00000000" w:rsidDel="00000000" w:rsidP="00000000" w:rsidRDefault="00000000" w:rsidRPr="00000000" w14:paraId="0000014D">
            <w:pPr>
              <w:pStyle w:val="Title"/>
              <w:spacing w:before="185" w:lineRule="auto"/>
              <w:ind w:left="0" w:firstLine="0"/>
              <w:rPr>
                <w:b w:val="0"/>
                <w:bCs w:val="0"/>
                <w:sz w:val="24"/>
                <w:szCs w:val="24"/>
              </w:rPr>
            </w:pPr>
            <w:r>
              <w:rPr>
                <w:b w:val="0"/>
                <w:bCs w:val="0"/>
                <w:sz w:val="24"/>
                <w:szCs w:val="24"/>
                <w:rtl w:val="0"/>
              </w:rPr>
              <w:t xml:space="preserve">Patients aged at least 18 years (with no upper age limit) with HBeAg-positive chronic hepatitis B infection (with HBV DNA concentrations of at least 20 000 IU/mL), alanine aminotransferase (ALT) concentrations of higher than 60 U/L in men or higher than 38 U/L in women and at most ten times the upper limit of normal (ULN), and estimated creatinine clearance of at least 50 mL/min (by the Cockcroft-Gault method). Patients who had not previously received treatment for HBV infection and those who had been previously treated or were undergoing treatment for HBV infection were eligible between September 11th, 2013, to Dec 20th, 2014.</w:t>
            </w:r>
          </w:p>
          <w:p w:rsidR="00000000" w:rsidDel="00000000" w:rsidP="00000000" w:rsidRDefault="00000000" w:rsidRPr="00000000" w14:paraId="0000014E">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4F">
            <w:pPr>
              <w:pStyle w:val="Title"/>
              <w:spacing w:before="185" w:lineRule="auto"/>
              <w:ind w:left="0" w:firstLine="0"/>
              <w:rPr>
                <w:b w:val="0"/>
                <w:bCs w:val="0"/>
                <w:sz w:val="24"/>
                <w:szCs w:val="24"/>
              </w:rPr>
            </w:pPr>
            <w:r>
              <w:rPr>
                <w:rtl w:val="0"/>
              </w:rPr>
            </w:r>
          </w:p>
          <w:p w:rsidR="00000000" w:rsidDel="00000000" w:rsidP="00000000" w:rsidRDefault="00000000" w:rsidRPr="00000000" w14:paraId="0000015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Patients were at least 18 years of age with documented evidence of HBeAg-negative or HBeAg-positive chronic HBV infection, including those with compensated cirrhosis. Eligible patients had been receiving tenofovir disoproxil  fumarate 300 mg once a day for at least 48 weeks, and as monotherapy for at least 24 weeks before screening. Eligible patients were virally suppressed (HBV DNA  &lt;lower limit of quantification [LLOQ] by local laboratory  assessment) for at least 12 weeks before screening and were required to have HBV DNA &lt;20 IU/mL (by central laboratory) at screening. Eligible patients had an estimated creatinine clearance of at least 50 mL/min (by the Cockcroft-Gault method).</w:t>
            </w:r>
          </w:p>
          <w:p w:rsidR="00000000" w:rsidDel="00000000" w:rsidP="00000000" w:rsidRDefault="00000000" w:rsidRPr="00000000" w14:paraId="00000151">
            <w:pPr>
              <w:pStyle w:val="Title"/>
              <w:spacing w:before="185" w:lineRule="auto"/>
              <w:ind w:left="0" w:firstLine="0"/>
              <w:rPr>
                <w:sz w:val="24"/>
                <w:szCs w:val="24"/>
              </w:rPr>
            </w:pPr>
            <w:r>
              <w:rPr>
                <w:rtl w:val="0"/>
              </w:rPr>
            </w:r>
          </w:p>
        </w:tc>
        <w:tc>
          <w:tcPr/>
          <w:p w:rsidR="00000000" w:rsidDel="00000000" w:rsidP="00000000" w:rsidRDefault="00000000" w:rsidRPr="00000000" w14:paraId="00000152">
            <w:pPr>
              <w:pStyle w:val="Title"/>
              <w:spacing w:before="185" w:lineRule="auto"/>
              <w:ind w:left="0" w:firstLine="0"/>
              <w:rPr>
                <w:b w:val="0"/>
                <w:bCs w:val="0"/>
                <w:sz w:val="24"/>
                <w:szCs w:val="24"/>
              </w:rPr>
            </w:pPr>
            <w:r>
              <w:rPr>
                <w:rtl w:val="0"/>
              </w:rPr>
            </w:r>
          </w:p>
          <w:p w:rsidR="00000000" w:rsidDel="00000000" w:rsidP="00000000" w:rsidRDefault="00000000" w:rsidRPr="00000000" w14:paraId="00000153">
            <w:pPr>
              <w:pStyle w:val="Title"/>
              <w:spacing w:before="185" w:lineRule="auto"/>
              <w:ind w:left="0" w:firstLine="0"/>
              <w:rPr>
                <w:b w:val="0"/>
                <w:bCs w:val="0"/>
                <w:sz w:val="24"/>
                <w:szCs w:val="24"/>
              </w:rPr>
            </w:pPr>
            <w:r>
              <w:rPr>
                <w:b w:val="0"/>
                <w:bCs w:val="0"/>
                <w:sz w:val="24"/>
                <w:szCs w:val="24"/>
                <w:rtl w:val="0"/>
              </w:rPr>
              <w:t xml:space="preserve">All patients had history of documented ETV resistance mutations (rtT184A/C/F/G/I/L/S, rtS202G, or rtM250L/V, on the presence of rtM204V/I) or ADV resistance mutations (rtA181V/T and/or rtN236T) before preceding TDF therapy. All patients had a positive serum HBsAg test for at least 6 months. Patients were required to be between 20 and 80 years old with well preserved liver function (Child-Pugh class A) and renal function (estimated creatinine clearance by Cockcroft Gault formula 50 mL/min).</w:t>
            </w:r>
          </w:p>
        </w:tc>
        <w:tc>
          <w:tcPr/>
          <w:p w:rsidR="00000000" w:rsidDel="00000000" w:rsidP="00000000" w:rsidRDefault="00000000" w:rsidRPr="00000000" w14:paraId="00000154">
            <w:pPr>
              <w:pStyle w:val="Title"/>
              <w:spacing w:before="185" w:lineRule="auto"/>
              <w:ind w:left="0" w:firstLine="0"/>
              <w:rPr>
                <w:b w:val="0"/>
                <w:bCs w:val="0"/>
                <w:sz w:val="24"/>
                <w:szCs w:val="24"/>
              </w:rPr>
            </w:pPr>
            <w:r>
              <w:rPr>
                <w:rtl w:val="0"/>
              </w:rPr>
            </w:r>
          </w:p>
        </w:tc>
      </w:tr>
      <w:tr>
        <w:trPr>
          <w:cantSplit w:val="1"/>
          <w:trHeight w:val="18827.851562499996" w:hRule="atLeast"/>
          <w:tblHeader w:val="1"/>
        </w:trPr>
        <w:tc>
          <w:tcPr/>
          <w:p w:rsidR="00000000" w:rsidDel="00000000" w:rsidP="00000000" w:rsidRDefault="00000000" w:rsidRPr="00000000" w14:paraId="00000155">
            <w:pPr>
              <w:pStyle w:val="Title"/>
              <w:spacing w:before="185" w:lineRule="auto"/>
              <w:ind w:left="0" w:firstLine="0"/>
              <w:rPr>
                <w:sz w:val="24"/>
                <w:szCs w:val="24"/>
              </w:rPr>
            </w:pPr>
            <w:r>
              <w:rPr>
                <w:sz w:val="24"/>
                <w:szCs w:val="24"/>
                <w:rtl w:val="0"/>
              </w:rPr>
              <w:t xml:space="preserve">Exclusion criteria</w:t>
            </w:r>
          </w:p>
        </w:tc>
        <w:tc>
          <w:tcPr/>
          <w:p w:rsidR="00000000" w:rsidDel="00000000" w:rsidP="00000000" w:rsidRDefault="00000000" w:rsidRPr="00000000" w14:paraId="00000156">
            <w:pPr>
              <w:pStyle w:val="Title"/>
              <w:spacing w:before="185" w:lineRule="auto"/>
              <w:ind w:left="0" w:firstLine="0"/>
              <w:rPr>
                <w:b w:val="0"/>
                <w:bCs w:val="0"/>
                <w:sz w:val="24"/>
                <w:szCs w:val="24"/>
              </w:rPr>
            </w:pPr>
            <w:r>
              <w:rPr>
                <w:b w:val="0"/>
                <w:bCs w:val="0"/>
                <w:sz w:val="24"/>
                <w:szCs w:val="24"/>
                <w:rtl w:val="0"/>
              </w:rPr>
              <w:t xml:space="preserve">Patients with platelet counts of 50000 cells per μL or less, hemoglobin less than 10 g/dL, albumin less than 3 g/dL, direct bilirubin of greater than 2·5 times the ULN, and aspartate aminotransferase (AST) or ALT greater than ten times the ULN. Patients with evidence of decompensation (ie, clinical ascites, encephalopathy or variceal hemorrhage) and those with hepatocellular carcinoma as well as patients co-infected with hepatitis C, hepatitis D, or HIV.</w:t>
            </w:r>
          </w:p>
          <w:p w:rsidR="00000000" w:rsidDel="00000000" w:rsidP="00000000" w:rsidRDefault="00000000" w:rsidRPr="00000000" w14:paraId="00000157">
            <w:pPr>
              <w:pStyle w:val="Title"/>
              <w:spacing w:before="185" w:lineRule="auto"/>
              <w:ind w:left="0" w:firstLine="0"/>
              <w:rPr>
                <w:b w:val="0"/>
                <w:bCs w:val="0"/>
                <w:sz w:val="24"/>
                <w:szCs w:val="24"/>
              </w:rPr>
            </w:pPr>
            <w:r>
              <w:rPr>
                <w:rtl w:val="0"/>
              </w:rPr>
            </w:r>
          </w:p>
          <w:p w:rsidR="00000000" w:rsidDel="00000000" w:rsidP="00000000" w:rsidRDefault="00000000" w:rsidRPr="00000000" w14:paraId="00000158">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59">
            <w:pPr>
              <w:pStyle w:val="Title"/>
              <w:spacing w:before="185" w:lineRule="auto"/>
              <w:ind w:left="0" w:firstLine="0"/>
              <w:rPr>
                <w:b w:val="0"/>
                <w:bCs w:val="0"/>
                <w:sz w:val="24"/>
                <w:szCs w:val="24"/>
              </w:rPr>
            </w:pPr>
            <w:r>
              <w:rPr>
                <w:b w:val="0"/>
                <w:bCs w:val="0"/>
                <w:sz w:val="24"/>
                <w:szCs w:val="24"/>
                <w:rtl w:val="0"/>
              </w:rPr>
              <w:t xml:space="preserve">Patients with platelet counts of 50 000 cells per μL or less, hemoglobin of less than 10 g/dL, albumin of less than 3 g/dL, and total bilirubin of more than 2·5 times the ULN. Patients with evidence of decompensation (ie, clinical ascites, encephalopathyor variceal hemorrhage) and those with hepatocellular carcinoma</w:t>
            </w:r>
          </w:p>
          <w:p w:rsidR="00000000" w:rsidDel="00000000" w:rsidP="00000000" w:rsidRDefault="00000000" w:rsidRPr="00000000" w14:paraId="0000015A">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5B">
            <w:pPr>
              <w:pStyle w:val="Title"/>
              <w:spacing w:before="185" w:lineRule="auto"/>
              <w:ind w:firstLine="100"/>
              <w:rPr>
                <w:b w:val="0"/>
                <w:bCs w:val="0"/>
                <w:sz w:val="24"/>
                <w:szCs w:val="24"/>
              </w:rPr>
            </w:pPr>
            <w:r>
              <w:rPr>
                <w:b w:val="0"/>
                <w:bCs w:val="0"/>
                <w:sz w:val="24"/>
                <w:szCs w:val="24"/>
                <w:rtl w:val="0"/>
              </w:rPr>
              <w:t xml:space="preserve">Patients with hepatocellular carcinoma, evidence of hepatic decompensation, or co-infection with other viruses (HIV, hepatitis C virus [HCV], or hepatitis D virus [HDV]) were excluded, as were patients with abnormal laboratory parameters, including haemoglobin of less than 10 g/dL, absolute neutrophil count of less than 750 cells per mm³, platelet count of 50 000 per mm³ or less, aspartate aminotransferase (AST) or serum alanine aminotransferase (ALT) greater than 5 × the upper limit of normal (ULN), albumin less than 3·0 mg/dL, International Normalised Ratio (INR) greater than 1·5 × ULN (unless stable on anticoagulant regimen), or total bilirubin &gt;2·5 × ULN).</w:t>
            </w:r>
          </w:p>
          <w:p w:rsidR="00000000" w:rsidDel="00000000" w:rsidP="00000000" w:rsidRDefault="00000000" w:rsidRPr="00000000" w14:paraId="0000015C">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5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Patients were excluded if they met any of the following criteria: (1) coinfection with hepatitis C virus, hepatitis D virus, or human immunodeficiency virus (HIV); (2) decompensated liver disease; (3) treatment with immunosuppressive drugs; (4) previous diagnosis of hepatocellular carcinoma (HCC); or (5) solid organ or bone marrow transplantation.</w:t>
            </w:r>
          </w:p>
          <w:p w:rsidR="00000000" w:rsidDel="00000000" w:rsidP="00000000" w:rsidRDefault="00000000" w:rsidRPr="00000000" w14:paraId="0000015E">
            <w:pPr>
              <w:pStyle w:val="Title"/>
              <w:spacing w:before="185" w:lineRule="auto"/>
              <w:ind w:left="0" w:firstLine="0"/>
              <w:rPr>
                <w:sz w:val="24"/>
                <w:szCs w:val="24"/>
              </w:rPr>
            </w:pPr>
            <w:r>
              <w:rPr>
                <w:rtl w:val="0"/>
              </w:rPr>
            </w:r>
          </w:p>
        </w:tc>
        <w:tc>
          <w:tcPr/>
          <w:p w:rsidR="00000000" w:rsidDel="00000000" w:rsidP="00000000" w:rsidRDefault="00000000" w:rsidRPr="00000000" w14:paraId="0000015F">
            <w:pPr>
              <w:rPr>
                <w:rFonts w:ascii="Times New Roman" w:cs="Times New Roman" w:eastAsia="Times New Roman" w:hAnsi="Times New Roman"/>
                <w:sz w:val="24"/>
                <w:szCs w:val="24"/>
              </w:rPr>
            </w:pPr>
            <w:r>
              <w:rPr>
                <w:rtl w:val="0"/>
              </w:rPr>
            </w:r>
          </w:p>
        </w:tc>
      </w:tr>
      <w:tr>
        <w:trPr>
          <w:cantSplit w:val="1"/>
          <w:tblHeader w:val="1"/>
        </w:trPr>
        <w:tc>
          <w:tcPr/>
          <w:p w:rsidR="00000000" w:rsidDel="00000000" w:rsidP="00000000" w:rsidRDefault="00000000" w:rsidRPr="00000000" w14:paraId="00000160">
            <w:pPr>
              <w:pStyle w:val="Title"/>
              <w:spacing w:before="185" w:lineRule="auto"/>
              <w:ind w:left="0" w:firstLine="0"/>
              <w:rPr>
                <w:sz w:val="24"/>
                <w:szCs w:val="24"/>
              </w:rPr>
            </w:pPr>
            <w:r>
              <w:rPr>
                <w:sz w:val="24"/>
                <w:szCs w:val="24"/>
                <w:rtl w:val="0"/>
              </w:rPr>
              <w:t xml:space="preserve">Treatment</w:t>
            </w:r>
          </w:p>
        </w:tc>
        <w:tc>
          <w:tcPr/>
          <w:p w:rsidR="00000000" w:rsidDel="00000000" w:rsidP="00000000" w:rsidRDefault="00000000" w:rsidRPr="00000000" w14:paraId="00000161">
            <w:pPr>
              <w:pStyle w:val="Title"/>
              <w:spacing w:before="185" w:lineRule="auto"/>
              <w:ind w:left="0" w:firstLine="0"/>
              <w:rPr>
                <w:b w:val="0"/>
                <w:bCs w:val="0"/>
                <w:sz w:val="24"/>
                <w:szCs w:val="24"/>
              </w:rPr>
            </w:pPr>
            <w:r>
              <w:rPr>
                <w:b w:val="0"/>
                <w:bCs w:val="0"/>
                <w:sz w:val="24"/>
                <w:szCs w:val="24"/>
                <w:rtl w:val="0"/>
              </w:rPr>
              <w:t xml:space="preserve">Patients received tenofovir alafenamide 25 mg orally once daily or tenofovir disoproxil fumarate 300 mg orally once daily</w:t>
            </w:r>
          </w:p>
          <w:p w:rsidR="00000000" w:rsidDel="00000000" w:rsidP="00000000" w:rsidRDefault="00000000" w:rsidRPr="00000000" w14:paraId="00000162">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63">
            <w:pPr>
              <w:pStyle w:val="Title"/>
              <w:spacing w:before="185" w:lineRule="auto"/>
              <w:ind w:left="0" w:firstLine="0"/>
              <w:rPr>
                <w:b w:val="0"/>
                <w:bCs w:val="0"/>
                <w:sz w:val="24"/>
                <w:szCs w:val="24"/>
              </w:rPr>
            </w:pPr>
            <w:r>
              <w:rPr>
                <w:b w:val="0"/>
                <w:bCs w:val="0"/>
                <w:sz w:val="24"/>
                <w:szCs w:val="24"/>
                <w:rtl w:val="0"/>
              </w:rPr>
              <w:t xml:space="preserve">25 mg tenofovir alafenamide or 300 mg tenofovir disoproxil fumarate orally once daily. All patients received placebo tablets matching the alternative treatment (ie, patients assigned to receive tenofovir alafenamide also received a matching tenofovir disoproxil fumarate placebo tablet, and vice versa).</w:t>
            </w:r>
          </w:p>
          <w:p w:rsidR="00000000" w:rsidDel="00000000" w:rsidP="00000000" w:rsidRDefault="00000000" w:rsidRPr="00000000" w14:paraId="00000164">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65">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Patients received either tenofovir alafenamide 25 mg plus matching tenofovir disoproxil fumarate placebo or tenofovir disoproxil fumarate 300 mg plus matching tenofovir alafenamide matching placebo orally once daily.</w:t>
            </w:r>
          </w:p>
          <w:p w:rsidR="00000000" w:rsidDel="00000000" w:rsidP="00000000" w:rsidRDefault="00000000" w:rsidRPr="00000000" w14:paraId="00000166">
            <w:pPr>
              <w:pStyle w:val="Title"/>
              <w:spacing w:before="185" w:lineRule="auto"/>
              <w:ind w:firstLine="100"/>
              <w:rPr>
                <w:b w:val="0"/>
                <w:bCs w:val="0"/>
                <w:sz w:val="24"/>
                <w:szCs w:val="24"/>
              </w:rPr>
            </w:pPr>
            <w:r>
              <w:rPr>
                <w:rtl w:val="0"/>
              </w:rPr>
            </w:r>
          </w:p>
        </w:tc>
        <w:tc>
          <w:tcPr/>
          <w:p w:rsidR="00000000" w:rsidDel="00000000" w:rsidP="00000000" w:rsidRDefault="00000000" w:rsidRPr="00000000" w14:paraId="0000016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Patients were randomly assigned in a 1:1 ratio to either switching to TAF 25 mg once daily (TAF group) or continuing TDF 300 mg once daily (TDF group) through interactive web response system using a centralized procedure</w:t>
            </w:r>
          </w:p>
        </w:tc>
        <w:tc>
          <w:tcPr/>
          <w:p w:rsidR="00000000" w:rsidDel="00000000" w:rsidP="00000000" w:rsidRDefault="00000000" w:rsidRPr="00000000" w14:paraId="00000168">
            <w:pPr>
              <w:rPr>
                <w:rFonts w:ascii="Times New Roman" w:cs="Times New Roman" w:eastAsia="Times New Roman" w:hAnsi="Times New Roman"/>
                <w:sz w:val="24"/>
                <w:szCs w:val="24"/>
              </w:rPr>
            </w:pPr>
            <w:r>
              <w:rPr>
                <w:rtl w:val="0"/>
              </w:rPr>
            </w:r>
          </w:p>
        </w:tc>
      </w:tr>
      <w:tr>
        <w:trPr>
          <w:cantSplit w:val="1"/>
          <w:tblHeader w:val="1"/>
        </w:trPr>
        <w:tc>
          <w:tcPr/>
          <w:p w:rsidR="00000000" w:rsidDel="00000000" w:rsidP="00000000" w:rsidRDefault="00000000" w:rsidRPr="00000000" w14:paraId="00000169">
            <w:pPr>
              <w:pStyle w:val="Title"/>
              <w:spacing w:before="185" w:lineRule="auto"/>
              <w:ind w:left="0" w:firstLine="0"/>
              <w:rPr>
                <w:sz w:val="24"/>
                <w:szCs w:val="24"/>
              </w:rPr>
            </w:pPr>
            <w:r>
              <w:rPr>
                <w:rtl w:val="0"/>
              </w:rPr>
            </w:r>
          </w:p>
          <w:p w:rsidR="00000000" w:rsidDel="00000000" w:rsidP="00000000" w:rsidRDefault="00000000" w:rsidRPr="00000000" w14:paraId="0000016A">
            <w:pPr>
              <w:pStyle w:val="Title"/>
              <w:spacing w:before="185" w:lineRule="auto"/>
              <w:ind w:left="0" w:firstLine="0"/>
              <w:rPr>
                <w:sz w:val="24"/>
                <w:szCs w:val="24"/>
              </w:rPr>
            </w:pPr>
            <w:r>
              <w:rPr>
                <w:sz w:val="24"/>
                <w:szCs w:val="24"/>
                <w:rtl w:val="0"/>
              </w:rPr>
              <w:t xml:space="preserve">Primary outcome</w:t>
            </w:r>
          </w:p>
        </w:tc>
        <w:tc>
          <w:tcPr/>
          <w:p w:rsidR="00000000" w:rsidDel="00000000" w:rsidP="00000000" w:rsidRDefault="00000000" w:rsidRPr="00000000" w14:paraId="0000016B">
            <w:pPr>
              <w:pStyle w:val="Title"/>
              <w:spacing w:before="185" w:lineRule="auto"/>
              <w:ind w:left="0" w:firstLine="0"/>
              <w:rPr>
                <w:b w:val="0"/>
                <w:bCs w:val="0"/>
                <w:sz w:val="24"/>
                <w:szCs w:val="24"/>
              </w:rPr>
            </w:pPr>
            <w:r>
              <w:rPr>
                <w:rtl w:val="0"/>
              </w:rPr>
            </w:r>
          </w:p>
          <w:p w:rsidR="00000000" w:rsidDel="00000000" w:rsidP="00000000" w:rsidRDefault="00000000" w:rsidRPr="00000000" w14:paraId="0000016C">
            <w:pPr>
              <w:pStyle w:val="Title"/>
              <w:spacing w:before="185" w:lineRule="auto"/>
              <w:ind w:left="0" w:firstLine="0"/>
              <w:rPr>
                <w:b w:val="0"/>
                <w:bCs w:val="0"/>
                <w:sz w:val="24"/>
                <w:szCs w:val="24"/>
              </w:rPr>
            </w:pPr>
            <w:r>
              <w:rPr>
                <w:b w:val="0"/>
                <w:bCs w:val="0"/>
                <w:sz w:val="24"/>
                <w:szCs w:val="24"/>
                <w:rtl w:val="0"/>
              </w:rPr>
              <w:t xml:space="preserve">Proportion of patients with HBV DNA less than 29 IU/mL at week 48 of treatment, as determined by COBAS Taqman HBV test for use with the High Pure System (Roche Molecular Systems, Inc; Pleasanton, CA, USA) with a lower limit of quantitation of 29 IU/mL and a lower limit of detection of 10 IU/mL.</w:t>
            </w:r>
          </w:p>
          <w:p w:rsidR="00000000" w:rsidDel="00000000" w:rsidP="00000000" w:rsidRDefault="00000000" w:rsidRPr="00000000" w14:paraId="0000016D">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6E">
            <w:pPr>
              <w:pStyle w:val="Title"/>
              <w:spacing w:before="185" w:lineRule="auto"/>
              <w:ind w:left="0" w:firstLine="0"/>
              <w:rPr>
                <w:b w:val="0"/>
                <w:bCs w:val="0"/>
                <w:sz w:val="24"/>
                <w:szCs w:val="24"/>
              </w:rPr>
            </w:pPr>
            <w:r>
              <w:rPr>
                <w:rtl w:val="0"/>
              </w:rPr>
            </w:r>
          </w:p>
          <w:p w:rsidR="00000000" w:rsidDel="00000000" w:rsidP="00000000" w:rsidRDefault="00000000" w:rsidRPr="00000000" w14:paraId="0000016F">
            <w:pPr>
              <w:pStyle w:val="Title"/>
              <w:spacing w:before="185" w:lineRule="auto"/>
              <w:ind w:left="0" w:firstLine="0"/>
              <w:rPr>
                <w:b w:val="0"/>
                <w:bCs w:val="0"/>
                <w:sz w:val="24"/>
                <w:szCs w:val="24"/>
              </w:rPr>
            </w:pPr>
            <w:r>
              <w:rPr>
                <w:b w:val="0"/>
                <w:bCs w:val="0"/>
                <w:sz w:val="24"/>
                <w:szCs w:val="24"/>
                <w:rtl w:val="0"/>
              </w:rPr>
              <w:t xml:space="preserve">Proportion of patients with HBV DNA less than 29 IU/mL at week 48 of treatment as determined by PCR. The lower limit of quantitation of the assay was 29 IU/mL, and the lower limit of detection was 10 IU/mL.</w:t>
            </w:r>
          </w:p>
        </w:tc>
        <w:tc>
          <w:tcPr/>
          <w:p w:rsidR="00000000" w:rsidDel="00000000" w:rsidP="00000000" w:rsidRDefault="00000000" w:rsidRPr="00000000" w14:paraId="00000170">
            <w:pPr>
              <w:pStyle w:val="Title"/>
              <w:spacing w:before="185" w:lineRule="auto"/>
              <w:ind w:firstLine="100"/>
              <w:rPr>
                <w:b w:val="0"/>
                <w:bCs w:val="0"/>
                <w:sz w:val="24"/>
                <w:szCs w:val="24"/>
              </w:rPr>
            </w:pPr>
            <w:r>
              <w:rPr>
                <w:rtl w:val="0"/>
              </w:rPr>
            </w:r>
          </w:p>
          <w:p w:rsidR="00000000" w:rsidDel="00000000" w:rsidP="00000000" w:rsidRDefault="00000000" w:rsidRPr="00000000" w14:paraId="00000171">
            <w:pPr>
              <w:pStyle w:val="Title"/>
              <w:spacing w:before="185" w:lineRule="auto"/>
              <w:ind w:firstLine="100"/>
              <w:rPr>
                <w:b w:val="0"/>
                <w:bCs w:val="0"/>
                <w:sz w:val="24"/>
                <w:szCs w:val="24"/>
              </w:rPr>
            </w:pPr>
            <w:sdt>
              <w:sdtPr>
                <w:id w:val="741623783"/>
                <w:tag w:val="goog_rdk_2"/>
              </w:sdtPr>
              <w:sdtContent>
                <w:r>
                  <w:rPr>
                    <w:rFonts w:ascii="Gungsuh" w:cs="Gungsuh" w:eastAsia="Gungsuh" w:hAnsi="Gungsuh"/>
                    <w:b w:val="0"/>
                    <w:bCs w:val="0"/>
                    <w:sz w:val="24"/>
                    <w:szCs w:val="24"/>
                    <w:rtl w:val="0"/>
                  </w:rPr>
                  <w:t xml:space="preserve">Proportion of  patients who lost virological control (ie, HBV DNA ≥20 IU/mL) at week 48, as defined by the modified US  Food and Drug Administration (FDA)-defined snapshot algorithm</w:t>
                </w:r>
              </w:sdtContent>
            </w:sdt>
          </w:p>
          <w:p w:rsidR="00000000" w:rsidDel="00000000" w:rsidP="00000000" w:rsidRDefault="00000000" w:rsidRPr="00000000" w14:paraId="00000172">
            <w:pPr>
              <w:pStyle w:val="Title"/>
              <w:spacing w:before="185" w:lineRule="auto"/>
              <w:ind w:firstLine="100"/>
              <w:rPr>
                <w:b w:val="0"/>
                <w:bCs w:val="0"/>
                <w:sz w:val="24"/>
                <w:szCs w:val="24"/>
              </w:rPr>
            </w:pPr>
            <w:r>
              <w:rPr>
                <w:rtl w:val="0"/>
              </w:rPr>
            </w:r>
          </w:p>
        </w:tc>
        <w:tc>
          <w:tcPr/>
          <w:p w:rsidR="00000000" w:rsidDel="00000000" w:rsidP="00000000" w:rsidRDefault="00000000" w:rsidRPr="00000000" w14:paraId="00000173">
            <w:pPr>
              <w:rPr>
                <w:rFonts w:ascii="Times New Roman" w:cs="Times New Roman" w:eastAsia="Times New Roman" w:hAnsi="Times New Roman"/>
                <w:sz w:val="24"/>
                <w:szCs w:val="24"/>
              </w:rPr>
            </w:pPr>
            <w:r>
              <w:rPr>
                <w:rtl w:val="0"/>
              </w:rPr>
            </w:r>
          </w:p>
          <w:p w:rsidR="00000000" w:rsidDel="00000000" w:rsidP="00000000" w:rsidRDefault="00000000" w:rsidRPr="00000000" w14:paraId="00000174">
            <w:pPr>
              <w:rPr>
                <w:rFonts w:ascii="Times New Roman" w:cs="Times New Roman" w:eastAsia="Times New Roman" w:hAnsi="Times New Roman"/>
                <w:sz w:val="24"/>
                <w:szCs w:val="24"/>
              </w:rPr>
            </w:pPr>
            <w:r>
              <w:rPr>
                <w:rtl w:val="0"/>
              </w:rPr>
            </w:r>
          </w:p>
          <w:p w:rsidR="00000000" w:rsidDel="00000000" w:rsidP="00000000" w:rsidRDefault="00000000" w:rsidRPr="00000000" w14:paraId="00000175">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Proportion of patients who maintained serum HBV DNA &lt;60 IU/mL at week 48 as determined by local laboratory and AASLD 2018 criteria</w:t>
            </w:r>
          </w:p>
        </w:tc>
        <w:tc>
          <w:tcPr/>
          <w:p w:rsidR="00000000" w:rsidDel="00000000" w:rsidP="00000000" w:rsidRDefault="00000000" w:rsidRPr="00000000" w14:paraId="00000176">
            <w:pPr>
              <w:rPr>
                <w:rFonts w:ascii="Times New Roman" w:cs="Times New Roman" w:eastAsia="Times New Roman" w:hAnsi="Times New Roman"/>
                <w:sz w:val="24"/>
                <w:szCs w:val="24"/>
              </w:rPr>
            </w:pPr>
            <w:r>
              <w:rPr>
                <w:rtl w:val="0"/>
              </w:rPr>
            </w:r>
          </w:p>
        </w:tc>
      </w:tr>
      <w:tr>
        <w:trPr>
          <w:cantSplit w:val="1"/>
          <w:tblHeader w:val="1"/>
        </w:trPr>
        <w:tc>
          <w:tcPr/>
          <w:p w:rsidR="00000000" w:rsidDel="00000000" w:rsidP="00000000" w:rsidRDefault="00000000" w:rsidRPr="00000000" w14:paraId="00000177">
            <w:pPr>
              <w:pStyle w:val="Title"/>
              <w:spacing w:before="185" w:lineRule="auto"/>
              <w:ind w:left="0" w:firstLine="0"/>
              <w:rPr>
                <w:sz w:val="24"/>
                <w:szCs w:val="24"/>
              </w:rPr>
            </w:pPr>
            <w:r>
              <w:rPr>
                <w:sz w:val="24"/>
                <w:szCs w:val="24"/>
                <w:rtl w:val="0"/>
              </w:rPr>
              <w:t xml:space="preserve">Secondary outcome</w:t>
            </w:r>
          </w:p>
        </w:tc>
        <w:tc>
          <w:tcPr/>
          <w:p w:rsidR="00000000" w:rsidDel="00000000" w:rsidP="00000000" w:rsidRDefault="00000000" w:rsidRPr="00000000" w14:paraId="00000178">
            <w:pPr>
              <w:pStyle w:val="Title"/>
              <w:spacing w:before="185" w:lineRule="auto"/>
              <w:ind w:left="0" w:firstLine="0"/>
              <w:rPr>
                <w:b w:val="0"/>
                <w:bCs w:val="0"/>
                <w:sz w:val="24"/>
                <w:szCs w:val="24"/>
              </w:rPr>
            </w:pPr>
            <w:r>
              <w:rPr>
                <w:b w:val="0"/>
                <w:bCs w:val="0"/>
                <w:sz w:val="24"/>
                <w:szCs w:val="24"/>
                <w:rtl w:val="0"/>
              </w:rPr>
              <w:t xml:space="preserve">Percentage change in hip bone mineral density, percentage change in spine bone mineral density, and change from baseline in serum creatinine. Proportion of patients with ALT normalization at week 48, proportion of patients with plasma HBV DNA less than 29 IU/mL (target not detected), the proportion of patients with  HBsAg loss, the proportion of patients with HBsAg seroconversion to anti-HBs.</w:t>
            </w:r>
          </w:p>
          <w:p w:rsidR="00000000" w:rsidDel="00000000" w:rsidP="00000000" w:rsidRDefault="00000000" w:rsidRPr="00000000" w14:paraId="00000179">
            <w:pPr>
              <w:pStyle w:val="Title"/>
              <w:spacing w:before="185" w:lineRule="auto"/>
              <w:ind w:left="0" w:firstLine="0"/>
              <w:rPr>
                <w:b w:val="0"/>
                <w:bCs w:val="0"/>
                <w:sz w:val="24"/>
                <w:szCs w:val="24"/>
              </w:rPr>
            </w:pPr>
            <w:r>
              <w:rPr>
                <w:b w:val="0"/>
                <w:bCs w:val="0"/>
                <w:sz w:val="24"/>
                <w:szCs w:val="24"/>
                <w:rtl w:val="0"/>
              </w:rPr>
              <w:t xml:space="preserve"> </w:t>
            </w:r>
          </w:p>
        </w:tc>
        <w:tc>
          <w:tcPr/>
          <w:p w:rsidR="00000000" w:rsidDel="00000000" w:rsidP="00000000" w:rsidRDefault="00000000" w:rsidRPr="00000000" w14:paraId="0000017A">
            <w:pPr>
              <w:pStyle w:val="Title"/>
              <w:spacing w:before="185" w:lineRule="auto"/>
              <w:ind w:left="0" w:firstLine="0"/>
              <w:rPr>
                <w:b w:val="0"/>
                <w:bCs w:val="0"/>
                <w:sz w:val="24"/>
                <w:szCs w:val="24"/>
              </w:rPr>
            </w:pPr>
            <w:r>
              <w:rPr>
                <w:b w:val="0"/>
                <w:bCs w:val="0"/>
                <w:sz w:val="24"/>
                <w:szCs w:val="24"/>
                <w:rtl w:val="0"/>
              </w:rPr>
              <w:t xml:space="preserve">Proportion of patients with HBeAg loss and with HBeAg seroconversion to anti-HBe at week 48. Percent change in spine bone mineral density, and change from baseline in serum creatinine. Proportion of patients with plasma HBV DNA less than 29 IU/mL (target not detected), the proportion of patients with HBsAg</w:t>
            </w:r>
          </w:p>
          <w:p w:rsidR="00000000" w:rsidDel="00000000" w:rsidP="00000000" w:rsidRDefault="00000000" w:rsidRPr="00000000" w14:paraId="0000017B">
            <w:pPr>
              <w:pStyle w:val="Title"/>
              <w:spacing w:before="185" w:lineRule="auto"/>
              <w:ind w:left="0" w:firstLine="0"/>
              <w:rPr>
                <w:b w:val="0"/>
                <w:bCs w:val="0"/>
                <w:sz w:val="24"/>
                <w:szCs w:val="24"/>
              </w:rPr>
            </w:pPr>
            <w:r>
              <w:rPr>
                <w:b w:val="0"/>
                <w:bCs w:val="0"/>
                <w:sz w:val="24"/>
                <w:szCs w:val="24"/>
                <w:rtl w:val="0"/>
              </w:rPr>
              <w:t xml:space="preserve">seroconversion to anti-HBs at week 48, the change from baseline in fibrosis the incidence of drug-resistant mutations in patients who had HBV DNA of 69 IU/mL or higher at week 48, and the proportion of patients with ALT normalization at week 48.</w:t>
            </w:r>
          </w:p>
          <w:p w:rsidR="00000000" w:rsidDel="00000000" w:rsidP="00000000" w:rsidRDefault="00000000" w:rsidRPr="00000000" w14:paraId="0000017C">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7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Proportion of patients with HBV DNA less than 20 IU/mL (including the proportion with target not detected), by missing equals failure analysis, proportion of patients with HBeAg loss and seroconversion to anti-HBe, proportion of patients with HBsAg loss and sero-conversion to anti-HBs, patients with normal ALT and normalised ALT and change from baseline in fibrosis. The percentage change from baseline in hip and spine bone mineral density and change in creatinine clearance at week 48.</w:t>
            </w:r>
          </w:p>
          <w:p w:rsidR="00000000" w:rsidDel="00000000" w:rsidP="00000000" w:rsidRDefault="00000000" w:rsidRPr="00000000" w14:paraId="0000017E">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 </w:t>
            </w:r>
          </w:p>
          <w:p w:rsidR="00000000" w:rsidDel="00000000" w:rsidP="00000000" w:rsidRDefault="00000000" w:rsidRPr="00000000" w14:paraId="0000017F">
            <w:pPr>
              <w:pStyle w:val="Title"/>
              <w:spacing w:before="185" w:lineRule="auto"/>
              <w:ind w:firstLine="100"/>
              <w:rPr>
                <w:b w:val="0"/>
                <w:bCs w:val="0"/>
                <w:sz w:val="24"/>
                <w:szCs w:val="24"/>
              </w:rPr>
            </w:pPr>
            <w:r>
              <w:rPr>
                <w:rtl w:val="0"/>
              </w:rPr>
            </w:r>
          </w:p>
        </w:tc>
        <w:tc>
          <w:tcPr/>
          <w:p w:rsidR="00000000" w:rsidDel="00000000" w:rsidP="00000000" w:rsidRDefault="00000000" w:rsidRPr="00000000" w14:paraId="0000018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Proportion of patients with undetectable serum HBV DNA (&lt;15 IU/mL), incidence of virologic breakthrough, changes from baseline in ALT levels, the proportion of patients with normal ALT levels, the patients with HBeAg seroclearance/seroconversion in basal HBeAg-positive patients, the patients</w:t>
              <w:br w:type="textWrapping"/>
              <w:t xml:space="preserve">with HBsAg seroclearance and changes in hip and spine BMD, eGFR, body weight, and lipid profiles from baseline at week 48. Virologic breakthrough was defined as an increase in serum HBV DNA levels - 1 log10 IU/mL from nadir during continued treatment.</w:t>
            </w:r>
          </w:p>
          <w:p w:rsidR="00000000" w:rsidDel="00000000" w:rsidP="00000000" w:rsidRDefault="00000000" w:rsidRPr="00000000" w14:paraId="00000181">
            <w:pPr>
              <w:rPr>
                <w:rFonts w:ascii="Times New Roman" w:cs="Times New Roman" w:eastAsia="Times New Roman" w:hAnsi="Times New Roman"/>
                <w:sz w:val="24"/>
                <w:szCs w:val="24"/>
              </w:rPr>
            </w:pPr>
            <w:r>
              <w:rPr>
                <w:rtl w:val="0"/>
              </w:rPr>
            </w:r>
          </w:p>
        </w:tc>
        <w:tc>
          <w:tcPr/>
          <w:p w:rsidR="00000000" w:rsidDel="00000000" w:rsidP="00000000" w:rsidRDefault="00000000" w:rsidRPr="00000000" w14:paraId="00000182">
            <w:pPr>
              <w:rPr>
                <w:rFonts w:ascii="Times New Roman" w:cs="Times New Roman" w:eastAsia="Times New Roman" w:hAnsi="Times New Roman"/>
                <w:sz w:val="24"/>
                <w:szCs w:val="24"/>
              </w:rPr>
            </w:pPr>
            <w:r>
              <w:rPr>
                <w:rtl w:val="0"/>
              </w:rPr>
            </w:r>
          </w:p>
        </w:tc>
      </w:tr>
      <w:tr>
        <w:trPr>
          <w:cantSplit w:val="1"/>
          <w:tblHeader w:val="1"/>
        </w:trPr>
        <w:tc>
          <w:tcPr/>
          <w:p w:rsidR="00000000" w:rsidDel="00000000" w:rsidP="00000000" w:rsidRDefault="00000000" w:rsidRPr="00000000" w14:paraId="00000183">
            <w:pPr>
              <w:pStyle w:val="Title"/>
              <w:spacing w:before="185" w:lineRule="auto"/>
              <w:ind w:left="0" w:firstLine="0"/>
              <w:rPr>
                <w:sz w:val="24"/>
                <w:szCs w:val="24"/>
              </w:rPr>
            </w:pPr>
            <w:r>
              <w:rPr>
                <w:sz w:val="24"/>
                <w:szCs w:val="24"/>
                <w:rtl w:val="0"/>
              </w:rPr>
              <w:t xml:space="preserve">Intervention Period </w:t>
            </w:r>
          </w:p>
        </w:tc>
        <w:tc>
          <w:tcPr/>
          <w:p w:rsidR="00000000" w:rsidDel="00000000" w:rsidP="00000000" w:rsidRDefault="00000000" w:rsidRPr="00000000" w14:paraId="00000184">
            <w:pPr>
              <w:pStyle w:val="Title"/>
              <w:spacing w:before="185" w:lineRule="auto"/>
              <w:ind w:left="0" w:firstLine="0"/>
              <w:rPr>
                <w:b w:val="0"/>
                <w:bCs w:val="0"/>
                <w:sz w:val="24"/>
                <w:szCs w:val="24"/>
              </w:rPr>
            </w:pPr>
            <w:r>
              <w:rPr>
                <w:b w:val="0"/>
                <w:bCs w:val="0"/>
                <w:sz w:val="24"/>
                <w:szCs w:val="24"/>
                <w:rtl w:val="0"/>
              </w:rPr>
              <w:t xml:space="preserve">8 years with efficacy endpoints assessed through 48 weeks in the trial</w:t>
            </w:r>
          </w:p>
          <w:p w:rsidR="00000000" w:rsidDel="00000000" w:rsidP="00000000" w:rsidRDefault="00000000" w:rsidRPr="00000000" w14:paraId="00000185">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86">
            <w:pPr>
              <w:pStyle w:val="Title"/>
              <w:spacing w:before="185" w:lineRule="auto"/>
              <w:ind w:left="0" w:firstLine="0"/>
              <w:rPr>
                <w:b w:val="0"/>
                <w:bCs w:val="0"/>
                <w:sz w:val="24"/>
                <w:szCs w:val="24"/>
              </w:rPr>
            </w:pPr>
            <w:r>
              <w:rPr>
                <w:b w:val="0"/>
                <w:bCs w:val="0"/>
                <w:sz w:val="24"/>
                <w:szCs w:val="24"/>
                <w:rtl w:val="0"/>
              </w:rPr>
              <w:t xml:space="preserve">8 years with efficacy endpoints assessed through 48 weeks in the trial</w:t>
            </w:r>
          </w:p>
          <w:p w:rsidR="00000000" w:rsidDel="00000000" w:rsidP="00000000" w:rsidRDefault="00000000" w:rsidRPr="00000000" w14:paraId="00000187">
            <w:pPr>
              <w:pStyle w:val="Title"/>
              <w:spacing w:before="185" w:lineRule="auto"/>
              <w:ind w:left="0" w:firstLine="0"/>
              <w:rPr>
                <w:b w:val="0"/>
                <w:bCs w:val="0"/>
                <w:sz w:val="24"/>
                <w:szCs w:val="24"/>
              </w:rPr>
            </w:pPr>
            <w:r>
              <w:rPr>
                <w:rtl w:val="0"/>
              </w:rPr>
            </w:r>
          </w:p>
        </w:tc>
        <w:tc>
          <w:tcPr/>
          <w:p w:rsidR="00000000" w:rsidDel="00000000" w:rsidP="00000000" w:rsidRDefault="00000000" w:rsidRPr="00000000" w14:paraId="00000188">
            <w:pPr>
              <w:pStyle w:val="Title"/>
              <w:spacing w:before="185" w:lineRule="auto"/>
              <w:ind w:left="0" w:firstLine="0"/>
              <w:rPr>
                <w:b w:val="0"/>
                <w:bCs w:val="0"/>
                <w:sz w:val="24"/>
                <w:szCs w:val="24"/>
              </w:rPr>
            </w:pPr>
            <w:r>
              <w:rPr>
                <w:b w:val="0"/>
                <w:bCs w:val="0"/>
                <w:sz w:val="24"/>
                <w:szCs w:val="24"/>
                <w:rtl w:val="0"/>
              </w:rPr>
              <w:t xml:space="preserve">8 years with efficacy endpoints assessed through 48 weeks in the trial</w:t>
            </w:r>
          </w:p>
          <w:p w:rsidR="00000000" w:rsidDel="00000000" w:rsidP="00000000" w:rsidRDefault="00000000" w:rsidRPr="00000000" w14:paraId="00000189">
            <w:pPr>
              <w:pStyle w:val="Title"/>
              <w:spacing w:before="185" w:lineRule="auto"/>
              <w:ind w:firstLine="100"/>
              <w:rPr>
                <w:b w:val="0"/>
                <w:bCs w:val="0"/>
                <w:sz w:val="24"/>
                <w:szCs w:val="24"/>
              </w:rPr>
            </w:pPr>
            <w:r>
              <w:rPr>
                <w:rtl w:val="0"/>
              </w:rPr>
            </w:r>
          </w:p>
        </w:tc>
        <w:tc>
          <w:tcPr/>
          <w:p w:rsidR="00000000" w:rsidDel="00000000" w:rsidP="00000000" w:rsidRDefault="00000000" w:rsidRPr="00000000" w14:paraId="0000018A">
            <w:pPr>
              <w:pStyle w:val="Title"/>
              <w:spacing w:before="185" w:lineRule="auto"/>
              <w:ind w:left="0" w:firstLine="0"/>
              <w:rPr>
                <w:b w:val="0"/>
                <w:bCs w:val="0"/>
                <w:sz w:val="24"/>
                <w:szCs w:val="24"/>
              </w:rPr>
            </w:pPr>
            <w:r>
              <w:rPr>
                <w:b w:val="0"/>
                <w:bCs w:val="0"/>
                <w:sz w:val="24"/>
                <w:szCs w:val="24"/>
                <w:rtl w:val="0"/>
              </w:rPr>
              <w:t xml:space="preserve">5 years with efficacy endpoints assessed through 48 weeks in the trial</w:t>
            </w:r>
          </w:p>
          <w:p w:rsidR="00000000" w:rsidDel="00000000" w:rsidP="00000000" w:rsidRDefault="00000000" w:rsidRPr="00000000" w14:paraId="0000018B">
            <w:pPr>
              <w:rPr>
                <w:rFonts w:ascii="Times New Roman" w:cs="Times New Roman" w:eastAsia="Times New Roman" w:hAnsi="Times New Roman"/>
                <w:sz w:val="24"/>
                <w:szCs w:val="24"/>
              </w:rPr>
            </w:pPr>
            <w:r>
              <w:rPr>
                <w:rtl w:val="0"/>
              </w:rPr>
            </w:r>
          </w:p>
        </w:tc>
        <w:tc>
          <w:tcPr/>
          <w:p w:rsidR="00000000" w:rsidDel="00000000" w:rsidP="00000000" w:rsidRDefault="00000000" w:rsidRPr="00000000" w14:paraId="0000018C">
            <w:pPr>
              <w:pStyle w:val="Title"/>
              <w:spacing w:before="185" w:lineRule="auto"/>
              <w:ind w:left="0" w:firstLine="0"/>
              <w:rPr>
                <w:b w:val="0"/>
                <w:bCs w:val="0"/>
                <w:sz w:val="24"/>
                <w:szCs w:val="24"/>
              </w:rPr>
            </w:pPr>
            <w:r>
              <w:rPr>
                <w:rtl w:val="0"/>
              </w:rPr>
            </w:r>
          </w:p>
        </w:tc>
      </w:tr>
    </w:tbl>
    <w:p w:rsidR="00000000" w:rsidDel="00000000" w:rsidP="00000000" w:rsidRDefault="00000000" w:rsidRPr="00000000" w14:paraId="0000018D">
      <w:pPr>
        <w:pStyle w:val="Title"/>
        <w:spacing w:before="185" w:lineRule="auto"/>
        <w:ind w:left="0" w:firstLine="0"/>
        <w:rPr>
          <w:sz w:val="24"/>
          <w:szCs w:val="24"/>
        </w:rPr>
      </w:pPr>
      <w:r>
        <w:rPr>
          <w:rtl w:val="0"/>
        </w:rPr>
      </w:r>
    </w:p>
    <w:p w:rsidR="00000000" w:rsidDel="00000000" w:rsidP="00000000" w:rsidRDefault="00000000" w:rsidRPr="00000000" w14:paraId="0000018E">
      <w:pPr>
        <w:rPr>
          <w:rFonts w:ascii="Times New Roman" w:cs="Times New Roman" w:eastAsia="Times New Roman" w:hAnsi="Times New Roman"/>
          <w:sz w:val="24"/>
          <w:szCs w:val="24"/>
        </w:rPr>
      </w:pPr>
      <w:r>
        <w:rPr>
          <w:rtl w:val="0"/>
        </w:rPr>
      </w:r>
    </w:p>
    <w:p w:rsidR="00000000" w:rsidDel="00000000" w:rsidP="00000000" w:rsidRDefault="00000000" w:rsidRPr="00000000" w14:paraId="0000018F">
      <w:pPr>
        <w:rPr>
          <w:rFonts w:ascii="Times New Roman" w:cs="Times New Roman" w:eastAsia="Times New Roman" w:hAnsi="Times New Roman"/>
          <w:b w:val="1"/>
          <w:bCs w:val="1"/>
          <w:sz w:val="24"/>
          <w:szCs w:val="24"/>
          <w:highlight w:val="yellow"/>
        </w:rPr>
      </w:pPr>
      <w:r>
        <w:rPr>
          <w:rFonts w:ascii="Times New Roman" w:cs="Times New Roman" w:eastAsia="Times New Roman" w:hAnsi="Times New Roman"/>
          <w:b w:val="1"/>
          <w:bCs w:val="1"/>
          <w:sz w:val="24"/>
          <w:szCs w:val="24"/>
          <w:highlight w:val="yellow"/>
          <w:rtl w:val="0"/>
        </w:rPr>
        <w:t xml:space="preserve">Supplementary Table S3: Risk of Bias Judgements for Included RCTs</w:t>
      </w:r>
    </w:p>
    <w:p w:rsidR="00000000" w:rsidDel="00000000" w:rsidP="00000000" w:rsidRDefault="00000000" w:rsidRPr="00000000" w14:paraId="00000190">
      <w:pPr>
        <w:rPr>
          <w:rFonts w:ascii="Times New Roman" w:cs="Times New Roman" w:eastAsia="Times New Roman" w:hAnsi="Times New Roman"/>
          <w:sz w:val="24"/>
          <w:szCs w:val="24"/>
        </w:rPr>
      </w:pPr>
      <w:r>
        <w:rPr>
          <w:rtl w:val="0"/>
        </w:rPr>
      </w:r>
    </w:p>
    <w:tbl>
      <w:tblPr>
        <w:tblStyle w:val="Table4"/>
        <w:tblW w:w="95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8.5124999999996"/>
        <w:gridCol w:w="1598.3124999999998"/>
        <w:gridCol w:w="1831.3374999999996"/>
        <w:gridCol w:w="1956.8124999999998"/>
        <w:gridCol w:w="2145.0249999999996"/>
        <w:tblGridChange w:id="0">
          <w:tblGrid>
            <w:gridCol w:w="2028.5124999999996"/>
            <w:gridCol w:w="1598.3124999999998"/>
            <w:gridCol w:w="1831.3374999999996"/>
            <w:gridCol w:w="1956.8124999999998"/>
            <w:gridCol w:w="2145.0249999999996"/>
          </w:tblGrid>
        </w:tblGridChange>
      </w:tblGrid>
      <w:tr>
        <w:trPr>
          <w:cantSplit w:val="0"/>
          <w:trHeight w:val="500"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1">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Domain</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2">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Chan 2016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3">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Buti 2016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4">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Lampertico 2020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5">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Byun 2022</w:t>
            </w:r>
          </w:p>
        </w:tc>
      </w:tr>
      <w:tr>
        <w:trPr>
          <w:cantSplit w:val="0"/>
          <w:trHeight w:val="11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6">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 Random sequence generation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computer-generated randomization reported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8">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Computer-generated allocation sequence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9">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computer-generated randomization reported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A">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Interactive web response system using a centralized</w:t>
            </w:r>
          </w:p>
          <w:p w:rsidR="00000000" w:rsidDel="00000000" w:rsidP="00000000" w:rsidRDefault="00000000" w:rsidRPr="00000000" w14:paraId="0000019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procedure</w:t>
            </w:r>
          </w:p>
        </w:tc>
      </w:tr>
      <w:tr>
        <w:trPr>
          <w:cantSplit w:val="0"/>
          <w:trHeight w:val="17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C">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Allocation concealment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Automated treatment was</w:t>
            </w:r>
          </w:p>
          <w:p w:rsidR="00000000" w:rsidDel="00000000" w:rsidP="00000000" w:rsidRDefault="00000000" w:rsidRPr="00000000" w14:paraId="0000019E">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assignment via an interactive voice web response system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9F">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Automated treatment was</w:t>
            </w:r>
          </w:p>
          <w:p w:rsidR="00000000" w:rsidDel="00000000" w:rsidP="00000000" w:rsidRDefault="00000000" w:rsidRPr="00000000" w14:paraId="000001A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assignment via an interactive voice web response system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1">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Automated treatment was</w:t>
            </w:r>
          </w:p>
          <w:p w:rsidR="00000000" w:rsidDel="00000000" w:rsidP="00000000" w:rsidRDefault="00000000" w:rsidRPr="00000000" w14:paraId="000001A2">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assignment via an interactive voice web response system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3">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Interactive web response system using a centralized</w:t>
            </w:r>
          </w:p>
          <w:p w:rsidR="00000000" w:rsidDel="00000000" w:rsidP="00000000" w:rsidRDefault="00000000" w:rsidRPr="00000000" w14:paraId="000001A4">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procedure</w:t>
            </w:r>
          </w:p>
        </w:tc>
      </w:tr>
      <w:tr>
        <w:trPr>
          <w:cantSplit w:val="0"/>
          <w:trHeight w:val="11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5">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Blinding of participants &amp; personnel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6">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double-blind; matching placebo was used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double-blind; matching placebo was used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8">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double-blind; matching placebo was used</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9">
            <w:pPr>
              <w:rPr>
                <w:rFonts w:ascii="Times New Roman" w:cs="Times New Roman" w:eastAsia="Times New Roman" w:hAnsi="Times New Roman"/>
                <w:sz w:val="24"/>
                <w:szCs w:val="24"/>
              </w:rPr>
            </w:pPr>
            <w:r>
              <w:rPr>
                <w:rFonts w:ascii="Times New Roman" w:cs="Times New Roman" w:eastAsia="Times New Roman" w:hAnsi="Times New Roman"/>
                <w:b w:val="1"/>
                <w:bCs w:val="1"/>
                <w:sz w:val="24"/>
                <w:szCs w:val="24"/>
                <w:rtl w:val="0"/>
              </w:rPr>
              <w:t xml:space="preserve">High </w:t>
            </w:r>
            <w:r>
              <w:rPr>
                <w:rFonts w:ascii="Times New Roman" w:cs="Times New Roman" w:eastAsia="Times New Roman" w:hAnsi="Times New Roman"/>
                <w:sz w:val="24"/>
                <w:szCs w:val="24"/>
                <w:rtl w:val="0"/>
              </w:rPr>
              <w:t xml:space="preserve">— open-label design</w:t>
            </w:r>
          </w:p>
        </w:tc>
      </w:tr>
      <w:tr>
        <w:trPr>
          <w:cantSplit w:val="0"/>
          <w:trHeight w:val="14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A">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Blinding of outcome assessment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Outcomes were lab values (objective assessment) and blinding was done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C">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Outcomes were lab values (objective assessment) and blinding was done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Unclear — Outcomes were lab values (objective assessment), however nothing mentioned about blinding</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E">
            <w:pPr>
              <w:rPr>
                <w:rFonts w:ascii="Times New Roman" w:cs="Times New Roman" w:eastAsia="Times New Roman" w:hAnsi="Times New Roman"/>
                <w:sz w:val="24"/>
                <w:szCs w:val="24"/>
              </w:rPr>
            </w:pPr>
            <w:r>
              <w:rPr>
                <w:rFonts w:ascii="Times New Roman" w:cs="Times New Roman" w:eastAsia="Times New Roman" w:hAnsi="Times New Roman"/>
                <w:b w:val="1"/>
                <w:bCs w:val="1"/>
                <w:sz w:val="24"/>
                <w:szCs w:val="24"/>
                <w:rtl w:val="0"/>
              </w:rPr>
              <w:t xml:space="preserve">High</w:t>
            </w:r>
            <w:r>
              <w:rPr>
                <w:rFonts w:ascii="Times New Roman" w:cs="Times New Roman" w:eastAsia="Times New Roman" w:hAnsi="Times New Roman"/>
                <w:sz w:val="24"/>
                <w:szCs w:val="24"/>
                <w:rtl w:val="0"/>
              </w:rPr>
              <w:t xml:space="preserve"> — open-label</w:t>
            </w:r>
          </w:p>
        </w:tc>
      </w:tr>
      <w:tr>
        <w:trPr>
          <w:cantSplit w:val="0"/>
          <w:trHeight w:val="14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AF">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Incomplete outcome data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Trial profile mentions the drop outs with reasons and explanation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1">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Trial profile mentions the drop outs with reasons and explanation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2">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Trial profile mentions the drop outs with reasons and explanation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3">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Trial profile mentions the drop outs with reasons and explanation</w:t>
            </w:r>
          </w:p>
        </w:tc>
      </w:tr>
      <w:tr>
        <w:trPr>
          <w:cantSplit w:val="0"/>
          <w:trHeight w:val="14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4">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Selective reporting</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5">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All outcomes mentioned are reported as well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6">
            <w:pPr>
              <w:rPr>
                <w:rFonts w:ascii="Times New Roman" w:cs="Times New Roman" w:eastAsia="Times New Roman" w:hAnsi="Times New Roman"/>
                <w:sz w:val="24"/>
                <w:szCs w:val="24"/>
              </w:rPr>
            </w:pPr>
            <w:r>
              <w:rPr>
                <w:rFonts w:ascii="Times New Roman" w:cs="Times New Roman" w:eastAsia="Times New Roman" w:hAnsi="Times New Roman"/>
                <w:b w:val="1"/>
                <w:bCs w:val="1"/>
                <w:sz w:val="24"/>
                <w:szCs w:val="24"/>
                <w:rtl w:val="0"/>
              </w:rPr>
              <w:t xml:space="preserve">High </w:t>
            </w:r>
            <w:r>
              <w:rPr>
                <w:rFonts w:ascii="Times New Roman" w:cs="Times New Roman" w:eastAsia="Times New Roman" w:hAnsi="Times New Roman"/>
                <w:sz w:val="24"/>
                <w:szCs w:val="24"/>
                <w:rtl w:val="0"/>
              </w:rPr>
              <w:t xml:space="preserve">— HBsAg and fibrotest not reported after the analysis whereas mentioned as ouctomes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All outcomes mentioned are reported as well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8">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All outcomes mentioned are reported as well</w:t>
            </w:r>
          </w:p>
        </w:tc>
      </w:tr>
      <w:tr>
        <w:trPr>
          <w:cantSplit w:val="0"/>
          <w:trHeight w:val="14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9">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Other bias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A">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baseline characteristics equal proportion with no conflicts of Interest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baseline characteristics equal proportion with no conflicts of Interest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C">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baseline characteristics equal proportion with no conflicts of Interest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 baseline characteristics equal proportion with no conflicts of Interest</w:t>
            </w:r>
          </w:p>
        </w:tc>
      </w:tr>
      <w:tr>
        <w:trPr>
          <w:cantSplit w:val="0"/>
          <w:trHeight w:val="5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E">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Overall judgement</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BF">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Risk</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0">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High Risk</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1">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Low Risk</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2">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High risk</w:t>
            </w:r>
          </w:p>
        </w:tc>
      </w:tr>
    </w:tbl>
    <w:p w:rsidR="00000000" w:rsidDel="00000000" w:rsidP="00000000" w:rsidRDefault="00000000" w:rsidRPr="00000000" w14:paraId="000001C3">
      <w:pPr>
        <w:rPr>
          <w:rFonts w:ascii="Times New Roman" w:cs="Times New Roman" w:eastAsia="Times New Roman" w:hAnsi="Times New Roman"/>
          <w:sz w:val="24"/>
          <w:szCs w:val="24"/>
        </w:rPr>
      </w:pPr>
      <w:r>
        <w:rPr>
          <w:rtl w:val="0"/>
        </w:rPr>
      </w:r>
    </w:p>
    <w:p w:rsidR="00000000" w:rsidDel="00000000" w:rsidP="00000000" w:rsidRDefault="00000000" w:rsidRPr="00000000" w14:paraId="000001C4">
      <w:pPr>
        <w:rPr>
          <w:rFonts w:ascii="Times New Roman" w:cs="Times New Roman" w:eastAsia="Times New Roman" w:hAnsi="Times New Roman"/>
          <w:sz w:val="24"/>
          <w:szCs w:val="24"/>
        </w:rPr>
      </w:pPr>
      <w:r>
        <w:rPr>
          <w:rFonts w:ascii="Times New Roman" w:cs="Times New Roman" w:eastAsia="Times New Roman" w:hAnsi="Times New Roman"/>
          <w:b w:val="1"/>
          <w:bCs w:val="1"/>
          <w:sz w:val="24"/>
          <w:szCs w:val="24"/>
          <w:highlight w:val="yellow"/>
          <w:rtl w:val="0"/>
        </w:rPr>
        <w:t xml:space="preserve">Supplementary Table S4: GRADE Summary of Findings</w:t>
      </w:r>
      <w:r>
        <w:rPr>
          <w:rtl w:val="0"/>
        </w:rPr>
      </w:r>
    </w:p>
    <w:tbl>
      <w:tblPr>
        <w:tblStyle w:val="Table5"/>
        <w:tblW w:w="95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28.467815049864"/>
        <w:gridCol w:w="1304.424297370807"/>
        <w:gridCol w:w="1057.4070716228466"/>
        <w:gridCol w:w="1486.4369900271984"/>
        <w:gridCol w:w="1330.426110607434"/>
        <w:gridCol w:w="1278.4224841341793"/>
        <w:gridCol w:w="1174.4152311876699"/>
        <w:tblGridChange w:id="0">
          <w:tblGrid>
            <w:gridCol w:w="1928.467815049864"/>
            <w:gridCol w:w="1304.424297370807"/>
            <w:gridCol w:w="1057.4070716228466"/>
            <w:gridCol w:w="1486.4369900271984"/>
            <w:gridCol w:w="1330.426110607434"/>
            <w:gridCol w:w="1278.4224841341793"/>
            <w:gridCol w:w="1174.4152311876699"/>
          </w:tblGrid>
        </w:tblGridChange>
      </w:tblGrid>
      <w:tr>
        <w:trPr>
          <w:cantSplit w:val="0"/>
          <w:trHeight w:val="1010"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5">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Outcome (contributing studies)</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6">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Effect estimate (95% CI)</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7">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Risk of bias</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8">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Inconsistency</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9">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Indirectness</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A">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Imprecision</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B">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Certainty (GRADE)</w:t>
            </w:r>
          </w:p>
        </w:tc>
      </w:tr>
      <w:tr>
        <w:trPr>
          <w:cantSplit w:val="0"/>
          <w:trHeight w:val="126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C">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HBV DNA suppression (Chan, Buti, Lampertico,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RR 1.00 (0.96–1.05)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E">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CF">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 (I²=0%)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1">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2">
            <w:pPr>
              <w:rPr>
                <w:rFonts w:ascii="Times New Roman" w:cs="Times New Roman" w:eastAsia="Times New Roman" w:hAnsi="Times New Roman"/>
                <w:sz w:val="24"/>
                <w:szCs w:val="24"/>
              </w:rPr>
            </w:pPr>
            <w:sdt>
              <w:sdtPr>
                <w:id w:val="-1017379325"/>
                <w:tag w:val="goog_rdk_3"/>
              </w:sdtPr>
              <w:sdtContent>
                <w:r>
                  <w:rPr>
                    <w:rFonts w:ascii="Gungsuh" w:cs="Gungsuh" w:eastAsia="Gungsuh" w:hAnsi="Gungsuh"/>
                    <w:sz w:val="24"/>
                    <w:szCs w:val="24"/>
                    <w:rtl w:val="0"/>
                  </w:rPr>
                  <w:t xml:space="preserve">⊕⊕⊕◯ Moderate</w:t>
                </w:r>
              </w:sdtContent>
            </w:sdt>
          </w:p>
        </w:tc>
      </w:tr>
      <w:tr>
        <w:trPr>
          <w:cantSplit w:val="0"/>
          <w:trHeight w:val="101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3">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ALT normalization (Chan, Buti, Lampertico,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4">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RR 1.38 (1.16–1.64)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5">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6">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 (I²=18%)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8">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9">
            <w:pPr>
              <w:rPr>
                <w:rFonts w:ascii="Times New Roman" w:cs="Times New Roman" w:eastAsia="Times New Roman" w:hAnsi="Times New Roman"/>
                <w:sz w:val="24"/>
                <w:szCs w:val="24"/>
              </w:rPr>
            </w:pPr>
            <w:sdt>
              <w:sdtPr>
                <w:id w:val="-1804347882"/>
                <w:tag w:val="goog_rdk_4"/>
              </w:sdtPr>
              <w:sdtContent>
                <w:r>
                  <w:rPr>
                    <w:rFonts w:ascii="Gungsuh" w:cs="Gungsuh" w:eastAsia="Gungsuh" w:hAnsi="Gungsuh"/>
                    <w:sz w:val="24"/>
                    <w:szCs w:val="24"/>
                    <w:rtl w:val="0"/>
                  </w:rPr>
                  <w:t xml:space="preserve">⊕⊕⊕◯ Moderate</w:t>
                </w:r>
              </w:sdtContent>
            </w:sdt>
          </w:p>
        </w:tc>
      </w:tr>
      <w:tr>
        <w:trPr>
          <w:cantSplit w:val="0"/>
          <w:trHeight w:val="101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A">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Hip BMD (Chan, Buti, Lampertico,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MD 1.44 (0.98–1.91)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C">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Serious⁠ᵇ (I²=87%)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E">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DF">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0">
            <w:pPr>
              <w:rPr>
                <w:rFonts w:ascii="Times New Roman" w:cs="Times New Roman" w:eastAsia="Times New Roman" w:hAnsi="Times New Roman"/>
                <w:sz w:val="24"/>
                <w:szCs w:val="24"/>
              </w:rPr>
            </w:pPr>
            <w:sdt>
              <w:sdtPr>
                <w:id w:val="1955511516"/>
                <w:tag w:val="goog_rdk_5"/>
              </w:sdtPr>
              <w:sdtContent>
                <w:r>
                  <w:rPr>
                    <w:rFonts w:ascii="Gungsuh" w:cs="Gungsuh" w:eastAsia="Gungsuh" w:hAnsi="Gungsuh"/>
                    <w:sz w:val="24"/>
                    <w:szCs w:val="24"/>
                    <w:rtl w:val="0"/>
                  </w:rPr>
                  <w:t xml:space="preserve">⊕⊕◯◯ Low</w:t>
                </w:r>
              </w:sdtContent>
            </w:sdt>
          </w:p>
        </w:tc>
      </w:tr>
      <w:tr>
        <w:trPr>
          <w:cantSplit w:val="0"/>
          <w:trHeight w:val="101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1">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Spine BMD (Chan, Buti, Lampertico,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2">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MD 1.93 (1.42–2.44)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3">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4">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Serious⁠ᵇ (I²=80%)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5">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6">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7">
            <w:pPr>
              <w:rPr>
                <w:rFonts w:ascii="Times New Roman" w:cs="Times New Roman" w:eastAsia="Times New Roman" w:hAnsi="Times New Roman"/>
                <w:sz w:val="24"/>
                <w:szCs w:val="24"/>
              </w:rPr>
            </w:pPr>
            <w:sdt>
              <w:sdtPr>
                <w:id w:val="-1245558866"/>
                <w:tag w:val="goog_rdk_6"/>
              </w:sdtPr>
              <w:sdtContent>
                <w:r>
                  <w:rPr>
                    <w:rFonts w:ascii="Gungsuh" w:cs="Gungsuh" w:eastAsia="Gungsuh" w:hAnsi="Gungsuh"/>
                    <w:sz w:val="24"/>
                    <w:szCs w:val="24"/>
                    <w:rtl w:val="0"/>
                  </w:rPr>
                  <w:t xml:space="preserve">⊕⊕◯◯ Low</w:t>
                </w:r>
              </w:sdtContent>
            </w:sdt>
          </w:p>
        </w:tc>
      </w:tr>
      <w:tr>
        <w:trPr>
          <w:cantSplit w:val="0"/>
          <w:trHeight w:val="101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8">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Serum creatinine (Chan, Buti, Lampertico,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9">
            <w:pPr>
              <w:rPr>
                <w:rFonts w:ascii="Times New Roman" w:cs="Times New Roman" w:eastAsia="Times New Roman" w:hAnsi="Times New Roman"/>
                <w:sz w:val="24"/>
                <w:szCs w:val="24"/>
              </w:rPr>
            </w:pPr>
            <w:sdt>
              <w:sdtPr>
                <w:id w:val="-34029895"/>
                <w:tag w:val="goog_rdk_7"/>
              </w:sdtPr>
              <w:sdtContent>
                <w:r>
                  <w:rPr>
                    <w:rFonts w:ascii="Gungsuh" w:cs="Gungsuh" w:eastAsia="Gungsuh" w:hAnsi="Gungsuh"/>
                    <w:sz w:val="24"/>
                    <w:szCs w:val="24"/>
                    <w:rtl w:val="0"/>
                  </w:rPr>
                  <w:t xml:space="preserve">MD −0.02 (−0.03 to −0.01)</w:t>
                </w:r>
              </w:sdtContent>
            </w:sdt>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A">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Serious⁠ᵃ</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 (I²=0%)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C">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D">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E">
            <w:pPr>
              <w:rPr>
                <w:rFonts w:ascii="Times New Roman" w:cs="Times New Roman" w:eastAsia="Times New Roman" w:hAnsi="Times New Roman"/>
                <w:sz w:val="24"/>
                <w:szCs w:val="24"/>
              </w:rPr>
            </w:pPr>
            <w:sdt>
              <w:sdtPr>
                <w:id w:val="-1101899369"/>
                <w:tag w:val="goog_rdk_8"/>
              </w:sdtPr>
              <w:sdtContent>
                <w:r>
                  <w:rPr>
                    <w:rFonts w:ascii="Gungsuh" w:cs="Gungsuh" w:eastAsia="Gungsuh" w:hAnsi="Gungsuh"/>
                    <w:sz w:val="24"/>
                    <w:szCs w:val="24"/>
                    <w:rtl w:val="0"/>
                  </w:rPr>
                  <w:t xml:space="preserve">⊕⊕⊕◯ Moderate</w:t>
                </w:r>
              </w:sdtContent>
            </w:sdt>
          </w:p>
        </w:tc>
      </w:tr>
      <w:tr>
        <w:trPr>
          <w:cantSplit w:val="0"/>
          <w:trHeight w:val="80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EF">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eGFR (Chan, Buti, Byun)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0">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MD 3.55 (2.97–4.14)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1">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Serious⁠ᶜ</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2">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 (I²=0%)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3">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4">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5">
            <w:pPr>
              <w:rPr>
                <w:rFonts w:ascii="Times New Roman" w:cs="Times New Roman" w:eastAsia="Times New Roman" w:hAnsi="Times New Roman"/>
                <w:sz w:val="24"/>
                <w:szCs w:val="24"/>
              </w:rPr>
            </w:pPr>
            <w:sdt>
              <w:sdtPr>
                <w:id w:val="-316421722"/>
                <w:tag w:val="goog_rdk_9"/>
              </w:sdtPr>
              <w:sdtContent>
                <w:r>
                  <w:rPr>
                    <w:rFonts w:ascii="Gungsuh" w:cs="Gungsuh" w:eastAsia="Gungsuh" w:hAnsi="Gungsuh"/>
                    <w:sz w:val="24"/>
                    <w:szCs w:val="24"/>
                    <w:rtl w:val="0"/>
                  </w:rPr>
                  <w:t xml:space="preserve">⊕⊕⊕◯ Moderate</w:t>
                </w:r>
              </w:sdtContent>
            </w:sdt>
          </w:p>
        </w:tc>
      </w:tr>
      <w:tr>
        <w:trPr>
          <w:cantSplit w:val="0"/>
          <w:trHeight w:val="126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6">
            <w:pP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LDL cholesterol &gt;190–300 mg/dL (Chan, Buti, Lampertico)</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7">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RR 4.95 (1.21–20.29)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8">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serious⁠ᵅ</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9">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Serious⁠ᵇ (I²=41%)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A">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Not serious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B">
            <w:pPr>
              <w:rPr>
                <w:rFonts w:ascii="Times New Roman" w:cs="Times New Roman" w:eastAsia="Times New Roman" w:hAnsi="Times New Roman"/>
                <w:sz w:val="24"/>
                <w:szCs w:val="24"/>
              </w:rPr>
            </w:pPr>
            <w:r>
              <w:rPr>
                <w:rFonts w:ascii="Times New Roman" w:cs="Times New Roman" w:eastAsia="Times New Roman" w:hAnsi="Times New Roman"/>
                <w:sz w:val="24"/>
                <w:szCs w:val="24"/>
                <w:rtl w:val="0"/>
              </w:rPr>
              <w:t xml:space="preserve">Very serious⁠ᵉ</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FC">
            <w:pPr>
              <w:rPr>
                <w:rFonts w:ascii="Times New Roman" w:cs="Times New Roman" w:eastAsia="Times New Roman" w:hAnsi="Times New Roman"/>
                <w:sz w:val="24"/>
                <w:szCs w:val="24"/>
              </w:rPr>
            </w:pPr>
            <w:sdt>
              <w:sdtPr>
                <w:id w:val="211525477"/>
                <w:tag w:val="goog_rdk_10"/>
              </w:sdtPr>
              <w:sdtContent>
                <w:r>
                  <w:rPr>
                    <w:rFonts w:ascii="Gungsuh" w:cs="Gungsuh" w:eastAsia="Gungsuh" w:hAnsi="Gungsuh"/>
                    <w:sz w:val="24"/>
                    <w:szCs w:val="24"/>
                    <w:rtl w:val="0"/>
                  </w:rPr>
                  <w:t xml:space="preserve">⊕◯◯◯ Very low</w:t>
                </w:r>
              </w:sdtContent>
            </w:sdt>
          </w:p>
        </w:tc>
      </w:tr>
    </w:tbl>
    <w:p w:rsidR="00000000" w:rsidDel="00000000" w:rsidP="00000000" w:rsidRDefault="00000000" w:rsidRPr="00000000" w14:paraId="000001FD">
      <w:pPr>
        <w:spacing w:after="0" w:lineRule="auto"/>
        <w:rPr>
          <w:rFonts w:ascii="Times New Roman" w:cs="Times New Roman" w:eastAsia="Times New Roman" w:hAnsi="Times New Roman"/>
          <w:sz w:val="16"/>
          <w:szCs w:val="16"/>
        </w:rPr>
      </w:pPr>
      <w:r>
        <w:rPr>
          <w:rFonts w:ascii="Times New Roman" w:cs="Times New Roman" w:eastAsia="Times New Roman" w:hAnsi="Times New Roman"/>
          <w:sz w:val="16"/>
          <w:szCs w:val="16"/>
          <w:rtl w:val="0"/>
        </w:rPr>
        <w:t xml:space="preserve">ᵃ Downgraded for risk of bias because Byun 2022 contributes to this outcome and was rated high risk for blinding of participants/personnel and blinding of outcome assessment (open-label design).</w:t>
      </w:r>
    </w:p>
    <w:p w:rsidR="00000000" w:rsidDel="00000000" w:rsidP="00000000" w:rsidRDefault="00000000" w:rsidRPr="00000000" w14:paraId="000001FE">
      <w:pPr>
        <w:spacing w:after="0" w:lineRule="auto"/>
        <w:rPr>
          <w:rFonts w:ascii="Times New Roman" w:cs="Times New Roman" w:eastAsia="Times New Roman" w:hAnsi="Times New Roman"/>
          <w:sz w:val="16"/>
          <w:szCs w:val="16"/>
        </w:rPr>
      </w:pPr>
      <w:r>
        <w:rPr>
          <w:rFonts w:ascii="Times New Roman" w:cs="Times New Roman" w:eastAsia="Times New Roman" w:hAnsi="Times New Roman"/>
          <w:sz w:val="16"/>
          <w:szCs w:val="16"/>
          <w:rtl w:val="0"/>
        </w:rPr>
        <w:t xml:space="preserve">ᵇ Downgraded for substantial unexplained heterogeneity; for spine BMD, sensitivity analysis excluding Chan 2016 reduced I² from 80% to 0% without changing the direction or significance of effect.</w:t>
      </w:r>
    </w:p>
    <w:p w:rsidR="00000000" w:rsidDel="00000000" w:rsidP="00000000" w:rsidRDefault="00000000" w:rsidRPr="00000000" w14:paraId="000001FF">
      <w:pPr>
        <w:spacing w:after="0" w:lineRule="auto"/>
        <w:rPr>
          <w:rFonts w:ascii="Times New Roman" w:cs="Times New Roman" w:eastAsia="Times New Roman" w:hAnsi="Times New Roman"/>
          <w:sz w:val="16"/>
          <w:szCs w:val="16"/>
        </w:rPr>
      </w:pPr>
      <w:r>
        <w:rPr>
          <w:rFonts w:ascii="Times New Roman" w:cs="Times New Roman" w:eastAsia="Times New Roman" w:hAnsi="Times New Roman"/>
          <w:sz w:val="16"/>
          <w:szCs w:val="16"/>
          <w:rtl w:val="0"/>
        </w:rPr>
        <w:t xml:space="preserve">ᶜ Downgraded for risk of bias because two of the three contributing trials (Buti 2016, Byun 2022) were rated high risk overall, including high risk of detection bias in Byun 2022.</w:t>
      </w:r>
    </w:p>
    <w:p w:rsidR="00000000" w:rsidDel="00000000" w:rsidP="00000000" w:rsidRDefault="00000000" w:rsidRPr="00000000" w14:paraId="00000200">
      <w:pPr>
        <w:spacing w:after="0" w:lineRule="auto"/>
        <w:rPr>
          <w:rFonts w:ascii="Times New Roman" w:cs="Times New Roman" w:eastAsia="Times New Roman" w:hAnsi="Times New Roman"/>
          <w:sz w:val="16"/>
          <w:szCs w:val="16"/>
        </w:rPr>
      </w:pPr>
      <w:r>
        <w:rPr>
          <w:rFonts w:ascii="Times New Roman" w:cs="Times New Roman" w:eastAsia="Times New Roman" w:hAnsi="Times New Roman"/>
          <w:sz w:val="16"/>
          <w:szCs w:val="16"/>
          <w:rtl w:val="0"/>
        </w:rPr>
        <w:t xml:space="preserve">ᵅ Not downgraded for risk of bias: the trial rated high risk among the three contributors (Buti 2016) was judged high risk due to selective reporting of unrelated outcomes (HBsAg, FibroTest), not due to bias in LDL measurement itself; for the domain most relevant to this objective lab outcome (blinding of outcome assessment), the three contributing trials were rated Low, Low, and Unclear — none High.</w:t>
      </w:r>
    </w:p>
    <w:p w:rsidR="00000000" w:rsidDel="00000000" w:rsidP="00000000" w:rsidRDefault="00000000" w:rsidRPr="00000000" w14:paraId="00000201">
      <w:pPr>
        <w:spacing w:after="0" w:lineRule="auto"/>
        <w:rPr>
          <w:rFonts w:ascii="Times New Roman" w:cs="Times New Roman" w:eastAsia="Times New Roman" w:hAnsi="Times New Roman"/>
          <w:sz w:val="16"/>
          <w:szCs w:val="16"/>
        </w:rPr>
        <w:sectPr>
          <w:pgSz w:h="15840" w:w="12240" w:orient="portrait"/>
          <w:pgMar w:bottom="280" w:top="1380" w:left="1340" w:right="1340" w:header="720" w:footer="720"/>
          <w:pgNumType w:start="1"/>
        </w:sectPr>
      </w:pPr>
      <w:r>
        <w:rPr>
          <w:rFonts w:ascii="Times New Roman" w:cs="Times New Roman" w:eastAsia="Times New Roman" w:hAnsi="Times New Roman"/>
          <w:sz w:val="16"/>
          <w:szCs w:val="16"/>
          <w:rtl w:val="0"/>
        </w:rPr>
        <w:t xml:space="preserve">ᵉ Downgraded two levels for very serious imprecision: only 51 total LDL events across 1,742 patients (46/1,080 TAF vs 5/662 TDF), producing a wide confidence interval (1.21–20.29) compatible with effects ranging from minimal to very large. </w:t>
      </w:r>
    </w:p>
    <w:p w:rsidR="00000000" w:rsidDel="00000000" w:rsidP="00000000" w:rsidRDefault="00000000" w:rsidRPr="00000000" w14:paraId="00000202">
      <w:pPr>
        <w:rPr>
          <w:rFonts w:ascii="Times New Roman" w:cs="Times New Roman" w:eastAsia="Times New Roman" w:hAnsi="Times New Roman"/>
          <w:sz w:val="24"/>
          <w:szCs w:val="24"/>
        </w:rPr>
      </w:pPr>
      <w:r>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widowControl w:val="0"/>
      <w:spacing w:after="0" w:before="60" w:line="240" w:lineRule="auto"/>
      <w:ind w:left="100"/>
    </w:pPr>
    <w:rPr>
      <w:rFonts w:ascii="Times New Roman" w:cs="Times New Roman" w:eastAsia="Times New Roman" w:hAnsi="Times New Roman"/>
      <w:b w:val="1"/>
      <w:bCs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pZe6jEEUtAIj/pbWaEUv2xZRpg==">CgMxLjAaHwoBMBIaChgICVIUChJ0YWJsZS51cWlzdGR1OXAwdDgaFAoBMRIPCg0IB0IJEgdHdW5nc3VoGhQKATISDwoNCAdCCRIHR3VuZ3N1aBolCgEzEiAKHggHQhoKD1RpbWVzIE5ldyBSb21hbh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yDGgucnF0OWsxNnZ0eDINaC5kZXhlM2J2a3dlbTgAciExcGpGNkgtZm5leHdjVTZDYm41T0l6dDFPdDAxMmEta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