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F64B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</w:t>
      </w:r>
      <w:r>
        <w:rPr>
          <w:rFonts w:hint="eastAsia" w:cs="Times New Roman"/>
          <w:b/>
          <w:bCs/>
          <w:sz w:val="21"/>
          <w:szCs w:val="21"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Geographic Distribution and Detection of Pertussis in Children Across Xinjiang Regions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26"/>
        <w:gridCol w:w="1176"/>
        <w:gridCol w:w="1497"/>
        <w:gridCol w:w="2321"/>
        <w:gridCol w:w="1203"/>
      </w:tblGrid>
      <w:tr w14:paraId="6067D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277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1451C85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</w:rPr>
              <w:t>Region</w:t>
            </w:r>
          </w:p>
        </w:tc>
        <w:tc>
          <w:tcPr>
            <w:tcW w:w="706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4DE932B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</w:rPr>
              <w:t>Total (n)</w:t>
            </w:r>
          </w:p>
        </w:tc>
        <w:tc>
          <w:tcPr>
            <w:tcW w:w="89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FD2762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</w:rPr>
              <w:t>Positive (n)</w:t>
            </w:r>
          </w:p>
        </w:tc>
        <w:tc>
          <w:tcPr>
            <w:tcW w:w="1394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3CD0561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</w:rPr>
              <w:t>Positive Rate (%)</w:t>
            </w:r>
          </w:p>
        </w:tc>
        <w:tc>
          <w:tcPr>
            <w:tcW w:w="722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3C245B1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</w:rPr>
              <w:t>95% CI</w:t>
            </w:r>
          </w:p>
        </w:tc>
      </w:tr>
      <w:tr w14:paraId="73A6F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F924A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Karamay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6352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22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A8E1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498A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22.7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99320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10.1-43.4</w:t>
            </w:r>
          </w:p>
        </w:tc>
      </w:tr>
      <w:tr w14:paraId="174A6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54FEC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Aksu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D78A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75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8556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13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41840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17.3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D340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10.4-27.4</w:t>
            </w:r>
          </w:p>
        </w:tc>
      </w:tr>
      <w:tr w14:paraId="2C309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4D388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Kizilsu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3CC1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12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CFF5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4E08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16.7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9CC9A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4.7-44.8</w:t>
            </w:r>
          </w:p>
        </w:tc>
      </w:tr>
      <w:tr w14:paraId="2CB81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0E991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Changji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6393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133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3F80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21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1175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15.8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1A81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10.6-22.9</w:t>
            </w:r>
          </w:p>
        </w:tc>
      </w:tr>
      <w:tr w14:paraId="3031F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9AF99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Turpan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00B2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51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5F13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8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1447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15.7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6680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8.2-28.0</w:t>
            </w:r>
          </w:p>
        </w:tc>
      </w:tr>
      <w:tr w14:paraId="72F25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8A836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Hami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7B3C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26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E2D6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F212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15.4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A011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6.2-33.5</w:t>
            </w:r>
          </w:p>
        </w:tc>
      </w:tr>
      <w:tr w14:paraId="251FD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545C6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Hotan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AAC5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60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2EE5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C64C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15.0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BD8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8.1-26.1</w:t>
            </w:r>
          </w:p>
        </w:tc>
      </w:tr>
      <w:tr w14:paraId="64CCB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87A15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XPCC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BE14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67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6D1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10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952D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14.9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D833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8.3-25.3</w:t>
            </w:r>
          </w:p>
        </w:tc>
      </w:tr>
      <w:tr w14:paraId="21B9D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F2287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Bayingol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C42B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43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E3D1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2F00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14.0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E274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6.6-27.3</w:t>
            </w:r>
          </w:p>
        </w:tc>
      </w:tr>
      <w:tr w14:paraId="5CB80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3E4DC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Altay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B567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72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0130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9DD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12.5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A20D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6.7-22.1</w:t>
            </w:r>
          </w:p>
        </w:tc>
      </w:tr>
      <w:tr w14:paraId="63C10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664B7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Ili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A65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115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2D85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14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5ED6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12.2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4069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7.4-19.4</w:t>
            </w:r>
          </w:p>
        </w:tc>
      </w:tr>
      <w:tr w14:paraId="745F2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FDBB8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Kashgar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A5E92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88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4942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6A3B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10.2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481F0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5.5-18.3</w:t>
            </w:r>
          </w:p>
        </w:tc>
      </w:tr>
      <w:tr w14:paraId="47EE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0A181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Tacheng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D02D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72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A13E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7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F4B6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9.7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7B262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4.8-18.7</w:t>
            </w:r>
          </w:p>
        </w:tc>
      </w:tr>
      <w:tr w14:paraId="09E71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B56B9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Urumqi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DC2A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1370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2827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91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42E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6.6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5F7B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5.4-8.1</w:t>
            </w:r>
          </w:p>
        </w:tc>
      </w:tr>
      <w:tr w14:paraId="77A71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1B305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Bortala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3977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34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A361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6F3F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5.9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69F90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1.6-19.1</w:t>
            </w:r>
          </w:p>
        </w:tc>
      </w:tr>
      <w:tr w14:paraId="300BE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03239DF3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Outside Xinjiang</w:t>
            </w:r>
          </w:p>
        </w:tc>
        <w:tc>
          <w:tcPr>
            <w:tcW w:w="706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260D0ED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10</w:t>
            </w:r>
          </w:p>
        </w:tc>
        <w:tc>
          <w:tcPr>
            <w:tcW w:w="899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206B0DD0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1394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1CEFF4C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0.0</w:t>
            </w:r>
          </w:p>
        </w:tc>
        <w:tc>
          <w:tcPr>
            <w:tcW w:w="722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3F03671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0.0-27.8</w:t>
            </w:r>
          </w:p>
        </w:tc>
      </w:tr>
    </w:tbl>
    <w:p w14:paraId="02020932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  <w:r>
        <w:rPr>
          <w:rFonts w:ascii="Times New Roman" w:hAnsi="Times New Roman" w:eastAsia="Times New Roman"/>
          <w:b/>
          <w:bCs/>
          <w:i w:val="0"/>
          <w:iCs/>
          <w:sz w:val="20"/>
          <w:szCs w:val="20"/>
        </w:rPr>
        <w:t>Note: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 xml:space="preserve"> Differences in pertussis positivity rate across regions were statistically significant (χ² = 54.32, p &lt; 0.001). The 95% confidence intervals were calculated using the Wilson score method. The total sample size was 2,250 with 210 positive cases (overall positive rate: 9.3%). CI, confidence interval; XPCC, Xinjiang Production and Construction Corps.</w:t>
      </w:r>
    </w:p>
    <w:p w14:paraId="1718A9C9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70F4C779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3EDDE934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5D8E8B12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39203EBB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57BA7725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71B2D51E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13B00E50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06C5F5DB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70035856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56BBB37D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291A7482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27524793">
      <w:pPr>
        <w:spacing w:before="60" w:after="60"/>
      </w:pPr>
      <w:r>
        <w:rPr>
          <w:b/>
          <w:bCs/>
        </w:rPr>
        <w:t>Supplementary Table S</w:t>
      </w:r>
      <w:r>
        <w:rPr>
          <w:rFonts w:hint="eastAsia"/>
          <w:b/>
          <w:bCs/>
          <w:lang w:val="en-US" w:eastAsia="zh-CN"/>
        </w:rPr>
        <w:t>2</w:t>
      </w:r>
      <w:r>
        <w:rPr>
          <w:b/>
          <w:bCs/>
        </w:rPr>
        <w:t>. Vaccine effectiveness estimates by age-eligibility cohort</w:t>
      </w:r>
    </w:p>
    <w:p w14:paraId="690FB190">
      <w:pPr>
        <w:spacing w:before="60" w:after="60"/>
      </w:pPr>
      <w:r>
        <w:rPr>
          <w:b/>
          <w:bCs/>
        </w:rPr>
        <w:t>Comparison of three analysis cohorts to demonstrate the impact of including age-ineligible infants on VE estimates.</w:t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2"/>
        <w:gridCol w:w="650"/>
        <w:gridCol w:w="1619"/>
        <w:gridCol w:w="2432"/>
        <w:gridCol w:w="1129"/>
      </w:tblGrid>
      <w:tr w14:paraId="0BE77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</w:tcPr>
          <w:p w14:paraId="7E0A577D">
            <w:pPr>
              <w:spacing w:before="60" w:after="60"/>
            </w:pPr>
            <w:r>
              <w:t>Cohort</w:t>
            </w:r>
          </w:p>
        </w:tc>
        <w:tc>
          <w:tcPr>
            <w:tcW w:w="650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</w:tcPr>
          <w:p w14:paraId="55DFDAA8">
            <w:pPr>
              <w:spacing w:before="60" w:after="60"/>
            </w:pPr>
            <w:r>
              <w:t>n</w:t>
            </w:r>
          </w:p>
        </w:tc>
        <w:tc>
          <w:tcPr>
            <w:tcW w:w="1619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</w:tcPr>
          <w:p w14:paraId="2A31C924">
            <w:pPr>
              <w:spacing w:before="60" w:after="60"/>
            </w:pPr>
            <w:r>
              <w:t>OR (95% CI)</w:t>
            </w:r>
          </w:p>
        </w:tc>
        <w:tc>
          <w:tcPr>
            <w:tcW w:w="2432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</w:tcPr>
          <w:p w14:paraId="1A8774F8">
            <w:pPr>
              <w:spacing w:before="60" w:after="60"/>
            </w:pPr>
            <w:r>
              <w:t>Vaccine effectiveness (95% CI)</w:t>
            </w:r>
          </w:p>
        </w:tc>
        <w:tc>
          <w:tcPr>
            <w:tcW w:w="1129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</w:tcPr>
          <w:p w14:paraId="6D517436">
            <w:pPr>
              <w:spacing w:before="60" w:after="60"/>
            </w:pPr>
            <w:r>
              <w:rPr>
                <w:i/>
                <w:iCs/>
              </w:rPr>
              <w:t>p</w:t>
            </w:r>
            <w:r>
              <w:t>-value</w:t>
            </w:r>
          </w:p>
        </w:tc>
      </w:tr>
      <w:tr w14:paraId="4ECCD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</w:tcPr>
          <w:p w14:paraId="0A2A5615">
            <w:pPr>
              <w:spacing w:before="60" w:after="60"/>
            </w:pPr>
            <w:r>
              <w:t>All ages (biased reference)ᵃ</w:t>
            </w:r>
          </w:p>
        </w:tc>
        <w:tc>
          <w:tcPr>
            <w:tcW w:w="650" w:type="dxa"/>
          </w:tcPr>
          <w:p w14:paraId="68703CD6">
            <w:pPr>
              <w:spacing w:before="60" w:after="60"/>
            </w:pPr>
            <w:r>
              <w:t>2250</w:t>
            </w:r>
          </w:p>
        </w:tc>
        <w:tc>
          <w:tcPr>
            <w:tcW w:w="1619" w:type="dxa"/>
          </w:tcPr>
          <w:p w14:paraId="43F39CCE">
            <w:pPr>
              <w:spacing w:before="60" w:after="60"/>
            </w:pPr>
            <w:r>
              <w:t>0.48 (0.32–0.70)</w:t>
            </w:r>
          </w:p>
        </w:tc>
        <w:tc>
          <w:tcPr>
            <w:tcW w:w="2432" w:type="dxa"/>
          </w:tcPr>
          <w:p w14:paraId="6E9C4E68">
            <w:pPr>
              <w:spacing w:before="60" w:after="60"/>
            </w:pPr>
            <w:r>
              <w:t>52.4% (29.7% to 67.7%)</w:t>
            </w:r>
          </w:p>
        </w:tc>
        <w:tc>
          <w:tcPr>
            <w:tcW w:w="1129" w:type="dxa"/>
          </w:tcPr>
          <w:p w14:paraId="195A889A">
            <w:pPr>
              <w:spacing w:before="60" w:after="60"/>
            </w:pPr>
            <w:r>
              <w:t>&lt;0.001</w:t>
            </w:r>
          </w:p>
        </w:tc>
      </w:tr>
      <w:tr w14:paraId="595C8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</w:tcPr>
          <w:p w14:paraId="2D7B5821">
            <w:pPr>
              <w:spacing w:before="60" w:after="60"/>
            </w:pPr>
            <w:r>
              <w:t>≥3 months (primary analysis)ᵇ</w:t>
            </w:r>
          </w:p>
        </w:tc>
        <w:tc>
          <w:tcPr>
            <w:tcW w:w="650" w:type="dxa"/>
          </w:tcPr>
          <w:p w14:paraId="08A4E6E3">
            <w:pPr>
              <w:spacing w:before="60" w:after="60"/>
            </w:pPr>
            <w:r>
              <w:t>2118</w:t>
            </w:r>
          </w:p>
        </w:tc>
        <w:tc>
          <w:tcPr>
            <w:tcW w:w="1619" w:type="dxa"/>
          </w:tcPr>
          <w:p w14:paraId="1CF6DA91">
            <w:pPr>
              <w:spacing w:before="60" w:after="60"/>
            </w:pPr>
            <w:r>
              <w:t>0.53 (0.31–0.91)</w:t>
            </w:r>
          </w:p>
        </w:tc>
        <w:tc>
          <w:tcPr>
            <w:tcW w:w="2432" w:type="dxa"/>
          </w:tcPr>
          <w:p w14:paraId="73F4F74C">
            <w:pPr>
              <w:spacing w:before="60" w:after="60"/>
            </w:pPr>
            <w:r>
              <w:t>47.1% (9.4% to 69.1%)</w:t>
            </w:r>
          </w:p>
        </w:tc>
        <w:tc>
          <w:tcPr>
            <w:tcW w:w="1129" w:type="dxa"/>
          </w:tcPr>
          <w:p w14:paraId="195195C4">
            <w:pPr>
              <w:spacing w:before="60" w:after="60"/>
              <w:rPr>
                <w:rFonts w:hint="eastAsia" w:eastAsia="宋体"/>
                <w:lang w:val="en-US" w:eastAsia="zh-CN"/>
              </w:rPr>
            </w:pPr>
            <w:r>
              <w:t>0.02</w:t>
            </w:r>
            <w:r>
              <w:rPr>
                <w:rFonts w:hint="eastAsia"/>
                <w:lang w:val="en-US" w:eastAsia="zh-CN"/>
              </w:rPr>
              <w:t>1</w:t>
            </w:r>
          </w:p>
        </w:tc>
      </w:tr>
      <w:tr w14:paraId="24498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2" w:type="dxa"/>
            <w:tcBorders>
              <w:bottom w:val="single" w:color="000000" w:sz="12" w:space="0"/>
            </w:tcBorders>
          </w:tcPr>
          <w:p w14:paraId="5E5531E8">
            <w:pPr>
              <w:spacing w:before="60" w:after="60"/>
            </w:pPr>
            <w:r>
              <w:t>≥6 months (sensitivity analysis)ᶜ</w:t>
            </w:r>
          </w:p>
        </w:tc>
        <w:tc>
          <w:tcPr>
            <w:tcW w:w="650" w:type="dxa"/>
            <w:tcBorders>
              <w:bottom w:val="single" w:color="000000" w:sz="12" w:space="0"/>
            </w:tcBorders>
          </w:tcPr>
          <w:p w14:paraId="5C88C83B">
            <w:pPr>
              <w:spacing w:before="60" w:after="60"/>
            </w:pPr>
            <w:r>
              <w:t>1970</w:t>
            </w:r>
          </w:p>
        </w:tc>
        <w:tc>
          <w:tcPr>
            <w:tcW w:w="1619" w:type="dxa"/>
            <w:tcBorders>
              <w:bottom w:val="single" w:color="000000" w:sz="12" w:space="0"/>
            </w:tcBorders>
          </w:tcPr>
          <w:p w14:paraId="382B49D7">
            <w:pPr>
              <w:spacing w:before="60" w:after="60"/>
            </w:pPr>
            <w:r>
              <w:t>0.61 (0.28–1.30)</w:t>
            </w:r>
          </w:p>
        </w:tc>
        <w:tc>
          <w:tcPr>
            <w:tcW w:w="2432" w:type="dxa"/>
            <w:tcBorders>
              <w:bottom w:val="single" w:color="000000" w:sz="12" w:space="0"/>
            </w:tcBorders>
          </w:tcPr>
          <w:p w14:paraId="63ECD5BD">
            <w:pPr>
              <w:spacing w:before="60" w:after="60"/>
            </w:pPr>
            <w:r>
              <w:t>39.2% (–30.0% to 71.5%)</w:t>
            </w:r>
          </w:p>
        </w:tc>
        <w:tc>
          <w:tcPr>
            <w:tcW w:w="1129" w:type="dxa"/>
            <w:tcBorders>
              <w:bottom w:val="single" w:color="000000" w:sz="12" w:space="0"/>
            </w:tcBorders>
          </w:tcPr>
          <w:p w14:paraId="01E9F0DD">
            <w:pPr>
              <w:spacing w:before="60" w:after="60"/>
            </w:pPr>
            <w:r>
              <w:t>0.200</w:t>
            </w:r>
          </w:p>
        </w:tc>
      </w:tr>
    </w:tbl>
    <w:p w14:paraId="58E4493A">
      <w:pPr>
        <w:spacing w:before="60" w:after="60"/>
        <w:jc w:val="both"/>
        <w:rPr>
          <w:sz w:val="20"/>
          <w:szCs w:val="20"/>
        </w:rPr>
      </w:pPr>
      <w:r>
        <w:rPr>
          <w:rFonts w:ascii="Times New Roman" w:hAnsi="Times New Roman" w:eastAsia="Times New Roman"/>
          <w:b/>
          <w:bCs/>
          <w:i w:val="0"/>
          <w:iCs/>
          <w:sz w:val="20"/>
          <w:szCs w:val="20"/>
        </w:rPr>
        <w:t>Note:</w:t>
      </w:r>
      <w:r>
        <w:rPr>
          <w:rFonts w:hint="eastAsia"/>
          <w:b/>
          <w:bCs/>
          <w:i w:val="0"/>
          <w:iCs/>
          <w:sz w:val="20"/>
          <w:szCs w:val="20"/>
          <w:lang w:val="en-US" w:eastAsia="zh-CN"/>
        </w:rPr>
        <w:t xml:space="preserve"> </w:t>
      </w:r>
      <w:r>
        <w:rPr>
          <w:sz w:val="20"/>
          <w:szCs w:val="20"/>
        </w:rPr>
        <w:t>OR estimated by logistic regression comparing vaccinated (≥1 dose) versus unvaccinated. VE = (1 − OR) × 100%.</w:t>
      </w:r>
      <w:r>
        <w:rPr>
          <w:rFonts w:hint="eastAsia"/>
          <w:sz w:val="20"/>
          <w:szCs w:val="20"/>
          <w:lang w:val="en-US" w:eastAsia="zh-CN"/>
        </w:rPr>
        <w:t xml:space="preserve"> </w:t>
      </w:r>
      <w:r>
        <w:rPr>
          <w:sz w:val="20"/>
          <w:szCs w:val="20"/>
        </w:rPr>
        <w:t>ᵃ Includes children aged 0–2 months who are not yet eligible for the first DTaP dose under the Chinese NIP; this analysis is shown for reference only and is expected to overestimate VE due to confounding by age-ineligibility.</w:t>
      </w:r>
      <w:r>
        <w:rPr>
          <w:rFonts w:hint="eastAsia"/>
          <w:sz w:val="20"/>
          <w:szCs w:val="20"/>
          <w:lang w:val="en-US" w:eastAsia="zh-CN"/>
        </w:rPr>
        <w:t xml:space="preserve"> </w:t>
      </w:r>
      <w:r>
        <w:rPr>
          <w:sz w:val="20"/>
          <w:szCs w:val="20"/>
        </w:rPr>
        <w:t>ᵇ Primary analysis, restricted to children eligible for at least one DTaP dose under the Chinese NIP (first dose scheduled at 3 months).</w:t>
      </w:r>
    </w:p>
    <w:p w14:paraId="6ADD27C1">
      <w:pPr>
        <w:spacing w:before="60" w:after="60"/>
        <w:jc w:val="both"/>
        <w:rPr>
          <w:sz w:val="20"/>
          <w:szCs w:val="20"/>
        </w:rPr>
      </w:pPr>
      <w:r>
        <w:rPr>
          <w:sz w:val="20"/>
          <w:szCs w:val="20"/>
        </w:rPr>
        <w:t>ᶜ Sensitivity analysis, restricted to children eligible for the complete 3-dose primary series (≥6 months).</w:t>
      </w:r>
      <w:r>
        <w:rPr>
          <w:rFonts w:hint="eastAsia"/>
          <w:sz w:val="20"/>
          <w:szCs w:val="20"/>
          <w:lang w:val="en-US" w:eastAsia="zh-CN"/>
        </w:rPr>
        <w:t xml:space="preserve"> </w:t>
      </w:r>
      <w:r>
        <w:rPr>
          <w:sz w:val="20"/>
          <w:szCs w:val="20"/>
        </w:rPr>
        <w:t>OR, odds ratio; CI, confidence interval; VE, vaccine effectiveness; DTaP, diphtheria-tetanus-acellular pertussis vaccine; NIP, National Immunization Program.</w:t>
      </w:r>
    </w:p>
    <w:p w14:paraId="0CD336CC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10C8FA11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3DDD6F31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42FE1B83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65D2F3E7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66AAC455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0A65A075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04490725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24412E7C">
      <w:pPr>
        <w:spacing w:before="60"/>
        <w:rPr>
          <w:sz w:val="21"/>
          <w:szCs w:val="21"/>
        </w:rPr>
      </w:pPr>
    </w:p>
    <w:p w14:paraId="3A010C80">
      <w:pPr>
        <w:rPr>
          <w:rFonts w:hint="default" w:ascii="Times New Roman" w:hAnsi="Times New Roman" w:cs="Times New Roman"/>
        </w:rPr>
      </w:pPr>
    </w:p>
    <w:p w14:paraId="5E1B2FA7">
      <w:pPr>
        <w:rPr>
          <w:rFonts w:hint="default" w:ascii="Times New Roman" w:hAnsi="Times New Roman" w:cs="Times New Roman"/>
        </w:rPr>
      </w:pPr>
    </w:p>
    <w:p w14:paraId="3B11EBF3">
      <w:pPr>
        <w:rPr>
          <w:rFonts w:hint="default" w:ascii="Times New Roman" w:hAnsi="Times New Roman" w:cs="Times New Roman"/>
        </w:rPr>
      </w:pPr>
    </w:p>
    <w:p w14:paraId="41AB6446">
      <w:pPr>
        <w:rPr>
          <w:rFonts w:hint="default" w:ascii="Times New Roman" w:hAnsi="Times New Roman" w:cs="Times New Roman"/>
        </w:rPr>
      </w:pPr>
    </w:p>
    <w:p w14:paraId="0BF1A164">
      <w:pPr>
        <w:rPr>
          <w:rFonts w:hint="default" w:ascii="Times New Roman" w:hAnsi="Times New Roman" w:cs="Times New Roman"/>
        </w:rPr>
      </w:pPr>
    </w:p>
    <w:p w14:paraId="43255E4F">
      <w:pPr>
        <w:rPr>
          <w:rFonts w:hint="default" w:ascii="Times New Roman" w:hAnsi="Times New Roman" w:cs="Times New Roman"/>
        </w:rPr>
      </w:pPr>
    </w:p>
    <w:p w14:paraId="5BEC0613">
      <w:pPr>
        <w:spacing w:before="100" w:after="100"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Supplementary Table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S</w:t>
      </w:r>
      <w:r>
        <w:rPr>
          <w:rFonts w:hint="eastAsia" w:cs="Times New Roman"/>
          <w:b/>
          <w:bCs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. Lymphocytosis by Age Group in Pertussis-Positive Children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492"/>
        <w:gridCol w:w="510"/>
        <w:gridCol w:w="2787"/>
        <w:gridCol w:w="1951"/>
        <w:gridCol w:w="1763"/>
      </w:tblGrid>
      <w:tr w14:paraId="2BADF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  <w:jc w:val="center"/>
        </w:trPr>
        <w:tc>
          <w:tcPr>
            <w:tcW w:w="877" w:type="pct"/>
            <w:tcBorders>
              <w:top w:val="single" w:color="000000" w:sz="14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6224EA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Age Group</w:t>
            </w:r>
          </w:p>
        </w:tc>
        <w:tc>
          <w:tcPr>
            <w:tcW w:w="300" w:type="pct"/>
            <w:tcBorders>
              <w:top w:val="single" w:color="000000" w:sz="14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622CED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1638" w:type="pct"/>
            <w:tcBorders>
              <w:top w:val="single" w:color="000000" w:sz="14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10C255A4">
            <w:pPr>
              <w:snapToGrid w:val="0"/>
              <w:spacing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Lymphocytosis(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&gt;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50%)</w:t>
            </w:r>
          </w:p>
        </w:tc>
        <w:tc>
          <w:tcPr>
            <w:tcW w:w="1147" w:type="pct"/>
            <w:tcBorders>
              <w:top w:val="single" w:color="000000" w:sz="14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31E91CD5">
            <w:pPr>
              <w:snapToGrid w:val="0"/>
              <w:spacing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Normal(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≤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50%)</w:t>
            </w:r>
          </w:p>
        </w:tc>
        <w:tc>
          <w:tcPr>
            <w:tcW w:w="1036" w:type="pct"/>
            <w:tcBorders>
              <w:top w:val="single" w:color="000000" w:sz="14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12263624">
            <w:pPr>
              <w:snapToGrid w:val="0"/>
              <w:spacing w:after="4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Incidence(%)</w:t>
            </w:r>
          </w:p>
        </w:tc>
      </w:tr>
      <w:tr w14:paraId="7ABA4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157C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/>
                <w:sz w:val="21"/>
              </w:rPr>
              <w:t>–</w:t>
            </w:r>
            <w:r>
              <w:rPr>
                <w:rFonts w:hint="eastAsia"/>
                <w:sz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mo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7E7C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3D04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5ED0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BB08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81.0</w:t>
            </w:r>
          </w:p>
        </w:tc>
      </w:tr>
      <w:tr w14:paraId="63871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9C86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sz w:val="21"/>
              </w:rPr>
              <w:t>–</w:t>
            </w:r>
            <w:r>
              <w:rPr>
                <w:rFonts w:hint="eastAsia"/>
                <w:sz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mo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75B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9B1E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AEA0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37A5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90.0</w:t>
            </w:r>
          </w:p>
        </w:tc>
      </w:tr>
      <w:tr w14:paraId="6EC4F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77B4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sz w:val="21"/>
              </w:rPr>
              <w:t>–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mo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1130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6C1E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DA32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C9AB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20.0</w:t>
            </w:r>
          </w:p>
        </w:tc>
      </w:tr>
      <w:tr w14:paraId="055BF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FB7E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</w:rPr>
              <w:t>–</w:t>
            </w:r>
            <w:r>
              <w:rPr>
                <w:rFonts w:hint="eastAsia"/>
                <w:sz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y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527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9C1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A815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D1C8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60.0</w:t>
            </w:r>
          </w:p>
        </w:tc>
      </w:tr>
      <w:tr w14:paraId="58CF7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3D38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sz w:val="21"/>
              </w:rPr>
              <w:t>–</w:t>
            </w:r>
            <w:r>
              <w:rPr>
                <w:rFonts w:hint="eastAsia"/>
                <w:sz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y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E3F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134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DCD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1CF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0</w:t>
            </w:r>
          </w:p>
        </w:tc>
      </w:tr>
      <w:tr w14:paraId="7132B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877" w:type="pct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72CF0AD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≥6 y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4C2F5D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86</w:t>
            </w:r>
          </w:p>
        </w:tc>
        <w:tc>
          <w:tcPr>
            <w:tcW w:w="1638" w:type="pct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3CBF997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1147" w:type="pct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7181716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62</w:t>
            </w:r>
          </w:p>
        </w:tc>
        <w:tc>
          <w:tcPr>
            <w:tcW w:w="1036" w:type="pct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1B28C73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27.9</w:t>
            </w:r>
          </w:p>
        </w:tc>
      </w:tr>
    </w:tbl>
    <w:p w14:paraId="5624882C">
      <w:pPr>
        <w:spacing w:after="0" w:line="240" w:lineRule="auto"/>
        <w:jc w:val="both"/>
        <w:rPr>
          <w:rFonts w:hint="default" w:ascii="Times New Roman" w:hAnsi="Times New Roman" w:cs="Times New Roman"/>
          <w:i w:val="0"/>
          <w:iCs/>
          <w:sz w:val="20"/>
          <w:szCs w:val="20"/>
        </w:rPr>
      </w:pPr>
      <w:r>
        <w:rPr>
          <w:rFonts w:ascii="Times New Roman" w:hAnsi="Times New Roman" w:eastAsia="Times New Roman"/>
          <w:b/>
          <w:bCs/>
          <w:i w:val="0"/>
          <w:iCs/>
          <w:sz w:val="20"/>
          <w:szCs w:val="20"/>
        </w:rPr>
        <w:t xml:space="preserve">Note: 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>Lymphocytosis was defined as lymphocyte percentage &gt; 50%. Of the 210 PCR-positive children, 17</w:t>
      </w:r>
      <w:r>
        <w:rPr>
          <w:rFonts w:hint="eastAsia"/>
          <w:b w:val="0"/>
          <w:i w:val="0"/>
          <w:iCs/>
          <w:sz w:val="20"/>
          <w:szCs w:val="20"/>
          <w:lang w:val="en-US" w:eastAsia="zh-CN"/>
        </w:rPr>
        <w:t>2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 xml:space="preserve"> (8</w:t>
      </w:r>
      <w:r>
        <w:rPr>
          <w:rFonts w:hint="eastAsia"/>
          <w:b w:val="0"/>
          <w:i w:val="0"/>
          <w:iCs/>
          <w:sz w:val="20"/>
          <w:szCs w:val="20"/>
          <w:lang w:val="en-US" w:eastAsia="zh-CN"/>
        </w:rPr>
        <w:t>1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>.9%) had lymphocyte percentage data available; 3</w:t>
      </w:r>
      <w:r>
        <w:rPr>
          <w:rFonts w:hint="eastAsia"/>
          <w:b w:val="0"/>
          <w:i w:val="0"/>
          <w:iCs/>
          <w:sz w:val="20"/>
          <w:szCs w:val="20"/>
          <w:lang w:val="en-US" w:eastAsia="zh-CN"/>
        </w:rPr>
        <w:t>8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 xml:space="preserve"> children were excluded from this stratified analysis owing to missing lymphocyte data. χ² = 43.568, </w:t>
      </w:r>
      <w:r>
        <w:rPr>
          <w:rFonts w:ascii="Times New Roman" w:hAnsi="Times New Roman" w:eastAsia="Times New Roman"/>
          <w:b w:val="0"/>
          <w:i/>
          <w:iCs w:val="0"/>
          <w:sz w:val="20"/>
          <w:szCs w:val="20"/>
        </w:rPr>
        <w:t>p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 xml:space="preserve"> &lt; 0.001 (comparison across all age groups). The incidence of lymphocytosis in infants (&lt;6 months, n = 41) was 85.4% (35/41), substantially higher than that in older children (≥6 months, n = 13</w:t>
      </w:r>
      <w:r>
        <w:rPr>
          <w:rFonts w:hint="eastAsia"/>
          <w:b w:val="0"/>
          <w:i w:val="0"/>
          <w:iCs/>
          <w:sz w:val="20"/>
          <w:szCs w:val="20"/>
          <w:lang w:val="en-US" w:eastAsia="zh-CN"/>
        </w:rPr>
        <w:t>1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>): 27.9% (24/86 in the ≥6-years group;</w:t>
      </w:r>
      <w:r>
        <w:rPr>
          <w:rFonts w:ascii="Times New Roman" w:hAnsi="Times New Roman" w:eastAsia="Times New Roman"/>
          <w:b w:val="0"/>
          <w:i/>
          <w:iCs w:val="0"/>
          <w:sz w:val="20"/>
          <w:szCs w:val="20"/>
        </w:rPr>
        <w:t xml:space="preserve"> p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 xml:space="preserve"> &lt; 0.001). mo, months; y, years.</w:t>
      </w:r>
    </w:p>
    <w:p w14:paraId="51A6C681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7C14DDE2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5EED8E98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676B7AC7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5AE3118C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4ACC920B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30B06852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3676B2F4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0F4AF68F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7737E3DF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39979779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58E0F2A9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37340C2A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6D2006F9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17F69693">
      <w:pPr>
        <w:spacing w:before="100" w:after="10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</w:p>
    <w:p w14:paraId="3D8C1444">
      <w:pPr>
        <w:spacing w:before="100" w:after="100"/>
        <w:jc w:val="center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Supplementary Table S</w:t>
      </w: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. Comparison of Absolute Lymphocyte Count by Age Group Between Pertussis-Positive and Negative Children</w:t>
      </w:r>
    </w:p>
    <w:tbl>
      <w:tblPr>
        <w:tblStyle w:val="5"/>
        <w:tblW w:w="88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317"/>
        <w:gridCol w:w="958"/>
        <w:gridCol w:w="2052"/>
        <w:gridCol w:w="2052"/>
        <w:gridCol w:w="1469"/>
        <w:gridCol w:w="1025"/>
      </w:tblGrid>
      <w:tr w14:paraId="69506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  <w:jc w:val="center"/>
        </w:trPr>
        <w:tc>
          <w:tcPr>
            <w:tcW w:w="1317" w:type="dxa"/>
            <w:tcBorders>
              <w:top w:val="single" w:color="000000" w:sz="14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9E5D17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Age Group</w:t>
            </w:r>
          </w:p>
        </w:tc>
        <w:tc>
          <w:tcPr>
            <w:tcW w:w="958" w:type="dxa"/>
            <w:tcBorders>
              <w:top w:val="single" w:color="000000" w:sz="14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1DCF2A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Group</w:t>
            </w:r>
          </w:p>
        </w:tc>
        <w:tc>
          <w:tcPr>
            <w:tcW w:w="2052" w:type="dxa"/>
            <w:tcBorders>
              <w:top w:val="single" w:color="000000" w:sz="14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5B95359C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Lymphocyte Count</w:t>
            </w:r>
          </w:p>
          <w:p w14:paraId="51C2DEC2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(×</w:t>
            </w:r>
            <w:r>
              <w:rPr>
                <w:rFonts w:hint="eastAsia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10⁹/L, mean±SD)</w:t>
            </w:r>
          </w:p>
        </w:tc>
        <w:tc>
          <w:tcPr>
            <w:tcW w:w="2052" w:type="dxa"/>
            <w:tcBorders>
              <w:top w:val="single" w:color="000000" w:sz="14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0F14D6ED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Lymphocyte Count</w:t>
            </w:r>
          </w:p>
          <w:p w14:paraId="39E89D8E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(×</w:t>
            </w:r>
            <w:r>
              <w:rPr>
                <w:rFonts w:hint="eastAsia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10⁹/L, median)</w:t>
            </w:r>
          </w:p>
        </w:tc>
        <w:tc>
          <w:tcPr>
            <w:tcW w:w="1469" w:type="dxa"/>
            <w:tcBorders>
              <w:top w:val="single" w:color="000000" w:sz="14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7EB174DE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Fold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Change</w:t>
            </w:r>
          </w:p>
        </w:tc>
        <w:tc>
          <w:tcPr>
            <w:tcW w:w="1025" w:type="dxa"/>
            <w:tcBorders>
              <w:top w:val="single" w:color="000000" w:sz="14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33392AB">
            <w:pPr>
              <w:snapToGrid w:val="0"/>
              <w:spacing w:after="4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eastAsia" w:cs="Times New Roman"/>
                <w:b/>
                <w:bCs/>
                <w:i/>
                <w:iCs/>
                <w:color w:val="auto"/>
                <w:sz w:val="21"/>
                <w:szCs w:val="21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Value</w:t>
            </w:r>
          </w:p>
        </w:tc>
      </w:tr>
      <w:tr w14:paraId="05B68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9466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0</w:t>
            </w:r>
            <w:r>
              <w:rPr>
                <w:rFonts w:ascii="Times New Roman" w:hAnsi="Times New Roman"/>
                <w:sz w:val="21"/>
              </w:rPr>
              <w:t>–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 m</w:t>
            </w:r>
            <w:r>
              <w:rPr>
                <w:rFonts w:hint="eastAsia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FC2C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Positive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AFD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13.23 ± 14.31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A990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10.47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5BA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2.32</w:t>
            </w:r>
          </w:p>
        </w:tc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DF7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&lt;0.001</w:t>
            </w:r>
          </w:p>
        </w:tc>
      </w:tr>
      <w:tr w14:paraId="4BFA2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B672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F035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Negative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FFF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5.71 ± 2.15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BA9D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5.43</w:t>
            </w:r>
          </w:p>
        </w:tc>
        <w:tc>
          <w:tcPr>
            <w:tcW w:w="146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B38F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C1DC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266A9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26F9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sz w:val="21"/>
              </w:rPr>
              <w:t>–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 m</w:t>
            </w:r>
            <w:r>
              <w:rPr>
                <w:rFonts w:hint="eastAsia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D316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Positive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A99F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15.15 ± 15.94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144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11.59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3F9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2.68</w:t>
            </w:r>
          </w:p>
        </w:tc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961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&lt;0.001</w:t>
            </w:r>
          </w:p>
        </w:tc>
      </w:tr>
      <w:tr w14:paraId="7465D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6C79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1F71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Negative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F183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5.65 ± 2.54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521E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5.34</w:t>
            </w:r>
          </w:p>
        </w:tc>
        <w:tc>
          <w:tcPr>
            <w:tcW w:w="146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3AE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92AD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4E902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D2FD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sz w:val="21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 m</w:t>
            </w:r>
            <w:r>
              <w:rPr>
                <w:rFonts w:hint="eastAsia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9837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Positive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3EC1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10.15 ± 8.27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6404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10.01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E34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1.75</w:t>
            </w:r>
          </w:p>
        </w:tc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D7D3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0.003</w:t>
            </w:r>
          </w:p>
        </w:tc>
      </w:tr>
      <w:tr w14:paraId="44E3F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796E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0F0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Negative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F631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5.79 ± 2.78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AFCF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5.57</w:t>
            </w:r>
          </w:p>
        </w:tc>
        <w:tc>
          <w:tcPr>
            <w:tcW w:w="146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43B1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C87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5BCF1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6C6A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</w:rPr>
              <w:t>–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 y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33F2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Positive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284C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7.69 ± 4.27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E885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7.74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5A81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1.60</w:t>
            </w:r>
          </w:p>
        </w:tc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A8A1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0.006</w:t>
            </w:r>
          </w:p>
        </w:tc>
      </w:tr>
      <w:tr w14:paraId="77F12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C9B4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1395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Negative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EBC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4.81 ± 2.99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D91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4.35</w:t>
            </w:r>
          </w:p>
        </w:tc>
        <w:tc>
          <w:tcPr>
            <w:tcW w:w="146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608C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709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1D71B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6365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sz w:val="21"/>
              </w:rPr>
              <w:t>–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 y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174B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Positive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D488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4.53 ± 2.75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353C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3.73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B5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1.26</w:t>
            </w:r>
          </w:p>
        </w:tc>
        <w:tc>
          <w:tcPr>
            <w:tcW w:w="10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159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0.002</w:t>
            </w:r>
          </w:p>
        </w:tc>
      </w:tr>
      <w:tr w14:paraId="4642D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9D1F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804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Negative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D562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3.59 ± 1.61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0756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3.41</w:t>
            </w:r>
          </w:p>
        </w:tc>
        <w:tc>
          <w:tcPr>
            <w:tcW w:w="146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F61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DD07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1FB84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restart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6AF623D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≥6 y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16D4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Positive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4D2A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4.82 ± 3.72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9BA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4.04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262F43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1.50</w:t>
            </w:r>
          </w:p>
        </w:tc>
        <w:tc>
          <w:tcPr>
            <w:tcW w:w="1025" w:type="dxa"/>
            <w:vMerge w:val="restart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7BEFCD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&lt;0.001</w:t>
            </w:r>
          </w:p>
        </w:tc>
      </w:tr>
      <w:tr w14:paraId="3092D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trHeight w:val="0" w:hRule="atLeast"/>
          <w:jc w:val="center"/>
        </w:trPr>
        <w:tc>
          <w:tcPr>
            <w:tcW w:w="1317" w:type="dxa"/>
            <w:vMerge w:val="continue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38E3CE8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15765AC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Negative</w:t>
            </w:r>
          </w:p>
        </w:tc>
        <w:tc>
          <w:tcPr>
            <w:tcW w:w="2052" w:type="dxa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725143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3.21 ± 2.53</w:t>
            </w:r>
          </w:p>
        </w:tc>
        <w:tc>
          <w:tcPr>
            <w:tcW w:w="2052" w:type="dxa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61C119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2.84</w:t>
            </w:r>
          </w:p>
        </w:tc>
        <w:tc>
          <w:tcPr>
            <w:tcW w:w="1469" w:type="dxa"/>
            <w:vMerge w:val="continue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51DDCE8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25" w:type="dxa"/>
            <w:vMerge w:val="continue"/>
            <w:tcBorders>
              <w:top w:val="nil"/>
              <w:left w:val="nil"/>
              <w:bottom w:val="single" w:color="000000" w:sz="14" w:space="0"/>
              <w:right w:val="nil"/>
            </w:tcBorders>
            <w:vAlign w:val="center"/>
          </w:tcPr>
          <w:p w14:paraId="7E4A110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</w:tbl>
    <w:p w14:paraId="1CC82C87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  <w:r>
        <w:rPr>
          <w:rFonts w:ascii="Times New Roman" w:hAnsi="Times New Roman" w:eastAsia="Times New Roman"/>
          <w:b/>
          <w:bCs/>
          <w:i w:val="0"/>
          <w:iCs/>
          <w:sz w:val="20"/>
          <w:szCs w:val="20"/>
        </w:rPr>
        <w:t xml:space="preserve">Note: 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>Data are presented as mean ± SD and median. p values were calculated using the independent samples t-test. Fold change = positive group mean / negative group mean. Sample sizes by age group — 0–2 mo: positive n = 23, negative n = 109; 3–5 mo: positive n = 24, negative n = 124; 6–11 mo: positive n = 5, negative n = 138; 1–2 y: positive n = 5, negative n = 131; 3–5 y: positive n = 51, negative n = 752; ≥6 y: positive n = 102, negative n = 786. Across all age groups, pertussis-positive children had significantly higher absolute lymphocyte counts than pertussis-negative children. SD, standard deviation; mo, months; y, years.</w:t>
      </w:r>
      <w:r>
        <w:rPr>
          <w:rFonts w:hint="eastAsia"/>
          <w:b w:val="0"/>
          <w:i w:val="0"/>
          <w:iCs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Times New Roman"/>
          <w:b w:val="0"/>
          <w:i w:val="0"/>
          <w:iCs/>
          <w:sz w:val="20"/>
          <w:szCs w:val="20"/>
        </w:rPr>
        <w:t>All 210 PCR-positive and 2,040 PCR-negative children had complete absolute lymphocyte count data; this denominator differs from Supplementary Table S3 (n = 172 positive), where 38 positive cases had missing lymphocyte percentage data.</w:t>
      </w:r>
      <w:bookmarkStart w:id="0" w:name="_GoBack"/>
      <w:bookmarkEnd w:id="0"/>
    </w:p>
    <w:p w14:paraId="3F43CCF4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18"/>
        </w:rPr>
      </w:pPr>
    </w:p>
    <w:p w14:paraId="4CE122FE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18"/>
        </w:rPr>
      </w:pPr>
    </w:p>
    <w:p w14:paraId="32F99352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18"/>
        </w:rPr>
      </w:pPr>
    </w:p>
    <w:p w14:paraId="5D857C94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18"/>
        </w:rPr>
      </w:pPr>
    </w:p>
    <w:p w14:paraId="67769076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18"/>
        </w:rPr>
      </w:pPr>
    </w:p>
    <w:p w14:paraId="46896F0C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18"/>
        </w:rPr>
      </w:pPr>
    </w:p>
    <w:p w14:paraId="77A804E3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18"/>
        </w:rPr>
      </w:pPr>
    </w:p>
    <w:p w14:paraId="36F4D68F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18"/>
        </w:rPr>
      </w:pPr>
    </w:p>
    <w:p w14:paraId="3317FA26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18"/>
        </w:rPr>
      </w:pPr>
    </w:p>
    <w:p w14:paraId="2A8AB94B">
      <w:pPr>
        <w:spacing w:before="100" w:after="100"/>
        <w:jc w:val="center"/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Supplementary Table S</w:t>
      </w: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.  Sensitivity analysis: adjusted multivariable logistic regression in the full cohort, including infants aged 0–2 months (n = 1,859 complete cases).</w:t>
      </w:r>
    </w:p>
    <w:tbl>
      <w:tblPr>
        <w:tblStyle w:val="5"/>
        <w:tblW w:w="85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1"/>
        <w:gridCol w:w="2186"/>
        <w:gridCol w:w="1837"/>
        <w:gridCol w:w="928"/>
      </w:tblGrid>
      <w:tr w14:paraId="709A9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2D31E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/>
                <w:b/>
                <w:sz w:val="18"/>
                <w:szCs w:val="18"/>
              </w:rPr>
              <w:t>Variable</w:t>
            </w:r>
          </w:p>
        </w:tc>
        <w:tc>
          <w:tcPr>
            <w:tcW w:w="218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0C949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/>
                <w:sz w:val="18"/>
                <w:szCs w:val="18"/>
              </w:rPr>
              <w:t>Level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3495C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/>
                <w:sz w:val="18"/>
                <w:szCs w:val="18"/>
              </w:rPr>
              <w:t>aOR (95% CI)</w:t>
            </w:r>
          </w:p>
        </w:tc>
        <w:tc>
          <w:tcPr>
            <w:tcW w:w="92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F4A8C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hint="eastAsia"/>
                <w:b/>
                <w:bCs/>
                <w:sz w:val="18"/>
                <w:szCs w:val="18"/>
              </w:rPr>
              <w:t>-value</w:t>
            </w:r>
          </w:p>
        </w:tc>
      </w:tr>
      <w:tr w14:paraId="2E559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tcBorders>
              <w:top w:val="single" w:color="auto" w:sz="6" w:space="0"/>
            </w:tcBorders>
            <w:vAlign w:val="center"/>
          </w:tcPr>
          <w:p w14:paraId="7C71DC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Age group (ref: 0–2 months)</w:t>
            </w:r>
          </w:p>
        </w:tc>
        <w:tc>
          <w:tcPr>
            <w:tcW w:w="2186" w:type="dxa"/>
            <w:tcBorders>
              <w:top w:val="single" w:color="auto" w:sz="6" w:space="0"/>
            </w:tcBorders>
            <w:vAlign w:val="center"/>
          </w:tcPr>
          <w:p w14:paraId="3E36B3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29C0112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color="auto" w:sz="6" w:space="0"/>
            </w:tcBorders>
            <w:vAlign w:val="center"/>
          </w:tcPr>
          <w:p w14:paraId="47385DB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</w:tr>
      <w:tr w14:paraId="5BCB6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432DCA6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63E9DD7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3–5 months</w:t>
            </w:r>
          </w:p>
        </w:tc>
        <w:tc>
          <w:tcPr>
            <w:tcW w:w="0" w:type="auto"/>
            <w:vAlign w:val="center"/>
          </w:tcPr>
          <w:p w14:paraId="3882E9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1.00 (0.47–2.15)</w:t>
            </w:r>
          </w:p>
        </w:tc>
        <w:tc>
          <w:tcPr>
            <w:tcW w:w="928" w:type="dxa"/>
            <w:vAlign w:val="center"/>
          </w:tcPr>
          <w:p w14:paraId="6380911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0.999</w:t>
            </w:r>
          </w:p>
        </w:tc>
      </w:tr>
      <w:tr w14:paraId="1D63D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25433F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055CCC7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6–11 months</w:t>
            </w:r>
          </w:p>
        </w:tc>
        <w:tc>
          <w:tcPr>
            <w:tcW w:w="0" w:type="auto"/>
            <w:vAlign w:val="center"/>
          </w:tcPr>
          <w:p w14:paraId="71F1D9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0.25 (0.09–0.75)</w:t>
            </w:r>
          </w:p>
        </w:tc>
        <w:tc>
          <w:tcPr>
            <w:tcW w:w="928" w:type="dxa"/>
            <w:vAlign w:val="center"/>
          </w:tcPr>
          <w:p w14:paraId="5FCE54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0.013</w:t>
            </w:r>
          </w:p>
        </w:tc>
      </w:tr>
      <w:tr w14:paraId="58538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6472F2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72BCC1B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1–2 years</w:t>
            </w:r>
          </w:p>
        </w:tc>
        <w:tc>
          <w:tcPr>
            <w:tcW w:w="0" w:type="auto"/>
            <w:vAlign w:val="center"/>
          </w:tcPr>
          <w:p w14:paraId="5707E8D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0.15 (0.04–0.55)</w:t>
            </w:r>
          </w:p>
        </w:tc>
        <w:tc>
          <w:tcPr>
            <w:tcW w:w="928" w:type="dxa"/>
            <w:vAlign w:val="center"/>
          </w:tcPr>
          <w:p w14:paraId="6454D39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0.004</w:t>
            </w:r>
          </w:p>
        </w:tc>
      </w:tr>
      <w:tr w14:paraId="07591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2956A0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056A2C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3–5 years</w:t>
            </w:r>
          </w:p>
        </w:tc>
        <w:tc>
          <w:tcPr>
            <w:tcW w:w="0" w:type="auto"/>
            <w:vAlign w:val="center"/>
          </w:tcPr>
          <w:p w14:paraId="172F380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0.47 (0.24–0.93)</w:t>
            </w:r>
          </w:p>
        </w:tc>
        <w:tc>
          <w:tcPr>
            <w:tcW w:w="928" w:type="dxa"/>
            <w:vAlign w:val="center"/>
          </w:tcPr>
          <w:p w14:paraId="31D1C3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0.029</w:t>
            </w:r>
          </w:p>
        </w:tc>
      </w:tr>
      <w:tr w14:paraId="43E95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3C40E1C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12C0314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≥6 years</w:t>
            </w:r>
          </w:p>
        </w:tc>
        <w:tc>
          <w:tcPr>
            <w:tcW w:w="0" w:type="auto"/>
            <w:vAlign w:val="center"/>
          </w:tcPr>
          <w:p w14:paraId="2F43265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1.15 (0.60–2.19)</w:t>
            </w:r>
          </w:p>
        </w:tc>
        <w:tc>
          <w:tcPr>
            <w:tcW w:w="928" w:type="dxa"/>
            <w:vAlign w:val="center"/>
          </w:tcPr>
          <w:p w14:paraId="7EB74B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0.676</w:t>
            </w:r>
          </w:p>
        </w:tc>
      </w:tr>
      <w:tr w14:paraId="6F41A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374D44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Sex (ref: Male)</w:t>
            </w:r>
          </w:p>
        </w:tc>
        <w:tc>
          <w:tcPr>
            <w:tcW w:w="2186" w:type="dxa"/>
            <w:vAlign w:val="center"/>
          </w:tcPr>
          <w:p w14:paraId="328650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CADD68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dxa"/>
            <w:vAlign w:val="center"/>
          </w:tcPr>
          <w:p w14:paraId="7C99C97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</w:tr>
      <w:tr w14:paraId="18262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35933F1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38DD57B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Female</w:t>
            </w:r>
          </w:p>
        </w:tc>
        <w:tc>
          <w:tcPr>
            <w:tcW w:w="0" w:type="auto"/>
            <w:vAlign w:val="center"/>
          </w:tcPr>
          <w:p w14:paraId="53F25F2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1.21 (0.86–1.71)</w:t>
            </w:r>
          </w:p>
        </w:tc>
        <w:tc>
          <w:tcPr>
            <w:tcW w:w="928" w:type="dxa"/>
            <w:vAlign w:val="center"/>
          </w:tcPr>
          <w:p w14:paraId="6A6252B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0.274</w:t>
            </w:r>
          </w:p>
        </w:tc>
      </w:tr>
      <w:tr w14:paraId="57EE0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670B0F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Ethnicity (ref: Han)</w:t>
            </w:r>
          </w:p>
        </w:tc>
        <w:tc>
          <w:tcPr>
            <w:tcW w:w="2186" w:type="dxa"/>
            <w:vAlign w:val="center"/>
          </w:tcPr>
          <w:p w14:paraId="2CCF65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7EF33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dxa"/>
            <w:vAlign w:val="center"/>
          </w:tcPr>
          <w:p w14:paraId="0CE4D42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</w:tr>
      <w:tr w14:paraId="238F9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6FB391C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4F566F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Hui</w:t>
            </w:r>
          </w:p>
        </w:tc>
        <w:tc>
          <w:tcPr>
            <w:tcW w:w="0" w:type="auto"/>
            <w:vAlign w:val="center"/>
          </w:tcPr>
          <w:p w14:paraId="3181F4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0.38 (0.12–1.25)</w:t>
            </w:r>
          </w:p>
        </w:tc>
        <w:tc>
          <w:tcPr>
            <w:tcW w:w="928" w:type="dxa"/>
            <w:vAlign w:val="center"/>
          </w:tcPr>
          <w:p w14:paraId="71E8649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0.112</w:t>
            </w:r>
          </w:p>
        </w:tc>
      </w:tr>
      <w:tr w14:paraId="2AABF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1956AD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6EC6BA5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Uyghur</w:t>
            </w:r>
          </w:p>
        </w:tc>
        <w:tc>
          <w:tcPr>
            <w:tcW w:w="0" w:type="auto"/>
            <w:vAlign w:val="center"/>
          </w:tcPr>
          <w:p w14:paraId="36B6522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1.47 (0.98–2.19)</w:t>
            </w:r>
          </w:p>
        </w:tc>
        <w:tc>
          <w:tcPr>
            <w:tcW w:w="928" w:type="dxa"/>
            <w:vAlign w:val="center"/>
          </w:tcPr>
          <w:p w14:paraId="2649014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0.060</w:t>
            </w:r>
          </w:p>
        </w:tc>
      </w:tr>
      <w:tr w14:paraId="3A65B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70CE36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21C9DC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Kazakh</w:t>
            </w:r>
          </w:p>
        </w:tc>
        <w:tc>
          <w:tcPr>
            <w:tcW w:w="0" w:type="auto"/>
            <w:vAlign w:val="center"/>
          </w:tcPr>
          <w:p w14:paraId="2263F39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1.72 (0.95–3.14)</w:t>
            </w:r>
          </w:p>
        </w:tc>
        <w:tc>
          <w:tcPr>
            <w:tcW w:w="928" w:type="dxa"/>
            <w:vAlign w:val="center"/>
          </w:tcPr>
          <w:p w14:paraId="6FD344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0.075</w:t>
            </w:r>
          </w:p>
        </w:tc>
      </w:tr>
      <w:tr w14:paraId="2F2F9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5CE037C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0A18207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Manchu</w:t>
            </w:r>
          </w:p>
        </w:tc>
        <w:tc>
          <w:tcPr>
            <w:tcW w:w="0" w:type="auto"/>
            <w:vAlign w:val="center"/>
          </w:tcPr>
          <w:p w14:paraId="5644DD6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Not estimable</w:t>
            </w:r>
          </w:p>
        </w:tc>
        <w:tc>
          <w:tcPr>
            <w:tcW w:w="928" w:type="dxa"/>
            <w:vAlign w:val="center"/>
          </w:tcPr>
          <w:p w14:paraId="038617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0.984</w:t>
            </w:r>
          </w:p>
        </w:tc>
      </w:tr>
      <w:tr w14:paraId="1F112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19AB8E0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4515E5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Others</w:t>
            </w:r>
          </w:p>
        </w:tc>
        <w:tc>
          <w:tcPr>
            <w:tcW w:w="0" w:type="auto"/>
            <w:vAlign w:val="center"/>
          </w:tcPr>
          <w:p w14:paraId="27F1618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Not estimable</w:t>
            </w:r>
          </w:p>
        </w:tc>
        <w:tc>
          <w:tcPr>
            <w:tcW w:w="928" w:type="dxa"/>
            <w:vAlign w:val="center"/>
          </w:tcPr>
          <w:p w14:paraId="6B2A3B2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0.979</w:t>
            </w:r>
          </w:p>
        </w:tc>
      </w:tr>
      <w:tr w14:paraId="35866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369254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Season (ref: Spring)</w:t>
            </w:r>
          </w:p>
        </w:tc>
        <w:tc>
          <w:tcPr>
            <w:tcW w:w="2186" w:type="dxa"/>
            <w:vAlign w:val="center"/>
          </w:tcPr>
          <w:p w14:paraId="2F958DF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93F96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dxa"/>
            <w:vAlign w:val="center"/>
          </w:tcPr>
          <w:p w14:paraId="670E27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</w:tr>
      <w:tr w14:paraId="330A3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7C4A345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0EE978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Summer</w:t>
            </w:r>
          </w:p>
        </w:tc>
        <w:tc>
          <w:tcPr>
            <w:tcW w:w="0" w:type="auto"/>
            <w:vAlign w:val="center"/>
          </w:tcPr>
          <w:p w14:paraId="636DB8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5.50 (3.49–8.67)</w:t>
            </w:r>
          </w:p>
        </w:tc>
        <w:tc>
          <w:tcPr>
            <w:tcW w:w="928" w:type="dxa"/>
            <w:vAlign w:val="center"/>
          </w:tcPr>
          <w:p w14:paraId="5E7096D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</w:tr>
      <w:tr w14:paraId="466E0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05C2E14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143AAFC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Autumn</w:t>
            </w:r>
          </w:p>
        </w:tc>
        <w:tc>
          <w:tcPr>
            <w:tcW w:w="0" w:type="auto"/>
            <w:vAlign w:val="center"/>
          </w:tcPr>
          <w:p w14:paraId="466BA66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1.58 (0.93–2.67)</w:t>
            </w:r>
          </w:p>
        </w:tc>
        <w:tc>
          <w:tcPr>
            <w:tcW w:w="928" w:type="dxa"/>
            <w:vAlign w:val="center"/>
          </w:tcPr>
          <w:p w14:paraId="75FFD50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0.091</w:t>
            </w:r>
          </w:p>
        </w:tc>
      </w:tr>
      <w:tr w14:paraId="13BEE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07DD1F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65E012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Winter</w:t>
            </w:r>
          </w:p>
        </w:tc>
        <w:tc>
          <w:tcPr>
            <w:tcW w:w="0" w:type="auto"/>
            <w:vAlign w:val="center"/>
          </w:tcPr>
          <w:p w14:paraId="7766B7B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0.43 (0.19–1.01)</w:t>
            </w:r>
          </w:p>
        </w:tc>
        <w:tc>
          <w:tcPr>
            <w:tcW w:w="928" w:type="dxa"/>
            <w:vAlign w:val="center"/>
          </w:tcPr>
          <w:p w14:paraId="25F363F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0.053</w:t>
            </w:r>
          </w:p>
        </w:tc>
      </w:tr>
      <w:tr w14:paraId="7AC11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050BDF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History of cough contact (ref: No)</w:t>
            </w:r>
          </w:p>
        </w:tc>
        <w:tc>
          <w:tcPr>
            <w:tcW w:w="2186" w:type="dxa"/>
            <w:vAlign w:val="center"/>
          </w:tcPr>
          <w:p w14:paraId="386E48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5D75B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dxa"/>
            <w:vAlign w:val="center"/>
          </w:tcPr>
          <w:p w14:paraId="5626BE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</w:tr>
      <w:tr w14:paraId="2CCFE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38AB7C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28EC44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vAlign w:val="center"/>
          </w:tcPr>
          <w:p w14:paraId="323AD1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2.45 (1.55–3.87)</w:t>
            </w:r>
          </w:p>
        </w:tc>
        <w:tc>
          <w:tcPr>
            <w:tcW w:w="928" w:type="dxa"/>
            <w:vAlign w:val="center"/>
          </w:tcPr>
          <w:p w14:paraId="5FC5E78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</w:tr>
      <w:tr w14:paraId="6ADA9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036AE24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Paroxysmal cough (ref: No)</w:t>
            </w:r>
          </w:p>
        </w:tc>
        <w:tc>
          <w:tcPr>
            <w:tcW w:w="2186" w:type="dxa"/>
            <w:vAlign w:val="center"/>
          </w:tcPr>
          <w:p w14:paraId="4B8BE73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41E260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dxa"/>
            <w:vAlign w:val="center"/>
          </w:tcPr>
          <w:p w14:paraId="76AAE39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</w:tr>
      <w:tr w14:paraId="4632D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7499532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7DBC49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vAlign w:val="center"/>
          </w:tcPr>
          <w:p w14:paraId="68256BF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1.44 (1.00–2.05)</w:t>
            </w:r>
          </w:p>
        </w:tc>
        <w:tc>
          <w:tcPr>
            <w:tcW w:w="928" w:type="dxa"/>
            <w:vAlign w:val="center"/>
          </w:tcPr>
          <w:p w14:paraId="171E067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0.047</w:t>
            </w:r>
          </w:p>
        </w:tc>
      </w:tr>
      <w:tr w14:paraId="3555F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3CF0E3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Lymphocytosis (&gt;50%) (ref: No)</w:t>
            </w:r>
          </w:p>
        </w:tc>
        <w:tc>
          <w:tcPr>
            <w:tcW w:w="2186" w:type="dxa"/>
            <w:vAlign w:val="center"/>
          </w:tcPr>
          <w:p w14:paraId="54DFBCD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1340AC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dxa"/>
            <w:vAlign w:val="center"/>
          </w:tcPr>
          <w:p w14:paraId="51F303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</w:tr>
      <w:tr w14:paraId="29165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251048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2C55129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vAlign w:val="center"/>
          </w:tcPr>
          <w:p w14:paraId="405C5CF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1.60 (1.09–2.35)</w:t>
            </w:r>
          </w:p>
        </w:tc>
        <w:tc>
          <w:tcPr>
            <w:tcW w:w="928" w:type="dxa"/>
            <w:vAlign w:val="center"/>
          </w:tcPr>
          <w:p w14:paraId="339D48F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0.017</w:t>
            </w:r>
          </w:p>
        </w:tc>
      </w:tr>
      <w:tr w14:paraId="2006A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6C62CA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WBC category (ref: Decreased (&lt;4×10⁹/L))</w:t>
            </w:r>
          </w:p>
        </w:tc>
        <w:tc>
          <w:tcPr>
            <w:tcW w:w="2186" w:type="dxa"/>
            <w:vAlign w:val="center"/>
          </w:tcPr>
          <w:p w14:paraId="7345C5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4872DF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dxa"/>
            <w:vAlign w:val="center"/>
          </w:tcPr>
          <w:p w14:paraId="08C723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</w:tr>
      <w:tr w14:paraId="2ACBB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195674D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79577A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Normal</w:t>
            </w:r>
          </w:p>
        </w:tc>
        <w:tc>
          <w:tcPr>
            <w:tcW w:w="0" w:type="auto"/>
            <w:vAlign w:val="center"/>
          </w:tcPr>
          <w:p w14:paraId="4476272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1.17 (0.27–5.09)</w:t>
            </w:r>
          </w:p>
        </w:tc>
        <w:tc>
          <w:tcPr>
            <w:tcW w:w="928" w:type="dxa"/>
            <w:vAlign w:val="center"/>
          </w:tcPr>
          <w:p w14:paraId="746FF1A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0.830</w:t>
            </w:r>
          </w:p>
        </w:tc>
      </w:tr>
      <w:tr w14:paraId="07E54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vAlign w:val="center"/>
          </w:tcPr>
          <w:p w14:paraId="19B03EC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2BF718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Elevated</w:t>
            </w:r>
          </w:p>
        </w:tc>
        <w:tc>
          <w:tcPr>
            <w:tcW w:w="0" w:type="auto"/>
            <w:vAlign w:val="center"/>
          </w:tcPr>
          <w:p w14:paraId="307679F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3.44 (0.79–14.97)</w:t>
            </w:r>
          </w:p>
        </w:tc>
        <w:tc>
          <w:tcPr>
            <w:tcW w:w="928" w:type="dxa"/>
            <w:vAlign w:val="center"/>
          </w:tcPr>
          <w:p w14:paraId="160CE13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0.100</w:t>
            </w:r>
          </w:p>
        </w:tc>
      </w:tr>
      <w:tr w14:paraId="57DD8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tcBorders>
              <w:top w:val="single" w:color="000000" w:sz="6" w:space="0"/>
            </w:tcBorders>
            <w:vAlign w:val="center"/>
          </w:tcPr>
          <w:p w14:paraId="1BE46D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Model performance</w:t>
            </w:r>
          </w:p>
        </w:tc>
        <w:tc>
          <w:tcPr>
            <w:tcW w:w="2186" w:type="dxa"/>
            <w:tcBorders>
              <w:top w:val="single" w:color="000000" w:sz="6" w:space="0"/>
            </w:tcBorders>
            <w:vAlign w:val="center"/>
          </w:tcPr>
          <w:p w14:paraId="52A2C6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  <w:vAlign w:val="center"/>
          </w:tcPr>
          <w:p w14:paraId="3228A30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color="000000" w:sz="6" w:space="0"/>
            </w:tcBorders>
            <w:vAlign w:val="center"/>
          </w:tcPr>
          <w:p w14:paraId="0C146E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</w:tr>
      <w:tr w14:paraId="4B475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3571" w:type="dxa"/>
            <w:tcBorders>
              <w:bottom w:val="single" w:color="000000" w:sz="8" w:space="0"/>
            </w:tcBorders>
            <w:vAlign w:val="center"/>
          </w:tcPr>
          <w:p w14:paraId="7393331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2186" w:type="dxa"/>
            <w:tcBorders>
              <w:bottom w:val="single" w:color="000000" w:sz="8" w:space="0"/>
            </w:tcBorders>
            <w:vAlign w:val="center"/>
          </w:tcPr>
          <w:p w14:paraId="2F0763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Complete-case sample size</w:t>
            </w:r>
          </w:p>
        </w:tc>
        <w:tc>
          <w:tcPr>
            <w:tcW w:w="1837" w:type="dxa"/>
            <w:tcBorders>
              <w:bottom w:val="single" w:color="000000" w:sz="8" w:space="0"/>
            </w:tcBorders>
            <w:vAlign w:val="center"/>
          </w:tcPr>
          <w:p w14:paraId="7D5556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1,859</w:t>
            </w:r>
          </w:p>
        </w:tc>
        <w:tc>
          <w:tcPr>
            <w:tcW w:w="928" w:type="dxa"/>
            <w:tcBorders>
              <w:bottom w:val="single" w:color="000000" w:sz="8" w:space="0"/>
            </w:tcBorders>
            <w:vAlign w:val="center"/>
          </w:tcPr>
          <w:p w14:paraId="2E6406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</w:p>
        </w:tc>
      </w:tr>
      <w:tr w14:paraId="0C6AA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1" w:type="dxa"/>
          </w:tcPr>
          <w:p w14:paraId="265DD6D7"/>
        </w:tc>
        <w:tc>
          <w:tcPr>
            <w:tcW w:w="2186" w:type="dxa"/>
          </w:tcPr>
          <w:p w14:paraId="5DB56D64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AIC</w:t>
            </w:r>
          </w:p>
        </w:tc>
        <w:tc>
          <w:tcPr>
            <w:tcW w:w="1837" w:type="dxa"/>
          </w:tcPr>
          <w:p w14:paraId="13A504A6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971.92</w:t>
            </w:r>
          </w:p>
        </w:tc>
        <w:tc>
          <w:tcPr>
            <w:tcW w:w="928" w:type="dxa"/>
          </w:tcPr>
          <w:p w14:paraId="0EC599EC"/>
        </w:tc>
      </w:tr>
      <w:tr w14:paraId="3BF57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1" w:type="dxa"/>
            <w:tcBorders>
              <w:bottom w:val="nil"/>
            </w:tcBorders>
          </w:tcPr>
          <w:p w14:paraId="7F0C7B6A"/>
        </w:tc>
        <w:tc>
          <w:tcPr>
            <w:tcW w:w="2186" w:type="dxa"/>
            <w:tcBorders>
              <w:bottom w:val="nil"/>
            </w:tcBorders>
          </w:tcPr>
          <w:p w14:paraId="7E1B78B0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AUC (95% CI)</w:t>
            </w:r>
          </w:p>
        </w:tc>
        <w:tc>
          <w:tcPr>
            <w:tcW w:w="1837" w:type="dxa"/>
            <w:tcBorders>
              <w:bottom w:val="nil"/>
            </w:tcBorders>
          </w:tcPr>
          <w:p w14:paraId="385627A4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0.794 (0.759–0.830)</w:t>
            </w:r>
          </w:p>
        </w:tc>
        <w:tc>
          <w:tcPr>
            <w:tcW w:w="928" w:type="dxa"/>
            <w:tcBorders>
              <w:bottom w:val="nil"/>
            </w:tcBorders>
          </w:tcPr>
          <w:p w14:paraId="49FE83DF"/>
        </w:tc>
      </w:tr>
      <w:tr w14:paraId="64361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92303E7"/>
        </w:tc>
        <w:tc>
          <w:tcPr>
            <w:tcW w:w="218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4BCC286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Hosmer–Lemeshow p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6C26CF5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0.033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909EB7C"/>
        </w:tc>
      </w:tr>
    </w:tbl>
    <w:p w14:paraId="6E8440CD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  <w:r>
        <w:rPr>
          <w:rFonts w:ascii="Times New Roman" w:hAnsi="Times New Roman" w:eastAsia="Times New Roman"/>
          <w:b/>
          <w:bCs/>
          <w:i w:val="0"/>
          <w:iCs/>
          <w:sz w:val="20"/>
          <w:szCs w:val="20"/>
        </w:rPr>
        <w:t>Note: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 xml:space="preserve"> Sensitivity analysis showing the adjusted multivariable logistic regression model applied to the full cohort (including infants aged 0–2 months who were age-ineligible for vaccination). This model is presented for comparison with the primary analysis (Table 5, n = 1,741 children aged ≥3 months). Three observations support the rationale for restricting the primary analysis to children aged ≥3 months: (i) the Hosmer–Lemeshow goodness-of-fit test was significant in the full model (</w:t>
      </w:r>
      <w:r>
        <w:rPr>
          <w:rFonts w:ascii="Times New Roman" w:hAnsi="Times New Roman" w:eastAsia="Times New Roman"/>
          <w:b w:val="0"/>
          <w:i/>
          <w:iCs w:val="0"/>
          <w:sz w:val="20"/>
          <w:szCs w:val="20"/>
        </w:rPr>
        <w:t>p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 xml:space="preserve"> = 0.033), indicating inadequate calibration, whereas the ≥3-months primary model achieved good calibration (</w:t>
      </w:r>
      <w:r>
        <w:rPr>
          <w:rFonts w:ascii="Times New Roman" w:hAnsi="Times New Roman" w:eastAsia="Times New Roman"/>
          <w:b w:val="0"/>
          <w:i/>
          <w:iCs w:val="0"/>
          <w:sz w:val="20"/>
          <w:szCs w:val="20"/>
        </w:rPr>
        <w:t>p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 xml:space="preserve"> = 0.216); (ii) the 3–5 months category in the full cohort showed an aOR of 1.00 (0.47–2.15, </w:t>
      </w:r>
      <w:r>
        <w:rPr>
          <w:rFonts w:ascii="Times New Roman" w:hAnsi="Times New Roman" w:eastAsia="Times New Roman"/>
          <w:b w:val="0"/>
          <w:i/>
          <w:iCs w:val="0"/>
          <w:sz w:val="20"/>
          <w:szCs w:val="20"/>
        </w:rPr>
        <w:t>p</w:t>
      </w:r>
      <w:r>
        <w:rPr>
          <w:rFonts w:ascii="Times New Roman" w:hAnsi="Times New Roman" w:eastAsia="Times New Roman"/>
          <w:b w:val="0"/>
          <w:i w:val="0"/>
          <w:iCs/>
          <w:sz w:val="20"/>
          <w:szCs w:val="20"/>
        </w:rPr>
        <w:t xml:space="preserve"> = 0.999) with 0–2 months as reference, indicating that these two groups have similar baseline positivity, consistent with both being age-ineligible for the first DTaP dose; (iii) AIC was higher in the full model (971.92) than in the primary model (889.26), suggesting a worse fit even after accounting for the larger sample. aOR, adjusted odds ratio; CI, confidence interval; AIC, Akaike Information Criterion; AUC, area under the receiver operating characteristic curve.</w:t>
      </w:r>
    </w:p>
    <w:p w14:paraId="646976EE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60577FAF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6603F2F1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41CBD2D8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547733EA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0ACA23B3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043755BA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649AA3AE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21FB18AF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0BD522D6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64472D44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49ED5B85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57B0EC1C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0A4753EE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2A9761C8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6EB44937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7B286391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31BDE905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1594047F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75F135DE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046432A4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4AD208AB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5031D01F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6C72CBB3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4B7CE243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6B228C0D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49189B4A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33019D40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3667FA79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55A5B523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1C4E49C3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66C3A4A1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57B9C64F">
      <w:pPr>
        <w:spacing w:after="0" w:line="240" w:lineRule="auto"/>
        <w:jc w:val="both"/>
        <w:rPr>
          <w:rFonts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7E286289">
      <w:pPr>
        <w:spacing w:after="0" w:line="240" w:lineRule="auto"/>
        <w:jc w:val="both"/>
        <w:rPr>
          <w:rFonts w:hint="default" w:ascii="Times New Roman" w:hAnsi="Times New Roman" w:eastAsia="Times New Roman"/>
          <w:b w:val="0"/>
          <w:i w:val="0"/>
          <w:iCs/>
          <w:sz w:val="20"/>
          <w:szCs w:val="20"/>
        </w:rPr>
      </w:pPr>
    </w:p>
    <w:p w14:paraId="53EF1FF8">
      <w:pPr>
        <w:spacing w:before="100" w:after="100"/>
        <w:jc w:val="center"/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Supplementary Table S</w:t>
      </w:r>
      <w:r>
        <w:rPr>
          <w:rFonts w:hint="eastAsia" w:cs="Times New Roman"/>
          <w:b/>
          <w:bCs/>
          <w:color w:val="auto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. Respiratory pathogens detected by multiplex PCR among pertussis-negative children (n = 1,144 tested).</w:t>
      </w:r>
    </w:p>
    <w:tbl>
      <w:tblPr>
        <w:tblStyle w:val="5"/>
        <w:tblW w:w="85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98"/>
        <w:gridCol w:w="1417"/>
        <w:gridCol w:w="3188"/>
      </w:tblGrid>
      <w:tr w14:paraId="51F1E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B599F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18"/>
                <w:szCs w:val="18"/>
              </w:rPr>
              <w:t>Pathogen</w:t>
            </w:r>
          </w:p>
        </w:tc>
        <w:tc>
          <w:tcPr>
            <w:tcW w:w="1417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82552C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Positive,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318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E8D21"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Detection rate (%, of n = 1,144)</w:t>
            </w:r>
          </w:p>
        </w:tc>
      </w:tr>
      <w:tr w14:paraId="2D885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064A01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Rhinovirus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5583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387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A25DB2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33.8</w:t>
            </w:r>
          </w:p>
        </w:tc>
      </w:tr>
      <w:tr w14:paraId="72617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3B306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8"/>
                <w:szCs w:val="18"/>
              </w:rPr>
              <w:t>Mycoplasma pneumoniae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AD58AC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197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7168CF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17.2</w:t>
            </w:r>
          </w:p>
        </w:tc>
      </w:tr>
      <w:tr w14:paraId="384FB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45DDF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Respiratory syncytial virus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EEFDFA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126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3C0FC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11.0</w:t>
            </w:r>
          </w:p>
        </w:tc>
      </w:tr>
      <w:tr w14:paraId="57AA3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7080B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Adenovirus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7F03C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109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F79959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9.5</w:t>
            </w:r>
          </w:p>
        </w:tc>
      </w:tr>
      <w:tr w14:paraId="484E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692856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Influenza 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26652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26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0AD1A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2.3</w:t>
            </w:r>
          </w:p>
        </w:tc>
      </w:tr>
      <w:tr w14:paraId="4891C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79AE2F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Influenza 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4960E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0B6B6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0.4</w:t>
            </w:r>
          </w:p>
        </w:tc>
      </w:tr>
      <w:tr w14:paraId="13064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5902BB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No pathogen detected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BA2A5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438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FBBD2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38.3</w:t>
            </w:r>
          </w:p>
        </w:tc>
      </w:tr>
      <w:tr w14:paraId="65B81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898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C3ABAA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  <w:t>≥2 pathogens detected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79BB8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131</w:t>
            </w:r>
          </w:p>
        </w:tc>
        <w:tc>
          <w:tcPr>
            <w:tcW w:w="3188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A5912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  <w:t>11.5</w:t>
            </w:r>
          </w:p>
        </w:tc>
      </w:tr>
    </w:tbl>
    <w:p w14:paraId="73E5BC0B"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Note: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0"/>
          <w:szCs w:val="20"/>
        </w:rPr>
        <w:t>Among 2,040 PCR-negative children, 1,144 (56.1%) underwent additional multiplex respiratory pathogen PCR testing at the discretion of the treating clinician; not all pertussis-negative children were tested.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0"/>
          <w:szCs w:val="20"/>
        </w:rPr>
        <w:t>Detection rates were calculated using the number of tested children (n = 1,144) as the denominator. Individual pathogen categories are not mutually exclusive; children with co-detection contribute to multiple rows.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0"/>
          <w:szCs w:val="20"/>
        </w:rPr>
        <w:t>At least one respiratory pathogen was detected in 706 of 1,144 tested children (61.7%).</w:t>
      </w:r>
    </w:p>
    <w:p w14:paraId="24C12631">
      <w:pPr>
        <w:spacing w:after="40"/>
        <w:rPr>
          <w:rFonts w:hint="eastAsia" w:eastAsia="宋体"/>
          <w:lang w:val="en-US" w:eastAsia="zh-CN"/>
        </w:rPr>
      </w:pPr>
    </w:p>
    <w:p w14:paraId="601BCBF2">
      <w:pPr>
        <w:rPr>
          <w:rFonts w:hint="default" w:ascii="Times New Roman" w:hAnsi="Times New Roman" w:cs="Times New Roman"/>
        </w:rPr>
      </w:pPr>
    </w:p>
    <w:p w14:paraId="0F9F4D1A">
      <w:pPr>
        <w:rPr>
          <w:rFonts w:hint="default" w:ascii="Times New Roman" w:hAnsi="Times New Roman" w:cs="Times New Roma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C2AA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EF97A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EF97A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76CD8"/>
    <w:rsid w:val="06977690"/>
    <w:rsid w:val="0D8E04F1"/>
    <w:rsid w:val="1364777A"/>
    <w:rsid w:val="146A042A"/>
    <w:rsid w:val="1BE8760C"/>
    <w:rsid w:val="1FB24FF4"/>
    <w:rsid w:val="278E0942"/>
    <w:rsid w:val="2B624C22"/>
    <w:rsid w:val="30B5512B"/>
    <w:rsid w:val="31300BC6"/>
    <w:rsid w:val="37AA2518"/>
    <w:rsid w:val="38D3552B"/>
    <w:rsid w:val="3B893820"/>
    <w:rsid w:val="3EF67B21"/>
    <w:rsid w:val="4DFB523E"/>
    <w:rsid w:val="4EB96D0B"/>
    <w:rsid w:val="508F2F75"/>
    <w:rsid w:val="51D94B67"/>
    <w:rsid w:val="555B2034"/>
    <w:rsid w:val="560617A9"/>
    <w:rsid w:val="5D18706B"/>
    <w:rsid w:val="620B4DE2"/>
    <w:rsid w:val="66F33FC4"/>
    <w:rsid w:val="6E193284"/>
    <w:rsid w:val="70213976"/>
    <w:rsid w:val="70FF7809"/>
    <w:rsid w:val="7399224D"/>
    <w:rsid w:val="75D809BF"/>
    <w:rsid w:val="7664249B"/>
    <w:rsid w:val="7C850970"/>
    <w:rsid w:val="7CF32FD4"/>
    <w:rsid w:val="7D69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1176</Words>
  <Characters>6291</Characters>
  <Lines>0</Lines>
  <Paragraphs>0</Paragraphs>
  <TotalTime>7</TotalTime>
  <ScaleCrop>false</ScaleCrop>
  <LinksUpToDate>false</LinksUpToDate>
  <CharactersWithSpaces>7147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2025-12-17T05:53:00Z</dcterms:created>
  <dc:creator>huawei</dc:creator>
  <cp:lastModifiedBy>zy</cp:lastModifiedBy>
  <dcterms:modified xsi:type="dcterms:W3CDTF">2026-05-21T18:50:01Z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eyJoZGlkIjoiZmMyYzc1NTEyNzgwZmFlZDk4YmM1NzYwYjY5YjVmODgiLCJ1c2VySWQiOiIzNTAxNTMzMzcifQ==</vt:lpwstr>
  </property>
  <property fmtid="{D5CDD505-2E9C-101B-9397-08002B2CF9AE}" pid="4" name="ICV">
    <vt:lpwstr>2302086549114D7F9413E49EE53DCB85_12</vt:lpwstr>
  </property>
</Properties>
</file>