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480" w:lineRule="auto" w:after="0" w:before="0"/>
      </w:pPr>
      <w:r>
        <w:rPr>
          <w:rFonts w:ascii="Times New Roman" w:hAnsi="Times New Roman" w:eastAsia="Times New Roman"/>
          <w:b/>
          <w:sz w:val="28"/>
        </w:rPr>
        <w:t>Supplementary Material</w:t>
      </w:r>
    </w:p>
    <w:p>
      <w:pPr>
        <w:spacing w:line="480" w:lineRule="auto" w:after="0" w:before="0"/>
      </w:pPr>
      <w:r>
        <w:rPr>
          <w:rFonts w:ascii="Times New Roman" w:hAnsi="Times New Roman" w:eastAsia="Times New Roman"/>
          <w:b/>
          <w:i w:val="0"/>
          <w:sz w:val="20"/>
        </w:rPr>
        <w:t>Table S1. Definitive antimicrobial regimens by treatment group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160"/>
        <w:gridCol w:w="2448"/>
      </w:tblGrid>
      <w:tr w:rsidR="00D8365F" w14:paraId="60B09FA9" w14:textId="77777777">
        <w:trPr>
          <w:tblHeader/>
          <w:jc w:val="center"/>
        </w:trPr>
        <w:tc>
          <w:tcPr>
            <w:tcW w:w="547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A502C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b/>
                <w:sz w:val="20"/>
              </w:rPr>
              <w:t>Definitive regimen</w:t>
            </w:r>
          </w:p>
        </w:tc>
        <w:tc>
          <w:tcPr>
            <w:tcW w:w="216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278D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CZA group (n=15)</w:t>
            </w:r>
          </w:p>
        </w:tc>
        <w:tc>
          <w:tcPr>
            <w:tcW w:w="2448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25CD7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Non-CZA group (n=30)</w:t>
            </w:r>
          </w:p>
        </w:tc>
      </w:tr>
      <w:tr w:rsidR="00D8365F" w14:paraId="2114F330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A0463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CZA alone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73CAF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12 (80.0%)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FBCA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</w:tr>
      <w:tr w:rsidR="00D8365F" w14:paraId="5A225D8C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24BD5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CZA + amikacin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40A97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(13.3%)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6FF0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</w:tr>
      <w:tr w:rsidR="00D8365F" w14:paraId="0380BED9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BB1ED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CZA + trimethoprim/sulfamethoxazole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5CAC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133E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</w:tr>
      <w:tr w:rsidR="00D8365F" w14:paraId="3676BB54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63876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Meropenem + colistin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0F87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8886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14 (46.7%)</w:t>
            </w:r>
          </w:p>
        </w:tc>
      </w:tr>
      <w:tr w:rsidR="00D8365F" w14:paraId="5B06FAE2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D576B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Meropenem + amikacin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F4571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7C1EA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8 (26.7%)</w:t>
            </w:r>
          </w:p>
        </w:tc>
      </w:tr>
      <w:tr w:rsidR="00D8365F" w14:paraId="0A287B06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397E1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Levofloxacin + trimethoprim/sulfamethoxazole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65C2C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AB7C4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(3.3%)</w:t>
            </w:r>
          </w:p>
        </w:tc>
      </w:tr>
      <w:tr w:rsidR="00D8365F" w14:paraId="26BF80E0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45E16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Meropenem-based multidrug combinations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A41B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7ED82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(16.7%)</w:t>
            </w:r>
          </w:p>
        </w:tc>
      </w:tr>
      <w:tr w:rsidR="00D8365F" w14:paraId="2A392B32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FD364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Trimethoprim/sulfamethoxazole + tigecycline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D57C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D4CD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(3.3%)</w:t>
            </w:r>
          </w:p>
        </w:tc>
      </w:tr>
      <w:tr w:rsidR="00D8365F" w14:paraId="074BA460" w14:textId="77777777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AF042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Meropenem + gentamicin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FFEAC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9FF7F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(3.3%)</w:t>
            </w:r>
          </w:p>
        </w:tc>
      </w:tr>
    </w:tbl>
    <w:p>
      <w:pPr>
        <w:spacing w:line="480" w:lineRule="auto" w:after="0" w:before="0"/>
      </w:pPr>
      <w:r>
        <w:rPr>
          <w:rFonts w:ascii="Times New Roman" w:hAnsi="Times New Roman" w:eastAsia="Times New Roman"/>
          <w:b w:val="0"/>
          <w:i w:val="0"/>
          <w:sz w:val="20"/>
        </w:rPr>
        <w:t>Data are n (%). CZA, ceftazidime-avibactam.</w:t>
      </w:r>
    </w:p>
    <w:p>
      <w:pPr>
        <w:spacing w:line="480" w:lineRule="auto" w:after="0" w:before="0"/>
      </w:pPr>
      <w:r>
        <w:rPr>
          <w:rFonts w:ascii="Times New Roman" w:hAnsi="Times New Roman" w:eastAsia="Times New Roman"/>
          <w:b/>
          <w:i w:val="0"/>
          <w:sz w:val="20"/>
        </w:rPr>
        <w:t>Table S2. Pathogen distribution, carbapenemase positivity and infection focus by treatment group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1584"/>
        <w:gridCol w:w="1584"/>
        <w:gridCol w:w="1872"/>
        <w:gridCol w:w="864"/>
      </w:tblGrid>
      <w:tr w:rsidR="00D8365F" w14:paraId="1DB27305" w14:textId="77777777">
        <w:trPr>
          <w:tblHeader/>
          <w:jc w:val="center"/>
        </w:trPr>
        <w:tc>
          <w:tcPr>
            <w:tcW w:w="432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F6971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b/>
                <w:sz w:val="20"/>
              </w:rPr>
              <w:t>Variable</w:t>
            </w:r>
          </w:p>
        </w:tc>
        <w:tc>
          <w:tcPr>
            <w:tcW w:w="158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CF46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Overall (n=45)</w:t>
            </w:r>
          </w:p>
        </w:tc>
        <w:tc>
          <w:tcPr>
            <w:tcW w:w="158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92A3F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CZA (n=15)</w:t>
            </w:r>
          </w:p>
        </w:tc>
        <w:tc>
          <w:tcPr>
            <w:tcW w:w="187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6A56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Non-CZA (n=30)</w:t>
            </w:r>
          </w:p>
        </w:tc>
        <w:tc>
          <w:tcPr>
            <w:tcW w:w="86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342B2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</w:t>
            </w:r>
          </w:p>
        </w:tc>
      </w:tr>
      <w:tr w:rsidR="00D8365F" w14:paraId="1F18490B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33DD0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Pseudomonas aeruginosa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73AD7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23 (51.1%)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921A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6 (40.0%)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BB09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17 (56.7%)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29D4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0.283</w:t>
            </w:r>
          </w:p>
        </w:tc>
      </w:tr>
      <w:tr w:rsidR="00D8365F" w14:paraId="3695CB9D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6F0D5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Klebsiella pneumoniae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1D9F1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9 (20.0%)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2E61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(33.3%)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1F4A4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(13.3%)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3342F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5C31AC87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10607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Stenotrophomonas maltophilia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0F2AA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9 (20.0%)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A3F7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(26.7%)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1C50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(16.7%)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03659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71AAE530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499B8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Acinetobacter baumannii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A308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(6.7%)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3F76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 (0.0%)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797F1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(10.0%)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CCAC0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2D2C3CD3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7608B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Burkholderia cepacia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F82F2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(2.2%)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F5E9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 (0.0%)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BED0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09475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730021F9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628EC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Carbapenemase-positive isolate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C970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8 (17.8%)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220A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(33.3%)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5B78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(10.0%)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E33A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0.095</w:t>
            </w:r>
          </w:p>
        </w:tc>
      </w:tr>
      <w:tr w:rsidR="00D8365F" w14:paraId="6E48349A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2FE9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Pneumonia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EF16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23 (51.1%)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014F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7 (46.7%)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1676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16 (53.3%)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8B72F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0.679</w:t>
            </w:r>
          </w:p>
        </w:tc>
      </w:tr>
      <w:tr w:rsidR="00D8365F" w14:paraId="29FD251F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6F06E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Bacteraemia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288CD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12 (26.7%)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6D5F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(20.0%)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B7F7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9 (30.0%)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59FB8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5A0E7472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5D07A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Urinary tract infection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BDDB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(11.1%)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4B56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(20.0%)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1069D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7A415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04267F3A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629CE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Meningitis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EAF5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(6.7%)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291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690C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CD1B8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27F707B8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B7F74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Skin and soft tissue infection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5658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(4.4%)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A99A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E6B6F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C7024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</w:tbl>
    <w:p>
      <w:pPr>
        <w:spacing w:line="480" w:lineRule="auto" w:after="0" w:before="0"/>
      </w:pPr>
      <w:r>
        <w:rPr>
          <w:rFonts w:ascii="Times New Roman" w:hAnsi="Times New Roman" w:eastAsia="Times New Roman"/>
          <w:b w:val="0"/>
          <w:i w:val="0"/>
          <w:sz w:val="20"/>
        </w:rPr>
        <w:t>Data are n (%). P values for multi-category variables are shown on the first line of each block.</w:t>
      </w:r>
    </w:p>
    <w:p>
      <w:pPr>
        <w:spacing w:line="480" w:lineRule="auto" w:after="0" w:before="0"/>
      </w:pPr>
      <w:r>
        <w:rPr>
          <w:rFonts w:ascii="Times New Roman" w:hAnsi="Times New Roman" w:eastAsia="Times New Roman"/>
          <w:b/>
          <w:i w:val="0"/>
          <w:sz w:val="20"/>
        </w:rPr>
        <w:t>Table S3. Underlying disease profile by treatment group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1584"/>
        <w:gridCol w:w="1584"/>
        <w:gridCol w:w="1872"/>
        <w:gridCol w:w="864"/>
      </w:tblGrid>
      <w:tr w:rsidR="00D8365F" w14:paraId="755E44AA" w14:textId="77777777">
        <w:trPr>
          <w:tblHeader/>
          <w:jc w:val="center"/>
        </w:trPr>
        <w:tc>
          <w:tcPr>
            <w:tcW w:w="432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4314E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b/>
                <w:sz w:val="20"/>
              </w:rPr>
              <w:t>Variable</w:t>
            </w:r>
          </w:p>
        </w:tc>
        <w:tc>
          <w:tcPr>
            <w:tcW w:w="158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460C5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Overall (n=45)</w:t>
            </w:r>
          </w:p>
        </w:tc>
        <w:tc>
          <w:tcPr>
            <w:tcW w:w="158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11A77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CZA (n=15)</w:t>
            </w:r>
          </w:p>
        </w:tc>
        <w:tc>
          <w:tcPr>
            <w:tcW w:w="187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12A3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Non-CZA (n=30)</w:t>
            </w:r>
          </w:p>
        </w:tc>
        <w:tc>
          <w:tcPr>
            <w:tcW w:w="86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D316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</w:t>
            </w:r>
          </w:p>
        </w:tc>
      </w:tr>
      <w:tr w:rsidR="00D8365F" w14:paraId="2E765E5B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D29C4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Malignancy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80F5C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7 (15.6%)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1F704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(20.0%)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E2FF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(13.3%)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20213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0.445</w:t>
            </w:r>
          </w:p>
        </w:tc>
      </w:tr>
      <w:tr w:rsidR="00D8365F" w14:paraId="04E3E927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E9F87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Primary immunodeficiency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AC90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7 (15.6%)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FA461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(33.3%)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200F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BFADE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1B1CC198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420C3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lastRenderedPageBreak/>
              <w:t>Neurological disorders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99708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6 (13.3%)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3DE9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0 (0.0%)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FABD6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6 (20.0%)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00E2E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641572F0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BB79D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Intracranial or spinal structural anomaly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FE23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(11.1%)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7470D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DB874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(13.3%)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A2835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6656A73B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73A6E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Metabolic disease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94E4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(8.9%)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BC14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(13.3%)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1591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49575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1D88E5D4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A7AB2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Cystic fibrosis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1C699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4 (8.9%)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C9D71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0EB4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(10.0%)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F5DA9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48AF7247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5A9CB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Gastrointestinal disorder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F97EE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(6.7%)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44E5D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1 (6.7%)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F3BE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(6.7%)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8BE0A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  <w:tr w:rsidR="00D8365F" w14:paraId="75BB11D4" w14:textId="77777777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FF62C" w14:textId="77777777" w:rsidR="00D8365F" w:rsidRDefault="00000000">
            <w:pPr>
              <w:spacing w:line="480" w:lineRule="auto" w:after="0" w:before="0"/>
            </w:pPr>
            <w:r>
              <w:rPr>
                <w:rFonts w:ascii="Times New Roman" w:hAnsi="Times New Roman" w:eastAsia="Times New Roman"/>
                <w:sz w:val="20"/>
              </w:rPr>
              <w:t>Unspecified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3AA70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5 (11.1%)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E43D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2 (13.3%)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E191B" w14:textId="77777777" w:rsidR="00D8365F" w:rsidRDefault="00000000">
            <w:pPr>
              <w:spacing w:line="480" w:lineRule="auto" w:after="0" w:before="0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3 (10.0%)</w:t>
            </w:r>
          </w:p>
        </w:tc>
        <w:tc>
          <w:tcPr>
            <w:tcW w:w="8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5CD8B" w14:textId="77777777" w:rsidR="00D8365F" w:rsidRDefault="00D8365F">
            <w:pPr>
              <w:spacing w:line="480" w:lineRule="auto" w:after="0" w:before="0"/>
              <w:jc w:val="center"/>
            </w:pPr>
          </w:p>
        </w:tc>
      </w:tr>
    </w:tbl>
    <w:p>
      <w:pPr>
        <w:spacing w:line="480" w:lineRule="auto" w:after="0" w:before="0"/>
      </w:pPr>
      <w:r>
        <w:rPr>
          <w:rFonts w:ascii="Times New Roman" w:hAnsi="Times New Roman" w:eastAsia="Times New Roman"/>
          <w:b w:val="0"/>
          <w:i w:val="0"/>
          <w:sz w:val="20"/>
        </w:rPr>
        <w:t>Data are n (%).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  <w:lnNumType w:countBy="1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