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9FF441">
      <w:pPr>
        <w:rPr>
          <w:rFonts w:hint="default" w:ascii="Times New Roman" w:hAnsi="Times New Roman" w:cs="Times New Roman"/>
          <w:b/>
          <w:bCs/>
          <w:sz w:val="24"/>
          <w:szCs w:val="24"/>
        </w:rPr>
      </w:pPr>
      <w:r>
        <w:rPr>
          <w:rFonts w:hint="default" w:ascii="Times New Roman" w:hAnsi="Times New Roman" w:cs="Times New Roman"/>
          <w:b/>
          <w:bCs/>
          <w:sz w:val="24"/>
          <w:szCs w:val="24"/>
        </w:rPr>
        <w:t>Supplementary Material</w:t>
      </w:r>
    </w:p>
    <w:p w14:paraId="7CAA0C7F">
      <w:pPr>
        <w:rPr>
          <w:rFonts w:hint="default" w:ascii="Times New Roman" w:hAnsi="Times New Roman" w:cs="Times New Roman"/>
          <w:b/>
          <w:bCs/>
          <w:sz w:val="24"/>
          <w:szCs w:val="24"/>
        </w:rPr>
      </w:pPr>
      <w:r>
        <w:rPr>
          <w:rFonts w:hint="default" w:ascii="Times New Roman" w:hAnsi="Times New Roman" w:cs="Times New Roman"/>
          <w:b/>
          <w:bCs/>
          <w:sz w:val="24"/>
          <w:szCs w:val="24"/>
        </w:rPr>
        <w:t>Supplementary Methods</w:t>
      </w:r>
    </w:p>
    <w:p w14:paraId="09CD2762">
      <w:pPr>
        <w:rPr>
          <w:rFonts w:hint="default" w:ascii="Times New Roman" w:hAnsi="Times New Roman" w:cs="Times New Roman"/>
          <w:sz w:val="24"/>
          <w:szCs w:val="24"/>
        </w:rPr>
      </w:pPr>
      <w:r>
        <w:rPr>
          <w:rFonts w:hint="default" w:ascii="Times New Roman" w:hAnsi="Times New Roman" w:cs="Times New Roman"/>
          <w:sz w:val="24"/>
          <w:szCs w:val="24"/>
        </w:rPr>
        <w:t>1. Details of Propensity Score Matching (PSM)</w:t>
      </w:r>
    </w:p>
    <w:p w14:paraId="251B6664">
      <w:pPr>
        <w:rPr>
          <w:rFonts w:hint="default" w:ascii="Times New Roman" w:hAnsi="Times New Roman" w:cs="Times New Roman"/>
          <w:sz w:val="24"/>
          <w:szCs w:val="24"/>
        </w:rPr>
      </w:pPr>
      <w:r>
        <w:rPr>
          <w:rFonts w:hint="default" w:ascii="Times New Roman" w:hAnsi="Times New Roman" w:cs="Times New Roman"/>
          <w:sz w:val="24"/>
          <w:szCs w:val="24"/>
        </w:rPr>
        <w:t>A multivariable logistic regression model was developed to estimate each patient's probability (propensity score) of receiving de escalation therapy. The model incorporated the following covariates: age, sex, body mass index, baseline APACHE II score, baseline SOFA score on admission, presence of septic shock, primary source of infection, community versus hospital acquired infection, key comorbidities (e.g., malignancy, diabetes mellitus, chronic kidney disease), the class of the initial empirical antibiotic agent administered, and the patient's clinical stability at 72 hours. Patients were matched using a nearest neighbor matching algorithm with a predefined caliper width of 0.2 of the standard deviation of the logit of the propensity score.</w:t>
      </w:r>
    </w:p>
    <w:p w14:paraId="12D0BE1A">
      <w:pPr>
        <w:rPr>
          <w:rFonts w:hint="default" w:ascii="Times New Roman" w:hAnsi="Times New Roman" w:cs="Times New Roman"/>
          <w:sz w:val="24"/>
          <w:szCs w:val="24"/>
        </w:rPr>
      </w:pPr>
    </w:p>
    <w:p w14:paraId="103E9241">
      <w:pPr>
        <w:rPr>
          <w:rFonts w:hint="default" w:ascii="Times New Roman" w:hAnsi="Times New Roman" w:cs="Times New Roman"/>
          <w:sz w:val="24"/>
          <w:szCs w:val="24"/>
        </w:rPr>
      </w:pPr>
      <w:r>
        <w:rPr>
          <w:rFonts w:hint="default" w:ascii="Times New Roman" w:hAnsi="Times New Roman" w:cs="Times New Roman"/>
          <w:sz w:val="24"/>
          <w:szCs w:val="24"/>
        </w:rPr>
        <w:t>2. Details of Multiple Imputation for Missing Data</w:t>
      </w:r>
    </w:p>
    <w:p w14:paraId="1BCFA14D">
      <w:pPr>
        <w:rPr>
          <w:rFonts w:hint="default" w:ascii="Times New Roman" w:hAnsi="Times New Roman" w:cs="Times New Roman"/>
          <w:sz w:val="24"/>
          <w:szCs w:val="24"/>
        </w:rPr>
      </w:pPr>
      <w:r>
        <w:rPr>
          <w:rFonts w:hint="default" w:ascii="Times New Roman" w:hAnsi="Times New Roman" w:cs="Times New Roman"/>
          <w:sz w:val="24"/>
          <w:szCs w:val="24"/>
        </w:rPr>
        <w:t>For any key predictor variable with more than 5% of its data missing, multiple imputation by chained equations (MICE) was performed operating under the assumption that the data were missing at random (MAR). This procedure generated 10 complete datasets to ensure that the uncertainty associated with the imputed values was adequately propagated. All subsequent statistical analyses, including propensity score matching and multivariable regression modeling, were performed on each of the 10 imputed datasets. The final parameter estimates, odds ratios, and confidence intervals were then pooled using Rubin's rules to generate a single robust set of results.</w:t>
      </w:r>
    </w:p>
    <w:p w14:paraId="0774F746">
      <w:pPr>
        <w:rPr>
          <w:rFonts w:hint="default" w:ascii="Times New Roman" w:hAnsi="Times New Roman" w:cs="Times New Roman"/>
          <w:sz w:val="24"/>
          <w:szCs w:val="24"/>
        </w:rPr>
      </w:pPr>
    </w:p>
    <w:p w14:paraId="44676FCF">
      <w:pPr>
        <w:rPr>
          <w:rFonts w:hint="default" w:ascii="Times New Roman" w:hAnsi="Times New Roman" w:cs="Times New Roman"/>
          <w:sz w:val="24"/>
          <w:szCs w:val="24"/>
        </w:rPr>
      </w:pPr>
      <w:r>
        <w:rPr>
          <w:rFonts w:hint="default" w:ascii="Times New Roman" w:hAnsi="Times New Roman" w:cs="Times New Roman"/>
          <w:sz w:val="24"/>
          <w:szCs w:val="24"/>
        </w:rPr>
        <w:t>3. Definitions of Clinical Outcomes</w:t>
      </w:r>
    </w:p>
    <w:p w14:paraId="66D942E4">
      <w:pPr>
        <w:rPr>
          <w:rFonts w:hint="default" w:ascii="Times New Roman" w:hAnsi="Times New Roman" w:cs="Times New Roman"/>
          <w:sz w:val="24"/>
          <w:szCs w:val="24"/>
        </w:rPr>
      </w:pPr>
      <w:r>
        <w:rPr>
          <w:rFonts w:hint="default" w:ascii="Times New Roman" w:hAnsi="Times New Roman" w:cs="Times New Roman"/>
          <w:sz w:val="24"/>
          <w:szCs w:val="24"/>
        </w:rPr>
        <w:t>Clinical Cure: According to IDSA guidelines, this composite outcome required the simultaneous fulfillment of the following criteria: (1) sustained resolution of fever, defined as a body temperature &lt;38.0°C for at least 48 consecutive hours without the use of antipyretic medications; (2) normalization of the white blood cell count (4.0 to 10.0 × 10⁹/L) or a return to the patient's established baseline value; (3) a procalcitonin level below 0.5 ng/mL or a decrease of ≥80% from the peak value recorded during the infectious episode; and (4) complete resolution of local signs of infection, such as abdominal pain and tenderness upon physical examination.</w:t>
      </w:r>
    </w:p>
    <w:p w14:paraId="0FBC8CD9">
      <w:pPr>
        <w:rPr>
          <w:rFonts w:hint="default" w:ascii="Times New Roman" w:hAnsi="Times New Roman" w:cs="Times New Roman"/>
          <w:sz w:val="24"/>
          <w:szCs w:val="24"/>
        </w:rPr>
      </w:pPr>
      <w:r>
        <w:rPr>
          <w:rFonts w:hint="default" w:ascii="Times New Roman" w:hAnsi="Times New Roman" w:cs="Times New Roman"/>
          <w:sz w:val="24"/>
          <w:szCs w:val="24"/>
        </w:rPr>
        <w:t>Secondary Infection: Defined according to CDC NHSN criteria</w:t>
      </w:r>
      <w:bookmarkStart w:id="0" w:name="_GoBack"/>
      <w:bookmarkEnd w:id="0"/>
      <w:r>
        <w:rPr>
          <w:rFonts w:hint="default" w:ascii="Times New Roman" w:hAnsi="Times New Roman" w:cs="Times New Roman"/>
          <w:sz w:val="24"/>
          <w:szCs w:val="24"/>
        </w:rPr>
        <w:t xml:space="preserve"> as a new infection appearing at a different anatomical site more than 48 hours after the initial IAI diagnosis, which required the administration of a new course of antibiotics.</w:t>
      </w:r>
    </w:p>
    <w:p w14:paraId="5FDA4646">
      <w:pPr>
        <w:rPr>
          <w:rFonts w:hint="default" w:ascii="Times New Roman" w:hAnsi="Times New Roman" w:cs="Times New Roman"/>
          <w:sz w:val="24"/>
          <w:szCs w:val="24"/>
        </w:rPr>
      </w:pPr>
      <w:r>
        <w:rPr>
          <w:rFonts w:hint="default" w:ascii="Times New Roman" w:hAnsi="Times New Roman" w:cs="Times New Roman"/>
          <w:sz w:val="24"/>
          <w:szCs w:val="24"/>
        </w:rPr>
        <w:t>Clostridioides difficile infection (CDI): Defined according to ACG clinical guidelines as the new onset of diarrhea (three or more unformed stools in a 24 hour period) coupled with a positive stool test for C. difficile toxins or a toxin producing strain of the organism.</w:t>
      </w:r>
    </w:p>
    <w:p w14:paraId="0A32DCAB">
      <w:pPr>
        <w:rPr>
          <w:rFonts w:hint="default" w:ascii="Times New Roman" w:hAnsi="Times New Roman" w:cs="Times New Roman"/>
          <w:sz w:val="24"/>
          <w:szCs w:val="24"/>
        </w:rPr>
      </w:pPr>
    </w:p>
    <w:p w14:paraId="510FDDAD">
      <w:pPr>
        <w:rPr>
          <w:rFonts w:hint="default" w:ascii="Times New Roman" w:hAnsi="Times New Roman" w:cs="Times New Roman"/>
          <w:sz w:val="24"/>
          <w:szCs w:val="24"/>
        </w:rPr>
      </w:pPr>
      <w:r>
        <w:rPr>
          <w:rFonts w:hint="default" w:ascii="Times New Roman" w:hAnsi="Times New Roman" w:cs="Times New Roman"/>
          <w:sz w:val="24"/>
          <w:szCs w:val="24"/>
        </w:rPr>
        <w:t>4. Definitions of Key Clinical Covariates</w:t>
      </w:r>
    </w:p>
    <w:p w14:paraId="653BC061">
      <w:pPr>
        <w:rPr>
          <w:rFonts w:hint="default" w:ascii="Times New Roman" w:hAnsi="Times New Roman" w:cs="Times New Roman"/>
          <w:sz w:val="24"/>
          <w:szCs w:val="24"/>
        </w:rPr>
      </w:pPr>
      <w:r>
        <w:rPr>
          <w:rFonts w:hint="default" w:ascii="Times New Roman" w:hAnsi="Times New Roman" w:cs="Times New Roman"/>
          <w:sz w:val="24"/>
          <w:szCs w:val="24"/>
        </w:rPr>
        <w:t>Clinical stability at 72 hours: Objectively defined as the successful weaning of all vasopressor support (if initially required) combined with an unequivocal trend of clinical improvement (e.g., defervescence to &lt;38.0°C or a &gt;10% decrease in serum lactate from admission) documented exactly at the 72 hour mark following the initial IAI diagnosis.</w:t>
      </w:r>
    </w:p>
    <w:p w14:paraId="554EBDAA">
      <w:pPr>
        <w:rPr>
          <w:rFonts w:hint="default" w:ascii="Times New Roman" w:hAnsi="Times New Roman" w:cs="Times New Roman"/>
          <w:sz w:val="24"/>
          <w:szCs w:val="24"/>
        </w:rPr>
      </w:pPr>
      <w:r>
        <w:rPr>
          <w:rFonts w:hint="default" w:ascii="Times New Roman" w:hAnsi="Times New Roman" w:cs="Times New Roman"/>
          <w:sz w:val="24"/>
          <w:szCs w:val="24"/>
        </w:rPr>
        <w:t>Adequate source control: Standardized as the macroscopic elimination of the infectious source, successful control of anatomical derangements (e.g., closure or diversion of gastrointestinal leaks), and complete drainage of localized fluid collections during the initial intervention, without the clinical requirement for an unplanned surgical or percutaneous re intervention for persistent or recurrent infection within the first 7 days post procedure.</w:t>
      </w: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E21DAB"/>
    <w:rsid w:val="05B41A3A"/>
    <w:rsid w:val="4B4C78DD"/>
    <w:rsid w:val="67E21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527</Words>
  <Characters>3092</Characters>
  <Lines>0</Lines>
  <Paragraphs>0</Paragraphs>
  <TotalTime>0</TotalTime>
  <ScaleCrop>false</ScaleCrop>
  <LinksUpToDate>false</LinksUpToDate>
  <CharactersWithSpaces>3606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2026-02-13T05:04:00Z</dcterms:created>
  <dc:creator>Volcano</dc:creator>
  <cp:lastModifiedBy>Volcano</cp:lastModifiedBy>
  <dcterms:modified xsi:type="dcterms:W3CDTF">2026-02-13T05:06:48Z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C1F05F52C61D43C5936BE82E66FE7CA8_11</vt:lpwstr>
  </property>
  <property fmtid="{D5CDD505-2E9C-101B-9397-08002B2CF9AE}" pid="4" name="KSOTemplateDocerSaveRecord">
    <vt:lpwstr>eyJoZGlkIjoiNTQ2MjY1YzkwYmU4OTg4ZDJjOGI3NmIxNGJkY2MwMWQiLCJ1c2VySWQiOiI0NDQyODY5NDMifQ==</vt:lpwstr>
  </property>
</Properties>
</file>