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C81B9" w14:textId="77777777" w:rsidR="00F800CE" w:rsidRPr="004709DB" w:rsidRDefault="00F800CE" w:rsidP="00F800CE">
      <w:pPr>
        <w:spacing w:line="360" w:lineRule="auto"/>
        <w:jc w:val="both"/>
        <w:rPr>
          <w:rFonts w:ascii="Times New Roman" w:eastAsia="Times New Roman" w:hAnsi="Times New Roman" w:cs="Times New Roman"/>
          <w:b/>
          <w:bCs/>
          <w:noProof/>
          <w:color w:val="000000"/>
          <w:sz w:val="24"/>
          <w:szCs w:val="24"/>
        </w:rPr>
      </w:pPr>
      <w:r w:rsidRPr="004709DB">
        <w:rPr>
          <w:rFonts w:ascii="Times New Roman" w:eastAsia="Times New Roman" w:hAnsi="Times New Roman" w:cs="Times New Roman"/>
          <w:b/>
          <w:bCs/>
          <w:noProof/>
          <w:color w:val="000000"/>
          <w:sz w:val="24"/>
          <w:szCs w:val="24"/>
        </w:rPr>
        <w:t xml:space="preserve">Magnitude and Longevity of Antibody Responses to Key </w:t>
      </w:r>
      <w:r w:rsidRPr="004709DB">
        <w:rPr>
          <w:rFonts w:ascii="Times New Roman" w:eastAsia="Times New Roman" w:hAnsi="Times New Roman" w:cs="Times New Roman"/>
          <w:b/>
          <w:bCs/>
          <w:i/>
          <w:iCs/>
          <w:noProof/>
          <w:color w:val="000000"/>
          <w:sz w:val="24"/>
          <w:szCs w:val="24"/>
        </w:rPr>
        <w:t>Plasmodium vivax</w:t>
      </w:r>
      <w:r w:rsidRPr="004709DB">
        <w:rPr>
          <w:rFonts w:ascii="Times New Roman" w:eastAsia="Times New Roman" w:hAnsi="Times New Roman" w:cs="Times New Roman"/>
          <w:b/>
          <w:bCs/>
          <w:noProof/>
          <w:color w:val="000000"/>
          <w:sz w:val="24"/>
          <w:szCs w:val="24"/>
        </w:rPr>
        <w:t xml:space="preserve"> Erythrocyte Binding–Like Proteins in an Amazonian Cohort: A Long-Term Follow-Up Study</w:t>
      </w:r>
    </w:p>
    <w:p w14:paraId="19F98FD1" w14:textId="77777777" w:rsidR="00F800CE" w:rsidRPr="004709DB" w:rsidRDefault="00F800CE" w:rsidP="00F800CE">
      <w:pPr>
        <w:spacing w:line="240" w:lineRule="auto"/>
        <w:jc w:val="both"/>
        <w:rPr>
          <w:rFonts w:ascii="Times New Roman" w:eastAsia="Times New Roman" w:hAnsi="Times New Roman" w:cs="Times New Roman"/>
          <w:noProof/>
          <w:color w:val="000000"/>
          <w:sz w:val="24"/>
          <w:szCs w:val="24"/>
        </w:rPr>
      </w:pPr>
    </w:p>
    <w:p w14:paraId="160F1733" w14:textId="4F1F9C1C" w:rsidR="00F800CE" w:rsidRPr="004709DB" w:rsidRDefault="00F800CE" w:rsidP="00F800CE">
      <w:pPr>
        <w:spacing w:line="240" w:lineRule="auto"/>
        <w:jc w:val="both"/>
        <w:rPr>
          <w:rFonts w:ascii="Times New Roman" w:eastAsia="Times New Roman" w:hAnsi="Times New Roman" w:cs="Times New Roman"/>
          <w:noProof/>
          <w:color w:val="000000"/>
        </w:rPr>
      </w:pPr>
      <w:r w:rsidRPr="004709DB">
        <w:rPr>
          <w:rFonts w:ascii="Times New Roman" w:eastAsia="Times New Roman" w:hAnsi="Times New Roman" w:cs="Times New Roman"/>
          <w:noProof/>
          <w:color w:val="000000"/>
        </w:rPr>
        <w:t>Gabriela M. Fernandes¹*, S</w:t>
      </w:r>
      <w:r w:rsidR="00B477E1">
        <w:rPr>
          <w:rFonts w:ascii="Times New Roman" w:eastAsia="Times New Roman" w:hAnsi="Times New Roman" w:cs="Times New Roman"/>
          <w:noProof/>
          <w:color w:val="000000"/>
        </w:rPr>
        <w:t>a</w:t>
      </w:r>
      <w:r w:rsidRPr="004709DB">
        <w:rPr>
          <w:rFonts w:ascii="Times New Roman" w:eastAsia="Times New Roman" w:hAnsi="Times New Roman" w:cs="Times New Roman"/>
          <w:noProof/>
          <w:color w:val="000000"/>
        </w:rPr>
        <w:t>mick L. Moreira-Nascimento¹*, Maria F. A. Nascimento¹, Sofia L. Afonso¹, Let</w:t>
      </w:r>
      <w:r w:rsidR="00B477E1">
        <w:rPr>
          <w:rFonts w:ascii="Times New Roman" w:eastAsia="Times New Roman" w:hAnsi="Times New Roman" w:cs="Times New Roman"/>
          <w:noProof/>
          <w:color w:val="000000"/>
        </w:rPr>
        <w:t>i</w:t>
      </w:r>
      <w:r w:rsidRPr="004709DB">
        <w:rPr>
          <w:rFonts w:ascii="Times New Roman" w:eastAsia="Times New Roman" w:hAnsi="Times New Roman" w:cs="Times New Roman"/>
          <w:noProof/>
          <w:color w:val="000000"/>
        </w:rPr>
        <w:t>cia M. Torres¹, B</w:t>
      </w:r>
      <w:r w:rsidR="00B477E1">
        <w:rPr>
          <w:rFonts w:ascii="Times New Roman" w:eastAsia="Times New Roman" w:hAnsi="Times New Roman" w:cs="Times New Roman"/>
          <w:noProof/>
          <w:color w:val="000000"/>
        </w:rPr>
        <w:t>a</w:t>
      </w:r>
      <w:r w:rsidRPr="004709DB">
        <w:rPr>
          <w:rFonts w:ascii="Times New Roman" w:eastAsia="Times New Roman" w:hAnsi="Times New Roman" w:cs="Times New Roman"/>
          <w:noProof/>
          <w:color w:val="000000"/>
        </w:rPr>
        <w:t>rbara G. S. Abreu¹, Clara F. O. D. Silva¹, Francis B. Ntumngia², John H. Adams², Cor J. F. Fontes³, Flora S. Kano¹, Luzia H. Carvalho¹</w:t>
      </w:r>
    </w:p>
    <w:p w14:paraId="5BF9C3EF" w14:textId="77777777" w:rsidR="00F800CE" w:rsidRPr="004709DB" w:rsidRDefault="00F800CE" w:rsidP="00F800CE">
      <w:pPr>
        <w:spacing w:line="240" w:lineRule="auto"/>
        <w:jc w:val="both"/>
        <w:rPr>
          <w:rFonts w:ascii="Times New Roman" w:eastAsia="Times New Roman" w:hAnsi="Times New Roman" w:cs="Times New Roman"/>
          <w:noProof/>
          <w:color w:val="000000"/>
          <w:sz w:val="21"/>
          <w:szCs w:val="21"/>
        </w:rPr>
      </w:pPr>
    </w:p>
    <w:p w14:paraId="17DEA1CF" w14:textId="77777777" w:rsidR="00F800CE" w:rsidRPr="004709DB" w:rsidRDefault="00F800CE" w:rsidP="00F800CE">
      <w:pPr>
        <w:spacing w:line="240" w:lineRule="auto"/>
        <w:jc w:val="both"/>
        <w:rPr>
          <w:rFonts w:ascii="Times New Roman" w:eastAsia="Times New Roman" w:hAnsi="Times New Roman" w:cs="Times New Roman"/>
          <w:noProof/>
          <w:color w:val="000000"/>
          <w:sz w:val="21"/>
          <w:szCs w:val="21"/>
        </w:rPr>
      </w:pPr>
      <w:r w:rsidRPr="004709DB">
        <w:rPr>
          <w:rFonts w:ascii="Times New Roman" w:eastAsia="Times New Roman" w:hAnsi="Times New Roman" w:cs="Times New Roman"/>
          <w:noProof/>
          <w:color w:val="000000"/>
          <w:sz w:val="21"/>
          <w:szCs w:val="21"/>
        </w:rPr>
        <w:t>¹ Fundação Oswaldo Cruz, Fiocruz, Instituto René Rachou, Fiocruz Minas, Belo Horizonte, Minas Gerais, Brazil.</w:t>
      </w:r>
    </w:p>
    <w:p w14:paraId="52F250F3" w14:textId="77777777" w:rsidR="00F800CE" w:rsidRPr="004709DB" w:rsidRDefault="00F800CE" w:rsidP="00F800CE">
      <w:pPr>
        <w:spacing w:line="240" w:lineRule="auto"/>
        <w:jc w:val="both"/>
        <w:rPr>
          <w:rFonts w:ascii="Times New Roman" w:eastAsia="Times New Roman" w:hAnsi="Times New Roman" w:cs="Times New Roman"/>
          <w:noProof/>
          <w:color w:val="000000"/>
          <w:sz w:val="21"/>
          <w:szCs w:val="21"/>
        </w:rPr>
      </w:pPr>
      <w:r w:rsidRPr="004709DB">
        <w:rPr>
          <w:rFonts w:ascii="Times New Roman" w:eastAsia="Times New Roman" w:hAnsi="Times New Roman" w:cs="Times New Roman"/>
          <w:noProof/>
          <w:color w:val="000000"/>
          <w:sz w:val="21"/>
          <w:szCs w:val="21"/>
        </w:rPr>
        <w:t>² Center for Global Health and Infectious Diseases Research, College of Public Health, University of South Florida, Tampa, Florida, United States of America.</w:t>
      </w:r>
    </w:p>
    <w:p w14:paraId="35185072" w14:textId="77777777" w:rsidR="00F800CE" w:rsidRDefault="00F800CE" w:rsidP="00F800CE">
      <w:pPr>
        <w:spacing w:line="240" w:lineRule="auto"/>
        <w:jc w:val="both"/>
        <w:rPr>
          <w:rFonts w:ascii="Times New Roman" w:eastAsia="Times New Roman" w:hAnsi="Times New Roman" w:cs="Times New Roman"/>
          <w:noProof/>
          <w:color w:val="000000"/>
          <w:sz w:val="21"/>
          <w:szCs w:val="21"/>
        </w:rPr>
      </w:pPr>
      <w:r w:rsidRPr="004709DB">
        <w:rPr>
          <w:rFonts w:ascii="Times New Roman" w:eastAsia="Times New Roman" w:hAnsi="Times New Roman" w:cs="Times New Roman"/>
          <w:noProof/>
          <w:color w:val="000000"/>
          <w:sz w:val="21"/>
          <w:szCs w:val="21"/>
        </w:rPr>
        <w:t>³ Universidade Federal de Mato Grosso (UFMT), Hospital Júlio Müller, Faculdade de Medicina, Cuiabá, Mato Grosso, Brazil.</w:t>
      </w:r>
    </w:p>
    <w:p w14:paraId="3625D0EE" w14:textId="07B4582D" w:rsidR="00EA5F5F" w:rsidRPr="004709DB" w:rsidRDefault="00EA5F5F" w:rsidP="00F800CE">
      <w:pPr>
        <w:spacing w:line="240" w:lineRule="auto"/>
        <w:jc w:val="both"/>
        <w:rPr>
          <w:rFonts w:ascii="Times New Roman" w:eastAsia="Times New Roman" w:hAnsi="Times New Roman" w:cs="Times New Roman"/>
          <w:noProof/>
          <w:color w:val="000000"/>
          <w:sz w:val="21"/>
          <w:szCs w:val="21"/>
        </w:rPr>
      </w:pPr>
      <w:r w:rsidRPr="00EA5F5F">
        <w:rPr>
          <w:rFonts w:ascii="Times New Roman" w:eastAsia="Times New Roman" w:hAnsi="Times New Roman" w:cs="Times New Roman"/>
          <w:noProof/>
          <w:color w:val="000000"/>
          <w:sz w:val="21"/>
          <w:szCs w:val="21"/>
        </w:rPr>
        <w:t>*These authors contributed equally to this work.</w:t>
      </w:r>
    </w:p>
    <w:p w14:paraId="00D2FAE9" w14:textId="77777777" w:rsidR="00F800CE" w:rsidRPr="004709DB" w:rsidRDefault="00F800CE" w:rsidP="00F800CE">
      <w:pPr>
        <w:spacing w:line="240" w:lineRule="auto"/>
        <w:jc w:val="both"/>
        <w:rPr>
          <w:rFonts w:ascii="Times New Roman" w:eastAsia="Times New Roman" w:hAnsi="Times New Roman" w:cs="Times New Roman"/>
          <w:noProof/>
          <w:color w:val="000000"/>
          <w:sz w:val="21"/>
          <w:szCs w:val="21"/>
        </w:rPr>
      </w:pPr>
    </w:p>
    <w:p w14:paraId="38F079C9" w14:textId="77777777" w:rsidR="00F800CE" w:rsidRPr="004709DB" w:rsidRDefault="00F800CE" w:rsidP="00F800CE">
      <w:pPr>
        <w:jc w:val="center"/>
        <w:rPr>
          <w:rFonts w:ascii="Times New Roman" w:eastAsia="Times New Roman" w:hAnsi="Times New Roman" w:cs="Times New Roman"/>
          <w:b/>
          <w:bCs/>
          <w:noProof/>
          <w:color w:val="000000"/>
          <w:sz w:val="28"/>
          <w:szCs w:val="28"/>
          <w:u w:val="single"/>
        </w:rPr>
      </w:pPr>
    </w:p>
    <w:p w14:paraId="60FFDF92" w14:textId="765B6C84" w:rsidR="00F800CE" w:rsidRDefault="00F800CE" w:rsidP="00483B63">
      <w:pPr>
        <w:rPr>
          <w:rFonts w:ascii="Times New Roman" w:eastAsia="Times New Roman" w:hAnsi="Times New Roman" w:cs="Times New Roman"/>
          <w:b/>
          <w:bCs/>
          <w:noProof/>
          <w:color w:val="000000" w:themeColor="text1"/>
          <w:sz w:val="28"/>
          <w:szCs w:val="28"/>
          <w:u w:val="single"/>
        </w:rPr>
      </w:pPr>
      <w:r w:rsidRPr="004709DB">
        <w:rPr>
          <w:rFonts w:ascii="Times New Roman" w:eastAsia="Times New Roman" w:hAnsi="Times New Roman" w:cs="Times New Roman"/>
          <w:b/>
          <w:bCs/>
          <w:noProof/>
          <w:color w:val="000000" w:themeColor="text1"/>
          <w:sz w:val="28"/>
          <w:szCs w:val="28"/>
          <w:u w:val="single"/>
        </w:rPr>
        <w:t>Additional file 3</w:t>
      </w:r>
    </w:p>
    <w:p w14:paraId="1045CC0F" w14:textId="77777777" w:rsidR="00AD649C" w:rsidRPr="004709DB" w:rsidRDefault="00AD649C" w:rsidP="00483B63">
      <w:pPr>
        <w:rPr>
          <w:rFonts w:ascii="Times New Roman" w:eastAsia="Times New Roman" w:hAnsi="Times New Roman" w:cs="Times New Roman"/>
          <w:b/>
          <w:bCs/>
          <w:noProof/>
          <w:color w:val="000000" w:themeColor="text1"/>
          <w:sz w:val="28"/>
          <w:szCs w:val="28"/>
          <w:u w:val="single"/>
        </w:rPr>
      </w:pPr>
    </w:p>
    <w:p w14:paraId="77614DFF" w14:textId="77777777" w:rsidR="003F489C" w:rsidRPr="004709DB" w:rsidRDefault="003F489C" w:rsidP="003F489C">
      <w:pPr>
        <w:ind w:right="-1"/>
        <w:jc w:val="both"/>
        <w:rPr>
          <w:rFonts w:ascii="Times New Roman" w:hAnsi="Times New Roman" w:cs="Times New Roman"/>
          <w:b/>
          <w:bCs/>
          <w:noProof/>
          <w:color w:val="000000" w:themeColor="text1"/>
          <w:sz w:val="24"/>
          <w:szCs w:val="24"/>
          <w:u w:val="single"/>
        </w:rPr>
      </w:pPr>
    </w:p>
    <w:p w14:paraId="116FF361" w14:textId="6755299C" w:rsidR="001907C6" w:rsidRDefault="00AD649C" w:rsidP="003F489C">
      <w:pPr>
        <w:pStyle w:val="font-claude-response-body"/>
        <w:spacing w:before="0" w:beforeAutospacing="0" w:after="0" w:afterAutospacing="0" w:line="276" w:lineRule="auto"/>
        <w:ind w:right="-1"/>
        <w:jc w:val="both"/>
        <w:rPr>
          <w:rStyle w:val="Strong"/>
          <w:noProof/>
          <w:color w:val="000000" w:themeColor="text1"/>
          <w:lang w:val="en-US"/>
        </w:rPr>
      </w:pPr>
      <w:r>
        <w:rPr>
          <w:noProof/>
          <w:color w:val="000000" w:themeColor="text1"/>
          <w:lang w:val="en-US"/>
          <w14:ligatures w14:val="standardContextual"/>
        </w:rPr>
        <w:drawing>
          <wp:inline distT="0" distB="0" distL="0" distR="0" wp14:anchorId="492A37F0" wp14:editId="259144F8">
            <wp:extent cx="5400040" cy="1096645"/>
            <wp:effectExtent l="0" t="0" r="0" b="0"/>
            <wp:docPr id="69136915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69159" name="Imagem 691369159"/>
                    <pic:cNvPicPr/>
                  </pic:nvPicPr>
                  <pic:blipFill rotWithShape="1">
                    <a:blip r:embed="rId6" cstate="print">
                      <a:extLst>
                        <a:ext uri="{28A0092B-C50C-407E-A947-70E740481C1C}">
                          <a14:useLocalDpi xmlns:a14="http://schemas.microsoft.com/office/drawing/2010/main" val="0"/>
                        </a:ext>
                      </a:extLst>
                    </a:blip>
                    <a:srcRect l="6209" t="18058" b="32187"/>
                    <a:stretch>
                      <a:fillRect/>
                    </a:stretch>
                  </pic:blipFill>
                  <pic:spPr bwMode="auto">
                    <a:xfrm>
                      <a:off x="0" y="0"/>
                      <a:ext cx="5400040" cy="1096645"/>
                    </a:xfrm>
                    <a:prstGeom prst="rect">
                      <a:avLst/>
                    </a:prstGeom>
                    <a:ln>
                      <a:noFill/>
                    </a:ln>
                    <a:extLst>
                      <a:ext uri="{53640926-AAD7-44D8-BBD7-CCE9431645EC}">
                        <a14:shadowObscured xmlns:a14="http://schemas.microsoft.com/office/drawing/2010/main"/>
                      </a:ext>
                    </a:extLst>
                  </pic:spPr>
                </pic:pic>
              </a:graphicData>
            </a:graphic>
          </wp:inline>
        </w:drawing>
      </w:r>
    </w:p>
    <w:p w14:paraId="01E26DAA" w14:textId="77777777" w:rsidR="00AD649C" w:rsidRDefault="00AD649C" w:rsidP="001907C6">
      <w:pPr>
        <w:pStyle w:val="font-claude-response-body"/>
        <w:spacing w:before="0" w:beforeAutospacing="0" w:after="0" w:afterAutospacing="0" w:line="276" w:lineRule="auto"/>
        <w:ind w:right="-1"/>
        <w:jc w:val="both"/>
        <w:rPr>
          <w:rStyle w:val="Strong"/>
          <w:noProof/>
          <w:color w:val="000000" w:themeColor="text1"/>
          <w:lang w:val="en-US"/>
        </w:rPr>
      </w:pPr>
    </w:p>
    <w:p w14:paraId="5C89BA6A" w14:textId="61A49484" w:rsidR="001907C6" w:rsidRPr="005F2A44" w:rsidRDefault="001907C6" w:rsidP="001907C6">
      <w:pPr>
        <w:pStyle w:val="font-claude-response-body"/>
        <w:spacing w:before="0" w:beforeAutospacing="0" w:after="0" w:afterAutospacing="0" w:line="276" w:lineRule="auto"/>
        <w:ind w:right="-1"/>
        <w:jc w:val="both"/>
        <w:rPr>
          <w:b/>
          <w:bCs/>
          <w:noProof/>
          <w:color w:val="000000" w:themeColor="text1"/>
          <w:lang w:val="en-US"/>
        </w:rPr>
      </w:pPr>
      <w:r w:rsidRPr="004709DB">
        <w:rPr>
          <w:rStyle w:val="Strong"/>
          <w:noProof/>
          <w:color w:val="000000" w:themeColor="text1"/>
          <w:lang w:val="en-US"/>
        </w:rPr>
        <w:t>Figure S1.</w:t>
      </w:r>
      <w:r w:rsidRPr="004709DB">
        <w:rPr>
          <w:b/>
          <w:bCs/>
          <w:noProof/>
          <w:color w:val="000000" w:themeColor="text1"/>
          <w:lang w:val="en-US"/>
        </w:rPr>
        <w:t xml:space="preserve"> Overlap of longitudinal IgG response profiles to DBPII and EBP2 across the study cohort (N = 363)</w:t>
      </w:r>
      <w:r>
        <w:rPr>
          <w:b/>
          <w:bCs/>
          <w:noProof/>
          <w:color w:val="000000" w:themeColor="text1"/>
          <w:lang w:val="en-US"/>
        </w:rPr>
        <w:t xml:space="preserve">. </w:t>
      </w:r>
      <w:r w:rsidRPr="004709DB">
        <w:rPr>
          <w:noProof/>
          <w:color w:val="000000" w:themeColor="text1"/>
          <w:lang w:val="en-US"/>
        </w:rPr>
        <w:t>Venn diagrams illustrate the overlap and exclusivity of IgG response profiles to DBPII (blue) and EBP2 (orange) across three classification groups: (i) persistent responders, exhibiting sustained seropositivity; (ii) temporary responders, showing intermittent seropositivity; and (iii) non-responders, with no detectable antibodies at any time point. The dashed area represents individuals sharing the same response profile for both antigens simultaneously. Numbers indicate the count of participants (N) in each section.</w:t>
      </w:r>
    </w:p>
    <w:p w14:paraId="2AC165F3" w14:textId="77777777" w:rsidR="001907C6" w:rsidRDefault="001907C6" w:rsidP="001907C6">
      <w:pPr>
        <w:pStyle w:val="font-claude-response-body"/>
        <w:spacing w:before="0" w:beforeAutospacing="0" w:after="0" w:afterAutospacing="0" w:line="276" w:lineRule="auto"/>
        <w:ind w:right="-1"/>
        <w:jc w:val="both"/>
        <w:rPr>
          <w:noProof/>
          <w:color w:val="000000" w:themeColor="text1"/>
          <w:lang w:val="en-US"/>
        </w:rPr>
      </w:pPr>
    </w:p>
    <w:p w14:paraId="153DE6D0" w14:textId="56E0E8A1" w:rsidR="005F2A44" w:rsidRPr="004709DB" w:rsidRDefault="005F2A44" w:rsidP="003F489C">
      <w:pPr>
        <w:pStyle w:val="font-claude-response-body"/>
        <w:spacing w:before="0" w:beforeAutospacing="0" w:after="0" w:afterAutospacing="0" w:line="276" w:lineRule="auto"/>
        <w:ind w:right="-1"/>
        <w:jc w:val="both"/>
        <w:rPr>
          <w:rStyle w:val="Strong"/>
          <w:b w:val="0"/>
          <w:bCs w:val="0"/>
          <w:noProof/>
          <w:color w:val="000000" w:themeColor="text1"/>
          <w:lang w:val="en-US"/>
        </w:rPr>
      </w:pPr>
    </w:p>
    <w:p w14:paraId="1A7F02A4" w14:textId="77777777" w:rsidR="00B44ADB" w:rsidRPr="004709DB" w:rsidRDefault="00B44ADB">
      <w:pPr>
        <w:spacing w:after="160" w:line="278" w:lineRule="auto"/>
        <w:rPr>
          <w:rStyle w:val="Strong"/>
          <w:rFonts w:ascii="Times New Roman" w:eastAsia="Times New Roman" w:hAnsi="Times New Roman" w:cs="Times New Roman"/>
          <w:noProof/>
          <w:color w:val="000000" w:themeColor="text1"/>
          <w:sz w:val="24"/>
          <w:szCs w:val="24"/>
        </w:rPr>
      </w:pPr>
      <w:r w:rsidRPr="004709DB">
        <w:rPr>
          <w:rStyle w:val="Strong"/>
          <w:rFonts w:ascii="Times New Roman" w:hAnsi="Times New Roman" w:cs="Times New Roman"/>
          <w:noProof/>
          <w:color w:val="000000" w:themeColor="text1"/>
        </w:rPr>
        <w:br w:type="page"/>
      </w:r>
    </w:p>
    <w:p w14:paraId="62F25DF1" w14:textId="77777777" w:rsidR="00AD649C" w:rsidRDefault="00AD649C" w:rsidP="00AD649C">
      <w:pPr>
        <w:pStyle w:val="font-claude-response-body"/>
        <w:spacing w:before="0" w:beforeAutospacing="0" w:line="276" w:lineRule="auto"/>
        <w:ind w:right="-1"/>
        <w:jc w:val="center"/>
        <w:rPr>
          <w:rStyle w:val="Strong"/>
          <w:noProof/>
          <w:color w:val="000000" w:themeColor="text1"/>
          <w:lang w:val="en-US"/>
        </w:rPr>
      </w:pPr>
      <w:r>
        <w:rPr>
          <w:b/>
          <w:bCs/>
          <w:noProof/>
          <w:color w:val="000000" w:themeColor="text1"/>
          <w:lang w:val="en-US"/>
          <w14:ligatures w14:val="standardContextual"/>
        </w:rPr>
        <w:lastRenderedPageBreak/>
        <w:drawing>
          <wp:inline distT="0" distB="0" distL="0" distR="0" wp14:anchorId="7DAC46E8" wp14:editId="349216A4">
            <wp:extent cx="3577213" cy="3498880"/>
            <wp:effectExtent l="0" t="0" r="4445" b="0"/>
            <wp:docPr id="417490627"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490627" name="Imagem 417490627"/>
                    <pic:cNvPicPr/>
                  </pic:nvPicPr>
                  <pic:blipFill>
                    <a:blip r:embed="rId7" cstate="print">
                      <a:extLst>
                        <a:ext uri="{28A0092B-C50C-407E-A947-70E740481C1C}">
                          <a14:useLocalDpi xmlns:a14="http://schemas.microsoft.com/office/drawing/2010/main" val="0"/>
                        </a:ext>
                      </a:extLst>
                    </a:blip>
                    <a:stretch>
                      <a:fillRect/>
                    </a:stretch>
                  </pic:blipFill>
                  <pic:spPr>
                    <a:xfrm>
                      <a:off x="0" y="0"/>
                      <a:ext cx="3590269" cy="3511650"/>
                    </a:xfrm>
                    <a:prstGeom prst="rect">
                      <a:avLst/>
                    </a:prstGeom>
                  </pic:spPr>
                </pic:pic>
              </a:graphicData>
            </a:graphic>
          </wp:inline>
        </w:drawing>
      </w:r>
    </w:p>
    <w:p w14:paraId="05033B47" w14:textId="40BDEDA8" w:rsidR="00DD7C89" w:rsidRPr="005F2A44" w:rsidRDefault="006C627A" w:rsidP="005F2A44">
      <w:pPr>
        <w:pStyle w:val="font-claude-response-body"/>
        <w:spacing w:before="0" w:beforeAutospacing="0" w:line="276" w:lineRule="auto"/>
        <w:ind w:right="-1"/>
        <w:jc w:val="both"/>
        <w:rPr>
          <w:noProof/>
          <w:color w:val="000000" w:themeColor="text1"/>
          <w:lang w:val="en-US"/>
        </w:rPr>
      </w:pPr>
      <w:r w:rsidRPr="004709DB">
        <w:rPr>
          <w:rStyle w:val="Strong"/>
          <w:noProof/>
          <w:color w:val="000000" w:themeColor="text1"/>
          <w:lang w:val="en-US"/>
        </w:rPr>
        <w:t xml:space="preserve">Figure S2. </w:t>
      </w:r>
      <w:r w:rsidR="002C18FD" w:rsidRPr="002C18FD">
        <w:rPr>
          <w:rStyle w:val="Strong"/>
          <w:noProof/>
          <w:color w:val="000000" w:themeColor="text1"/>
          <w:lang w:val="en-US"/>
        </w:rPr>
        <w:t>Time to first documented seroreversion of naturally acquired IgG antibody responses</w:t>
      </w:r>
      <w:r w:rsidR="002C18FD">
        <w:rPr>
          <w:rStyle w:val="Strong"/>
          <w:noProof/>
          <w:color w:val="000000" w:themeColor="text1"/>
          <w:lang w:val="en-US"/>
        </w:rPr>
        <w:t xml:space="preserve"> </w:t>
      </w:r>
      <w:r w:rsidRPr="004709DB">
        <w:rPr>
          <w:rStyle w:val="Strong"/>
          <w:noProof/>
          <w:color w:val="000000" w:themeColor="text1"/>
          <w:lang w:val="en-US"/>
        </w:rPr>
        <w:t xml:space="preserve">against </w:t>
      </w:r>
      <w:r w:rsidR="002C18FD" w:rsidRPr="002C18FD">
        <w:rPr>
          <w:rStyle w:val="Strong"/>
          <w:i/>
          <w:iCs/>
          <w:noProof/>
          <w:color w:val="000000" w:themeColor="text1"/>
          <w:lang w:val="en-US"/>
        </w:rPr>
        <w:t xml:space="preserve">P. vivax </w:t>
      </w:r>
      <w:r w:rsidR="002C18FD">
        <w:rPr>
          <w:rStyle w:val="Strong"/>
          <w:noProof/>
          <w:color w:val="000000" w:themeColor="text1"/>
          <w:lang w:val="en-US"/>
        </w:rPr>
        <w:t xml:space="preserve">antigens, </w:t>
      </w:r>
      <w:r w:rsidRPr="004709DB">
        <w:rPr>
          <w:rStyle w:val="Strong"/>
          <w:noProof/>
          <w:color w:val="000000" w:themeColor="text1"/>
          <w:lang w:val="en-US"/>
        </w:rPr>
        <w:t>EBP2 and DEKnull-2, a novel engineered DBP immunogen targeting con</w:t>
      </w:r>
      <w:r w:rsidR="00F6510C">
        <w:rPr>
          <w:rStyle w:val="Strong"/>
          <w:noProof/>
          <w:color w:val="000000" w:themeColor="text1"/>
          <w:lang w:val="en-US"/>
        </w:rPr>
        <w:t>s</w:t>
      </w:r>
      <w:r w:rsidRPr="004709DB">
        <w:rPr>
          <w:rStyle w:val="Strong"/>
          <w:noProof/>
          <w:color w:val="000000" w:themeColor="text1"/>
          <w:lang w:val="en-US"/>
        </w:rPr>
        <w:t>er</w:t>
      </w:r>
      <w:r w:rsidR="00F6510C">
        <w:rPr>
          <w:rStyle w:val="Strong"/>
          <w:noProof/>
          <w:color w:val="000000" w:themeColor="text1"/>
          <w:lang w:val="en-US"/>
        </w:rPr>
        <w:t>v</w:t>
      </w:r>
      <w:r w:rsidRPr="004709DB">
        <w:rPr>
          <w:rStyle w:val="Strong"/>
          <w:noProof/>
          <w:color w:val="000000" w:themeColor="text1"/>
          <w:lang w:val="en-US"/>
        </w:rPr>
        <w:t>ed DBPII epitopes</w:t>
      </w:r>
      <w:r w:rsidR="009379CD" w:rsidRPr="004709DB">
        <w:rPr>
          <w:noProof/>
          <w:color w:val="000000" w:themeColor="text1"/>
          <w:lang w:val="en-US"/>
        </w:rPr>
        <w:t xml:space="preserve"> </w:t>
      </w:r>
      <w:r w:rsidR="009379CD" w:rsidRPr="004709DB">
        <w:rPr>
          <w:b/>
          <w:bCs/>
          <w:noProof/>
          <w:color w:val="000000" w:themeColor="text1"/>
          <w:lang w:val="en-US"/>
        </w:rPr>
        <w:fldChar w:fldCharType="begin">
          <w:fldData xml:space="preserve">PEVuZE5vdGU+PENpdGU+PEF1dGhvcj5OdHVtbmdpYTwvQXV0aG9yPjxZZWFyPjIwMTc8L1llYXI+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==
</w:fldData>
        </w:fldChar>
      </w:r>
      <w:r w:rsidR="009379CD" w:rsidRPr="004709DB">
        <w:rPr>
          <w:b/>
          <w:bCs/>
          <w:noProof/>
          <w:color w:val="000000" w:themeColor="text1"/>
          <w:lang w:val="en-US"/>
        </w:rPr>
        <w:instrText xml:space="preserve"> ADDIN EN.CITE </w:instrText>
      </w:r>
      <w:r w:rsidR="009379CD" w:rsidRPr="004709DB">
        <w:rPr>
          <w:b/>
          <w:bCs/>
          <w:noProof/>
          <w:color w:val="000000" w:themeColor="text1"/>
          <w:lang w:val="en-US"/>
        </w:rPr>
        <w:fldChar w:fldCharType="begin">
          <w:fldData xml:space="preserve">PEVuZE5vdGU+PENpdGU+PEF1dGhvcj5OdHVtbmdpYTwvQXV0aG9yPjxZZWFyPjIwMTc8L1llYXI+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==
</w:fldData>
        </w:fldChar>
      </w:r>
      <w:r w:rsidR="009379CD" w:rsidRPr="004709DB">
        <w:rPr>
          <w:b/>
          <w:bCs/>
          <w:noProof/>
          <w:color w:val="000000" w:themeColor="text1"/>
          <w:lang w:val="en-US"/>
        </w:rPr>
        <w:instrText xml:space="preserve"> ADDIN EN.CITE.DATA </w:instrText>
      </w:r>
      <w:r w:rsidR="009379CD" w:rsidRPr="004709DB">
        <w:rPr>
          <w:b/>
          <w:bCs/>
          <w:noProof/>
          <w:color w:val="000000" w:themeColor="text1"/>
          <w:lang w:val="en-US"/>
        </w:rPr>
      </w:r>
      <w:r w:rsidR="009379CD" w:rsidRPr="004709DB">
        <w:rPr>
          <w:b/>
          <w:bCs/>
          <w:noProof/>
          <w:color w:val="000000" w:themeColor="text1"/>
          <w:lang w:val="en-US"/>
        </w:rPr>
        <w:fldChar w:fldCharType="end"/>
      </w:r>
      <w:r w:rsidR="009379CD" w:rsidRPr="004709DB">
        <w:rPr>
          <w:b/>
          <w:bCs/>
          <w:noProof/>
          <w:color w:val="000000" w:themeColor="text1"/>
          <w:lang w:val="en-US"/>
        </w:rPr>
      </w:r>
      <w:r w:rsidR="009379CD" w:rsidRPr="004709DB">
        <w:rPr>
          <w:b/>
          <w:bCs/>
          <w:noProof/>
          <w:color w:val="000000" w:themeColor="text1"/>
          <w:lang w:val="en-US"/>
        </w:rPr>
        <w:fldChar w:fldCharType="separate"/>
      </w:r>
      <w:r w:rsidR="009379CD" w:rsidRPr="004709DB">
        <w:rPr>
          <w:b/>
          <w:bCs/>
          <w:noProof/>
          <w:color w:val="000000" w:themeColor="text1"/>
          <w:lang w:val="en-US"/>
        </w:rPr>
        <w:t>[36]</w:t>
      </w:r>
      <w:r w:rsidR="009379CD" w:rsidRPr="004709DB">
        <w:rPr>
          <w:b/>
          <w:bCs/>
          <w:noProof/>
          <w:color w:val="000000" w:themeColor="text1"/>
          <w:lang w:val="en-US"/>
        </w:rPr>
        <w:fldChar w:fldCharType="end"/>
      </w:r>
      <w:r w:rsidR="005F2A44">
        <w:rPr>
          <w:b/>
          <w:bCs/>
          <w:noProof/>
          <w:color w:val="000000" w:themeColor="text1"/>
          <w:lang w:val="en-US"/>
        </w:rPr>
        <w:t xml:space="preserve">. </w:t>
      </w:r>
      <w:r w:rsidR="005F2A44" w:rsidRPr="004709DB">
        <w:rPr>
          <w:noProof/>
          <w:color w:val="000000" w:themeColor="text1"/>
          <w:lang w:val="en-US"/>
        </w:rPr>
        <w:t>Kaplan–Meier survival curves depicting the cumulative probability of maintaining IgG antibodies against EBP2 (orange) and DEKnull-2 (green). The event of interest was defined as seroreversion (first transition from seropositive to seronegative status</w:t>
      </w:r>
      <w:r w:rsidR="001907C6">
        <w:rPr>
          <w:noProof/>
          <w:color w:val="000000" w:themeColor="text1"/>
          <w:lang w:val="en-US"/>
        </w:rPr>
        <w:t>)</w:t>
      </w:r>
      <w:r w:rsidR="005F2A44" w:rsidRPr="004709DB">
        <w:rPr>
          <w:noProof/>
          <w:color w:val="000000" w:themeColor="text1"/>
          <w:lang w:val="en-US"/>
        </w:rPr>
        <w:t>. The dashed horizontal line indicates the 50% survival probability. Differences between survival curves were assessed using the log-rank (Mantel–Cox) test (</w:t>
      </w:r>
      <w:r w:rsidR="005F2A44" w:rsidRPr="004709DB">
        <w:rPr>
          <w:rStyle w:val="Emphasis"/>
          <w:noProof/>
          <w:color w:val="000000" w:themeColor="text1"/>
          <w:lang w:val="en-US"/>
        </w:rPr>
        <w:t>p</w:t>
      </w:r>
      <w:r w:rsidR="005F2A44" w:rsidRPr="004709DB">
        <w:rPr>
          <w:noProof/>
          <w:color w:val="000000" w:themeColor="text1"/>
          <w:lang w:val="en-US"/>
        </w:rPr>
        <w:t xml:space="preserve"> &lt; 0.05).</w:t>
      </w:r>
    </w:p>
    <w:p w14:paraId="4458B60E" w14:textId="007D4AF0" w:rsidR="005B2A18" w:rsidRPr="004709DB" w:rsidRDefault="005B2A18" w:rsidP="00B44ADB">
      <w:pPr>
        <w:pStyle w:val="font-claude-response-body"/>
        <w:spacing w:before="0" w:beforeAutospacing="0" w:after="0" w:afterAutospacing="0" w:line="276" w:lineRule="auto"/>
        <w:ind w:right="-1"/>
        <w:jc w:val="center"/>
        <w:rPr>
          <w:b/>
          <w:bCs/>
          <w:noProof/>
          <w:color w:val="000000" w:themeColor="text1"/>
          <w:lang w:val="en-US"/>
        </w:rPr>
      </w:pPr>
    </w:p>
    <w:p w14:paraId="54E861F2" w14:textId="3A7BBA7C" w:rsidR="00064F29" w:rsidRDefault="00064F29" w:rsidP="00620300">
      <w:pPr>
        <w:pStyle w:val="font-claude-response-body"/>
        <w:spacing w:before="0" w:beforeAutospacing="0" w:line="276" w:lineRule="auto"/>
        <w:ind w:right="-1"/>
        <w:jc w:val="both"/>
        <w:rPr>
          <w:noProof/>
          <w:color w:val="000000" w:themeColor="text1"/>
          <w:lang w:val="en-US"/>
        </w:rPr>
      </w:pPr>
      <w:r>
        <w:rPr>
          <w:noProof/>
          <w:color w:val="000000" w:themeColor="text1"/>
          <w:lang w:val="en-US"/>
        </w:rPr>
        <w:br w:type="page"/>
      </w:r>
    </w:p>
    <w:p w14:paraId="5873D6B7" w14:textId="79D3DB5D" w:rsidR="00997CA8" w:rsidRDefault="004208DB" w:rsidP="00305423">
      <w:pPr>
        <w:pStyle w:val="font-claude-response-body"/>
        <w:spacing w:before="0" w:beforeAutospacing="0" w:after="0" w:afterAutospacing="0" w:line="276" w:lineRule="auto"/>
        <w:ind w:right="-1"/>
        <w:jc w:val="both"/>
        <w:rPr>
          <w:b/>
          <w:bCs/>
          <w:noProof/>
          <w:color w:val="000000" w:themeColor="text1"/>
          <w:lang w:val="en-US"/>
        </w:rPr>
      </w:pPr>
      <w:r>
        <w:rPr>
          <w:b/>
          <w:bCs/>
          <w:noProof/>
          <w:color w:val="000000" w:themeColor="text1"/>
          <w:lang w:val="en-US"/>
          <w14:ligatures w14:val="standardContextual"/>
        </w:rPr>
        <w:lastRenderedPageBreak/>
        <w:drawing>
          <wp:inline distT="0" distB="0" distL="0" distR="0" wp14:anchorId="2141D5E7" wp14:editId="3C2BEE63">
            <wp:extent cx="4994030" cy="5787850"/>
            <wp:effectExtent l="0" t="0" r="0" b="3810"/>
            <wp:docPr id="117141025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410256" name="Imagem 1171410256"/>
                    <pic:cNvPicPr/>
                  </pic:nvPicPr>
                  <pic:blipFill rotWithShape="1">
                    <a:blip r:embed="rId8" cstate="print">
                      <a:extLst>
                        <a:ext uri="{28A0092B-C50C-407E-A947-70E740481C1C}">
                          <a14:useLocalDpi xmlns:a14="http://schemas.microsoft.com/office/drawing/2010/main" val="0"/>
                        </a:ext>
                      </a:extLst>
                    </a:blip>
                    <a:srcRect r="2181" b="7558"/>
                    <a:stretch>
                      <a:fillRect/>
                    </a:stretch>
                  </pic:blipFill>
                  <pic:spPr bwMode="auto">
                    <a:xfrm>
                      <a:off x="0" y="0"/>
                      <a:ext cx="4994030" cy="5787850"/>
                    </a:xfrm>
                    <a:prstGeom prst="rect">
                      <a:avLst/>
                    </a:prstGeom>
                    <a:ln>
                      <a:noFill/>
                    </a:ln>
                    <a:extLst>
                      <a:ext uri="{53640926-AAD7-44D8-BBD7-CCE9431645EC}">
                        <a14:shadowObscured xmlns:a14="http://schemas.microsoft.com/office/drawing/2010/main"/>
                      </a:ext>
                    </a:extLst>
                  </pic:spPr>
                </pic:pic>
              </a:graphicData>
            </a:graphic>
          </wp:inline>
        </w:drawing>
      </w:r>
    </w:p>
    <w:p w14:paraId="62835ADF" w14:textId="77777777" w:rsidR="000E6FC4" w:rsidRDefault="000E6FC4" w:rsidP="00305423">
      <w:pPr>
        <w:pStyle w:val="font-claude-response-body"/>
        <w:spacing w:before="0" w:beforeAutospacing="0" w:after="0" w:afterAutospacing="0" w:line="276" w:lineRule="auto"/>
        <w:ind w:right="-1"/>
        <w:jc w:val="both"/>
        <w:rPr>
          <w:b/>
          <w:bCs/>
          <w:noProof/>
          <w:color w:val="000000" w:themeColor="text1"/>
          <w:lang w:val="en-US"/>
        </w:rPr>
      </w:pPr>
    </w:p>
    <w:p w14:paraId="72AE848C" w14:textId="2DA9E235" w:rsidR="00305423" w:rsidRPr="00E55714" w:rsidRDefault="005811F2" w:rsidP="00E55714">
      <w:pPr>
        <w:pStyle w:val="font-claude-response-body"/>
        <w:spacing w:before="0" w:beforeAutospacing="0" w:after="0" w:afterAutospacing="0" w:line="276" w:lineRule="auto"/>
        <w:ind w:right="-1"/>
        <w:jc w:val="both"/>
        <w:rPr>
          <w:noProof/>
          <w:color w:val="0432FF"/>
          <w:sz w:val="20"/>
          <w:szCs w:val="20"/>
          <w:lang w:val="en-US"/>
        </w:rPr>
        <w:sectPr w:rsidR="00305423" w:rsidRPr="00E55714">
          <w:pgSz w:w="11906" w:h="16838"/>
          <w:pgMar w:top="1417" w:right="1701" w:bottom="1417" w:left="1701" w:header="708" w:footer="708" w:gutter="0"/>
          <w:cols w:space="708"/>
          <w:docGrid w:linePitch="360"/>
        </w:sectPr>
      </w:pPr>
      <w:r w:rsidRPr="00FE2D1E">
        <w:rPr>
          <w:b/>
          <w:bCs/>
          <w:noProof/>
          <w:color w:val="000000" w:themeColor="text1"/>
          <w:lang w:val="en-US"/>
        </w:rPr>
        <w:t xml:space="preserve">Figure S3. </w:t>
      </w:r>
      <w:r w:rsidRPr="00FE2D1E">
        <w:rPr>
          <w:b/>
          <w:bCs/>
          <w:i/>
          <w:iCs/>
          <w:noProof/>
          <w:color w:val="000000" w:themeColor="text1"/>
          <w:lang w:val="en-US"/>
        </w:rPr>
        <w:t>Plasmodium vivax</w:t>
      </w:r>
      <w:r w:rsidRPr="00FE2D1E">
        <w:rPr>
          <w:b/>
          <w:bCs/>
          <w:noProof/>
          <w:color w:val="000000" w:themeColor="text1"/>
          <w:lang w:val="en-US"/>
        </w:rPr>
        <w:t xml:space="preserve"> malaria infections during the follow-up-period</w:t>
      </w:r>
      <w:r w:rsidR="00305423" w:rsidRPr="00FE2D1E">
        <w:rPr>
          <w:noProof/>
          <w:color w:val="000000" w:themeColor="text1"/>
          <w:lang w:val="en-US"/>
        </w:rPr>
        <w:t xml:space="preserve">. </w:t>
      </w:r>
      <w:r w:rsidR="006C3350" w:rsidRPr="00FE2D1E">
        <w:rPr>
          <w:b/>
          <w:bCs/>
          <w:noProof/>
          <w:color w:val="000000" w:themeColor="text1"/>
          <w:lang w:val="en-US"/>
        </w:rPr>
        <w:t>A)</w:t>
      </w:r>
      <w:r w:rsidR="00305423" w:rsidRPr="00FE2D1E">
        <w:rPr>
          <w:b/>
          <w:bCs/>
          <w:noProof/>
          <w:color w:val="000000" w:themeColor="text1"/>
          <w:lang w:val="en-US"/>
        </w:rPr>
        <w:t xml:space="preserve"> </w:t>
      </w:r>
      <w:r w:rsidR="008043EE" w:rsidRPr="00FE2D1E">
        <w:rPr>
          <w:noProof/>
          <w:color w:val="000000" w:themeColor="text1"/>
          <w:lang w:val="en-US"/>
        </w:rPr>
        <w:t xml:space="preserve">Number of malaria positive samples as detected by optical microscopy (red bars) or species-specific PCR-based protocol </w:t>
      </w:r>
      <w:r w:rsidR="008043EE" w:rsidRPr="00FE2D1E">
        <w:rPr>
          <w:noProof/>
          <w:color w:val="000000" w:themeColor="text1"/>
          <w:lang w:val="en-US"/>
        </w:rPr>
        <w:fldChar w:fldCharType="begin">
          <w:fldData xml:space="preserve">PEVuZE5vdGU+PENpdGU+PEF1dGhvcj5BbWFyYWw8L0F1dGhvcj48WWVhcj4yMDE5PC9ZZWFyPjxS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</w:fldData>
        </w:fldChar>
      </w:r>
      <w:r w:rsidR="008043EE" w:rsidRPr="00FE2D1E">
        <w:rPr>
          <w:noProof/>
          <w:color w:val="000000" w:themeColor="text1"/>
          <w:lang w:val="en-US"/>
        </w:rPr>
        <w:instrText xml:space="preserve"> ADDIN EN.CITE </w:instrText>
      </w:r>
      <w:r w:rsidR="008043EE" w:rsidRPr="00FE2D1E">
        <w:rPr>
          <w:noProof/>
          <w:color w:val="000000" w:themeColor="text1"/>
          <w:lang w:val="en-US"/>
        </w:rPr>
        <w:fldChar w:fldCharType="begin">
          <w:fldData xml:space="preserve">PEVuZE5vdGU+PENpdGU+PEF1dGhvcj5BbWFyYWw8L0F1dGhvcj48WWVhcj4yMDE5PC9ZZWFyPjxS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</w:fldData>
        </w:fldChar>
      </w:r>
      <w:r w:rsidR="008043EE" w:rsidRPr="00FE2D1E">
        <w:rPr>
          <w:noProof/>
          <w:color w:val="000000" w:themeColor="text1"/>
          <w:lang w:val="en-US"/>
        </w:rPr>
        <w:instrText xml:space="preserve"> ADDIN EN.CITE.DATA </w:instrText>
      </w:r>
      <w:r w:rsidR="008043EE" w:rsidRPr="00FE2D1E">
        <w:rPr>
          <w:noProof/>
          <w:color w:val="000000" w:themeColor="text1"/>
          <w:lang w:val="en-US"/>
        </w:rPr>
      </w:r>
      <w:r w:rsidR="008043EE" w:rsidRPr="00FE2D1E">
        <w:rPr>
          <w:noProof/>
          <w:color w:val="000000" w:themeColor="text1"/>
          <w:lang w:val="en-US"/>
        </w:rPr>
        <w:fldChar w:fldCharType="end"/>
      </w:r>
      <w:r w:rsidR="008043EE" w:rsidRPr="00FE2D1E">
        <w:rPr>
          <w:noProof/>
          <w:color w:val="000000" w:themeColor="text1"/>
          <w:lang w:val="en-US"/>
        </w:rPr>
      </w:r>
      <w:r w:rsidR="008043EE" w:rsidRPr="00FE2D1E">
        <w:rPr>
          <w:noProof/>
          <w:color w:val="000000" w:themeColor="text1"/>
          <w:lang w:val="en-US"/>
        </w:rPr>
        <w:fldChar w:fldCharType="separate"/>
      </w:r>
      <w:r w:rsidR="008043EE" w:rsidRPr="00FE2D1E">
        <w:rPr>
          <w:noProof/>
          <w:color w:val="000000" w:themeColor="text1"/>
          <w:lang w:val="en-US"/>
        </w:rPr>
        <w:t>[33]</w:t>
      </w:r>
      <w:r w:rsidR="008043EE" w:rsidRPr="00FE2D1E">
        <w:rPr>
          <w:noProof/>
          <w:color w:val="000000" w:themeColor="text1"/>
          <w:lang w:val="en-US"/>
        </w:rPr>
        <w:fldChar w:fldCharType="end"/>
      </w:r>
      <w:r w:rsidR="008043EE" w:rsidRPr="00FE2D1E">
        <w:rPr>
          <w:noProof/>
          <w:color w:val="000000" w:themeColor="text1"/>
          <w:lang w:val="en-US"/>
        </w:rPr>
        <w:t xml:space="preserve"> (light pink bars). Numbers at the bottom of each bar represent the number of participants (n) per survey. All PCR-positive participants were asymptomatic while microscopically positive participants reported signs and/or symptoms of uncomplicated malaria infection, with headache, fever, chills and myalgia were the most prevalent symptoms.</w:t>
      </w:r>
      <w:r w:rsidR="006C3350" w:rsidRPr="00FE2D1E">
        <w:rPr>
          <w:noProof/>
          <w:color w:val="000000" w:themeColor="text1"/>
          <w:lang w:val="en-US"/>
        </w:rPr>
        <w:t xml:space="preserve"> </w:t>
      </w:r>
      <w:r w:rsidR="006C3350" w:rsidRPr="00FE2D1E">
        <w:rPr>
          <w:b/>
          <w:bCs/>
          <w:noProof/>
          <w:color w:val="000000" w:themeColor="text1"/>
          <w:lang w:val="en-US"/>
        </w:rPr>
        <w:t>B)</w:t>
      </w:r>
      <w:r w:rsidR="0055425C" w:rsidRPr="00FE2D1E">
        <w:rPr>
          <w:b/>
          <w:bCs/>
          <w:noProof/>
          <w:color w:val="000000" w:themeColor="text1"/>
          <w:lang w:val="en-US"/>
        </w:rPr>
        <w:t xml:space="preserve"> </w:t>
      </w:r>
      <w:r w:rsidR="0055425C" w:rsidRPr="00FE2D1E">
        <w:rPr>
          <w:noProof/>
          <w:color w:val="000000" w:themeColor="text1"/>
          <w:lang w:val="en-US"/>
        </w:rPr>
        <w:t xml:space="preserve">Distribution of the cumulative number of </w:t>
      </w:r>
      <w:r w:rsidR="0055425C" w:rsidRPr="00FE2D1E">
        <w:rPr>
          <w:i/>
          <w:iCs/>
          <w:noProof/>
          <w:color w:val="000000" w:themeColor="text1"/>
          <w:lang w:val="en-US"/>
        </w:rPr>
        <w:t>P. vivax</w:t>
      </w:r>
      <w:r w:rsidR="0055425C" w:rsidRPr="00FE2D1E">
        <w:rPr>
          <w:noProof/>
          <w:color w:val="000000" w:themeColor="text1"/>
          <w:lang w:val="en-US"/>
        </w:rPr>
        <w:t xml:space="preserve"> malaria episodes </w:t>
      </w:r>
      <w:r w:rsidR="00FE2D1E" w:rsidRPr="00FE2D1E">
        <w:rPr>
          <w:noProof/>
          <w:color w:val="000000" w:themeColor="text1"/>
          <w:lang w:val="en-US"/>
        </w:rPr>
        <w:t>among</w:t>
      </w:r>
      <w:r w:rsidR="0055425C" w:rsidRPr="00FE2D1E">
        <w:rPr>
          <w:noProof/>
          <w:color w:val="000000" w:themeColor="text1"/>
          <w:lang w:val="en-US"/>
        </w:rPr>
        <w:t xml:space="preserve"> the 61 participants </w:t>
      </w:r>
      <w:r w:rsidR="00FE2D1E" w:rsidRPr="00FE2D1E">
        <w:rPr>
          <w:lang w:val="en-US"/>
        </w:rPr>
        <w:t>with at least one malaria episode during follow-up. Most experienced a single episode (40/61, 66%), while 18 (29%), 2 (3%), and 1 (2%) experienced two, three, and four episodes, respectively.</w:t>
      </w:r>
    </w:p>
    <w:p w14:paraId="06BC3452" w14:textId="72ECB443" w:rsidR="000E6FC4" w:rsidRDefault="000E6FC4" w:rsidP="007577B9">
      <w:pPr>
        <w:pStyle w:val="font-claude-response-body"/>
        <w:spacing w:before="0" w:beforeAutospacing="0" w:line="276" w:lineRule="auto"/>
        <w:ind w:right="396"/>
        <w:jc w:val="both"/>
        <w:rPr>
          <w:b/>
          <w:bCs/>
          <w:noProof/>
          <w:color w:val="000000" w:themeColor="text1"/>
          <w:lang w:val="en-US"/>
        </w:rPr>
      </w:pPr>
    </w:p>
    <w:p w14:paraId="641374B0" w14:textId="7E909293" w:rsidR="007577B9" w:rsidRDefault="007577B9" w:rsidP="007577B9">
      <w:pPr>
        <w:pStyle w:val="font-claude-response-body"/>
        <w:spacing w:before="0" w:beforeAutospacing="0" w:line="276" w:lineRule="auto"/>
        <w:ind w:right="396"/>
        <w:jc w:val="center"/>
        <w:rPr>
          <w:b/>
          <w:bCs/>
          <w:noProof/>
          <w:color w:val="000000" w:themeColor="text1"/>
          <w:lang w:val="en-US"/>
        </w:rPr>
      </w:pPr>
      <w:r>
        <w:rPr>
          <w:b/>
          <w:bCs/>
          <w:noProof/>
          <w:color w:val="000000" w:themeColor="text1"/>
          <w:lang w:val="en-US"/>
          <w14:ligatures w14:val="standardContextual"/>
        </w:rPr>
        <w:drawing>
          <wp:inline distT="0" distB="0" distL="0" distR="0" wp14:anchorId="0B54052C" wp14:editId="556B6424">
            <wp:extent cx="8892540" cy="3531870"/>
            <wp:effectExtent l="0" t="0" r="0" b="0"/>
            <wp:docPr id="1960746053"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746053" name="Imagem 1960746053"/>
                    <pic:cNvPicPr/>
                  </pic:nvPicPr>
                  <pic:blipFill>
                    <a:blip r:embed="rId9" cstate="print">
                      <a:extLst>
                        <a:ext uri="{28A0092B-C50C-407E-A947-70E740481C1C}">
                          <a14:useLocalDpi xmlns:a14="http://schemas.microsoft.com/office/drawing/2010/main" val="0"/>
                        </a:ext>
                      </a:extLst>
                    </a:blip>
                    <a:stretch>
                      <a:fillRect/>
                    </a:stretch>
                  </pic:blipFill>
                  <pic:spPr>
                    <a:xfrm>
                      <a:off x="0" y="0"/>
                      <a:ext cx="8892540" cy="3531870"/>
                    </a:xfrm>
                    <a:prstGeom prst="rect">
                      <a:avLst/>
                    </a:prstGeom>
                  </pic:spPr>
                </pic:pic>
              </a:graphicData>
            </a:graphic>
          </wp:inline>
        </w:drawing>
      </w:r>
    </w:p>
    <w:p w14:paraId="4310FBC8" w14:textId="0A69E70B" w:rsidR="005F2A44" w:rsidRPr="00043ECE" w:rsidRDefault="00620300" w:rsidP="00043ECE">
      <w:pPr>
        <w:pStyle w:val="font-claude-response-body"/>
        <w:spacing w:before="0" w:beforeAutospacing="0" w:line="276" w:lineRule="auto"/>
        <w:ind w:left="284" w:right="396"/>
        <w:jc w:val="both"/>
        <w:rPr>
          <w:noProof/>
          <w:lang w:val="en-US"/>
        </w:rPr>
      </w:pPr>
      <w:r w:rsidRPr="00775074">
        <w:rPr>
          <w:b/>
          <w:bCs/>
          <w:noProof/>
          <w:color w:val="000000" w:themeColor="text1"/>
          <w:lang w:val="en-US"/>
        </w:rPr>
        <w:t xml:space="preserve">Figure S4. </w:t>
      </w:r>
      <w:r w:rsidR="00DC7EA1" w:rsidRPr="002E6E27">
        <w:rPr>
          <w:rStyle w:val="Strong"/>
          <w:noProof/>
          <w:color w:val="000000" w:themeColor="text1"/>
          <w:lang w:val="en-US"/>
        </w:rPr>
        <w:t xml:space="preserve">Association between malaria status and </w:t>
      </w:r>
      <w:r w:rsidR="00BC1794" w:rsidRPr="002E6E27">
        <w:rPr>
          <w:rStyle w:val="Strong"/>
          <w:noProof/>
          <w:color w:val="000000" w:themeColor="text1"/>
          <w:lang w:val="en-US"/>
        </w:rPr>
        <w:t>anti-</w:t>
      </w:r>
      <w:r w:rsidR="00DC7EA1" w:rsidRPr="002E6E27">
        <w:rPr>
          <w:rStyle w:val="Strong"/>
          <w:noProof/>
          <w:color w:val="000000" w:themeColor="text1"/>
          <w:lang w:val="en-US"/>
        </w:rPr>
        <w:t xml:space="preserve">EBP2 </w:t>
      </w:r>
      <w:r w:rsidR="00BC1794" w:rsidRPr="002E6E27">
        <w:rPr>
          <w:rStyle w:val="Strong"/>
          <w:noProof/>
          <w:color w:val="000000" w:themeColor="text1"/>
          <w:lang w:val="en-US"/>
        </w:rPr>
        <w:t xml:space="preserve">antibodies </w:t>
      </w:r>
      <w:r w:rsidR="003C3AEA" w:rsidRPr="002E6E27">
        <w:rPr>
          <w:rStyle w:val="Strong"/>
          <w:noProof/>
          <w:color w:val="000000" w:themeColor="text1"/>
          <w:lang w:val="en-US"/>
        </w:rPr>
        <w:t xml:space="preserve">Reactivity Index (RI) </w:t>
      </w:r>
      <w:r w:rsidR="00DC7EA1" w:rsidRPr="002E6E27">
        <w:rPr>
          <w:rStyle w:val="Strong"/>
          <w:noProof/>
          <w:color w:val="000000" w:themeColor="text1"/>
          <w:lang w:val="en-US"/>
        </w:rPr>
        <w:t xml:space="preserve">at </w:t>
      </w:r>
      <w:r w:rsidR="000D6720" w:rsidRPr="002E6E27">
        <w:rPr>
          <w:rStyle w:val="Strong"/>
          <w:noProof/>
          <w:color w:val="000000" w:themeColor="text1"/>
          <w:lang w:val="en-US"/>
        </w:rPr>
        <w:t>b</w:t>
      </w:r>
      <w:r w:rsidR="00DC7EA1" w:rsidRPr="002E6E27">
        <w:rPr>
          <w:rStyle w:val="Strong"/>
          <w:noProof/>
          <w:color w:val="000000" w:themeColor="text1"/>
          <w:lang w:val="en-US"/>
        </w:rPr>
        <w:t>aseline, 6 and 12 months</w:t>
      </w:r>
      <w:r w:rsidR="00BC1794" w:rsidRPr="002E6E27">
        <w:rPr>
          <w:rStyle w:val="Strong"/>
          <w:noProof/>
          <w:color w:val="000000" w:themeColor="text1"/>
          <w:lang w:val="en-US"/>
        </w:rPr>
        <w:t xml:space="preserve"> of follow up</w:t>
      </w:r>
      <w:r w:rsidR="005F2A44" w:rsidRPr="002E6E27">
        <w:rPr>
          <w:rStyle w:val="Strong"/>
          <w:noProof/>
          <w:color w:val="000000" w:themeColor="text1"/>
          <w:lang w:val="en-US"/>
        </w:rPr>
        <w:t xml:space="preserve">. </w:t>
      </w:r>
      <w:r w:rsidR="004709DB" w:rsidRPr="002E6E27">
        <w:rPr>
          <w:noProof/>
          <w:color w:val="000000" w:themeColor="text1"/>
          <w:lang w:val="en-US"/>
        </w:rPr>
        <w:t xml:space="preserve">Boxplots show the distribution of the anti-EBP2 </w:t>
      </w:r>
      <w:r w:rsidR="005F2A44" w:rsidRPr="002E6E27">
        <w:rPr>
          <w:noProof/>
          <w:color w:val="000000" w:themeColor="text1"/>
          <w:lang w:val="en-US"/>
        </w:rPr>
        <w:t>RI</w:t>
      </w:r>
      <w:r w:rsidR="004709DB" w:rsidRPr="002E6E27">
        <w:rPr>
          <w:noProof/>
          <w:color w:val="000000" w:themeColor="text1"/>
          <w:lang w:val="en-US"/>
        </w:rPr>
        <w:t xml:space="preserve"> according to malaria status (Negative/Positive),</w:t>
      </w:r>
      <w:r w:rsidR="005F2A44" w:rsidRPr="002E6E27">
        <w:rPr>
          <w:noProof/>
          <w:color w:val="000000" w:themeColor="text1"/>
          <w:lang w:val="en-US"/>
        </w:rPr>
        <w:t xml:space="preserve"> </w:t>
      </w:r>
      <w:r w:rsidR="003C3AEA" w:rsidRPr="002E6E27">
        <w:rPr>
          <w:lang w:val="en-US"/>
        </w:rPr>
        <w:t>defined by positivity on optical microscopy and/or species-specific PCR</w:t>
      </w:r>
      <w:r w:rsidR="005F2A44" w:rsidRPr="002E6E27">
        <w:rPr>
          <w:noProof/>
          <w:lang w:val="en-US"/>
        </w:rPr>
        <w:t>.</w:t>
      </w:r>
      <w:r w:rsidR="00775074" w:rsidRPr="002E6E27">
        <w:rPr>
          <w:noProof/>
          <w:lang w:val="en-US"/>
        </w:rPr>
        <w:t xml:space="preserve"> </w:t>
      </w:r>
      <w:r w:rsidR="003C3AEA" w:rsidRPr="002E6E27">
        <w:rPr>
          <w:lang w:val="en-US"/>
        </w:rPr>
        <w:t xml:space="preserve">Comparisons between groups were performed using the Mann–Whitney U test, and effect size was estimated using the rank-biserial correlation (r). At all three time points (baseline, 6 months, and 12 months), anti-EBP2 IgG RI was significantly higher in malaria-positive individuals than in malaria-negative individuals (all </w:t>
      </w:r>
      <w:r w:rsidR="003C3AEA" w:rsidRPr="002E6E27">
        <w:rPr>
          <w:rStyle w:val="Emphasis"/>
          <w:lang w:val="en-US"/>
        </w:rPr>
        <w:t>p</w:t>
      </w:r>
      <w:r w:rsidR="003C3AEA" w:rsidRPr="002E6E27">
        <w:rPr>
          <w:lang w:val="en-US"/>
        </w:rPr>
        <w:t xml:space="preserve"> &lt; 0.001), with effect sizes ranging from moderate to strong (r = 0.43, 0.53, and 0.50, respectively) (</w:t>
      </w:r>
      <w:r w:rsidR="003C3AEA" w:rsidRPr="002E6E27">
        <w:rPr>
          <w:noProof/>
          <w:color w:val="000000" w:themeColor="text1"/>
          <w:lang w:val="en-US"/>
        </w:rPr>
        <w:t xml:space="preserve">Cohen's conventions for effect sizes </w:t>
      </w:r>
      <w:r w:rsidR="003C3AEA" w:rsidRPr="002E6E27">
        <w:rPr>
          <w:noProof/>
          <w:color w:val="000000" w:themeColor="text1"/>
          <w:lang w:val="en-US"/>
        </w:rPr>
        <w:fldChar w:fldCharType="begin"/>
      </w:r>
      <w:r w:rsidR="003C3AEA" w:rsidRPr="002E6E27">
        <w:rPr>
          <w:noProof/>
          <w:color w:val="000000" w:themeColor="text1"/>
          <w:lang w:val="en-US"/>
        </w:rPr>
        <w:instrText xml:space="preserve"> ADDIN EN.CITE &lt;EndNote&gt;&lt;Cite&gt;&lt;Author&gt;Cohen&lt;/Author&gt;&lt;Year&gt;1988&lt;/Year&gt;&lt;RecNum&gt;289&lt;/RecNum&gt;&lt;DisplayText&gt;[38]&lt;/DisplayText&gt;&lt;record&gt;&lt;rec-number&gt;289&lt;/rec-number&gt;&lt;foreign-keys&gt;&lt;key app="EN" db-id="9vxttprdprvzzxed2xl5es5309wdppewaaex" timestamp="1783970154"&gt;289&lt;/key&gt;&lt;/foreign-keys&gt;&lt;ref-type name="Book"&gt;6&lt;/ref-type&gt;&lt;contributors&gt;&lt;authors&gt;&lt;author&gt;Cohen, Jacob&lt;/author&gt;&lt;/authors&gt;&lt;/contributors&gt;&lt;titles&gt;&lt;title&gt;Statistical Power Analysis for the Behavioral Sciences&lt;/title&gt;&lt;/titles&gt;&lt;pages&gt;567&lt;/pages&gt;&lt;edition&gt;2nd&lt;/edition&gt;&lt;dates&gt;&lt;year&gt;1988&lt;/year&gt;&lt;/dates&gt;&lt;pub-location&gt;Hillsdale, NJ&lt;/pub-location&gt;&lt;publisher&gt;Lawrence Erlbaum Associates&lt;/publisher&gt;&lt;isbn&gt;0-8058-0283-5&lt;/isbn&gt;&lt;urls&gt;&lt;related-urls&gt;&lt;url&gt;https://utstat.toronto.edu/~brunner/oldclass/378f16/readings/CohenPower.pdf&lt;/url&gt;&lt;/related-urls&gt;&lt;/urls&gt;&lt;/record&gt;&lt;/Cite&gt;&lt;/EndNote&gt;</w:instrText>
      </w:r>
      <w:r w:rsidR="003C3AEA" w:rsidRPr="002E6E27">
        <w:rPr>
          <w:noProof/>
          <w:color w:val="000000" w:themeColor="text1"/>
          <w:lang w:val="en-US"/>
        </w:rPr>
        <w:fldChar w:fldCharType="separate"/>
      </w:r>
      <w:r w:rsidR="003C3AEA" w:rsidRPr="002E6E27">
        <w:rPr>
          <w:noProof/>
          <w:color w:val="000000" w:themeColor="text1"/>
          <w:lang w:val="en-US"/>
        </w:rPr>
        <w:t>[38]</w:t>
      </w:r>
      <w:r w:rsidR="003C3AEA" w:rsidRPr="002E6E27">
        <w:rPr>
          <w:noProof/>
          <w:color w:val="000000" w:themeColor="text1"/>
          <w:lang w:val="en-US"/>
        </w:rPr>
        <w:fldChar w:fldCharType="end"/>
      </w:r>
      <w:r w:rsidR="003C3AEA" w:rsidRPr="002E6E27">
        <w:rPr>
          <w:noProof/>
          <w:color w:val="000000" w:themeColor="text1"/>
          <w:lang w:val="en-US"/>
        </w:rPr>
        <w:t>)</w:t>
      </w:r>
      <w:r w:rsidR="00043ECE">
        <w:rPr>
          <w:lang w:val="en-US"/>
        </w:rPr>
        <w:t>.</w:t>
      </w:r>
    </w:p>
    <w:sectPr w:rsidR="005F2A44" w:rsidRPr="00043ECE" w:rsidSect="00620300">
      <w:pgSz w:w="16838" w:h="11906" w:orient="landscape"/>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D5F80"/>
    <w:multiLevelType w:val="hybridMultilevel"/>
    <w:tmpl w:val="4A983BD4"/>
    <w:lvl w:ilvl="0" w:tplc="B3FC3F00">
      <w:start w:val="1"/>
      <w:numFmt w:val="upp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A55220C"/>
    <w:multiLevelType w:val="hybridMultilevel"/>
    <w:tmpl w:val="1E4C9D3E"/>
    <w:lvl w:ilvl="0" w:tplc="36B66974">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216D0A55"/>
    <w:multiLevelType w:val="hybridMultilevel"/>
    <w:tmpl w:val="6F928C7C"/>
    <w:lvl w:ilvl="0" w:tplc="32E255A8">
      <w:start w:val="1"/>
      <w:numFmt w:val="upperLetter"/>
      <w:lvlText w:val="%1)"/>
      <w:lvlJc w:val="left"/>
      <w:pPr>
        <w:ind w:left="72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351686447">
    <w:abstractNumId w:val="0"/>
  </w:num>
  <w:num w:numId="2" w16cid:durableId="609701126">
    <w:abstractNumId w:val="1"/>
  </w:num>
  <w:num w:numId="3" w16cid:durableId="6545771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C89"/>
    <w:rsid w:val="00014990"/>
    <w:rsid w:val="00043ECE"/>
    <w:rsid w:val="00064F29"/>
    <w:rsid w:val="00085FF6"/>
    <w:rsid w:val="000910AE"/>
    <w:rsid w:val="000935C2"/>
    <w:rsid w:val="000D25CA"/>
    <w:rsid w:val="000D6720"/>
    <w:rsid w:val="000E06AE"/>
    <w:rsid w:val="000E6FC4"/>
    <w:rsid w:val="000F3C1C"/>
    <w:rsid w:val="001907C6"/>
    <w:rsid w:val="0019653F"/>
    <w:rsid w:val="001B49D2"/>
    <w:rsid w:val="001C4E63"/>
    <w:rsid w:val="002348B5"/>
    <w:rsid w:val="00270622"/>
    <w:rsid w:val="00271DE7"/>
    <w:rsid w:val="0027377B"/>
    <w:rsid w:val="00286493"/>
    <w:rsid w:val="00286E1E"/>
    <w:rsid w:val="002937A2"/>
    <w:rsid w:val="002C18FD"/>
    <w:rsid w:val="002C1E85"/>
    <w:rsid w:val="002D21DD"/>
    <w:rsid w:val="002E6E27"/>
    <w:rsid w:val="002F2377"/>
    <w:rsid w:val="00305423"/>
    <w:rsid w:val="003256C4"/>
    <w:rsid w:val="0033476D"/>
    <w:rsid w:val="00335AB3"/>
    <w:rsid w:val="003437D4"/>
    <w:rsid w:val="00375BA6"/>
    <w:rsid w:val="00387464"/>
    <w:rsid w:val="003C1066"/>
    <w:rsid w:val="003C3AEA"/>
    <w:rsid w:val="003D19DD"/>
    <w:rsid w:val="003D5B0A"/>
    <w:rsid w:val="003E5319"/>
    <w:rsid w:val="003F489C"/>
    <w:rsid w:val="004208DB"/>
    <w:rsid w:val="00441D67"/>
    <w:rsid w:val="004709DB"/>
    <w:rsid w:val="0048165C"/>
    <w:rsid w:val="00483B63"/>
    <w:rsid w:val="004D6908"/>
    <w:rsid w:val="004F44CB"/>
    <w:rsid w:val="004F7403"/>
    <w:rsid w:val="005348C9"/>
    <w:rsid w:val="0055425C"/>
    <w:rsid w:val="005811F2"/>
    <w:rsid w:val="005911C7"/>
    <w:rsid w:val="005B0ECA"/>
    <w:rsid w:val="005B2A18"/>
    <w:rsid w:val="005E7EB2"/>
    <w:rsid w:val="005F2A44"/>
    <w:rsid w:val="00620300"/>
    <w:rsid w:val="006247D0"/>
    <w:rsid w:val="0064457E"/>
    <w:rsid w:val="00664CA9"/>
    <w:rsid w:val="00673AD0"/>
    <w:rsid w:val="00677C60"/>
    <w:rsid w:val="006C3350"/>
    <w:rsid w:val="006C627A"/>
    <w:rsid w:val="006E2C49"/>
    <w:rsid w:val="006E2D11"/>
    <w:rsid w:val="0073469D"/>
    <w:rsid w:val="00751146"/>
    <w:rsid w:val="007577B9"/>
    <w:rsid w:val="007660DC"/>
    <w:rsid w:val="00771B27"/>
    <w:rsid w:val="00775074"/>
    <w:rsid w:val="007914FD"/>
    <w:rsid w:val="0079321F"/>
    <w:rsid w:val="007B51B3"/>
    <w:rsid w:val="007D4AAC"/>
    <w:rsid w:val="007E4C89"/>
    <w:rsid w:val="007F27AA"/>
    <w:rsid w:val="008043EE"/>
    <w:rsid w:val="00883767"/>
    <w:rsid w:val="00887E54"/>
    <w:rsid w:val="008B2284"/>
    <w:rsid w:val="008C04C9"/>
    <w:rsid w:val="00900198"/>
    <w:rsid w:val="00912B85"/>
    <w:rsid w:val="00931429"/>
    <w:rsid w:val="009379CD"/>
    <w:rsid w:val="0094047F"/>
    <w:rsid w:val="00942C06"/>
    <w:rsid w:val="009637D5"/>
    <w:rsid w:val="00963E3F"/>
    <w:rsid w:val="00980691"/>
    <w:rsid w:val="00997CA8"/>
    <w:rsid w:val="009C04D1"/>
    <w:rsid w:val="009C190B"/>
    <w:rsid w:val="00A35611"/>
    <w:rsid w:val="00A66D12"/>
    <w:rsid w:val="00AB0BAC"/>
    <w:rsid w:val="00AB7491"/>
    <w:rsid w:val="00AD649C"/>
    <w:rsid w:val="00AE1038"/>
    <w:rsid w:val="00B06E71"/>
    <w:rsid w:val="00B15372"/>
    <w:rsid w:val="00B24AB2"/>
    <w:rsid w:val="00B25ADF"/>
    <w:rsid w:val="00B44ADB"/>
    <w:rsid w:val="00B4511F"/>
    <w:rsid w:val="00B477E1"/>
    <w:rsid w:val="00B52727"/>
    <w:rsid w:val="00B52A3D"/>
    <w:rsid w:val="00B82DE8"/>
    <w:rsid w:val="00BC1794"/>
    <w:rsid w:val="00BE2FC6"/>
    <w:rsid w:val="00C46EB4"/>
    <w:rsid w:val="00C6492A"/>
    <w:rsid w:val="00C96BEC"/>
    <w:rsid w:val="00C975A2"/>
    <w:rsid w:val="00D33616"/>
    <w:rsid w:val="00D364C6"/>
    <w:rsid w:val="00DB47E9"/>
    <w:rsid w:val="00DC4291"/>
    <w:rsid w:val="00DC7715"/>
    <w:rsid w:val="00DC7EA1"/>
    <w:rsid w:val="00DD270A"/>
    <w:rsid w:val="00DD7C89"/>
    <w:rsid w:val="00E05C97"/>
    <w:rsid w:val="00E074C6"/>
    <w:rsid w:val="00E20EA4"/>
    <w:rsid w:val="00E43475"/>
    <w:rsid w:val="00E55714"/>
    <w:rsid w:val="00EA5F5F"/>
    <w:rsid w:val="00EC24BE"/>
    <w:rsid w:val="00ED3234"/>
    <w:rsid w:val="00EF47B5"/>
    <w:rsid w:val="00F20C2A"/>
    <w:rsid w:val="00F27F67"/>
    <w:rsid w:val="00F34A03"/>
    <w:rsid w:val="00F41C98"/>
    <w:rsid w:val="00F60099"/>
    <w:rsid w:val="00F6510C"/>
    <w:rsid w:val="00F744AF"/>
    <w:rsid w:val="00F800CE"/>
    <w:rsid w:val="00F96B97"/>
    <w:rsid w:val="00FB7536"/>
    <w:rsid w:val="00FE2D1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D9694"/>
  <w15:chartTrackingRefBased/>
  <w15:docId w15:val="{64EBC53A-D78B-684E-8C10-F21A343CF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7C89"/>
    <w:pPr>
      <w:spacing w:after="0" w:line="276" w:lineRule="auto"/>
    </w:pPr>
    <w:rPr>
      <w:rFonts w:ascii="Arial" w:eastAsia="Arial" w:hAnsi="Arial" w:cs="Arial"/>
      <w:kern w:val="0"/>
      <w:sz w:val="22"/>
      <w:szCs w:val="22"/>
      <w:lang w:val="en-US" w:eastAsia="pt-BR"/>
      <w14:ligatures w14:val="none"/>
    </w:rPr>
  </w:style>
  <w:style w:type="paragraph" w:styleId="Heading1">
    <w:name w:val="heading 1"/>
    <w:basedOn w:val="Normal"/>
    <w:next w:val="Normal"/>
    <w:link w:val="Heading1Char"/>
    <w:uiPriority w:val="9"/>
    <w:qFormat/>
    <w:rsid w:val="00DD7C8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pt-BR" w:eastAsia="en-US"/>
      <w14:ligatures w14:val="standardContextual"/>
    </w:rPr>
  </w:style>
  <w:style w:type="paragraph" w:styleId="Heading2">
    <w:name w:val="heading 2"/>
    <w:basedOn w:val="Normal"/>
    <w:next w:val="Normal"/>
    <w:link w:val="Heading2Char"/>
    <w:uiPriority w:val="9"/>
    <w:semiHidden/>
    <w:unhideWhenUsed/>
    <w:qFormat/>
    <w:rsid w:val="00DD7C8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pt-BR" w:eastAsia="en-US"/>
      <w14:ligatures w14:val="standardContextual"/>
    </w:rPr>
  </w:style>
  <w:style w:type="paragraph" w:styleId="Heading3">
    <w:name w:val="heading 3"/>
    <w:basedOn w:val="Normal"/>
    <w:next w:val="Normal"/>
    <w:link w:val="Heading3Char"/>
    <w:uiPriority w:val="9"/>
    <w:semiHidden/>
    <w:unhideWhenUsed/>
    <w:qFormat/>
    <w:rsid w:val="00DD7C8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pt-BR" w:eastAsia="en-US"/>
      <w14:ligatures w14:val="standardContextual"/>
    </w:rPr>
  </w:style>
  <w:style w:type="paragraph" w:styleId="Heading4">
    <w:name w:val="heading 4"/>
    <w:basedOn w:val="Normal"/>
    <w:next w:val="Normal"/>
    <w:link w:val="Heading4Char"/>
    <w:uiPriority w:val="9"/>
    <w:semiHidden/>
    <w:unhideWhenUsed/>
    <w:qFormat/>
    <w:rsid w:val="00DD7C89"/>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pt-BR" w:eastAsia="en-US"/>
      <w14:ligatures w14:val="standardContextual"/>
    </w:rPr>
  </w:style>
  <w:style w:type="paragraph" w:styleId="Heading5">
    <w:name w:val="heading 5"/>
    <w:basedOn w:val="Normal"/>
    <w:next w:val="Normal"/>
    <w:link w:val="Heading5Char"/>
    <w:uiPriority w:val="9"/>
    <w:semiHidden/>
    <w:unhideWhenUsed/>
    <w:qFormat/>
    <w:rsid w:val="00DD7C89"/>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pt-BR" w:eastAsia="en-US"/>
      <w14:ligatures w14:val="standardContextual"/>
    </w:rPr>
  </w:style>
  <w:style w:type="paragraph" w:styleId="Heading6">
    <w:name w:val="heading 6"/>
    <w:basedOn w:val="Normal"/>
    <w:next w:val="Normal"/>
    <w:link w:val="Heading6Char"/>
    <w:uiPriority w:val="9"/>
    <w:semiHidden/>
    <w:unhideWhenUsed/>
    <w:qFormat/>
    <w:rsid w:val="00DD7C89"/>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pt-BR" w:eastAsia="en-US"/>
      <w14:ligatures w14:val="standardContextual"/>
    </w:rPr>
  </w:style>
  <w:style w:type="paragraph" w:styleId="Heading7">
    <w:name w:val="heading 7"/>
    <w:basedOn w:val="Normal"/>
    <w:next w:val="Normal"/>
    <w:link w:val="Heading7Char"/>
    <w:uiPriority w:val="9"/>
    <w:semiHidden/>
    <w:unhideWhenUsed/>
    <w:qFormat/>
    <w:rsid w:val="00DD7C89"/>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pt-BR" w:eastAsia="en-US"/>
      <w14:ligatures w14:val="standardContextual"/>
    </w:rPr>
  </w:style>
  <w:style w:type="paragraph" w:styleId="Heading8">
    <w:name w:val="heading 8"/>
    <w:basedOn w:val="Normal"/>
    <w:next w:val="Normal"/>
    <w:link w:val="Heading8Char"/>
    <w:uiPriority w:val="9"/>
    <w:semiHidden/>
    <w:unhideWhenUsed/>
    <w:qFormat/>
    <w:rsid w:val="00DD7C89"/>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pt-BR" w:eastAsia="en-US"/>
      <w14:ligatures w14:val="standardContextual"/>
    </w:rPr>
  </w:style>
  <w:style w:type="paragraph" w:styleId="Heading9">
    <w:name w:val="heading 9"/>
    <w:basedOn w:val="Normal"/>
    <w:next w:val="Normal"/>
    <w:link w:val="Heading9Char"/>
    <w:uiPriority w:val="9"/>
    <w:semiHidden/>
    <w:unhideWhenUsed/>
    <w:qFormat/>
    <w:rsid w:val="00DD7C89"/>
    <w:pPr>
      <w:keepNext/>
      <w:keepLines/>
      <w:spacing w:line="278" w:lineRule="auto"/>
      <w:outlineLvl w:val="8"/>
    </w:pPr>
    <w:rPr>
      <w:rFonts w:asciiTheme="minorHAnsi" w:eastAsiaTheme="majorEastAsia" w:hAnsiTheme="minorHAnsi" w:cstheme="majorBidi"/>
      <w:color w:val="272727" w:themeColor="text1" w:themeTint="D8"/>
      <w:kern w:val="2"/>
      <w:sz w:val="24"/>
      <w:szCs w:val="24"/>
      <w:lang w:val="pt-BR"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7C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7C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7C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7C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7C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7C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7C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7C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7C89"/>
    <w:rPr>
      <w:rFonts w:eastAsiaTheme="majorEastAsia" w:cstheme="majorBidi"/>
      <w:color w:val="272727" w:themeColor="text1" w:themeTint="D8"/>
    </w:rPr>
  </w:style>
  <w:style w:type="paragraph" w:styleId="Title">
    <w:name w:val="Title"/>
    <w:basedOn w:val="Normal"/>
    <w:next w:val="Normal"/>
    <w:link w:val="TitleChar"/>
    <w:uiPriority w:val="10"/>
    <w:qFormat/>
    <w:rsid w:val="00DD7C89"/>
    <w:pPr>
      <w:spacing w:after="80" w:line="240" w:lineRule="auto"/>
      <w:contextualSpacing/>
    </w:pPr>
    <w:rPr>
      <w:rFonts w:asciiTheme="majorHAnsi" w:eastAsiaTheme="majorEastAsia" w:hAnsiTheme="majorHAnsi" w:cstheme="majorBidi"/>
      <w:spacing w:val="-10"/>
      <w:kern w:val="28"/>
      <w:sz w:val="56"/>
      <w:szCs w:val="56"/>
      <w:lang w:val="pt-BR" w:eastAsia="en-US"/>
      <w14:ligatures w14:val="standardContextual"/>
    </w:rPr>
  </w:style>
  <w:style w:type="character" w:customStyle="1" w:styleId="TitleChar">
    <w:name w:val="Title Char"/>
    <w:basedOn w:val="DefaultParagraphFont"/>
    <w:link w:val="Title"/>
    <w:uiPriority w:val="10"/>
    <w:rsid w:val="00DD7C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7C8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pt-BR" w:eastAsia="en-US"/>
      <w14:ligatures w14:val="standardContextual"/>
    </w:rPr>
  </w:style>
  <w:style w:type="character" w:customStyle="1" w:styleId="SubtitleChar">
    <w:name w:val="Subtitle Char"/>
    <w:basedOn w:val="DefaultParagraphFont"/>
    <w:link w:val="Subtitle"/>
    <w:uiPriority w:val="11"/>
    <w:rsid w:val="00DD7C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7C89"/>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pt-BR" w:eastAsia="en-US"/>
      <w14:ligatures w14:val="standardContextual"/>
    </w:rPr>
  </w:style>
  <w:style w:type="character" w:customStyle="1" w:styleId="QuoteChar">
    <w:name w:val="Quote Char"/>
    <w:basedOn w:val="DefaultParagraphFont"/>
    <w:link w:val="Quote"/>
    <w:uiPriority w:val="29"/>
    <w:rsid w:val="00DD7C89"/>
    <w:rPr>
      <w:i/>
      <w:iCs/>
      <w:color w:val="404040" w:themeColor="text1" w:themeTint="BF"/>
    </w:rPr>
  </w:style>
  <w:style w:type="paragraph" w:styleId="ListParagraph">
    <w:name w:val="List Paragraph"/>
    <w:basedOn w:val="Normal"/>
    <w:uiPriority w:val="34"/>
    <w:qFormat/>
    <w:rsid w:val="00DD7C89"/>
    <w:pPr>
      <w:spacing w:after="160" w:line="278" w:lineRule="auto"/>
      <w:ind w:left="720"/>
      <w:contextualSpacing/>
    </w:pPr>
    <w:rPr>
      <w:rFonts w:asciiTheme="minorHAnsi" w:eastAsiaTheme="minorHAnsi" w:hAnsiTheme="minorHAnsi" w:cstheme="minorBidi"/>
      <w:kern w:val="2"/>
      <w:sz w:val="24"/>
      <w:szCs w:val="24"/>
      <w:lang w:val="pt-BR" w:eastAsia="en-US"/>
      <w14:ligatures w14:val="standardContextual"/>
    </w:rPr>
  </w:style>
  <w:style w:type="character" w:styleId="IntenseEmphasis">
    <w:name w:val="Intense Emphasis"/>
    <w:basedOn w:val="DefaultParagraphFont"/>
    <w:uiPriority w:val="21"/>
    <w:qFormat/>
    <w:rsid w:val="00DD7C89"/>
    <w:rPr>
      <w:i/>
      <w:iCs/>
      <w:color w:val="0F4761" w:themeColor="accent1" w:themeShade="BF"/>
    </w:rPr>
  </w:style>
  <w:style w:type="paragraph" w:styleId="IntenseQuote">
    <w:name w:val="Intense Quote"/>
    <w:basedOn w:val="Normal"/>
    <w:next w:val="Normal"/>
    <w:link w:val="IntenseQuoteChar"/>
    <w:uiPriority w:val="30"/>
    <w:qFormat/>
    <w:rsid w:val="00DD7C8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pt-BR" w:eastAsia="en-US"/>
      <w14:ligatures w14:val="standardContextual"/>
    </w:rPr>
  </w:style>
  <w:style w:type="character" w:customStyle="1" w:styleId="IntenseQuoteChar">
    <w:name w:val="Intense Quote Char"/>
    <w:basedOn w:val="DefaultParagraphFont"/>
    <w:link w:val="IntenseQuote"/>
    <w:uiPriority w:val="30"/>
    <w:rsid w:val="00DD7C89"/>
    <w:rPr>
      <w:i/>
      <w:iCs/>
      <w:color w:val="0F4761" w:themeColor="accent1" w:themeShade="BF"/>
    </w:rPr>
  </w:style>
  <w:style w:type="character" w:styleId="IntenseReference">
    <w:name w:val="Intense Reference"/>
    <w:basedOn w:val="DefaultParagraphFont"/>
    <w:uiPriority w:val="32"/>
    <w:qFormat/>
    <w:rsid w:val="00DD7C89"/>
    <w:rPr>
      <w:b/>
      <w:bCs/>
      <w:smallCaps/>
      <w:color w:val="0F4761" w:themeColor="accent1" w:themeShade="BF"/>
      <w:spacing w:val="5"/>
    </w:rPr>
  </w:style>
  <w:style w:type="character" w:styleId="Strong">
    <w:name w:val="Strong"/>
    <w:basedOn w:val="DefaultParagraphFont"/>
    <w:uiPriority w:val="22"/>
    <w:qFormat/>
    <w:rsid w:val="00DD7C89"/>
    <w:rPr>
      <w:b/>
      <w:bCs/>
    </w:rPr>
  </w:style>
  <w:style w:type="character" w:styleId="Emphasis">
    <w:name w:val="Emphasis"/>
    <w:basedOn w:val="DefaultParagraphFont"/>
    <w:uiPriority w:val="20"/>
    <w:qFormat/>
    <w:rsid w:val="00DD7C89"/>
    <w:rPr>
      <w:i/>
      <w:iCs/>
    </w:rPr>
  </w:style>
  <w:style w:type="paragraph" w:customStyle="1" w:styleId="font-claude-response-body">
    <w:name w:val="font-claude-response-body"/>
    <w:basedOn w:val="Normal"/>
    <w:rsid w:val="00DD7C89"/>
    <w:pPr>
      <w:spacing w:before="100" w:beforeAutospacing="1" w:after="100" w:afterAutospacing="1" w:line="240" w:lineRule="auto"/>
    </w:pPr>
    <w:rPr>
      <w:rFonts w:ascii="Times New Roman" w:eastAsia="Times New Roman" w:hAnsi="Times New Roman" w:cs="Times New Roman"/>
      <w:sz w:val="24"/>
      <w:szCs w:val="24"/>
      <w:lang w:val="pt-BR"/>
    </w:rPr>
  </w:style>
  <w:style w:type="paragraph" w:styleId="NormalWeb">
    <w:name w:val="Normal (Web)"/>
    <w:basedOn w:val="Normal"/>
    <w:uiPriority w:val="99"/>
    <w:unhideWhenUsed/>
    <w:rsid w:val="004709DB"/>
    <w:pPr>
      <w:spacing w:before="100" w:beforeAutospacing="1" w:after="100" w:afterAutospacing="1" w:line="240" w:lineRule="auto"/>
    </w:pPr>
    <w:rPr>
      <w:rFonts w:ascii="Times New Roman" w:eastAsia="Times New Roman" w:hAnsi="Times New Roman" w:cs="Times New Roman"/>
      <w:sz w:val="24"/>
      <w:szCs w:val="24"/>
      <w:lang w:val="pt-BR"/>
    </w:rPr>
  </w:style>
  <w:style w:type="paragraph" w:customStyle="1" w:styleId="pdq2pgselectionanchorcontainer">
    <w:name w:val="pdq2pg_selectionanchorcontainer"/>
    <w:basedOn w:val="Normal"/>
    <w:rsid w:val="00EC24BE"/>
    <w:pPr>
      <w:spacing w:before="100" w:beforeAutospacing="1" w:after="100" w:afterAutospacing="1" w:line="240" w:lineRule="auto"/>
    </w:pPr>
    <w:rPr>
      <w:rFonts w:ascii="Times New Roman" w:eastAsia="Times New Roman" w:hAnsi="Times New Roman" w:cs="Times New Roman"/>
      <w:sz w:val="24"/>
      <w:szCs w:val="24"/>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AAB921-AB56-7C4C-9B01-3DCE97E8F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697</Words>
  <Characters>3978</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Gabriela Maia Fernandes</dc:creator>
  <cp:keywords/>
  <dc:description/>
  <cp:lastModifiedBy>Luzia Helena Carvalho</cp:lastModifiedBy>
  <cp:revision>2</cp:revision>
  <dcterms:created xsi:type="dcterms:W3CDTF">2026-08-03T13:25:00Z</dcterms:created>
  <dcterms:modified xsi:type="dcterms:W3CDTF">2026-08-03T13:25:00Z</dcterms:modified>
</cp:coreProperties>
</file>