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</w:pPr>
      <w:r>
        <w:rPr>
          <w:rFonts w:ascii="Arial" w:cs="Arial" w:eastAsia="Arial" w:hAnsi="Arial"/>
          <w:b/>
          <w:bCs/>
          <w:color w:val="1F4E79"/>
          <w:sz w:val="24"/>
          <w:szCs w:val="24"/>
        </w:rPr>
        <w:t xml:space="preserve">Supplementary Table 1. Complete list of 72 clinical and biological variables in the electronic case report form (e-CRF)</w:t>
      </w:r>
    </w:p>
    <w:p>
      <w:pPr>
        <w:spacing w:after="200" w:before="8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All variables collected at or before SARS-CoV-2 PCR-confirmed diagnosis. Signature variables (yellow) are the 7 features of the joint model. Binary thresholds reflect those used in the predictive model. Lung-optimal signature variables identified by cancer-type-specific exhaustive subset search. Hepatic failure definition: ASAT/ALAT &gt;3× ULN and/or clinical evidence within 3 months. Renal failure: creatinine &gt;133 µmol/L (men) or &gt;115 µmol/L (women). Steroid exposure: ≥10 mg prednisolone equivalent/day for ≥1 month. Serology timing (CLB): n=30 pre-infection, n=50 within 48h of diagnosis, n=88 post-diagnosis.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100"/>
        <w:gridCol w:w="1200"/>
        <w:gridCol w:w="2300"/>
        <w:gridCol w:w="5798"/>
      </w:tblGrid>
      <w:tr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Variable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Domain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Binary threshold (signature)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Age (years)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Demographics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≥60 years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Signature variable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Sex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Demographics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Male / Female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Region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Demographics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French administrative region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Socio-professional category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Demographics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 PCR+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COVID-19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Inclusion: ≥30 days post-diagnosis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SARS-CoV-2 variant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COVID-19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Alpha, Beta/Gamma, Delta, Omicron; not top predictor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COVID-19 severity outcome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COVID-19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Ordinal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Léger/Modéré/Grave; Modéré+Grave pooled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Vaccinated at time of COVID+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Vaccination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top predictor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Vaccine date 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Vaccination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Vaccine type 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Vaccination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mRNA or adenoviral-vector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Vaccine date 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Vaccination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Vaccine type 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Vaccination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Vaccine date 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Vaccination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Vaccine type 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Vaccination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Vaccine date 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Vaccination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Vaccine type 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Vaccination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SARS-CoV-2 serology (binary)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 &amp; Immunity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Seropositive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Signature variable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 serology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 &amp; Immunity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Collected at or before diagnosis; n=30 pre-infection, n=50 within 48h, n=88 post-Dx (CLB)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Antibody titre (BAU/mL)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 &amp; Immunity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Lung-optimal signature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Antibody unit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 &amp; Immunity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BAU/mL or UA/mL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type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Oncology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HEMATO or PNEUMO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 cancer diagnosis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Oncology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TNM stage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Oncology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Active treatment at COVID+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 last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Type last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CHIMIO/IMMUNO/RTX/Thérapie ciblée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Chemotherapy (12 months)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 last chemotherapy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Immunotherapy (12 months)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Pooled: anti-CD20, PD-L1 inhibitors, immunosuppressors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 last immunotherapy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RTX/rituximab (12 months)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 last RTX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Targeted therapy (12 months)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Targeted therapy type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 last targeted therapy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MAB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Monoclonal antibodies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MAB details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Cancer 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ECOG performance status (0–5)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Performance Status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Ordinal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≥2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Signature variable; 0=fully active, 5=dead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COPD / Asthma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Autoimmune disease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Cardiovascular disease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Diabetes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Lung-optimal signature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Diabetes details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Hepatic failure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ASAT/ALAT &gt;3× ULN and/or clinical/imaging evidence within 3 months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Renal failure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Creatinine &gt;133 µmol/L (men) or &gt;115 µmol/L (women)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Organ transplant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Stem cell transplant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Psychiatric disorder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Corticosteroids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Comorbidities/Treatment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≥10 mg prednisolone equivalent/day for ≥1 month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ASAT/TGO (U/L)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Liver Function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Creatinine (µmol/L)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Renal Function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&gt;90 µmol/L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Signature variable; value closest to SARS-CoV-2 diagnosis date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BMI (kg/m²)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Body Composition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&lt;18.5 kg/m²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Signature variable; cachexia threshold (WHO)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Obesity (BMI ≥30)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Body Composition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Derived from BMI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Cachexia (BMI ≤18.5)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Body Composition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Aligns with signature threshold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Albumin (g/L)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Liver / Nutrition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&lt;35 g/L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Signature variable; hypoalbuminaemia threshold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Lymphocyte count (G/L)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Haematology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&lt;1.2 G/L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Signature variable; single measurement below threshold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Gammaglobulin (g/L)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Immunity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3-month window; treatment-related variability noted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CD4/CD8 ratio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Haematology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Hematological patients only; 3-month window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Immunodepressed status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Immunity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Binary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Lung-optimal signature; clinician-assessed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CT scan date (before COVID)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Imaging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Pre-COVID baseline; not in final signature, retained in e-CRF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CT accession number (bright)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Imaging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Identifier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 in final signature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CT series number (bright)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Imaging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Identifier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CT accession number (dark)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Imaging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Identifier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CT series number (dark)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Imaging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Identifier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 of death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Outcome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If applicable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Patient category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Administrative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P1 etc.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Delay CT1–COVID (days)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Imaging / Timeline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Continuous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Days between baseline CT and COVID+ date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Administrative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Categorical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CLB / IGR / Cochin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Hospital admission 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Administrative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Hospital discharge 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Administrative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NDA / accession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Administrative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Identifier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Remarks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Administrative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Text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Free-text notes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pageBreakBefore/>
      </w:pPr>
      <w:r>
        <w:t xml:space="preserve"/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F4E79"/>
          <w:sz w:val="24"/>
          <w:szCs w:val="24"/>
        </w:rPr>
        <w:t xml:space="preserve">Supplementary Table 2a. Pairwise Kendall rank correlation (τ) between the 7 signature variables — internal cohort (n=340)</w:t>
      </w:r>
    </w:p>
    <w:p>
      <w:pPr>
        <w:spacing w:after="200" w:before="8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Computed from continuous (pre-binarisation) values. Statistically significant pairs (p&lt;0.05) highlighted in green. Strongest correlation: ECOG–Albumin (τ=−0.350, p&lt;0.0001). Creatinine–Albumin correlation is low (τ=0.059), confirming that their joint-model co-selection reflects population-mixing effects, not collinearity.</w:t>
      </w:r>
    </w:p>
    <w:tbl>
      <w:tblPr>
        <w:tblW w:type="dxa" w:w="12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400"/>
        <w:gridCol w:w="1400"/>
        <w:gridCol w:w="5600"/>
      </w:tblGrid>
      <w:tr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Variable 1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Variable 2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Kendall τ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p-value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Cluster note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ecog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0.153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0.0002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lymphocytes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0.010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0.7865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creatinine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0.194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&lt;0.0001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bmi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0.082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0.0252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albumin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-0.132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0.0004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-0.050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0.2653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ecog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lymphocytes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-0.145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0.0005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ecog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creatinine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-0.055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0.1827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ecog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bmi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-0.068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0.1005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ecog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albumin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-0.350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&lt;0.0001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Strong — same cluster if biologically related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ecog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-0.064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0.2025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lymphocytes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creatinine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0.131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0.0004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lymphocytes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bmi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0.141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0.0001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lymphocytes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albumin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0.196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&lt;0.0001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lymphocytes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0.060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0.1798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creatinine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bmi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0.163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&lt;0.0001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creatinine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albumin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0.059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0.1151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creatinine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-0.011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0.8085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bmi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albumin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0.041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0.2725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bmi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-0.024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0.5910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albumin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-0.026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0.5640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40"/>
      </w:pPr>
      <w:r>
        <w:t xml:space="preserve"/>
      </w:r>
    </w:p>
    <w:p>
      <w:pPr>
        <w:pageBreakBefore/>
      </w:pPr>
      <w:r>
        <w:t xml:space="preserve"/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F4E79"/>
          <w:sz w:val="24"/>
          <w:szCs w:val="24"/>
        </w:rPr>
        <w:t xml:space="preserve">Supplementary Table 2b. Kendall rank correlation (τ) of each signature variable with COVID-19 severity outcome — internal cohort (n=340)</w:t>
      </w:r>
    </w:p>
    <w:p>
      <w:pPr>
        <w:spacing w:after="200" w:before="8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Significant variables (p&lt;0.05) highlighted in yellow. ECOG (τ=0.305) and albumin (τ=−0.206) show strongest marginal associations. BMI (τ=−0.002, p=0.961) has negligible marginal association, consistent with its conditional importance in the multivariate model structure.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500"/>
        <w:gridCol w:w="2000"/>
        <w:gridCol w:w="3500"/>
      </w:tblGrid>
      <w:tr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Variable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Kendall τ with outcome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p-value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Direction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age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0.193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&lt;0.0001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factor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ecog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0.305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&lt;0.0001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factor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lymphocytes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-0.084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0.0603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Protective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creatinine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0.102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0.0228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factor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bmi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-0.002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0.9613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Protective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albumin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-0.206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&lt;0.0001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Protective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serology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-0.147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0.0069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Protective</w:t>
            </w:r>
          </w:p>
        </w:tc>
      </w:tr>
    </w:tbl>
    <w:p>
      <w:pPr>
        <w:spacing w:after="40" w:before="40"/>
      </w:pPr>
      <w:r>
        <w:t xml:space="preserve"/>
      </w:r>
    </w:p>
    <w:p>
      <w:pPr>
        <w:pageBreakBefore/>
      </w:pPr>
      <w:r>
        <w:t xml:space="preserve"/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F4E79"/>
          <w:sz w:val="24"/>
          <w:szCs w:val="24"/>
        </w:rPr>
        <w:t xml:space="preserve">Supplementary Table 3. Extended benchmark of 17 classifiers — 10-fold cross-validation (internal) and external validation</w:t>
      </w:r>
    </w:p>
    <w:p>
      <w:pPr>
        <w:spacing w:after="200" w:before="8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All classifiers evaluated on the 7-variable signature. LR uses binarised features; RF and tree-based methods use continuous features (median-imputed). Primary selection: highest CV validation BA with gap ≤0.10. LR (ElasticNet) selected as primary (CV val BA=0.697, gap=0.035). RF (max_depth=4) achieves highest external AUC (0.763 [0.667–0.851], +0.044 over LR) and is reported as sensitivity analysis. No ensemble meaningfully exceeded RF. BA, balanced accuracy. Internal CV AUC via cross_val_predict. External = Cochin cohort (n=104).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600"/>
        <w:gridCol w:w="1600"/>
        <w:gridCol w:w="1600"/>
        <w:gridCol w:w="1800"/>
        <w:gridCol w:w="1900"/>
        <w:gridCol w:w="2298"/>
      </w:tblGrid>
      <w:tr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Classifier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CV train BA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CV val BA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Gap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Internal CV AUC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External AUC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Selected</w:t>
            </w:r>
          </w:p>
        </w:tc>
      </w:tr>
      <w:tr>
        <w:tc>
          <w:tcPr>
            <w:gridSpan w:val="7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6E4F0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/>
                <w:iCs/>
                <w:color w:val="1F4E79"/>
                <w:sz w:val="18"/>
                <w:szCs w:val="18"/>
              </w:rPr>
              <w:t xml:space="preserve">Linear / Regularised Models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Logistic Regression (ElasticNet)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0.732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0.697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0.035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0.748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0.719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Primary model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Logistic Regression (L1)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0.730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0.697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0.033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0.748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0.720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Logistic Regression (L2)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0.730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0.697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0.033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0.748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0.719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Linear SVM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0.711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0.693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0.018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0.745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0.723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SGD Classifier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0.624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0.579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0.046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0.606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0.549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gridSpan w:val="7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6E4F0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/>
                <w:iCs/>
                <w:color w:val="1F4E79"/>
                <w:sz w:val="18"/>
                <w:szCs w:val="18"/>
              </w:rPr>
              <w:t xml:space="preserve">Tree-based / Ensemble Models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Random Forest (max_depth=4)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0.854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0.664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0.190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0.736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0.763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2EFDA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Sensitivity analysis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Gradient Boosting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0.929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0.621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0.308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0.695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0.612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XGBoost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1.000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0.610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0.390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0.662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0.569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LightGBM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0.992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0.611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0.381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0.686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0.655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CatBoost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0.717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0.580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0.137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0.733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0.691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AdaBoost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0.715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0.630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0.085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0.742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0.648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Decision Tree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0.762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0.617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0.145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0.640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0.622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gridSpan w:val="7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6E4F0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/>
                <w:iCs/>
                <w:color w:val="1F4E79"/>
                <w:sz w:val="18"/>
                <w:szCs w:val="18"/>
              </w:rPr>
              <w:t xml:space="preserve">Probabilistic / Other Models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K-Nearest Neighbours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0.662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0.550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0.112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0.598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0.605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Gaussian Process Classifier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0.761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0.612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0.149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0.693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0.533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Gaussian Naive Bayes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0.653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0.649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0.004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0.771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0.629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MLP (deep learning perceptron)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0.956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0.565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0.391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0.624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0.564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gridSpan w:val="7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6E4F0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i/>
                <w:iCs/>
                <w:color w:val="1F4E79"/>
                <w:sz w:val="18"/>
                <w:szCs w:val="18"/>
              </w:rPr>
              <w:t xml:space="preserve">Ensemble Combinations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Soft-voting Ensemble (LR+RF+GB)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0.954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0.648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0.306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0.725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0.670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40"/>
      </w:pPr>
      <w:r>
        <w:t xml:space="preserve"/>
      </w:r>
    </w:p>
    <w:p>
      <w:pPr>
        <w:pageBreakBefore/>
      </w:pPr>
      <w:r>
        <w:t xml:space="preserve"/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F4E79"/>
          <w:sz w:val="24"/>
          <w:szCs w:val="24"/>
        </w:rPr>
        <w:t xml:space="preserve">Supplementary Table 4. Permutation feature importance — joint logistic regression model (mean decrease in AUC %, 2,000 permutations)</w:t>
      </w:r>
    </w:p>
    <w:p>
      <w:pPr>
        <w:spacing w:after="200" w:before="8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Feature importance computed by permuting each binary feature 2,000 times on the training set and measuring mean AUC decrease. ECOG≥2 (5.9%) and Creatinine&gt;90 (3.5%) are the top contributors. BMI&lt;18.5 shows near-zero importance (−0.1%), consistent with its negligible marginal Kendall τ with outcome. All 7 features retained based on clinical rationale and graph-based cluster membership.</w:t>
      </w:r>
    </w:p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700"/>
        <w:gridCol w:w="1600"/>
        <w:gridCol w:w="1200"/>
      </w:tblGrid>
      <w:tr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Feature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Mean decrease in AUC (%)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Std (%)</w:t>
            </w:r>
          </w:p>
        </w:tc>
        <w:tc>
          <w:tcPr>
            <w:tcBorders>
              <w:top w:val="single" w:color="1F4E79" w:sz="4"/>
              <w:left w:val="single" w:color="999999" w:sz="1"/>
              <w:bottom w:val="single" w:color="1F4E79" w:sz="4"/>
              <w:right w:val="single" w:color="999999" w:sz="1"/>
            </w:tcBorders>
            <w:shd w:fill="1F4E79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Rank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ECOG≥2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5.9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1.58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Creat&gt;90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2CC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1.13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Age≥60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1.27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Serology+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2.3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Lymph&lt;1.2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2.0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0.92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Alb&lt;35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0.8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0.77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</w:tr>
      <w:tr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BMI&lt;18.5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-0.1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0.27</w:t>
            </w:r>
          </w:p>
        </w:tc>
        <w:tc>
          <w:tcPr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</w:tr>
    </w:tbl>
    <w:sectPr>
      <w:pgSz w:w="16838" w:h="11906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2026-06-18T14:35:59.379Z</dcterms:created>
  <dcterms:modified xsi:type="dcterms:W3CDTF">2026-06-18T14:35:59.380Z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