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81" w:tblpY="1834"/>
        <w:tblOverlap w:val="never"/>
        <w:tblW w:w="0" w:type="auto"/>
        <w:tblInd w:w="0" w:type="dxa"/>
        <w:tblBorders>
          <w:top w:val="single" w:color="000000" w:sz="18" w:space="0"/>
          <w:left w:val="none" w:color="auto" w:sz="0" w:space="0"/>
          <w:bottom w:val="single" w:color="00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9"/>
        <w:gridCol w:w="1644"/>
        <w:gridCol w:w="1644"/>
        <w:gridCol w:w="907"/>
      </w:tblGrid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  <w:tcBorders>
              <w:top w:val="single" w:color="000000" w:sz="18" w:space="0"/>
              <w:bottom w:val="single" w:color="000000" w:sz="18" w:space="0"/>
            </w:tcBorders>
          </w:tcPr>
          <w:p>
            <w:pPr>
              <w:jc w:val="left"/>
            </w:pPr>
            <w:r>
              <w:rPr>
                <w:b/>
                <w:sz w:val="18"/>
              </w:rPr>
              <w:t>Characteristic</w:t>
            </w:r>
          </w:p>
        </w:tc>
        <w:tc>
          <w:tcPr>
            <w:tcW w:w="1644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Survivors (n=202)</w:t>
            </w:r>
          </w:p>
        </w:tc>
        <w:tc>
          <w:tcPr>
            <w:tcW w:w="1644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Non-survivors (n=226)</w:t>
            </w:r>
          </w:p>
        </w:tc>
        <w:tc>
          <w:tcPr>
            <w:tcW w:w="907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P-value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44" w:type="dxa"/>
            <w:gridSpan w:val="4"/>
          </w:tcPr>
          <w:p>
            <w:r>
              <w:rPr>
                <w:b/>
                <w:sz w:val="18"/>
              </w:rPr>
              <w:t>Demographic and comorbidity characteristics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Male, n (%)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138 (68.3)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165 (73.0)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0.337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Age, years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72 (65–84)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80 (72–88)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844" w:type="dxa"/>
            <w:gridSpan w:val="4"/>
          </w:tcPr>
          <w:p>
            <w:r>
              <w:rPr>
                <w:b/>
                <w:sz w:val="18"/>
              </w:rPr>
              <w:t>Illness severity and organ support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SOFA score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5 (3–8)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7 (4–11)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PaO₂/FiO₂ ratio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226 (159–303)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164 (119–270)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Direct ICU admission, n (%)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82 (40.6)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152 (67.3)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Mechanical ventilation, n (%)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93 (46.0)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214 (94.7)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Mechanical ventilation duration, days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0 (0–10)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9 (5–14)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&lt;0.001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CRRT use, n (%)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4 (2.0)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13 (5.8)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0.081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</w:tcPr>
          <w:p>
            <w:pPr>
              <w:jc w:val="left"/>
            </w:pPr>
            <w:r>
              <w:rPr>
                <w:sz w:val="18"/>
              </w:rPr>
              <w:t>Corticosteroid use, n (%)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17 (8.4)</w:t>
            </w:r>
          </w:p>
        </w:tc>
        <w:tc>
          <w:tcPr>
            <w:tcW w:w="1644" w:type="dxa"/>
          </w:tcPr>
          <w:p>
            <w:pPr>
              <w:jc w:val="center"/>
            </w:pPr>
            <w:r>
              <w:rPr>
                <w:sz w:val="18"/>
              </w:rPr>
              <w:t>19 (8.4)</w:t>
            </w:r>
          </w:p>
        </w:tc>
        <w:tc>
          <w:tcPr>
            <w:tcW w:w="907" w:type="dxa"/>
          </w:tcPr>
          <w:p>
            <w:pPr>
              <w:jc w:val="center"/>
            </w:pPr>
            <w:r>
              <w:rPr>
                <w:sz w:val="18"/>
              </w:rPr>
              <w:t>1.000</w:t>
            </w:r>
          </w:p>
        </w:tc>
      </w:tr>
      <w:tr>
        <w:tblPrEx>
          <w:tblBorders>
            <w:top w:val="single" w:color="000000" w:sz="18" w:space="0"/>
            <w:left w:val="none" w:color="auto" w:sz="0" w:space="0"/>
            <w:bottom w:val="single" w:color="00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649" w:type="dxa"/>
            <w:tcBorders>
              <w:bottom w:val="single" w:color="000000" w:sz="18" w:space="0"/>
            </w:tcBorders>
          </w:tcPr>
          <w:p>
            <w:pPr>
              <w:jc w:val="left"/>
            </w:pPr>
            <w:r>
              <w:rPr>
                <w:sz w:val="18"/>
              </w:rPr>
              <w:t>Antimicrobial use, n (%)</w:t>
            </w:r>
          </w:p>
        </w:tc>
        <w:tc>
          <w:tcPr>
            <w:tcW w:w="1644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sz w:val="18"/>
              </w:rPr>
              <w:t>183 (90.6)</w:t>
            </w:r>
          </w:p>
        </w:tc>
        <w:tc>
          <w:tcPr>
            <w:tcW w:w="1644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sz w:val="18"/>
              </w:rPr>
              <w:t>210 (92.9)</w:t>
            </w:r>
          </w:p>
        </w:tc>
        <w:tc>
          <w:tcPr>
            <w:tcW w:w="907" w:type="dxa"/>
            <w:tcBorders>
              <w:bottom w:val="single" w:color="000000" w:sz="18" w:space="0"/>
            </w:tcBorders>
          </w:tcPr>
          <w:p>
            <w:pPr>
              <w:jc w:val="center"/>
            </w:pPr>
            <w:r>
              <w:rPr>
                <w:sz w:val="18"/>
              </w:rPr>
              <w:t>0.484</w:t>
            </w:r>
          </w:p>
        </w:tc>
      </w:tr>
    </w:tbl>
    <w:p>
      <w:pPr>
        <w:spacing w:after="40"/>
        <w:jc w:val="both"/>
        <w:rPr>
          <w:b/>
          <w:sz w:val="20"/>
        </w:rPr>
      </w:pPr>
      <w:r>
        <w:rPr>
          <w:b/>
          <w:sz w:val="20"/>
        </w:rPr>
        <w:t xml:space="preserve">Table </w:t>
      </w:r>
      <w:r>
        <w:rPr>
          <w:rFonts w:hint="default"/>
          <w:b/>
          <w:sz w:val="20"/>
          <w:lang w:val="en-US"/>
        </w:rPr>
        <w:t>S1</w:t>
      </w:r>
      <w:r>
        <w:rPr>
          <w:b/>
          <w:sz w:val="20"/>
        </w:rPr>
        <w:t>. Baseline characteristics and illness severity by in-hospital survival status</w:t>
      </w:r>
    </w:p>
    <w:p>
      <w:pPr>
        <w:pStyle w:val="2"/>
        <w:keepNext w:val="0"/>
        <w:keepLines w:val="0"/>
        <w:widowControl/>
        <w:suppressLineNumbers w:val="0"/>
        <w:spacing w:before="80" w:beforeAutospacing="0" w:after="200" w:afterAutospacing="0" w:line="23" w:lineRule="atLeast"/>
        <w:ind w:left="0" w:right="0"/>
        <w:jc w:val="both"/>
      </w:pPr>
      <w:r>
        <w:rPr>
          <w:rFonts w:hint="eastAsia" w:ascii="宋体" w:hAnsi="宋体" w:eastAsia="宋体" w:cs="宋体"/>
          <w:b w:val="0"/>
          <w:bCs w:val="0"/>
          <w:i/>
          <w:iCs/>
          <w:color w:val="000000"/>
          <w:spacing w:val="0"/>
          <w:w w:val="100"/>
          <w:sz w:val="16"/>
          <w:szCs w:val="16"/>
          <w:vertAlign w:val="baseline"/>
        </w:rPr>
        <w:t>Data are presented as n (%), or median (interquartile range). ICU, intensive care unit; SOFA, Sequential Organ Failure Assessment; PaO₂/FiO₂, arterial oxygen partial pressure to fraction of inspired oxygen ratio; CRRT, continuous renal replacement therapy. P-values: Mann–Whitney U test for continuous variables, χ² test for categorical variables.</w:t>
      </w:r>
    </w:p>
    <w:p>
      <w:pPr>
        <w:spacing w:after="40"/>
        <w:jc w:val="both"/>
        <w:rPr>
          <w:b/>
          <w:sz w:val="2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7FFF5C"/>
    <w:rsid w:val="FD7FF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Office_6.6.1.8808_F1E327BC-269C-435d-A152-05C5408002CA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2026-07-22T21:02:00Z</dcterms:created>
  <dc:creator>Crystal</dc:creator>
  <cp:lastModifiedBy>Crystal</cp:lastModifiedBy>
  <dcterms:modified xsi:type="dcterms:W3CDTF">2026-07-22T21:05:11Z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2052-6.6.1.8808</vt:lpwstr>
  </property>
  <property fmtid="{D5CDD505-2E9C-101B-9397-08002B2CF9AE}" pid="3" name="ICV">
    <vt:lpwstr>8EF606032EE034D96FBF606AC8353BA9_41</vt:lpwstr>
  </property>
</Properties>
</file>