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F36FD8">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i/>
          <w:iCs/>
          <w:color w:val="auto"/>
        </w:rPr>
      </w:pPr>
      <w:bookmarkStart w:id="0" w:name="_GoBack"/>
      <w:bookmarkEnd w:id="0"/>
    </w:p>
    <w:p w14:paraId="58D4B7FF">
      <w:pPr>
        <w:keepNext w:val="0"/>
        <w:keepLines w:val="0"/>
        <w:pageBreakBefore w:val="0"/>
        <w:kinsoku/>
        <w:wordWrap/>
        <w:overflowPunct/>
        <w:topLinePunct w:val="0"/>
        <w:autoSpaceDE/>
        <w:autoSpaceDN/>
        <w:bidi w:val="0"/>
        <w:adjustRightInd/>
        <w:snapToGrid/>
        <w:spacing w:line="360" w:lineRule="auto"/>
        <w:jc w:val="left"/>
        <w:rPr>
          <w:rFonts w:hint="default" w:ascii="Times New Roman" w:hAnsi="Times New Roman" w:cs="Times New Roman"/>
          <w:b/>
          <w:bCs/>
          <w:color w:val="auto"/>
        </w:rPr>
      </w:pPr>
      <w:r>
        <w:rPr>
          <w:rFonts w:hint="default" w:ascii="Times New Roman" w:hAnsi="Times New Roman" w:cs="Times New Roman"/>
          <w:b/>
          <w:bCs/>
          <w:color w:val="auto"/>
        </w:rPr>
        <w:t>Supplementary Methods</w:t>
      </w:r>
    </w:p>
    <w:p w14:paraId="5D59FB0C">
      <w:pPr>
        <w:keepNext w:val="0"/>
        <w:keepLines w:val="0"/>
        <w:pageBreakBefore w:val="0"/>
        <w:kinsoku/>
        <w:wordWrap/>
        <w:overflowPunct/>
        <w:topLinePunct w:val="0"/>
        <w:autoSpaceDE/>
        <w:autoSpaceDN/>
        <w:bidi w:val="0"/>
        <w:adjustRightInd/>
        <w:snapToGrid/>
        <w:spacing w:line="360" w:lineRule="auto"/>
        <w:jc w:val="left"/>
        <w:rPr>
          <w:rFonts w:hint="default" w:ascii="Times New Roman" w:hAnsi="Times New Roman" w:cs="Times New Roman"/>
          <w:b w:val="0"/>
          <w:bCs w:val="0"/>
          <w:color w:val="auto"/>
          <w:highlight w:val="none"/>
        </w:rPr>
      </w:pPr>
      <w:r>
        <w:rPr>
          <w:rFonts w:hint="default" w:ascii="Times New Roman" w:hAnsi="Times New Roman" w:cs="Times New Roman"/>
          <w:b/>
          <w:bCs/>
          <w:color w:val="auto"/>
          <w:highlight w:val="none"/>
        </w:rPr>
        <w:t>Episode-level microbiological data handling</w:t>
      </w:r>
    </w:p>
    <w:p w14:paraId="514C4037">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 xml:space="preserve">Each recorded infection site was treated as a separate HAI episode. For patients with multiple infection sites, infection sites, specimen-submission status, and microbiological results were linked at the episode level. Entries recorded as </w:t>
      </w:r>
      <w:r>
        <w:rPr>
          <w:rFonts w:hint="default" w:ascii="Times New Roman" w:hAnsi="Times New Roman" w:cs="Times New Roman"/>
          <w:b w:val="0"/>
          <w:bCs w:val="0"/>
          <w:color w:val="auto"/>
          <w:highlight w:val="none"/>
          <w:lang w:val="en-US" w:eastAsia="zh-CN"/>
        </w:rPr>
        <w:t>“</w:t>
      </w:r>
      <w:r>
        <w:rPr>
          <w:rFonts w:hint="default" w:ascii="Times New Roman" w:hAnsi="Times New Roman" w:cs="Times New Roman"/>
          <w:b w:val="0"/>
          <w:bCs w:val="0"/>
          <w:color w:val="auto"/>
          <w:highlight w:val="none"/>
        </w:rPr>
        <w:t>not detected</w:t>
      </w:r>
      <w:r>
        <w:rPr>
          <w:rFonts w:hint="default" w:ascii="Times New Roman" w:hAnsi="Times New Roman" w:cs="Times New Roman"/>
          <w:b w:val="0"/>
          <w:bCs w:val="0"/>
          <w:color w:val="auto"/>
          <w:highlight w:val="none"/>
          <w:lang w:val="en-US" w:eastAsia="zh-CN"/>
        </w:rPr>
        <w:t>”</w:t>
      </w:r>
      <w:r>
        <w:rPr>
          <w:rFonts w:hint="default" w:ascii="Times New Roman" w:hAnsi="Times New Roman" w:cs="Times New Roman"/>
          <w:b w:val="0"/>
          <w:bCs w:val="0"/>
          <w:color w:val="auto"/>
          <w:highlight w:val="none"/>
        </w:rPr>
        <w:t xml:space="preserve"> were classified as culture-negative, whereas blank microbiological result fields were treated as indicating that no specimen had been submitted. When multiple pathogens were recovered from specimens associated with the same HAI episode, that episode contributed once to the culture-positivity numerator, whereas each isolate was counted separately in the pathogen distribution analysis. Definitions and calculation formulas for the specimen submission rate and culture positivity rate are provided in the footnote to Supplementary Table S</w:t>
      </w:r>
      <w:r>
        <w:rPr>
          <w:rFonts w:hint="eastAsia" w:ascii="Times New Roman" w:hAnsi="Times New Roman" w:cs="Times New Roman"/>
          <w:b w:val="0"/>
          <w:bCs w:val="0"/>
          <w:color w:val="auto"/>
          <w:highlight w:val="none"/>
          <w:lang w:val="en-US" w:eastAsia="zh-CN"/>
        </w:rPr>
        <w:t>3</w:t>
      </w:r>
      <w:r>
        <w:rPr>
          <w:rFonts w:hint="default" w:ascii="Times New Roman" w:hAnsi="Times New Roman" w:cs="Times New Roman"/>
          <w:b w:val="0"/>
          <w:bCs w:val="0"/>
          <w:color w:val="auto"/>
          <w:highlight w:val="none"/>
        </w:rPr>
        <w:t>.</w:t>
      </w:r>
    </w:p>
    <w:p w14:paraId="373FA3EC">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b w:val="0"/>
          <w:bCs w:val="0"/>
          <w:color w:val="auto"/>
          <w:highlight w:val="none"/>
        </w:rPr>
      </w:pPr>
    </w:p>
    <w:p w14:paraId="1452895B">
      <w:pPr>
        <w:keepNext w:val="0"/>
        <w:keepLines w:val="0"/>
        <w:pageBreakBefore w:val="0"/>
        <w:numPr>
          <w:ilvl w:val="0"/>
          <w:numId w:val="0"/>
        </w:numPr>
        <w:kinsoku/>
        <w:wordWrap/>
        <w:overflowPunct/>
        <w:topLinePunct w:val="0"/>
        <w:autoSpaceDE/>
        <w:autoSpaceDN/>
        <w:bidi w:val="0"/>
        <w:adjustRightInd/>
        <w:snapToGrid/>
        <w:spacing w:line="360" w:lineRule="auto"/>
        <w:jc w:val="left"/>
        <w:rPr>
          <w:rFonts w:hint="default" w:ascii="Times New Roman" w:hAnsi="Times New Roman" w:cs="Times New Roman"/>
          <w:color w:val="auto"/>
        </w:rPr>
      </w:pPr>
      <w:r>
        <w:rPr>
          <w:rFonts w:hint="default" w:ascii="Times New Roman" w:hAnsi="Times New Roman" w:cs="Times New Roman"/>
          <w:b/>
          <w:bCs/>
          <w:i w:val="0"/>
          <w:iCs w:val="0"/>
          <w:color w:val="auto"/>
        </w:rPr>
        <w:t>Sequential logistic regression analysis</w:t>
      </w:r>
    </w:p>
    <w:p w14:paraId="4CE9EB83">
      <w:pPr>
        <w:keepNext w:val="0"/>
        <w:keepLines w:val="0"/>
        <w:pageBreakBefore w:val="0"/>
        <w:numPr>
          <w:ilvl w:val="0"/>
          <w:numId w:val="0"/>
        </w:numPr>
        <w:kinsoku/>
        <w:wordWrap/>
        <w:overflowPunct/>
        <w:topLinePunct w:val="0"/>
        <w:autoSpaceDE/>
        <w:autoSpaceDN/>
        <w:bidi w:val="0"/>
        <w:adjustRightInd/>
        <w:snapToGrid/>
        <w:spacing w:line="360" w:lineRule="auto"/>
        <w:jc w:val="both"/>
        <w:rPr>
          <w:rFonts w:hint="default" w:ascii="Times New Roman" w:hAnsi="Times New Roman" w:cs="Times New Roman"/>
          <w:color w:val="auto"/>
        </w:rPr>
      </w:pPr>
      <w:r>
        <w:rPr>
          <w:rFonts w:hint="default" w:ascii="Times New Roman" w:hAnsi="Times New Roman" w:cs="Times New Roman"/>
          <w:color w:val="auto"/>
        </w:rPr>
        <w:t xml:space="preserve">To identify the point at which the direction of the association between surgery and prevalent HAI changed, sequential logistic regression models were fitted with HAI status on the survey day as the dependent variable. The crude model included surgery alone. Model A included age, sex, and surgery; Model B additionally included mechanical ventilation; Model C further included indwelling urinary catheterization; and Model D additionally included central venous access device (CVAD) placement. All variables in each model were entered simultaneously. This sequence was used solely to examine the change in the surgery coefficient and was not intended as a data-driven variable-selection procedure. Odds ratios (ORs), 95% confidence intervals (CIs), and two-sided </w:t>
      </w:r>
      <w:r>
        <w:rPr>
          <w:rFonts w:hint="default" w:ascii="Times New Roman" w:hAnsi="Times New Roman" w:cs="Times New Roman"/>
          <w:i/>
          <w:iCs/>
          <w:color w:val="auto"/>
        </w:rPr>
        <w:t xml:space="preserve">P </w:t>
      </w:r>
      <w:r>
        <w:rPr>
          <w:rFonts w:hint="default" w:ascii="Times New Roman" w:hAnsi="Times New Roman" w:cs="Times New Roman"/>
          <w:color w:val="auto"/>
        </w:rPr>
        <w:t>values were reported.</w:t>
      </w:r>
    </w:p>
    <w:p w14:paraId="29373CAB">
      <w:pPr>
        <w:keepNext w:val="0"/>
        <w:keepLines w:val="0"/>
        <w:pageBreakBefore w:val="0"/>
        <w:numPr>
          <w:ilvl w:val="0"/>
          <w:numId w:val="0"/>
        </w:numPr>
        <w:kinsoku/>
        <w:wordWrap/>
        <w:overflowPunct/>
        <w:topLinePunct w:val="0"/>
        <w:autoSpaceDE/>
        <w:autoSpaceDN/>
        <w:bidi w:val="0"/>
        <w:adjustRightInd/>
        <w:snapToGrid/>
        <w:spacing w:line="360" w:lineRule="auto"/>
        <w:jc w:val="both"/>
        <w:rPr>
          <w:rFonts w:hint="default" w:ascii="Times New Roman" w:hAnsi="Times New Roman" w:cs="Times New Roman"/>
          <w:color w:val="auto"/>
        </w:rPr>
      </w:pPr>
    </w:p>
    <w:p w14:paraId="747F0642">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rPr>
          <w:rFonts w:hint="default" w:ascii="Times New Roman" w:hAnsi="Times New Roman" w:cs="Times New Roman"/>
          <w:b/>
          <w:bCs/>
          <w:i w:val="0"/>
          <w:iCs w:val="0"/>
          <w:color w:val="auto"/>
        </w:rPr>
      </w:pPr>
      <w:r>
        <w:rPr>
          <w:rFonts w:hint="default" w:ascii="Times New Roman" w:hAnsi="Times New Roman" w:cs="Times New Roman"/>
          <w:b/>
          <w:bCs/>
          <w:i w:val="0"/>
          <w:iCs w:val="0"/>
          <w:color w:val="auto"/>
        </w:rPr>
        <w:t>Firth-penalized logistic regression</w:t>
      </w:r>
    </w:p>
    <w:p w14:paraId="63780889">
      <w:pPr>
        <w:keepNext w:val="0"/>
        <w:keepLines w:val="0"/>
        <w:pageBreakBefore w:val="0"/>
        <w:numPr>
          <w:ilvl w:val="0"/>
          <w:numId w:val="0"/>
        </w:numPr>
        <w:kinsoku/>
        <w:wordWrap/>
        <w:overflowPunct/>
        <w:topLinePunct w:val="0"/>
        <w:autoSpaceDE/>
        <w:autoSpaceDN/>
        <w:bidi w:val="0"/>
        <w:adjustRightInd/>
        <w:snapToGrid/>
        <w:spacing w:line="360" w:lineRule="auto"/>
        <w:ind w:leftChars="0"/>
        <w:jc w:val="both"/>
        <w:rPr>
          <w:rFonts w:hint="default" w:ascii="Times New Roman" w:hAnsi="Times New Roman" w:cs="Times New Roman"/>
          <w:color w:val="auto"/>
        </w:rPr>
      </w:pPr>
      <w:r>
        <w:rPr>
          <w:rFonts w:hint="default" w:ascii="Times New Roman" w:hAnsi="Times New Roman" w:cs="Times New Roman"/>
          <w:color w:val="auto"/>
        </w:rPr>
        <w:t xml:space="preserve">Given the relatively small number of prevalent HAI events and the sparse distribution of some exposures, Firth-penalized logistic regression was performed to assess the robustness of the primary estimates to small-sample and sparse-data bias. The model included the same six predictors as the primary conventional logistic regression model: age, sex, surgery, mechanical ventilation, indwelling urinary catheterization, and CVAD placement. Age was entered as a continuous variable, and the remaining predictors were entered as binary variables. ORs with profile penalized-likelihood 95% CIs and penalized likelihood-ratio </w:t>
      </w:r>
      <w:r>
        <w:rPr>
          <w:rFonts w:hint="default" w:ascii="Times New Roman" w:hAnsi="Times New Roman" w:cs="Times New Roman"/>
          <w:i/>
          <w:iCs/>
          <w:color w:val="auto"/>
        </w:rPr>
        <w:t>P</w:t>
      </w:r>
      <w:r>
        <w:rPr>
          <w:rFonts w:hint="default" w:ascii="Times New Roman" w:hAnsi="Times New Roman" w:cs="Times New Roman"/>
          <w:color w:val="auto"/>
        </w:rPr>
        <w:t xml:space="preserve"> values were reported. No stepwise variable selection or interaction terms were used.</w:t>
      </w:r>
    </w:p>
    <w:p w14:paraId="07963007">
      <w:pPr>
        <w:keepNext w:val="0"/>
        <w:keepLines w:val="0"/>
        <w:pageBreakBefore w:val="0"/>
        <w:numPr>
          <w:ilvl w:val="0"/>
          <w:numId w:val="0"/>
        </w:numPr>
        <w:kinsoku/>
        <w:wordWrap/>
        <w:overflowPunct/>
        <w:topLinePunct w:val="0"/>
        <w:autoSpaceDE/>
        <w:autoSpaceDN/>
        <w:bidi w:val="0"/>
        <w:adjustRightInd/>
        <w:snapToGrid/>
        <w:spacing w:line="360" w:lineRule="auto"/>
        <w:ind w:leftChars="0"/>
        <w:jc w:val="both"/>
        <w:rPr>
          <w:rFonts w:hint="default" w:ascii="Times New Roman" w:hAnsi="Times New Roman" w:cs="Times New Roman"/>
          <w:color w:val="auto"/>
        </w:rPr>
      </w:pPr>
    </w:p>
    <w:p w14:paraId="5CB28708">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rPr>
          <w:rFonts w:hint="default" w:ascii="Times New Roman" w:hAnsi="Times New Roman" w:cs="Times New Roman"/>
          <w:color w:val="auto"/>
        </w:rPr>
      </w:pPr>
      <w:r>
        <w:rPr>
          <w:rFonts w:hint="default" w:ascii="Times New Roman" w:hAnsi="Times New Roman" w:cs="Times New Roman"/>
          <w:b/>
          <w:bCs/>
          <w:i w:val="0"/>
          <w:iCs w:val="0"/>
          <w:color w:val="auto"/>
        </w:rPr>
        <w:t>Sensitivity analyses of cumulative hospital stay and hospitalization costs</w:t>
      </w:r>
    </w:p>
    <w:p w14:paraId="60ABA7B6">
      <w:pPr>
        <w:keepNext w:val="0"/>
        <w:keepLines w:val="0"/>
        <w:pageBreakBefore w:val="0"/>
        <w:numPr>
          <w:ilvl w:val="0"/>
          <w:numId w:val="0"/>
        </w:numPr>
        <w:kinsoku/>
        <w:wordWrap/>
        <w:overflowPunct/>
        <w:topLinePunct w:val="0"/>
        <w:autoSpaceDE/>
        <w:autoSpaceDN/>
        <w:bidi w:val="0"/>
        <w:adjustRightInd/>
        <w:snapToGrid/>
        <w:spacing w:line="360" w:lineRule="auto"/>
        <w:ind w:leftChars="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Cumulative hospital stay and hospitalization costs accrued up to the point prevalence survey (PPS) date were analyzed separately. Hospitalization costs were adjusted to 2024 constant Chinese yuan using the consumer price index (CPI). The primary analyses used generalized linear models with a gamma distribution and log link because both outcomes were strictly positive and right-skewed. HAI status was the primary independent variable. Each model was adjusted for age, sex, surgery, mechanical ventilation, indwelling urinary catheterization, CVAD placement, and categorical fixed effects for department and survey year. Robust sandwich standard errors were used. Exponentiation of the HAI coefficient yielded the adjusted mean ratio comparing patients with HAIs with those without HAIs.</w:t>
      </w:r>
    </w:p>
    <w:p w14:paraId="5240EB72">
      <w:pPr>
        <w:keepNext w:val="0"/>
        <w:keepLines w:val="0"/>
        <w:pageBreakBefore w:val="0"/>
        <w:numPr>
          <w:ilvl w:val="0"/>
          <w:numId w:val="0"/>
        </w:numPr>
        <w:kinsoku/>
        <w:wordWrap/>
        <w:overflowPunct/>
        <w:topLinePunct w:val="0"/>
        <w:autoSpaceDE/>
        <w:autoSpaceDN/>
        <w:bidi w:val="0"/>
        <w:adjustRightInd/>
        <w:snapToGrid/>
        <w:spacing w:line="360" w:lineRule="auto"/>
        <w:ind w:leftChars="0"/>
        <w:jc w:val="both"/>
        <w:rPr>
          <w:rFonts w:hint="default" w:ascii="Times New Roman" w:hAnsi="Times New Roman" w:cs="Times New Roman"/>
          <w:color w:val="auto"/>
          <w:highlight w:val="none"/>
        </w:rPr>
      </w:pPr>
    </w:p>
    <w:p w14:paraId="2C8F300C">
      <w:pPr>
        <w:keepNext w:val="0"/>
        <w:keepLines w:val="0"/>
        <w:pageBreakBefore w:val="0"/>
        <w:numPr>
          <w:ilvl w:val="0"/>
          <w:numId w:val="0"/>
        </w:numPr>
        <w:kinsoku/>
        <w:wordWrap/>
        <w:overflowPunct/>
        <w:topLinePunct w:val="0"/>
        <w:autoSpaceDE/>
        <w:autoSpaceDN/>
        <w:bidi w:val="0"/>
        <w:adjustRightInd/>
        <w:snapToGrid/>
        <w:spacing w:line="360" w:lineRule="auto"/>
        <w:ind w:leftChars="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Two sensitivity analyses were conducted for each outcome. In the first, mechanical ventilation, indwelling urinary catheterization, and CVAD placement were omitted from the adjustment set because these device exposures were recorded concurrently with HAI status on the survey day and their temporal relationships with HAI could not be established. The remaining covariates were age, sex, surgery, department, and survey year, with department and survey year included as categorical fixed effects. In the second, each outcome was natural-log transformed and analyzed using ordinary least-squares regression with the same covariates as the primary model. HC3 heteroskedasticity-robust standard errors were used, and the exponentiated coefficient for HAI status was reported as a ratio estimate with a 95% CI.</w:t>
      </w:r>
    </w:p>
    <w:p w14:paraId="36B87636">
      <w:pPr>
        <w:keepNext w:val="0"/>
        <w:keepLines w:val="0"/>
        <w:pageBreakBefore w:val="0"/>
        <w:numPr>
          <w:ilvl w:val="0"/>
          <w:numId w:val="0"/>
        </w:numPr>
        <w:kinsoku/>
        <w:wordWrap/>
        <w:overflowPunct/>
        <w:topLinePunct w:val="0"/>
        <w:autoSpaceDE/>
        <w:autoSpaceDN/>
        <w:bidi w:val="0"/>
        <w:adjustRightInd/>
        <w:snapToGrid/>
        <w:spacing w:line="360" w:lineRule="auto"/>
        <w:ind w:leftChars="0"/>
        <w:jc w:val="both"/>
        <w:rPr>
          <w:rFonts w:hint="default" w:ascii="Times New Roman" w:hAnsi="Times New Roman" w:cs="Times New Roman"/>
          <w:color w:val="auto"/>
          <w:highlight w:val="none"/>
        </w:rPr>
      </w:pPr>
    </w:p>
    <w:p w14:paraId="785F5E40">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rPr>
          <w:rFonts w:hint="eastAsia" w:ascii="Times New Roman" w:hAnsi="Times New Roman" w:cs="Times New Roman"/>
          <w:color w:val="auto"/>
          <w:lang w:val="en-US" w:eastAsia="zh-CN"/>
        </w:rPr>
      </w:pPr>
      <w:r>
        <w:rPr>
          <w:rFonts w:hint="default" w:ascii="Times New Roman" w:hAnsi="Times New Roman" w:cs="Times New Roman"/>
          <w:b/>
          <w:bCs/>
          <w:i w:val="0"/>
          <w:iCs w:val="0"/>
          <w:color w:val="auto"/>
        </w:rPr>
        <w:t>Consumer price index adjustment</w:t>
      </w:r>
    </w:p>
    <w:p w14:paraId="345ECB38">
      <w:pPr>
        <w:keepNext w:val="0"/>
        <w:keepLines w:val="0"/>
        <w:pageBreakBefore w:val="0"/>
        <w:numPr>
          <w:ilvl w:val="0"/>
          <w:numId w:val="0"/>
        </w:numPr>
        <w:kinsoku/>
        <w:wordWrap/>
        <w:overflowPunct/>
        <w:topLinePunct w:val="0"/>
        <w:autoSpaceDE/>
        <w:autoSpaceDN/>
        <w:bidi w:val="0"/>
        <w:adjustRightInd/>
        <w:snapToGrid/>
        <w:spacing w:line="360" w:lineRule="auto"/>
        <w:ind w:leftChars="0"/>
        <w:jc w:val="both"/>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Nominal hospitalization costs recorded in 2020–2023 were converted to 2024 constant Chinese yuan (CNY) using year-specific cumulative CPI conversion factors. These factors were derived from annual national CPI changes published by the National Bureau of Statistics of Chi</w:t>
      </w:r>
      <w:r>
        <w:rPr>
          <w:rFonts w:hint="default" w:ascii="Times New Roman" w:hAnsi="Times New Roman" w:cs="Times New Roman"/>
          <w:color w:val="auto"/>
          <w:vertAlign w:val="baseline"/>
          <w:lang w:val="en-US" w:eastAsia="zh-CN"/>
        </w:rPr>
        <w:t>na</w:t>
      </w:r>
      <w:r>
        <w:rPr>
          <w:rFonts w:hint="eastAsia" w:ascii="Times New Roman" w:hAnsi="Times New Roman" w:cs="Times New Roman"/>
          <w:color w:val="auto"/>
          <w:vertAlign w:val="baseline"/>
          <w:lang w:val="en-US" w:eastAsia="zh-CN"/>
        </w:rPr>
        <w:t xml:space="preserve">[1-4]. </w:t>
      </w:r>
      <w:r>
        <w:rPr>
          <w:rFonts w:hint="default" w:ascii="Times New Roman" w:hAnsi="Times New Roman" w:cs="Times New Roman"/>
          <w:color w:val="auto"/>
          <w:vertAlign w:val="baseline"/>
          <w:lang w:val="en-US" w:eastAsia="zh-CN"/>
        </w:rPr>
        <w:t>I</w:t>
      </w:r>
      <w:r>
        <w:rPr>
          <w:rFonts w:hint="default" w:ascii="Times New Roman" w:hAnsi="Times New Roman" w:cs="Times New Roman"/>
          <w:color w:val="auto"/>
          <w:lang w:val="en-US" w:eastAsia="zh-CN"/>
        </w:rPr>
        <w:t xml:space="preserve">nflation-adjusted costs were calculated as </w:t>
      </w:r>
      <w:r>
        <w:rPr>
          <w:rFonts w:hint="eastAsia" w:ascii="Times New Roman" w:hAnsi="Times New Roman" w:cs="Times New Roman"/>
          <w:color w:val="auto"/>
          <w:lang w:val="en-US" w:eastAsia="zh-CN"/>
        </w:rPr>
        <w:t>C</w:t>
      </w:r>
      <w:r>
        <w:rPr>
          <w:rFonts w:hint="eastAsia" w:ascii="Times New Roman" w:hAnsi="Times New Roman" w:cs="Times New Roman"/>
          <w:color w:val="auto"/>
          <w:vertAlign w:val="subscript"/>
          <w:lang w:val="en-US" w:eastAsia="zh-CN"/>
        </w:rPr>
        <w:t xml:space="preserve">2024 </w:t>
      </w:r>
      <w:r>
        <w:rPr>
          <w:rFonts w:hint="eastAsia" w:ascii="Times New Roman" w:hAnsi="Times New Roman" w:cs="Times New Roman"/>
          <w:color w:val="auto"/>
          <w:lang w:val="en-US" w:eastAsia="zh-CN"/>
        </w:rPr>
        <w:t>= C</w:t>
      </w:r>
      <w:r>
        <w:rPr>
          <w:rFonts w:hint="eastAsia" w:ascii="Times New Roman" w:hAnsi="Times New Roman" w:cs="Times New Roman"/>
          <w:color w:val="auto"/>
          <w:vertAlign w:val="subscript"/>
          <w:lang w:val="en-US" w:eastAsia="zh-CN"/>
        </w:rPr>
        <w:t xml:space="preserve">t </w:t>
      </w:r>
      <w:r>
        <w:rPr>
          <w:rFonts w:hint="eastAsia" w:ascii="Times New Roman" w:hAnsi="Times New Roman" w:cs="Times New Roman"/>
          <w:color w:val="auto"/>
          <w:vertAlign w:val="baseline"/>
          <w:lang w:val="en-US" w:eastAsia="zh-CN"/>
        </w:rPr>
        <w:t>×</w:t>
      </w:r>
      <w:r>
        <w:rPr>
          <w:rFonts w:hint="eastAsia" w:ascii="Times New Roman" w:hAnsi="Times New Roman" w:cs="Times New Roman"/>
          <w:color w:val="auto"/>
          <w:lang w:val="en-US" w:eastAsia="zh-CN"/>
        </w:rPr>
        <w:t xml:space="preserve"> F</w:t>
      </w:r>
      <w:r>
        <w:rPr>
          <w:rFonts w:hint="eastAsia" w:ascii="Times New Roman" w:hAnsi="Times New Roman" w:cs="Times New Roman"/>
          <w:color w:val="auto"/>
          <w:vertAlign w:val="subscript"/>
          <w:lang w:val="en-US" w:eastAsia="zh-CN"/>
        </w:rPr>
        <w:t>t</w:t>
      </w:r>
      <w:r>
        <w:rPr>
          <w:rFonts w:hint="eastAsia" w:ascii="Times New Roman" w:hAnsi="Times New Roman" w:cs="Times New Roman"/>
          <w:color w:val="auto"/>
          <w:vertAlign w:val="baseline"/>
          <w:lang w:val="en-US" w:eastAsia="zh-CN"/>
        </w:rPr>
        <w:t xml:space="preserve">, </w:t>
      </w:r>
      <w:r>
        <w:rPr>
          <w:rFonts w:hint="eastAsia" w:ascii="Times New Roman" w:hAnsi="Times New Roman" w:cs="Times New Roman"/>
          <w:color w:val="auto"/>
          <w:lang w:val="en-US" w:eastAsia="zh-CN"/>
        </w:rPr>
        <w:t>where C</w:t>
      </w:r>
      <w:r>
        <w:rPr>
          <w:rFonts w:hint="eastAsia" w:ascii="Times New Roman" w:hAnsi="Times New Roman" w:cs="Times New Roman"/>
          <w:color w:val="auto"/>
          <w:vertAlign w:val="subscript"/>
          <w:lang w:val="en-US" w:eastAsia="zh-CN"/>
        </w:rPr>
        <w:t>t</w:t>
      </w:r>
      <w:r>
        <w:rPr>
          <w:rFonts w:hint="default" w:ascii="Times New Roman" w:hAnsi="Times New Roman" w:cs="Times New Roman"/>
          <w:color w:val="auto"/>
          <w:lang w:val="en-US" w:eastAsia="zh-CN"/>
        </w:rPr>
        <w:t xml:space="preserve"> denotes the nominal hospitalization cost recorded in year t and F</w:t>
      </w:r>
      <w:r>
        <w:rPr>
          <w:rFonts w:hint="default" w:ascii="Times New Roman" w:hAnsi="Times New Roman" w:cs="Times New Roman"/>
          <w:color w:val="auto"/>
          <w:vertAlign w:val="subscript"/>
          <w:lang w:val="en-US" w:eastAsia="zh-CN"/>
        </w:rPr>
        <w:t>t</w:t>
      </w:r>
      <w:r>
        <w:rPr>
          <w:rFonts w:hint="default" w:ascii="Times New Roman" w:hAnsi="Times New Roman" w:cs="Times New Roman"/>
          <w:color w:val="auto"/>
          <w:lang w:val="en-US" w:eastAsia="zh-CN"/>
        </w:rPr>
        <w:t xml:space="preserve"> denotes the corresponding conversion factor listed in Supplementary Table S</w:t>
      </w:r>
      <w:r>
        <w:rPr>
          <w:rFonts w:hint="eastAsia" w:ascii="Times New Roman" w:hAnsi="Times New Roman" w:cs="Times New Roman"/>
          <w:color w:val="auto"/>
          <w:lang w:val="en-US" w:eastAsia="zh-CN"/>
        </w:rPr>
        <w:t>7</w:t>
      </w:r>
      <w:r>
        <w:rPr>
          <w:rFonts w:hint="default" w:ascii="Times New Roman" w:hAnsi="Times New Roman" w:cs="Times New Roman"/>
          <w:color w:val="auto"/>
          <w:lang w:val="en-US" w:eastAsia="zh-CN"/>
        </w:rPr>
        <w:t>. For costs recorded in 2024, F</w:t>
      </w:r>
      <w:r>
        <w:rPr>
          <w:rFonts w:hint="default" w:ascii="Times New Roman" w:hAnsi="Times New Roman" w:cs="Times New Roman"/>
          <w:color w:val="auto"/>
          <w:vertAlign w:val="subscript"/>
          <w:lang w:val="en-US" w:eastAsia="zh-CN"/>
        </w:rPr>
        <w:t>t</w:t>
      </w:r>
      <w:r>
        <w:rPr>
          <w:rFonts w:hint="default" w:ascii="Times New Roman" w:hAnsi="Times New Roman" w:cs="Times New Roman"/>
          <w:color w:val="auto"/>
          <w:lang w:val="en-US" w:eastAsia="zh-CN"/>
        </w:rPr>
        <w:t xml:space="preserve"> = 1, and no adjustment was applied.</w:t>
      </w:r>
    </w:p>
    <w:p w14:paraId="19AE3BFF">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rPr>
          <w:rFonts w:hint="default" w:ascii="Times New Roman" w:hAnsi="Times New Roman" w:cs="Times New Roman"/>
          <w:color w:val="auto"/>
          <w:lang w:val="en-US" w:eastAsia="zh-CN"/>
        </w:rPr>
      </w:pPr>
    </w:p>
    <w:p w14:paraId="7A7C83BB">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b/>
          <w:bCs/>
          <w:color w:val="auto"/>
        </w:rPr>
      </w:pPr>
      <w:r>
        <w:rPr>
          <w:rFonts w:hint="default" w:ascii="Times New Roman" w:hAnsi="Times New Roman" w:cs="Times New Roman"/>
          <w:b/>
          <w:bCs/>
          <w:color w:val="auto"/>
        </w:rPr>
        <w:t>Supplementary Tables</w:t>
      </w:r>
    </w:p>
    <w:p w14:paraId="2B7FD18D">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Supplementary Table S</w:t>
      </w:r>
      <w:r>
        <w:rPr>
          <w:rFonts w:hint="eastAsia" w:ascii="Times New Roman" w:hAnsi="Times New Roman" w:cs="Times New Roman"/>
          <w:b/>
          <w:bCs/>
          <w:color w:val="auto"/>
          <w:sz w:val="18"/>
          <w:szCs w:val="18"/>
          <w:lang w:val="en-US" w:eastAsia="zh-CN"/>
        </w:rPr>
        <w:t>1</w:t>
      </w:r>
      <w:r>
        <w:rPr>
          <w:rFonts w:hint="default" w:ascii="Times New Roman" w:hAnsi="Times New Roman" w:cs="Times New Roman"/>
          <w:b/>
          <w:bCs/>
          <w:color w:val="auto"/>
          <w:sz w:val="18"/>
          <w:szCs w:val="18"/>
        </w:rPr>
        <w:t>. Annual distribution of HAI episodes by infection site (data underlying Figure 2)</w:t>
      </w:r>
    </w:p>
    <w:tbl>
      <w:tblPr>
        <w:tblStyle w:val="3"/>
        <w:tblW w:w="955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18"/>
        <w:gridCol w:w="1226"/>
        <w:gridCol w:w="1226"/>
        <w:gridCol w:w="1226"/>
        <w:gridCol w:w="1226"/>
        <w:gridCol w:w="1208"/>
        <w:gridCol w:w="1226"/>
      </w:tblGrid>
      <w:tr w14:paraId="729A6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218" w:type="dxa"/>
            <w:tcBorders>
              <w:top w:val="single" w:color="000000" w:sz="4" w:space="0"/>
              <w:left w:val="nil"/>
              <w:bottom w:val="single" w:color="000000" w:sz="4" w:space="0"/>
              <w:right w:val="nil"/>
            </w:tcBorders>
            <w:shd w:val="clear" w:color="auto" w:fill="auto"/>
            <w:noWrap/>
            <w:vAlign w:val="center"/>
          </w:tcPr>
          <w:p w14:paraId="6D28691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Infection site</w:t>
            </w:r>
          </w:p>
        </w:tc>
        <w:tc>
          <w:tcPr>
            <w:tcW w:w="1226" w:type="dxa"/>
            <w:tcBorders>
              <w:top w:val="single" w:color="000000" w:sz="4" w:space="0"/>
              <w:left w:val="nil"/>
              <w:bottom w:val="single" w:color="000000" w:sz="4" w:space="0"/>
              <w:right w:val="nil"/>
            </w:tcBorders>
            <w:shd w:val="clear" w:color="auto" w:fill="auto"/>
            <w:noWrap/>
            <w:vAlign w:val="center"/>
          </w:tcPr>
          <w:p w14:paraId="575448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2020, n(%)</w:t>
            </w:r>
          </w:p>
        </w:tc>
        <w:tc>
          <w:tcPr>
            <w:tcW w:w="1226" w:type="dxa"/>
            <w:tcBorders>
              <w:top w:val="single" w:color="000000" w:sz="4" w:space="0"/>
              <w:left w:val="nil"/>
              <w:bottom w:val="single" w:color="000000" w:sz="4" w:space="0"/>
              <w:right w:val="nil"/>
            </w:tcBorders>
            <w:shd w:val="clear" w:color="auto" w:fill="auto"/>
            <w:noWrap/>
            <w:vAlign w:val="center"/>
          </w:tcPr>
          <w:p w14:paraId="54D48D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2021, n(%)</w:t>
            </w:r>
          </w:p>
        </w:tc>
        <w:tc>
          <w:tcPr>
            <w:tcW w:w="1226" w:type="dxa"/>
            <w:tcBorders>
              <w:top w:val="single" w:color="000000" w:sz="4" w:space="0"/>
              <w:left w:val="nil"/>
              <w:bottom w:val="single" w:color="000000" w:sz="4" w:space="0"/>
              <w:right w:val="nil"/>
            </w:tcBorders>
            <w:shd w:val="clear" w:color="auto" w:fill="auto"/>
            <w:noWrap/>
            <w:vAlign w:val="center"/>
          </w:tcPr>
          <w:p w14:paraId="33B5B8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2022, n(%)</w:t>
            </w:r>
          </w:p>
        </w:tc>
        <w:tc>
          <w:tcPr>
            <w:tcW w:w="1226" w:type="dxa"/>
            <w:tcBorders>
              <w:top w:val="single" w:color="000000" w:sz="4" w:space="0"/>
              <w:left w:val="nil"/>
              <w:bottom w:val="single" w:color="000000" w:sz="4" w:space="0"/>
              <w:right w:val="nil"/>
            </w:tcBorders>
            <w:shd w:val="clear" w:color="auto" w:fill="auto"/>
            <w:noWrap/>
            <w:vAlign w:val="center"/>
          </w:tcPr>
          <w:p w14:paraId="0A3C5E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2023, n(%)</w:t>
            </w:r>
          </w:p>
        </w:tc>
        <w:tc>
          <w:tcPr>
            <w:tcW w:w="1208" w:type="dxa"/>
            <w:tcBorders>
              <w:top w:val="single" w:color="000000" w:sz="4" w:space="0"/>
              <w:left w:val="nil"/>
              <w:bottom w:val="single" w:color="000000" w:sz="4" w:space="0"/>
              <w:right w:val="nil"/>
            </w:tcBorders>
            <w:shd w:val="clear" w:color="auto" w:fill="auto"/>
            <w:noWrap/>
            <w:vAlign w:val="center"/>
          </w:tcPr>
          <w:p w14:paraId="109A90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2024, n(%)</w:t>
            </w:r>
          </w:p>
        </w:tc>
        <w:tc>
          <w:tcPr>
            <w:tcW w:w="1226" w:type="dxa"/>
            <w:tcBorders>
              <w:top w:val="single" w:color="000000" w:sz="4" w:space="0"/>
              <w:left w:val="nil"/>
              <w:bottom w:val="single" w:color="000000" w:sz="4" w:space="0"/>
              <w:right w:val="nil"/>
            </w:tcBorders>
            <w:shd w:val="clear" w:color="auto" w:fill="auto"/>
            <w:noWrap/>
            <w:vAlign w:val="center"/>
          </w:tcPr>
          <w:p w14:paraId="7C4372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Total, n (%)</w:t>
            </w:r>
          </w:p>
        </w:tc>
      </w:tr>
      <w:tr w14:paraId="2B89F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 w:hRule="atLeast"/>
        </w:trPr>
        <w:tc>
          <w:tcPr>
            <w:tcW w:w="0" w:type="auto"/>
            <w:tcBorders>
              <w:top w:val="nil"/>
              <w:left w:val="nil"/>
              <w:bottom w:val="nil"/>
              <w:right w:val="nil"/>
            </w:tcBorders>
            <w:shd w:val="clear" w:color="auto" w:fill="auto"/>
            <w:noWrap/>
            <w:vAlign w:val="center"/>
          </w:tcPr>
          <w:p w14:paraId="6A36085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Lower respiratory tract</w:t>
            </w:r>
          </w:p>
        </w:tc>
        <w:tc>
          <w:tcPr>
            <w:tcW w:w="0" w:type="auto"/>
            <w:tcBorders>
              <w:top w:val="nil"/>
              <w:left w:val="nil"/>
              <w:bottom w:val="nil"/>
              <w:right w:val="nil"/>
            </w:tcBorders>
            <w:shd w:val="clear" w:color="auto" w:fill="auto"/>
            <w:noWrap/>
            <w:vAlign w:val="center"/>
          </w:tcPr>
          <w:p w14:paraId="079307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7 (31.82)</w:t>
            </w:r>
          </w:p>
        </w:tc>
        <w:tc>
          <w:tcPr>
            <w:tcW w:w="0" w:type="auto"/>
            <w:tcBorders>
              <w:top w:val="nil"/>
              <w:left w:val="nil"/>
              <w:bottom w:val="nil"/>
              <w:right w:val="nil"/>
            </w:tcBorders>
            <w:shd w:val="clear" w:color="auto" w:fill="auto"/>
            <w:noWrap/>
            <w:vAlign w:val="center"/>
          </w:tcPr>
          <w:p w14:paraId="189CE8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8 (36.36)</w:t>
            </w:r>
          </w:p>
        </w:tc>
        <w:tc>
          <w:tcPr>
            <w:tcW w:w="0" w:type="auto"/>
            <w:tcBorders>
              <w:top w:val="nil"/>
              <w:left w:val="nil"/>
              <w:bottom w:val="nil"/>
              <w:right w:val="nil"/>
            </w:tcBorders>
            <w:shd w:val="clear" w:color="auto" w:fill="auto"/>
            <w:noWrap/>
            <w:vAlign w:val="center"/>
          </w:tcPr>
          <w:p w14:paraId="2694AF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6 (46.15)</w:t>
            </w:r>
          </w:p>
        </w:tc>
        <w:tc>
          <w:tcPr>
            <w:tcW w:w="0" w:type="auto"/>
            <w:tcBorders>
              <w:top w:val="nil"/>
              <w:left w:val="nil"/>
              <w:bottom w:val="nil"/>
              <w:right w:val="nil"/>
            </w:tcBorders>
            <w:shd w:val="clear" w:color="auto" w:fill="auto"/>
            <w:noWrap/>
            <w:vAlign w:val="center"/>
          </w:tcPr>
          <w:p w14:paraId="4B9A03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4 (25.00)</w:t>
            </w:r>
          </w:p>
        </w:tc>
        <w:tc>
          <w:tcPr>
            <w:tcW w:w="0" w:type="auto"/>
            <w:tcBorders>
              <w:top w:val="nil"/>
              <w:left w:val="nil"/>
              <w:bottom w:val="nil"/>
              <w:right w:val="nil"/>
            </w:tcBorders>
            <w:shd w:val="clear" w:color="auto" w:fill="auto"/>
            <w:noWrap/>
            <w:vAlign w:val="center"/>
          </w:tcPr>
          <w:p w14:paraId="48FD41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3 (37.50)</w:t>
            </w:r>
          </w:p>
        </w:tc>
        <w:tc>
          <w:tcPr>
            <w:tcW w:w="0" w:type="auto"/>
            <w:tcBorders>
              <w:top w:val="nil"/>
              <w:left w:val="nil"/>
              <w:bottom w:val="nil"/>
              <w:right w:val="nil"/>
            </w:tcBorders>
            <w:shd w:val="clear" w:color="auto" w:fill="auto"/>
            <w:noWrap/>
            <w:vAlign w:val="center"/>
          </w:tcPr>
          <w:p w14:paraId="57A074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28 (34.57)</w:t>
            </w:r>
          </w:p>
        </w:tc>
      </w:tr>
      <w:tr w14:paraId="45120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 w:hRule="atLeast"/>
        </w:trPr>
        <w:tc>
          <w:tcPr>
            <w:tcW w:w="0" w:type="auto"/>
            <w:tcBorders>
              <w:top w:val="nil"/>
              <w:left w:val="nil"/>
              <w:bottom w:val="nil"/>
              <w:right w:val="nil"/>
            </w:tcBorders>
            <w:shd w:val="clear" w:color="auto" w:fill="auto"/>
            <w:noWrap/>
            <w:vAlign w:val="center"/>
          </w:tcPr>
          <w:p w14:paraId="540B547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Urinary tract</w:t>
            </w:r>
          </w:p>
        </w:tc>
        <w:tc>
          <w:tcPr>
            <w:tcW w:w="0" w:type="auto"/>
            <w:tcBorders>
              <w:top w:val="nil"/>
              <w:left w:val="nil"/>
              <w:bottom w:val="nil"/>
              <w:right w:val="nil"/>
            </w:tcBorders>
            <w:shd w:val="clear" w:color="auto" w:fill="auto"/>
            <w:noWrap/>
            <w:vAlign w:val="center"/>
          </w:tcPr>
          <w:p w14:paraId="10A7BD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7 (31.82)</w:t>
            </w:r>
          </w:p>
        </w:tc>
        <w:tc>
          <w:tcPr>
            <w:tcW w:w="0" w:type="auto"/>
            <w:tcBorders>
              <w:top w:val="nil"/>
              <w:left w:val="nil"/>
              <w:bottom w:val="nil"/>
              <w:right w:val="nil"/>
            </w:tcBorders>
            <w:shd w:val="clear" w:color="auto" w:fill="auto"/>
            <w:noWrap/>
            <w:vAlign w:val="center"/>
          </w:tcPr>
          <w:p w14:paraId="4AA181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8 (36.36)</w:t>
            </w:r>
          </w:p>
        </w:tc>
        <w:tc>
          <w:tcPr>
            <w:tcW w:w="0" w:type="auto"/>
            <w:tcBorders>
              <w:top w:val="nil"/>
              <w:left w:val="nil"/>
              <w:bottom w:val="nil"/>
              <w:right w:val="nil"/>
            </w:tcBorders>
            <w:shd w:val="clear" w:color="auto" w:fill="auto"/>
            <w:noWrap/>
            <w:vAlign w:val="center"/>
          </w:tcPr>
          <w:p w14:paraId="162C9A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5 (38.46)</w:t>
            </w:r>
          </w:p>
        </w:tc>
        <w:tc>
          <w:tcPr>
            <w:tcW w:w="0" w:type="auto"/>
            <w:tcBorders>
              <w:top w:val="nil"/>
              <w:left w:val="nil"/>
              <w:bottom w:val="nil"/>
              <w:right w:val="nil"/>
            </w:tcBorders>
            <w:shd w:val="clear" w:color="auto" w:fill="auto"/>
            <w:noWrap/>
            <w:vAlign w:val="center"/>
          </w:tcPr>
          <w:p w14:paraId="03D5F3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5 (31.25)</w:t>
            </w:r>
          </w:p>
        </w:tc>
        <w:tc>
          <w:tcPr>
            <w:tcW w:w="0" w:type="auto"/>
            <w:tcBorders>
              <w:top w:val="nil"/>
              <w:left w:val="nil"/>
              <w:bottom w:val="nil"/>
              <w:right w:val="nil"/>
            </w:tcBorders>
            <w:shd w:val="clear" w:color="auto" w:fill="auto"/>
            <w:noWrap/>
            <w:vAlign w:val="center"/>
          </w:tcPr>
          <w:p w14:paraId="39274F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3 (37.50)</w:t>
            </w:r>
          </w:p>
        </w:tc>
        <w:tc>
          <w:tcPr>
            <w:tcW w:w="0" w:type="auto"/>
            <w:tcBorders>
              <w:top w:val="nil"/>
              <w:left w:val="nil"/>
              <w:bottom w:val="nil"/>
              <w:right w:val="nil"/>
            </w:tcBorders>
            <w:shd w:val="clear" w:color="auto" w:fill="auto"/>
            <w:noWrap/>
            <w:vAlign w:val="center"/>
          </w:tcPr>
          <w:p w14:paraId="4104C0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28 (34.57)</w:t>
            </w:r>
          </w:p>
        </w:tc>
      </w:tr>
      <w:tr w14:paraId="0DB9D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0" w:type="auto"/>
            <w:tcBorders>
              <w:top w:val="nil"/>
              <w:left w:val="nil"/>
              <w:bottom w:val="nil"/>
              <w:right w:val="nil"/>
            </w:tcBorders>
            <w:shd w:val="clear" w:color="auto" w:fill="auto"/>
            <w:noWrap/>
            <w:vAlign w:val="center"/>
          </w:tcPr>
          <w:p w14:paraId="1D388B5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Surgical incision</w:t>
            </w:r>
          </w:p>
        </w:tc>
        <w:tc>
          <w:tcPr>
            <w:tcW w:w="0" w:type="auto"/>
            <w:tcBorders>
              <w:top w:val="nil"/>
              <w:left w:val="nil"/>
              <w:bottom w:val="nil"/>
              <w:right w:val="nil"/>
            </w:tcBorders>
            <w:shd w:val="clear" w:color="auto" w:fill="auto"/>
            <w:noWrap/>
            <w:vAlign w:val="center"/>
          </w:tcPr>
          <w:p w14:paraId="699C5C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2 (9.09)</w:t>
            </w:r>
          </w:p>
        </w:tc>
        <w:tc>
          <w:tcPr>
            <w:tcW w:w="0" w:type="auto"/>
            <w:tcBorders>
              <w:top w:val="nil"/>
              <w:left w:val="nil"/>
              <w:bottom w:val="nil"/>
              <w:right w:val="nil"/>
            </w:tcBorders>
            <w:shd w:val="clear" w:color="auto" w:fill="auto"/>
            <w:noWrap/>
            <w:vAlign w:val="center"/>
          </w:tcPr>
          <w:p w14:paraId="747CEF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3 (13.64)</w:t>
            </w:r>
          </w:p>
        </w:tc>
        <w:tc>
          <w:tcPr>
            <w:tcW w:w="0" w:type="auto"/>
            <w:tcBorders>
              <w:top w:val="nil"/>
              <w:left w:val="nil"/>
              <w:bottom w:val="nil"/>
              <w:right w:val="nil"/>
            </w:tcBorders>
            <w:shd w:val="clear" w:color="auto" w:fill="auto"/>
            <w:noWrap/>
            <w:vAlign w:val="center"/>
          </w:tcPr>
          <w:p w14:paraId="221D4A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 (7.69)</w:t>
            </w:r>
          </w:p>
        </w:tc>
        <w:tc>
          <w:tcPr>
            <w:tcW w:w="0" w:type="auto"/>
            <w:tcBorders>
              <w:top w:val="nil"/>
              <w:left w:val="nil"/>
              <w:bottom w:val="nil"/>
              <w:right w:val="nil"/>
            </w:tcBorders>
            <w:shd w:val="clear" w:color="auto" w:fill="auto"/>
            <w:noWrap/>
            <w:vAlign w:val="center"/>
          </w:tcPr>
          <w:p w14:paraId="72D932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 (6.25)</w:t>
            </w:r>
          </w:p>
        </w:tc>
        <w:tc>
          <w:tcPr>
            <w:tcW w:w="0" w:type="auto"/>
            <w:tcBorders>
              <w:top w:val="nil"/>
              <w:left w:val="nil"/>
              <w:bottom w:val="nil"/>
              <w:right w:val="nil"/>
            </w:tcBorders>
            <w:shd w:val="clear" w:color="auto" w:fill="auto"/>
            <w:noWrap/>
            <w:vAlign w:val="center"/>
          </w:tcPr>
          <w:p w14:paraId="70918C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0 (0.00)</w:t>
            </w:r>
          </w:p>
        </w:tc>
        <w:tc>
          <w:tcPr>
            <w:tcW w:w="0" w:type="auto"/>
            <w:tcBorders>
              <w:top w:val="nil"/>
              <w:left w:val="nil"/>
              <w:bottom w:val="nil"/>
              <w:right w:val="nil"/>
            </w:tcBorders>
            <w:shd w:val="clear" w:color="auto" w:fill="auto"/>
            <w:noWrap/>
            <w:vAlign w:val="center"/>
          </w:tcPr>
          <w:p w14:paraId="277596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7 (8.64)</w:t>
            </w:r>
          </w:p>
        </w:tc>
      </w:tr>
      <w:tr w14:paraId="4211C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 w:hRule="atLeast"/>
        </w:trPr>
        <w:tc>
          <w:tcPr>
            <w:tcW w:w="0" w:type="auto"/>
            <w:tcBorders>
              <w:top w:val="nil"/>
              <w:left w:val="nil"/>
              <w:bottom w:val="nil"/>
              <w:right w:val="nil"/>
            </w:tcBorders>
            <w:shd w:val="clear" w:color="auto" w:fill="auto"/>
            <w:noWrap/>
            <w:vAlign w:val="center"/>
          </w:tcPr>
          <w:p w14:paraId="3712A46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Upper respiratory tract</w:t>
            </w:r>
          </w:p>
        </w:tc>
        <w:tc>
          <w:tcPr>
            <w:tcW w:w="0" w:type="auto"/>
            <w:tcBorders>
              <w:top w:val="nil"/>
              <w:left w:val="nil"/>
              <w:bottom w:val="nil"/>
              <w:right w:val="nil"/>
            </w:tcBorders>
            <w:shd w:val="clear" w:color="auto" w:fill="auto"/>
            <w:noWrap/>
            <w:vAlign w:val="center"/>
          </w:tcPr>
          <w:p w14:paraId="61558F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 (4.55)</w:t>
            </w:r>
          </w:p>
        </w:tc>
        <w:tc>
          <w:tcPr>
            <w:tcW w:w="0" w:type="auto"/>
            <w:tcBorders>
              <w:top w:val="nil"/>
              <w:left w:val="nil"/>
              <w:bottom w:val="nil"/>
              <w:right w:val="nil"/>
            </w:tcBorders>
            <w:shd w:val="clear" w:color="auto" w:fill="auto"/>
            <w:noWrap/>
            <w:vAlign w:val="center"/>
          </w:tcPr>
          <w:p w14:paraId="7FF096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2 (9.09)</w:t>
            </w:r>
          </w:p>
        </w:tc>
        <w:tc>
          <w:tcPr>
            <w:tcW w:w="0" w:type="auto"/>
            <w:tcBorders>
              <w:top w:val="nil"/>
              <w:left w:val="nil"/>
              <w:bottom w:val="nil"/>
              <w:right w:val="nil"/>
            </w:tcBorders>
            <w:shd w:val="clear" w:color="auto" w:fill="auto"/>
            <w:noWrap/>
            <w:vAlign w:val="center"/>
          </w:tcPr>
          <w:p w14:paraId="2A664E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0 (0.00)</w:t>
            </w:r>
          </w:p>
        </w:tc>
        <w:tc>
          <w:tcPr>
            <w:tcW w:w="0" w:type="auto"/>
            <w:tcBorders>
              <w:top w:val="nil"/>
              <w:left w:val="nil"/>
              <w:bottom w:val="nil"/>
              <w:right w:val="nil"/>
            </w:tcBorders>
            <w:shd w:val="clear" w:color="auto" w:fill="auto"/>
            <w:noWrap/>
            <w:vAlign w:val="center"/>
          </w:tcPr>
          <w:p w14:paraId="16B6FB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2 (12.50)</w:t>
            </w:r>
          </w:p>
        </w:tc>
        <w:tc>
          <w:tcPr>
            <w:tcW w:w="0" w:type="auto"/>
            <w:tcBorders>
              <w:top w:val="nil"/>
              <w:left w:val="nil"/>
              <w:bottom w:val="nil"/>
              <w:right w:val="nil"/>
            </w:tcBorders>
            <w:shd w:val="clear" w:color="auto" w:fill="auto"/>
            <w:noWrap/>
            <w:vAlign w:val="center"/>
          </w:tcPr>
          <w:p w14:paraId="7800A9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0 (0.00)</w:t>
            </w:r>
          </w:p>
        </w:tc>
        <w:tc>
          <w:tcPr>
            <w:tcW w:w="0" w:type="auto"/>
            <w:tcBorders>
              <w:top w:val="nil"/>
              <w:left w:val="nil"/>
              <w:bottom w:val="nil"/>
              <w:right w:val="nil"/>
            </w:tcBorders>
            <w:shd w:val="clear" w:color="auto" w:fill="auto"/>
            <w:noWrap/>
            <w:vAlign w:val="center"/>
          </w:tcPr>
          <w:p w14:paraId="29EE78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5 (6.17)</w:t>
            </w:r>
          </w:p>
        </w:tc>
      </w:tr>
      <w:tr w14:paraId="12232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 w:hRule="atLeast"/>
        </w:trPr>
        <w:tc>
          <w:tcPr>
            <w:tcW w:w="0" w:type="auto"/>
            <w:tcBorders>
              <w:top w:val="nil"/>
              <w:left w:val="nil"/>
              <w:bottom w:val="nil"/>
              <w:right w:val="nil"/>
            </w:tcBorders>
            <w:shd w:val="clear" w:color="auto" w:fill="auto"/>
            <w:noWrap/>
            <w:vAlign w:val="center"/>
          </w:tcPr>
          <w:p w14:paraId="5968D92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Bloodstream infection</w:t>
            </w:r>
          </w:p>
        </w:tc>
        <w:tc>
          <w:tcPr>
            <w:tcW w:w="0" w:type="auto"/>
            <w:tcBorders>
              <w:top w:val="nil"/>
              <w:left w:val="nil"/>
              <w:bottom w:val="nil"/>
              <w:right w:val="nil"/>
            </w:tcBorders>
            <w:shd w:val="clear" w:color="auto" w:fill="auto"/>
            <w:noWrap/>
            <w:vAlign w:val="center"/>
          </w:tcPr>
          <w:p w14:paraId="7234AF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4 (18.18)</w:t>
            </w:r>
          </w:p>
        </w:tc>
        <w:tc>
          <w:tcPr>
            <w:tcW w:w="0" w:type="auto"/>
            <w:tcBorders>
              <w:top w:val="nil"/>
              <w:left w:val="nil"/>
              <w:bottom w:val="nil"/>
              <w:right w:val="nil"/>
            </w:tcBorders>
            <w:shd w:val="clear" w:color="auto" w:fill="auto"/>
            <w:noWrap/>
            <w:vAlign w:val="center"/>
          </w:tcPr>
          <w:p w14:paraId="17A7A4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0 (0.00)</w:t>
            </w:r>
          </w:p>
        </w:tc>
        <w:tc>
          <w:tcPr>
            <w:tcW w:w="0" w:type="auto"/>
            <w:tcBorders>
              <w:top w:val="nil"/>
              <w:left w:val="nil"/>
              <w:bottom w:val="nil"/>
              <w:right w:val="nil"/>
            </w:tcBorders>
            <w:shd w:val="clear" w:color="auto" w:fill="auto"/>
            <w:noWrap/>
            <w:vAlign w:val="center"/>
          </w:tcPr>
          <w:p w14:paraId="5AFA02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0 (0.00)</w:t>
            </w:r>
          </w:p>
        </w:tc>
        <w:tc>
          <w:tcPr>
            <w:tcW w:w="0" w:type="auto"/>
            <w:tcBorders>
              <w:top w:val="nil"/>
              <w:left w:val="nil"/>
              <w:bottom w:val="nil"/>
              <w:right w:val="nil"/>
            </w:tcBorders>
            <w:shd w:val="clear" w:color="auto" w:fill="auto"/>
            <w:noWrap/>
            <w:vAlign w:val="center"/>
          </w:tcPr>
          <w:p w14:paraId="3E709C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0 (0.00)</w:t>
            </w:r>
          </w:p>
        </w:tc>
        <w:tc>
          <w:tcPr>
            <w:tcW w:w="0" w:type="auto"/>
            <w:tcBorders>
              <w:top w:val="nil"/>
              <w:left w:val="nil"/>
              <w:bottom w:val="nil"/>
              <w:right w:val="nil"/>
            </w:tcBorders>
            <w:shd w:val="clear" w:color="auto" w:fill="auto"/>
            <w:noWrap/>
            <w:vAlign w:val="center"/>
          </w:tcPr>
          <w:p w14:paraId="5A4B5D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 (12.50)</w:t>
            </w:r>
          </w:p>
        </w:tc>
        <w:tc>
          <w:tcPr>
            <w:tcW w:w="0" w:type="auto"/>
            <w:tcBorders>
              <w:top w:val="nil"/>
              <w:left w:val="nil"/>
              <w:bottom w:val="nil"/>
              <w:right w:val="nil"/>
            </w:tcBorders>
            <w:shd w:val="clear" w:color="auto" w:fill="auto"/>
            <w:noWrap/>
            <w:vAlign w:val="center"/>
          </w:tcPr>
          <w:p w14:paraId="5F989D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5 (6.17)</w:t>
            </w:r>
          </w:p>
        </w:tc>
      </w:tr>
      <w:tr w14:paraId="3E624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0" w:type="auto"/>
            <w:tcBorders>
              <w:top w:val="nil"/>
              <w:left w:val="nil"/>
              <w:bottom w:val="nil"/>
              <w:right w:val="nil"/>
            </w:tcBorders>
            <w:shd w:val="clear" w:color="auto" w:fill="auto"/>
            <w:noWrap/>
            <w:vAlign w:val="center"/>
          </w:tcPr>
          <w:p w14:paraId="3C6EF84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 xml:space="preserve">Other </w:t>
            </w:r>
            <w:r>
              <w:rPr>
                <w:rFonts w:hint="eastAsia" w:ascii="Times New Roman" w:hAnsi="Times New Roman" w:eastAsia="Carlito" w:cs="Times New Roman"/>
                <w:i w:val="0"/>
                <w:iCs w:val="0"/>
                <w:color w:val="auto"/>
                <w:kern w:val="0"/>
                <w:sz w:val="16"/>
                <w:szCs w:val="16"/>
                <w:u w:val="none"/>
                <w:lang w:val="en-US" w:eastAsia="zh-CN" w:bidi="ar"/>
              </w:rPr>
              <w:t>site</w:t>
            </w:r>
            <w:r>
              <w:rPr>
                <w:rFonts w:hint="default" w:ascii="Times New Roman" w:hAnsi="Times New Roman" w:eastAsia="Carlito" w:cs="Times New Roman"/>
                <w:i w:val="0"/>
                <w:iCs w:val="0"/>
                <w:color w:val="auto"/>
                <w:kern w:val="0"/>
                <w:sz w:val="16"/>
                <w:szCs w:val="16"/>
                <w:u w:val="none"/>
                <w:lang w:val="en-US" w:eastAsia="zh-CN" w:bidi="ar"/>
              </w:rPr>
              <w:t>s</w:t>
            </w:r>
          </w:p>
        </w:tc>
        <w:tc>
          <w:tcPr>
            <w:tcW w:w="0" w:type="auto"/>
            <w:tcBorders>
              <w:top w:val="nil"/>
              <w:left w:val="nil"/>
              <w:bottom w:val="nil"/>
              <w:right w:val="nil"/>
            </w:tcBorders>
            <w:shd w:val="clear" w:color="auto" w:fill="auto"/>
            <w:noWrap/>
            <w:vAlign w:val="center"/>
          </w:tcPr>
          <w:p w14:paraId="5A6223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 (4.55)</w:t>
            </w:r>
          </w:p>
        </w:tc>
        <w:tc>
          <w:tcPr>
            <w:tcW w:w="0" w:type="auto"/>
            <w:tcBorders>
              <w:top w:val="nil"/>
              <w:left w:val="nil"/>
              <w:bottom w:val="nil"/>
              <w:right w:val="nil"/>
            </w:tcBorders>
            <w:shd w:val="clear" w:color="auto" w:fill="auto"/>
            <w:noWrap/>
            <w:vAlign w:val="center"/>
          </w:tcPr>
          <w:p w14:paraId="7A0ABC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 (4.55)</w:t>
            </w:r>
          </w:p>
        </w:tc>
        <w:tc>
          <w:tcPr>
            <w:tcW w:w="0" w:type="auto"/>
            <w:tcBorders>
              <w:top w:val="nil"/>
              <w:left w:val="nil"/>
              <w:bottom w:val="nil"/>
              <w:right w:val="nil"/>
            </w:tcBorders>
            <w:shd w:val="clear" w:color="auto" w:fill="auto"/>
            <w:noWrap/>
            <w:vAlign w:val="center"/>
          </w:tcPr>
          <w:p w14:paraId="1A37B3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 (7.69)</w:t>
            </w:r>
          </w:p>
        </w:tc>
        <w:tc>
          <w:tcPr>
            <w:tcW w:w="0" w:type="auto"/>
            <w:tcBorders>
              <w:top w:val="nil"/>
              <w:left w:val="nil"/>
              <w:bottom w:val="nil"/>
              <w:right w:val="nil"/>
            </w:tcBorders>
            <w:shd w:val="clear" w:color="auto" w:fill="auto"/>
            <w:noWrap/>
            <w:vAlign w:val="center"/>
          </w:tcPr>
          <w:p w14:paraId="4F75A9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4 (25.00)</w:t>
            </w:r>
          </w:p>
        </w:tc>
        <w:tc>
          <w:tcPr>
            <w:tcW w:w="0" w:type="auto"/>
            <w:tcBorders>
              <w:top w:val="nil"/>
              <w:left w:val="nil"/>
              <w:bottom w:val="nil"/>
              <w:right w:val="nil"/>
            </w:tcBorders>
            <w:shd w:val="clear" w:color="auto" w:fill="auto"/>
            <w:noWrap/>
            <w:vAlign w:val="center"/>
          </w:tcPr>
          <w:p w14:paraId="4F9AC6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 (12.50)</w:t>
            </w:r>
          </w:p>
        </w:tc>
        <w:tc>
          <w:tcPr>
            <w:tcW w:w="0" w:type="auto"/>
            <w:tcBorders>
              <w:top w:val="nil"/>
              <w:left w:val="nil"/>
              <w:bottom w:val="nil"/>
              <w:right w:val="nil"/>
            </w:tcBorders>
            <w:shd w:val="clear" w:color="auto" w:fill="auto"/>
            <w:noWrap/>
            <w:vAlign w:val="center"/>
          </w:tcPr>
          <w:p w14:paraId="2FDA7F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8 (9.88)</w:t>
            </w:r>
          </w:p>
        </w:tc>
      </w:tr>
      <w:tr w14:paraId="493E0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 w:hRule="atLeast"/>
        </w:trPr>
        <w:tc>
          <w:tcPr>
            <w:tcW w:w="0" w:type="auto"/>
            <w:tcBorders>
              <w:top w:val="single" w:color="000000" w:sz="4" w:space="0"/>
              <w:left w:val="nil"/>
              <w:bottom w:val="single" w:color="000000" w:sz="4" w:space="0"/>
              <w:right w:val="nil"/>
            </w:tcBorders>
            <w:shd w:val="clear" w:color="auto" w:fill="auto"/>
            <w:noWrap/>
            <w:vAlign w:val="center"/>
          </w:tcPr>
          <w:p w14:paraId="62D8903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Total</w:t>
            </w:r>
          </w:p>
        </w:tc>
        <w:tc>
          <w:tcPr>
            <w:tcW w:w="0" w:type="auto"/>
            <w:tcBorders>
              <w:top w:val="single" w:color="000000" w:sz="4" w:space="0"/>
              <w:left w:val="nil"/>
              <w:bottom w:val="single" w:color="000000" w:sz="4" w:space="0"/>
              <w:right w:val="nil"/>
            </w:tcBorders>
            <w:shd w:val="clear" w:color="auto" w:fill="auto"/>
            <w:noWrap/>
            <w:vAlign w:val="center"/>
          </w:tcPr>
          <w:p w14:paraId="6A2D2B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22 (100.00)</w:t>
            </w:r>
          </w:p>
        </w:tc>
        <w:tc>
          <w:tcPr>
            <w:tcW w:w="0" w:type="auto"/>
            <w:tcBorders>
              <w:top w:val="single" w:color="000000" w:sz="4" w:space="0"/>
              <w:left w:val="nil"/>
              <w:bottom w:val="single" w:color="000000" w:sz="4" w:space="0"/>
              <w:right w:val="nil"/>
            </w:tcBorders>
            <w:shd w:val="clear" w:color="auto" w:fill="auto"/>
            <w:noWrap/>
            <w:vAlign w:val="center"/>
          </w:tcPr>
          <w:p w14:paraId="79EADD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22 (100.00)</w:t>
            </w:r>
          </w:p>
        </w:tc>
        <w:tc>
          <w:tcPr>
            <w:tcW w:w="0" w:type="auto"/>
            <w:tcBorders>
              <w:top w:val="single" w:color="000000" w:sz="4" w:space="0"/>
              <w:left w:val="nil"/>
              <w:bottom w:val="single" w:color="000000" w:sz="4" w:space="0"/>
              <w:right w:val="nil"/>
            </w:tcBorders>
            <w:shd w:val="clear" w:color="auto" w:fill="auto"/>
            <w:noWrap/>
            <w:vAlign w:val="center"/>
          </w:tcPr>
          <w:p w14:paraId="349E34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13 (100.00)</w:t>
            </w:r>
          </w:p>
        </w:tc>
        <w:tc>
          <w:tcPr>
            <w:tcW w:w="0" w:type="auto"/>
            <w:tcBorders>
              <w:top w:val="single" w:color="000000" w:sz="4" w:space="0"/>
              <w:left w:val="nil"/>
              <w:bottom w:val="single" w:color="000000" w:sz="4" w:space="0"/>
              <w:right w:val="nil"/>
            </w:tcBorders>
            <w:shd w:val="clear" w:color="auto" w:fill="auto"/>
            <w:noWrap/>
            <w:vAlign w:val="center"/>
          </w:tcPr>
          <w:p w14:paraId="42C2FC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16 (100.00)</w:t>
            </w:r>
          </w:p>
        </w:tc>
        <w:tc>
          <w:tcPr>
            <w:tcW w:w="0" w:type="auto"/>
            <w:tcBorders>
              <w:top w:val="single" w:color="000000" w:sz="4" w:space="0"/>
              <w:left w:val="nil"/>
              <w:bottom w:val="single" w:color="000000" w:sz="4" w:space="0"/>
              <w:right w:val="nil"/>
            </w:tcBorders>
            <w:shd w:val="clear" w:color="auto" w:fill="auto"/>
            <w:noWrap/>
            <w:vAlign w:val="center"/>
          </w:tcPr>
          <w:p w14:paraId="499418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8 (100.00)</w:t>
            </w:r>
          </w:p>
        </w:tc>
        <w:tc>
          <w:tcPr>
            <w:tcW w:w="0" w:type="auto"/>
            <w:tcBorders>
              <w:top w:val="single" w:color="000000" w:sz="4" w:space="0"/>
              <w:left w:val="nil"/>
              <w:bottom w:val="single" w:color="000000" w:sz="4" w:space="0"/>
              <w:right w:val="nil"/>
            </w:tcBorders>
            <w:shd w:val="clear" w:color="auto" w:fill="auto"/>
            <w:noWrap/>
            <w:vAlign w:val="center"/>
          </w:tcPr>
          <w:p w14:paraId="46C24A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81 (100.00)</w:t>
            </w:r>
          </w:p>
        </w:tc>
      </w:tr>
    </w:tbl>
    <w:p w14:paraId="1B0CF095">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color w:val="auto"/>
          <w:sz w:val="16"/>
          <w:szCs w:val="16"/>
        </w:rPr>
      </w:pPr>
      <w:r>
        <w:rPr>
          <w:rFonts w:hint="default" w:ascii="Times New Roman" w:hAnsi="Times New Roman" w:cs="Times New Roman"/>
          <w:b/>
          <w:bCs/>
          <w:i/>
          <w:iCs/>
          <w:color w:val="auto"/>
          <w:sz w:val="16"/>
          <w:szCs w:val="16"/>
        </w:rPr>
        <w:t>Note</w:t>
      </w:r>
      <w:r>
        <w:rPr>
          <w:rFonts w:hint="default" w:ascii="Times New Roman" w:hAnsi="Times New Roman" w:cs="Times New Roman"/>
          <w:color w:val="auto"/>
          <w:sz w:val="16"/>
          <w:szCs w:val="16"/>
        </w:rPr>
        <w:t>: Data are presented as n (%). Percentages were calculated using the total number of HAI episodes in the corresponding survey year and may not sum to 100% because of rounding. A patient with infections at multiple sites contributed one episode for each recorded infection site. HAI, healthcare-associated infection.</w:t>
      </w:r>
    </w:p>
    <w:p w14:paraId="2335C3E3">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color w:val="auto"/>
          <w:sz w:val="16"/>
          <w:szCs w:val="16"/>
        </w:rPr>
      </w:pPr>
    </w:p>
    <w:p w14:paraId="54DE8D58">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cs="Times New Roman"/>
          <w:color w:val="auto"/>
        </w:rPr>
      </w:pPr>
      <w:r>
        <w:rPr>
          <w:rFonts w:hint="default" w:ascii="Times New Roman" w:hAnsi="Times New Roman" w:cs="Times New Roman"/>
          <w:b/>
          <w:bCs/>
          <w:color w:val="auto"/>
          <w:sz w:val="18"/>
          <w:szCs w:val="18"/>
        </w:rPr>
        <w:t>Supplementary Table S2. Numerators and denominators for annual episode-level HAI prevalence in the six departments shown in Figure 3</w:t>
      </w:r>
    </w:p>
    <w:tbl>
      <w:tblPr>
        <w:tblStyle w:val="3"/>
        <w:tblW w:w="96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872"/>
        <w:gridCol w:w="1227"/>
        <w:gridCol w:w="1319"/>
        <w:gridCol w:w="1273"/>
        <w:gridCol w:w="1311"/>
        <w:gridCol w:w="1273"/>
        <w:gridCol w:w="1361"/>
      </w:tblGrid>
      <w:tr w14:paraId="429C7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jc w:val="center"/>
        </w:trPr>
        <w:tc>
          <w:tcPr>
            <w:tcW w:w="1872" w:type="dxa"/>
            <w:tcBorders>
              <w:top w:val="single" w:color="000000" w:sz="4" w:space="0"/>
              <w:left w:val="nil"/>
              <w:bottom w:val="single" w:color="000000" w:sz="4" w:space="0"/>
              <w:right w:val="nil"/>
            </w:tcBorders>
            <w:shd w:val="clear" w:color="auto" w:fill="auto"/>
            <w:noWrap/>
            <w:vAlign w:val="center"/>
          </w:tcPr>
          <w:p w14:paraId="43F5A36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center"/>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Department</w:t>
            </w:r>
          </w:p>
        </w:tc>
        <w:tc>
          <w:tcPr>
            <w:tcW w:w="1227" w:type="dxa"/>
            <w:tcBorders>
              <w:top w:val="single" w:color="000000" w:sz="4" w:space="0"/>
              <w:left w:val="nil"/>
              <w:bottom w:val="single" w:color="000000" w:sz="4" w:space="0"/>
              <w:right w:val="nil"/>
            </w:tcBorders>
            <w:shd w:val="clear" w:color="auto" w:fill="auto"/>
            <w:vAlign w:val="center"/>
          </w:tcPr>
          <w:p w14:paraId="4D6932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2020</w:t>
            </w:r>
            <w:r>
              <w:rPr>
                <w:rFonts w:hint="eastAsia" w:ascii="Times New Roman" w:hAnsi="Times New Roman" w:eastAsia="Carlito" w:cs="Times New Roman"/>
                <w:b/>
                <w:bCs/>
                <w:i w:val="0"/>
                <w:iCs w:val="0"/>
                <w:color w:val="auto"/>
                <w:kern w:val="0"/>
                <w:sz w:val="16"/>
                <w:szCs w:val="16"/>
                <w:u w:val="none"/>
                <w:lang w:val="en-US" w:eastAsia="zh-CN" w:bidi="ar"/>
              </w:rPr>
              <w:t xml:space="preserve">, </w:t>
            </w:r>
            <w:r>
              <w:rPr>
                <w:rFonts w:hint="default" w:ascii="Times New Roman" w:hAnsi="Times New Roman" w:eastAsia="Carlito" w:cs="Times New Roman"/>
                <w:b/>
                <w:bCs/>
                <w:i w:val="0"/>
                <w:iCs w:val="0"/>
                <w:color w:val="auto"/>
                <w:kern w:val="0"/>
                <w:sz w:val="16"/>
                <w:szCs w:val="16"/>
                <w:u w:val="none"/>
                <w:lang w:val="en-US" w:eastAsia="zh-CN" w:bidi="ar"/>
              </w:rPr>
              <w:t>n/N (%)</w:t>
            </w:r>
          </w:p>
        </w:tc>
        <w:tc>
          <w:tcPr>
            <w:tcW w:w="1319" w:type="dxa"/>
            <w:tcBorders>
              <w:top w:val="single" w:color="000000" w:sz="4" w:space="0"/>
              <w:left w:val="nil"/>
              <w:bottom w:val="single" w:color="000000" w:sz="4" w:space="0"/>
              <w:right w:val="nil"/>
            </w:tcBorders>
            <w:shd w:val="clear" w:color="auto" w:fill="auto"/>
            <w:vAlign w:val="center"/>
          </w:tcPr>
          <w:p w14:paraId="563649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 xml:space="preserve">2021 </w:t>
            </w:r>
            <w:r>
              <w:rPr>
                <w:rFonts w:hint="eastAsia" w:ascii="Times New Roman" w:hAnsi="Times New Roman" w:eastAsia="Carlito" w:cs="Times New Roman"/>
                <w:b/>
                <w:bCs/>
                <w:i w:val="0"/>
                <w:iCs w:val="0"/>
                <w:color w:val="auto"/>
                <w:kern w:val="0"/>
                <w:sz w:val="16"/>
                <w:szCs w:val="16"/>
                <w:u w:val="none"/>
                <w:lang w:val="en-US" w:eastAsia="zh-CN" w:bidi="ar"/>
              </w:rPr>
              <w:t xml:space="preserve">, </w:t>
            </w:r>
            <w:r>
              <w:rPr>
                <w:rFonts w:hint="default" w:ascii="Times New Roman" w:hAnsi="Times New Roman" w:eastAsia="Carlito" w:cs="Times New Roman"/>
                <w:b/>
                <w:bCs/>
                <w:i w:val="0"/>
                <w:iCs w:val="0"/>
                <w:color w:val="auto"/>
                <w:kern w:val="0"/>
                <w:sz w:val="16"/>
                <w:szCs w:val="16"/>
                <w:u w:val="none"/>
                <w:lang w:val="en-US" w:eastAsia="zh-CN" w:bidi="ar"/>
              </w:rPr>
              <w:t>n/N (%)</w:t>
            </w:r>
          </w:p>
        </w:tc>
        <w:tc>
          <w:tcPr>
            <w:tcW w:w="1273" w:type="dxa"/>
            <w:tcBorders>
              <w:top w:val="single" w:color="000000" w:sz="4" w:space="0"/>
              <w:left w:val="nil"/>
              <w:bottom w:val="single" w:color="000000" w:sz="4" w:space="0"/>
              <w:right w:val="nil"/>
            </w:tcBorders>
            <w:shd w:val="clear" w:color="auto" w:fill="auto"/>
            <w:vAlign w:val="center"/>
          </w:tcPr>
          <w:p w14:paraId="6B2609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2022</w:t>
            </w:r>
            <w:r>
              <w:rPr>
                <w:rFonts w:hint="eastAsia" w:ascii="Times New Roman" w:hAnsi="Times New Roman" w:eastAsia="Carlito" w:cs="Times New Roman"/>
                <w:b/>
                <w:bCs/>
                <w:i w:val="0"/>
                <w:iCs w:val="0"/>
                <w:color w:val="auto"/>
                <w:kern w:val="0"/>
                <w:sz w:val="16"/>
                <w:szCs w:val="16"/>
                <w:u w:val="none"/>
                <w:lang w:val="en-US" w:eastAsia="zh-CN" w:bidi="ar"/>
              </w:rPr>
              <w:t xml:space="preserve">, </w:t>
            </w:r>
            <w:r>
              <w:rPr>
                <w:rFonts w:hint="default" w:ascii="Times New Roman" w:hAnsi="Times New Roman" w:eastAsia="Carlito" w:cs="Times New Roman"/>
                <w:b/>
                <w:bCs/>
                <w:i w:val="0"/>
                <w:iCs w:val="0"/>
                <w:color w:val="auto"/>
                <w:kern w:val="0"/>
                <w:sz w:val="16"/>
                <w:szCs w:val="16"/>
                <w:u w:val="none"/>
                <w:lang w:val="en-US" w:eastAsia="zh-CN" w:bidi="ar"/>
              </w:rPr>
              <w:t>n/N (%)</w:t>
            </w:r>
          </w:p>
        </w:tc>
        <w:tc>
          <w:tcPr>
            <w:tcW w:w="1311" w:type="dxa"/>
            <w:tcBorders>
              <w:top w:val="single" w:color="000000" w:sz="4" w:space="0"/>
              <w:left w:val="nil"/>
              <w:bottom w:val="single" w:color="000000" w:sz="4" w:space="0"/>
              <w:right w:val="nil"/>
            </w:tcBorders>
            <w:shd w:val="clear" w:color="auto" w:fill="auto"/>
            <w:vAlign w:val="center"/>
          </w:tcPr>
          <w:p w14:paraId="350E71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2023</w:t>
            </w:r>
            <w:r>
              <w:rPr>
                <w:rFonts w:hint="eastAsia" w:ascii="Times New Roman" w:hAnsi="Times New Roman" w:eastAsia="Carlito" w:cs="Times New Roman"/>
                <w:b/>
                <w:bCs/>
                <w:i w:val="0"/>
                <w:iCs w:val="0"/>
                <w:color w:val="auto"/>
                <w:kern w:val="0"/>
                <w:sz w:val="16"/>
                <w:szCs w:val="16"/>
                <w:u w:val="none"/>
                <w:lang w:val="en-US" w:eastAsia="zh-CN" w:bidi="ar"/>
              </w:rPr>
              <w:t xml:space="preserve">, </w:t>
            </w:r>
            <w:r>
              <w:rPr>
                <w:rFonts w:hint="default" w:ascii="Times New Roman" w:hAnsi="Times New Roman" w:eastAsia="Carlito" w:cs="Times New Roman"/>
                <w:b/>
                <w:bCs/>
                <w:i w:val="0"/>
                <w:iCs w:val="0"/>
                <w:color w:val="auto"/>
                <w:kern w:val="0"/>
                <w:sz w:val="16"/>
                <w:szCs w:val="16"/>
                <w:u w:val="none"/>
                <w:lang w:val="en-US" w:eastAsia="zh-CN" w:bidi="ar"/>
              </w:rPr>
              <w:t>n/N (%)</w:t>
            </w:r>
          </w:p>
        </w:tc>
        <w:tc>
          <w:tcPr>
            <w:tcW w:w="1273" w:type="dxa"/>
            <w:tcBorders>
              <w:top w:val="single" w:color="000000" w:sz="4" w:space="0"/>
              <w:left w:val="nil"/>
              <w:bottom w:val="single" w:color="000000" w:sz="4" w:space="0"/>
              <w:right w:val="nil"/>
            </w:tcBorders>
            <w:shd w:val="clear" w:color="auto" w:fill="auto"/>
            <w:vAlign w:val="center"/>
          </w:tcPr>
          <w:p w14:paraId="766B51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2024</w:t>
            </w:r>
            <w:r>
              <w:rPr>
                <w:rFonts w:hint="eastAsia" w:ascii="Times New Roman" w:hAnsi="Times New Roman" w:eastAsia="Carlito" w:cs="Times New Roman"/>
                <w:b/>
                <w:bCs/>
                <w:i w:val="0"/>
                <w:iCs w:val="0"/>
                <w:color w:val="auto"/>
                <w:kern w:val="0"/>
                <w:sz w:val="16"/>
                <w:szCs w:val="16"/>
                <w:u w:val="none"/>
                <w:lang w:val="en-US" w:eastAsia="zh-CN" w:bidi="ar"/>
              </w:rPr>
              <w:t xml:space="preserve">, </w:t>
            </w:r>
            <w:r>
              <w:rPr>
                <w:rFonts w:hint="default" w:ascii="Times New Roman" w:hAnsi="Times New Roman" w:eastAsia="Carlito" w:cs="Times New Roman"/>
                <w:b/>
                <w:bCs/>
                <w:i w:val="0"/>
                <w:iCs w:val="0"/>
                <w:color w:val="auto"/>
                <w:kern w:val="0"/>
                <w:sz w:val="16"/>
                <w:szCs w:val="16"/>
                <w:u w:val="none"/>
                <w:lang w:val="en-US" w:eastAsia="zh-CN" w:bidi="ar"/>
              </w:rPr>
              <w:t>n/N (%)</w:t>
            </w:r>
          </w:p>
        </w:tc>
        <w:tc>
          <w:tcPr>
            <w:tcW w:w="1361" w:type="dxa"/>
            <w:tcBorders>
              <w:top w:val="single" w:color="000000" w:sz="4" w:space="0"/>
              <w:left w:val="nil"/>
              <w:bottom w:val="single" w:color="000000" w:sz="4" w:space="0"/>
              <w:right w:val="nil"/>
            </w:tcBorders>
            <w:shd w:val="clear" w:color="auto" w:fill="auto"/>
            <w:vAlign w:val="center"/>
          </w:tcPr>
          <w:p w14:paraId="2D1406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Total</w:t>
            </w:r>
            <w:r>
              <w:rPr>
                <w:rFonts w:hint="eastAsia" w:ascii="Times New Roman" w:hAnsi="Times New Roman" w:eastAsia="Carlito" w:cs="Times New Roman"/>
                <w:b/>
                <w:bCs/>
                <w:i w:val="0"/>
                <w:iCs w:val="0"/>
                <w:color w:val="auto"/>
                <w:kern w:val="0"/>
                <w:sz w:val="16"/>
                <w:szCs w:val="16"/>
                <w:u w:val="none"/>
                <w:lang w:val="en-US" w:eastAsia="zh-CN" w:bidi="ar"/>
              </w:rPr>
              <w:t xml:space="preserve">, </w:t>
            </w:r>
            <w:r>
              <w:rPr>
                <w:rFonts w:hint="default" w:ascii="Times New Roman" w:hAnsi="Times New Roman" w:eastAsia="Carlito" w:cs="Times New Roman"/>
                <w:b/>
                <w:bCs/>
                <w:i w:val="0"/>
                <w:iCs w:val="0"/>
                <w:color w:val="auto"/>
                <w:kern w:val="0"/>
                <w:sz w:val="16"/>
                <w:szCs w:val="16"/>
                <w:u w:val="none"/>
                <w:lang w:val="en-US" w:eastAsia="zh-CN" w:bidi="ar"/>
              </w:rPr>
              <w:t>n/N (%)</w:t>
            </w:r>
          </w:p>
        </w:tc>
      </w:tr>
      <w:tr w14:paraId="3F8D3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jc w:val="center"/>
        </w:trPr>
        <w:tc>
          <w:tcPr>
            <w:tcW w:w="1872" w:type="dxa"/>
            <w:tcBorders>
              <w:top w:val="nil"/>
              <w:left w:val="nil"/>
              <w:bottom w:val="nil"/>
              <w:right w:val="nil"/>
            </w:tcBorders>
            <w:shd w:val="clear" w:color="auto" w:fill="auto"/>
            <w:noWrap/>
            <w:vAlign w:val="bottom"/>
          </w:tcPr>
          <w:p w14:paraId="619809B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General ICU</w:t>
            </w:r>
          </w:p>
        </w:tc>
        <w:tc>
          <w:tcPr>
            <w:tcW w:w="1227" w:type="dxa"/>
            <w:tcBorders>
              <w:top w:val="nil"/>
              <w:left w:val="nil"/>
              <w:bottom w:val="nil"/>
              <w:right w:val="nil"/>
            </w:tcBorders>
            <w:shd w:val="clear" w:color="auto" w:fill="auto"/>
            <w:noWrap/>
            <w:vAlign w:val="bottom"/>
          </w:tcPr>
          <w:p w14:paraId="340FF71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5/13 (38.46)</w:t>
            </w:r>
          </w:p>
        </w:tc>
        <w:tc>
          <w:tcPr>
            <w:tcW w:w="1319" w:type="dxa"/>
            <w:tcBorders>
              <w:top w:val="nil"/>
              <w:left w:val="nil"/>
              <w:bottom w:val="nil"/>
              <w:right w:val="nil"/>
            </w:tcBorders>
            <w:shd w:val="clear" w:color="auto" w:fill="auto"/>
            <w:noWrap/>
            <w:vAlign w:val="bottom"/>
          </w:tcPr>
          <w:p w14:paraId="0EC702B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5/8 (62.50)</w:t>
            </w:r>
          </w:p>
        </w:tc>
        <w:tc>
          <w:tcPr>
            <w:tcW w:w="1273" w:type="dxa"/>
            <w:tcBorders>
              <w:top w:val="nil"/>
              <w:left w:val="nil"/>
              <w:bottom w:val="nil"/>
              <w:right w:val="nil"/>
            </w:tcBorders>
            <w:shd w:val="clear" w:color="auto" w:fill="auto"/>
            <w:noWrap/>
            <w:vAlign w:val="bottom"/>
          </w:tcPr>
          <w:p w14:paraId="4AAE94D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3/15 (20.00)</w:t>
            </w:r>
          </w:p>
        </w:tc>
        <w:tc>
          <w:tcPr>
            <w:tcW w:w="1311" w:type="dxa"/>
            <w:tcBorders>
              <w:top w:val="nil"/>
              <w:left w:val="nil"/>
              <w:bottom w:val="nil"/>
              <w:right w:val="nil"/>
            </w:tcBorders>
            <w:shd w:val="clear" w:color="auto" w:fill="auto"/>
            <w:noWrap/>
            <w:vAlign w:val="bottom"/>
          </w:tcPr>
          <w:p w14:paraId="252FADC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4/9 (44.44)</w:t>
            </w:r>
          </w:p>
        </w:tc>
        <w:tc>
          <w:tcPr>
            <w:tcW w:w="1273" w:type="dxa"/>
            <w:tcBorders>
              <w:top w:val="nil"/>
              <w:left w:val="nil"/>
              <w:bottom w:val="nil"/>
              <w:right w:val="nil"/>
            </w:tcBorders>
            <w:shd w:val="clear" w:color="auto" w:fill="auto"/>
            <w:noWrap/>
            <w:vAlign w:val="bottom"/>
          </w:tcPr>
          <w:p w14:paraId="62004C6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1/8 (12.50)</w:t>
            </w:r>
          </w:p>
        </w:tc>
        <w:tc>
          <w:tcPr>
            <w:tcW w:w="1361" w:type="dxa"/>
            <w:tcBorders>
              <w:top w:val="nil"/>
              <w:left w:val="nil"/>
              <w:bottom w:val="nil"/>
              <w:right w:val="nil"/>
            </w:tcBorders>
            <w:shd w:val="clear" w:color="auto" w:fill="auto"/>
            <w:noWrap/>
            <w:vAlign w:val="bottom"/>
          </w:tcPr>
          <w:p w14:paraId="65A1E3A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18/53 (33.96)</w:t>
            </w:r>
          </w:p>
        </w:tc>
      </w:tr>
      <w:tr w14:paraId="1744C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jc w:val="center"/>
        </w:trPr>
        <w:tc>
          <w:tcPr>
            <w:tcW w:w="1872" w:type="dxa"/>
            <w:tcBorders>
              <w:top w:val="nil"/>
              <w:left w:val="nil"/>
              <w:bottom w:val="nil"/>
              <w:right w:val="nil"/>
            </w:tcBorders>
            <w:shd w:val="clear" w:color="auto" w:fill="auto"/>
            <w:noWrap/>
            <w:vAlign w:val="bottom"/>
          </w:tcPr>
          <w:p w14:paraId="1C7D0AD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CCU</w:t>
            </w:r>
          </w:p>
        </w:tc>
        <w:tc>
          <w:tcPr>
            <w:tcW w:w="1227" w:type="dxa"/>
            <w:tcBorders>
              <w:top w:val="nil"/>
              <w:left w:val="nil"/>
              <w:bottom w:val="nil"/>
              <w:right w:val="nil"/>
            </w:tcBorders>
            <w:shd w:val="clear" w:color="auto" w:fill="auto"/>
            <w:noWrap/>
            <w:vAlign w:val="bottom"/>
          </w:tcPr>
          <w:p w14:paraId="0CE0A69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0/2 (0.00)</w:t>
            </w:r>
          </w:p>
        </w:tc>
        <w:tc>
          <w:tcPr>
            <w:tcW w:w="1319" w:type="dxa"/>
            <w:tcBorders>
              <w:top w:val="nil"/>
              <w:left w:val="nil"/>
              <w:bottom w:val="nil"/>
              <w:right w:val="nil"/>
            </w:tcBorders>
            <w:shd w:val="clear" w:color="auto" w:fill="auto"/>
            <w:noWrap/>
            <w:vAlign w:val="bottom"/>
          </w:tcPr>
          <w:p w14:paraId="2F56B4C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1/6 (16.67)</w:t>
            </w:r>
          </w:p>
        </w:tc>
        <w:tc>
          <w:tcPr>
            <w:tcW w:w="1273" w:type="dxa"/>
            <w:tcBorders>
              <w:top w:val="nil"/>
              <w:left w:val="nil"/>
              <w:bottom w:val="nil"/>
              <w:right w:val="nil"/>
            </w:tcBorders>
            <w:shd w:val="clear" w:color="auto" w:fill="auto"/>
            <w:noWrap/>
            <w:vAlign w:val="bottom"/>
          </w:tcPr>
          <w:p w14:paraId="1C9366D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0/6 (0.00)</w:t>
            </w:r>
          </w:p>
        </w:tc>
        <w:tc>
          <w:tcPr>
            <w:tcW w:w="1311" w:type="dxa"/>
            <w:tcBorders>
              <w:top w:val="nil"/>
              <w:left w:val="nil"/>
              <w:bottom w:val="nil"/>
              <w:right w:val="nil"/>
            </w:tcBorders>
            <w:shd w:val="clear" w:color="auto" w:fill="auto"/>
            <w:noWrap/>
            <w:vAlign w:val="bottom"/>
          </w:tcPr>
          <w:p w14:paraId="5532AE3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0/6 (0.00)</w:t>
            </w:r>
          </w:p>
        </w:tc>
        <w:tc>
          <w:tcPr>
            <w:tcW w:w="1273" w:type="dxa"/>
            <w:tcBorders>
              <w:top w:val="nil"/>
              <w:left w:val="nil"/>
              <w:bottom w:val="nil"/>
              <w:right w:val="nil"/>
            </w:tcBorders>
            <w:shd w:val="clear" w:color="auto" w:fill="auto"/>
            <w:noWrap/>
            <w:vAlign w:val="bottom"/>
          </w:tcPr>
          <w:p w14:paraId="6DE237C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1/3 (33.33)</w:t>
            </w:r>
          </w:p>
        </w:tc>
        <w:tc>
          <w:tcPr>
            <w:tcW w:w="1361" w:type="dxa"/>
            <w:tcBorders>
              <w:top w:val="nil"/>
              <w:left w:val="nil"/>
              <w:bottom w:val="nil"/>
              <w:right w:val="nil"/>
            </w:tcBorders>
            <w:shd w:val="clear" w:color="auto" w:fill="auto"/>
            <w:noWrap/>
            <w:vAlign w:val="bottom"/>
          </w:tcPr>
          <w:p w14:paraId="1F24E59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2/23 (8.70)</w:t>
            </w:r>
          </w:p>
        </w:tc>
      </w:tr>
      <w:tr w14:paraId="3B33D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 w:hRule="atLeast"/>
          <w:jc w:val="center"/>
        </w:trPr>
        <w:tc>
          <w:tcPr>
            <w:tcW w:w="1872" w:type="dxa"/>
            <w:tcBorders>
              <w:top w:val="nil"/>
              <w:left w:val="nil"/>
              <w:bottom w:val="nil"/>
              <w:right w:val="nil"/>
            </w:tcBorders>
            <w:shd w:val="clear" w:color="auto" w:fill="auto"/>
            <w:vAlign w:val="bottom"/>
          </w:tcPr>
          <w:p w14:paraId="6E76EE7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eastAsia" w:ascii="Times New Roman" w:hAnsi="Times New Roman" w:eastAsia="Carlito" w:cs="Times New Roman"/>
                <w:i w:val="0"/>
                <w:iCs w:val="0"/>
                <w:color w:val="auto"/>
                <w:kern w:val="0"/>
                <w:sz w:val="16"/>
                <w:szCs w:val="16"/>
                <w:u w:val="none"/>
                <w:lang w:val="en-US" w:eastAsia="zh-CN" w:bidi="ar"/>
              </w:rPr>
              <w:t>R</w:t>
            </w:r>
            <w:r>
              <w:rPr>
                <w:rFonts w:hint="default" w:ascii="Times New Roman" w:hAnsi="Times New Roman" w:eastAsia="Carlito" w:cs="Times New Roman"/>
                <w:i w:val="0"/>
                <w:iCs w:val="0"/>
                <w:color w:val="auto"/>
                <w:kern w:val="0"/>
                <w:sz w:val="16"/>
                <w:szCs w:val="16"/>
                <w:u w:val="none"/>
                <w:lang w:val="en-US" w:eastAsia="zh-CN" w:bidi="ar"/>
              </w:rPr>
              <w:t>ehabilitation medicine</w:t>
            </w:r>
          </w:p>
        </w:tc>
        <w:tc>
          <w:tcPr>
            <w:tcW w:w="1227" w:type="dxa"/>
            <w:tcBorders>
              <w:top w:val="nil"/>
              <w:left w:val="nil"/>
              <w:bottom w:val="nil"/>
              <w:right w:val="nil"/>
            </w:tcBorders>
            <w:shd w:val="clear" w:color="auto" w:fill="auto"/>
            <w:noWrap/>
            <w:vAlign w:val="center"/>
          </w:tcPr>
          <w:p w14:paraId="39F4104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2/23 (8.70)</w:t>
            </w:r>
          </w:p>
        </w:tc>
        <w:tc>
          <w:tcPr>
            <w:tcW w:w="1319" w:type="dxa"/>
            <w:tcBorders>
              <w:top w:val="nil"/>
              <w:left w:val="nil"/>
              <w:bottom w:val="nil"/>
              <w:right w:val="nil"/>
            </w:tcBorders>
            <w:shd w:val="clear" w:color="auto" w:fill="auto"/>
            <w:noWrap/>
            <w:vAlign w:val="center"/>
          </w:tcPr>
          <w:p w14:paraId="66823E2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4/27 (14.81)</w:t>
            </w:r>
          </w:p>
        </w:tc>
        <w:tc>
          <w:tcPr>
            <w:tcW w:w="1273" w:type="dxa"/>
            <w:tcBorders>
              <w:top w:val="nil"/>
              <w:left w:val="nil"/>
              <w:bottom w:val="nil"/>
              <w:right w:val="nil"/>
            </w:tcBorders>
            <w:shd w:val="clear" w:color="auto" w:fill="auto"/>
            <w:noWrap/>
            <w:vAlign w:val="center"/>
          </w:tcPr>
          <w:p w14:paraId="0472052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1/24 (4.17)</w:t>
            </w:r>
          </w:p>
        </w:tc>
        <w:tc>
          <w:tcPr>
            <w:tcW w:w="1311" w:type="dxa"/>
            <w:tcBorders>
              <w:top w:val="nil"/>
              <w:left w:val="nil"/>
              <w:bottom w:val="nil"/>
              <w:right w:val="nil"/>
            </w:tcBorders>
            <w:shd w:val="clear" w:color="auto" w:fill="auto"/>
            <w:noWrap/>
            <w:vAlign w:val="center"/>
          </w:tcPr>
          <w:p w14:paraId="48CBDAC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2/32 (6.25)</w:t>
            </w:r>
          </w:p>
        </w:tc>
        <w:tc>
          <w:tcPr>
            <w:tcW w:w="1273" w:type="dxa"/>
            <w:tcBorders>
              <w:top w:val="nil"/>
              <w:left w:val="nil"/>
              <w:bottom w:val="nil"/>
              <w:right w:val="nil"/>
            </w:tcBorders>
            <w:shd w:val="clear" w:color="auto" w:fill="auto"/>
            <w:noWrap/>
            <w:vAlign w:val="center"/>
          </w:tcPr>
          <w:p w14:paraId="4B82EF8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1/28 (3.57)</w:t>
            </w:r>
          </w:p>
        </w:tc>
        <w:tc>
          <w:tcPr>
            <w:tcW w:w="1361" w:type="dxa"/>
            <w:tcBorders>
              <w:top w:val="nil"/>
              <w:left w:val="nil"/>
              <w:bottom w:val="nil"/>
              <w:right w:val="nil"/>
            </w:tcBorders>
            <w:shd w:val="clear" w:color="auto" w:fill="auto"/>
            <w:noWrap/>
            <w:vAlign w:val="center"/>
          </w:tcPr>
          <w:p w14:paraId="2EBB349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10/134 (7.46)</w:t>
            </w:r>
          </w:p>
        </w:tc>
      </w:tr>
      <w:tr w14:paraId="49252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 w:hRule="atLeast"/>
          <w:jc w:val="center"/>
        </w:trPr>
        <w:tc>
          <w:tcPr>
            <w:tcW w:w="1872" w:type="dxa"/>
            <w:tcBorders>
              <w:top w:val="nil"/>
              <w:left w:val="nil"/>
              <w:bottom w:val="nil"/>
              <w:right w:val="nil"/>
            </w:tcBorders>
            <w:shd w:val="clear" w:color="auto" w:fill="auto"/>
            <w:noWrap/>
            <w:vAlign w:val="bottom"/>
          </w:tcPr>
          <w:p w14:paraId="011D048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Neurosurgery</w:t>
            </w:r>
          </w:p>
        </w:tc>
        <w:tc>
          <w:tcPr>
            <w:tcW w:w="1227" w:type="dxa"/>
            <w:tcBorders>
              <w:top w:val="nil"/>
              <w:left w:val="nil"/>
              <w:bottom w:val="nil"/>
              <w:right w:val="nil"/>
            </w:tcBorders>
            <w:shd w:val="clear" w:color="auto" w:fill="auto"/>
            <w:noWrap/>
            <w:vAlign w:val="bottom"/>
          </w:tcPr>
          <w:p w14:paraId="60F6C6F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1/17 (5.88)</w:t>
            </w:r>
          </w:p>
        </w:tc>
        <w:tc>
          <w:tcPr>
            <w:tcW w:w="1319" w:type="dxa"/>
            <w:tcBorders>
              <w:top w:val="nil"/>
              <w:left w:val="nil"/>
              <w:bottom w:val="nil"/>
              <w:right w:val="nil"/>
            </w:tcBorders>
            <w:shd w:val="clear" w:color="auto" w:fill="auto"/>
            <w:noWrap/>
            <w:vAlign w:val="bottom"/>
          </w:tcPr>
          <w:p w14:paraId="0FE9718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1/32 (3.12)</w:t>
            </w:r>
          </w:p>
        </w:tc>
        <w:tc>
          <w:tcPr>
            <w:tcW w:w="1273" w:type="dxa"/>
            <w:tcBorders>
              <w:top w:val="nil"/>
              <w:left w:val="nil"/>
              <w:bottom w:val="nil"/>
              <w:right w:val="nil"/>
            </w:tcBorders>
            <w:shd w:val="clear" w:color="auto" w:fill="auto"/>
            <w:noWrap/>
            <w:vAlign w:val="bottom"/>
          </w:tcPr>
          <w:p w14:paraId="637E4A6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4/29 (13.79)</w:t>
            </w:r>
          </w:p>
        </w:tc>
        <w:tc>
          <w:tcPr>
            <w:tcW w:w="1311" w:type="dxa"/>
            <w:tcBorders>
              <w:top w:val="nil"/>
              <w:left w:val="nil"/>
              <w:bottom w:val="nil"/>
              <w:right w:val="nil"/>
            </w:tcBorders>
            <w:shd w:val="clear" w:color="auto" w:fill="auto"/>
            <w:noWrap/>
            <w:vAlign w:val="bottom"/>
          </w:tcPr>
          <w:p w14:paraId="202683D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2/38 (5.26)</w:t>
            </w:r>
          </w:p>
        </w:tc>
        <w:tc>
          <w:tcPr>
            <w:tcW w:w="1273" w:type="dxa"/>
            <w:tcBorders>
              <w:top w:val="nil"/>
              <w:left w:val="nil"/>
              <w:bottom w:val="nil"/>
              <w:right w:val="nil"/>
            </w:tcBorders>
            <w:shd w:val="clear" w:color="auto" w:fill="auto"/>
            <w:noWrap/>
            <w:vAlign w:val="bottom"/>
          </w:tcPr>
          <w:p w14:paraId="58D1233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1/25 (4.00)</w:t>
            </w:r>
          </w:p>
        </w:tc>
        <w:tc>
          <w:tcPr>
            <w:tcW w:w="1361" w:type="dxa"/>
            <w:tcBorders>
              <w:top w:val="nil"/>
              <w:left w:val="nil"/>
              <w:bottom w:val="nil"/>
              <w:right w:val="nil"/>
            </w:tcBorders>
            <w:shd w:val="clear" w:color="auto" w:fill="auto"/>
            <w:noWrap/>
            <w:vAlign w:val="bottom"/>
          </w:tcPr>
          <w:p w14:paraId="1BA414C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9/141 (6.38)</w:t>
            </w:r>
          </w:p>
        </w:tc>
      </w:tr>
      <w:tr w14:paraId="60097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jc w:val="center"/>
        </w:trPr>
        <w:tc>
          <w:tcPr>
            <w:tcW w:w="1872" w:type="dxa"/>
            <w:tcBorders>
              <w:top w:val="nil"/>
              <w:left w:val="nil"/>
              <w:bottom w:val="nil"/>
              <w:right w:val="nil"/>
            </w:tcBorders>
            <w:shd w:val="clear" w:color="auto" w:fill="auto"/>
            <w:vAlign w:val="bottom"/>
          </w:tcPr>
          <w:p w14:paraId="32FE9CA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Orthopedics ward I</w:t>
            </w:r>
          </w:p>
        </w:tc>
        <w:tc>
          <w:tcPr>
            <w:tcW w:w="1227" w:type="dxa"/>
            <w:tcBorders>
              <w:top w:val="nil"/>
              <w:left w:val="nil"/>
              <w:bottom w:val="nil"/>
              <w:right w:val="nil"/>
            </w:tcBorders>
            <w:shd w:val="clear" w:color="auto" w:fill="auto"/>
            <w:noWrap/>
            <w:vAlign w:val="bottom"/>
          </w:tcPr>
          <w:p w14:paraId="7CE0A08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2/24 (8.33)</w:t>
            </w:r>
          </w:p>
        </w:tc>
        <w:tc>
          <w:tcPr>
            <w:tcW w:w="1319" w:type="dxa"/>
            <w:tcBorders>
              <w:top w:val="nil"/>
              <w:left w:val="nil"/>
              <w:bottom w:val="nil"/>
              <w:right w:val="nil"/>
            </w:tcBorders>
            <w:shd w:val="clear" w:color="auto" w:fill="auto"/>
            <w:noWrap/>
            <w:vAlign w:val="bottom"/>
          </w:tcPr>
          <w:p w14:paraId="74464BF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3/20 (15.00)</w:t>
            </w:r>
          </w:p>
        </w:tc>
        <w:tc>
          <w:tcPr>
            <w:tcW w:w="1273" w:type="dxa"/>
            <w:tcBorders>
              <w:top w:val="nil"/>
              <w:left w:val="nil"/>
              <w:bottom w:val="nil"/>
              <w:right w:val="nil"/>
            </w:tcBorders>
            <w:shd w:val="clear" w:color="auto" w:fill="auto"/>
            <w:noWrap/>
            <w:vAlign w:val="bottom"/>
          </w:tcPr>
          <w:p w14:paraId="243C8CC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2/27 (7.41)</w:t>
            </w:r>
          </w:p>
        </w:tc>
        <w:tc>
          <w:tcPr>
            <w:tcW w:w="1311" w:type="dxa"/>
            <w:tcBorders>
              <w:top w:val="nil"/>
              <w:left w:val="nil"/>
              <w:bottom w:val="nil"/>
              <w:right w:val="nil"/>
            </w:tcBorders>
            <w:shd w:val="clear" w:color="auto" w:fill="auto"/>
            <w:noWrap/>
            <w:vAlign w:val="bottom"/>
          </w:tcPr>
          <w:p w14:paraId="77D3673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0/25 (0.00)</w:t>
            </w:r>
          </w:p>
        </w:tc>
        <w:tc>
          <w:tcPr>
            <w:tcW w:w="1273" w:type="dxa"/>
            <w:tcBorders>
              <w:top w:val="nil"/>
              <w:left w:val="nil"/>
              <w:bottom w:val="nil"/>
              <w:right w:val="nil"/>
            </w:tcBorders>
            <w:shd w:val="clear" w:color="auto" w:fill="auto"/>
            <w:noWrap/>
            <w:vAlign w:val="bottom"/>
          </w:tcPr>
          <w:p w14:paraId="0509732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0/21 (0.00)</w:t>
            </w:r>
          </w:p>
        </w:tc>
        <w:tc>
          <w:tcPr>
            <w:tcW w:w="1361" w:type="dxa"/>
            <w:tcBorders>
              <w:top w:val="nil"/>
              <w:left w:val="nil"/>
              <w:bottom w:val="nil"/>
              <w:right w:val="nil"/>
            </w:tcBorders>
            <w:shd w:val="clear" w:color="auto" w:fill="auto"/>
            <w:noWrap/>
            <w:vAlign w:val="bottom"/>
          </w:tcPr>
          <w:p w14:paraId="369241D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7/117 (5.98)</w:t>
            </w:r>
          </w:p>
        </w:tc>
      </w:tr>
      <w:tr w14:paraId="39A43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 w:hRule="atLeast"/>
          <w:jc w:val="center"/>
        </w:trPr>
        <w:tc>
          <w:tcPr>
            <w:tcW w:w="1872" w:type="dxa"/>
            <w:tcBorders>
              <w:top w:val="nil"/>
              <w:left w:val="nil"/>
              <w:bottom w:val="single" w:color="000000" w:sz="4" w:space="0"/>
              <w:right w:val="nil"/>
            </w:tcBorders>
            <w:shd w:val="clear" w:color="auto" w:fill="auto"/>
            <w:noWrap/>
            <w:vAlign w:val="bottom"/>
          </w:tcPr>
          <w:p w14:paraId="7536558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General surgery ward I</w:t>
            </w:r>
          </w:p>
        </w:tc>
        <w:tc>
          <w:tcPr>
            <w:tcW w:w="1227" w:type="dxa"/>
            <w:tcBorders>
              <w:top w:val="nil"/>
              <w:left w:val="nil"/>
              <w:bottom w:val="single" w:color="000000" w:sz="4" w:space="0"/>
              <w:right w:val="nil"/>
            </w:tcBorders>
            <w:shd w:val="clear" w:color="auto" w:fill="auto"/>
            <w:noWrap/>
            <w:vAlign w:val="bottom"/>
          </w:tcPr>
          <w:p w14:paraId="66F8099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2/39 (5.13)</w:t>
            </w:r>
          </w:p>
        </w:tc>
        <w:tc>
          <w:tcPr>
            <w:tcW w:w="1319" w:type="dxa"/>
            <w:tcBorders>
              <w:top w:val="nil"/>
              <w:left w:val="nil"/>
              <w:bottom w:val="single" w:color="000000" w:sz="4" w:space="0"/>
              <w:right w:val="nil"/>
            </w:tcBorders>
            <w:shd w:val="clear" w:color="auto" w:fill="auto"/>
            <w:noWrap/>
            <w:vAlign w:val="bottom"/>
          </w:tcPr>
          <w:p w14:paraId="312BAD4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1/22 (4.55)</w:t>
            </w:r>
          </w:p>
        </w:tc>
        <w:tc>
          <w:tcPr>
            <w:tcW w:w="1273" w:type="dxa"/>
            <w:tcBorders>
              <w:top w:val="nil"/>
              <w:left w:val="nil"/>
              <w:bottom w:val="single" w:color="000000" w:sz="4" w:space="0"/>
              <w:right w:val="nil"/>
            </w:tcBorders>
            <w:shd w:val="clear" w:color="auto" w:fill="auto"/>
            <w:noWrap/>
            <w:vAlign w:val="bottom"/>
          </w:tcPr>
          <w:p w14:paraId="0E30CDF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0/35 (0.00)</w:t>
            </w:r>
          </w:p>
        </w:tc>
        <w:tc>
          <w:tcPr>
            <w:tcW w:w="1311" w:type="dxa"/>
            <w:tcBorders>
              <w:top w:val="nil"/>
              <w:left w:val="nil"/>
              <w:bottom w:val="single" w:color="000000" w:sz="4" w:space="0"/>
              <w:right w:val="nil"/>
            </w:tcBorders>
            <w:shd w:val="clear" w:color="auto" w:fill="auto"/>
            <w:noWrap/>
            <w:vAlign w:val="bottom"/>
          </w:tcPr>
          <w:p w14:paraId="0FDA7D3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2/40 (5.00)</w:t>
            </w:r>
          </w:p>
        </w:tc>
        <w:tc>
          <w:tcPr>
            <w:tcW w:w="1273" w:type="dxa"/>
            <w:tcBorders>
              <w:top w:val="nil"/>
              <w:left w:val="nil"/>
              <w:bottom w:val="single" w:color="000000" w:sz="4" w:space="0"/>
              <w:right w:val="nil"/>
            </w:tcBorders>
            <w:shd w:val="clear" w:color="auto" w:fill="auto"/>
            <w:noWrap/>
            <w:vAlign w:val="bottom"/>
          </w:tcPr>
          <w:p w14:paraId="290ABC1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0/35 (0.00)</w:t>
            </w:r>
          </w:p>
        </w:tc>
        <w:tc>
          <w:tcPr>
            <w:tcW w:w="1361" w:type="dxa"/>
            <w:tcBorders>
              <w:top w:val="nil"/>
              <w:left w:val="nil"/>
              <w:bottom w:val="single" w:color="000000" w:sz="4" w:space="0"/>
              <w:right w:val="nil"/>
            </w:tcBorders>
            <w:shd w:val="clear" w:color="auto" w:fill="auto"/>
            <w:noWrap/>
            <w:vAlign w:val="bottom"/>
          </w:tcPr>
          <w:p w14:paraId="3EFE959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5/171 (2.92)</w:t>
            </w:r>
          </w:p>
        </w:tc>
      </w:tr>
    </w:tbl>
    <w:p w14:paraId="65068D8A">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16"/>
          <w:szCs w:val="16"/>
        </w:rPr>
      </w:pPr>
      <w:r>
        <w:rPr>
          <w:rFonts w:hint="default" w:ascii="Times New Roman" w:hAnsi="Times New Roman" w:cs="Times New Roman"/>
          <w:b/>
          <w:bCs/>
          <w:i/>
          <w:iCs/>
          <w:color w:val="auto"/>
          <w:sz w:val="16"/>
          <w:szCs w:val="16"/>
        </w:rPr>
        <w:t>Note</w:t>
      </w:r>
      <w:r>
        <w:rPr>
          <w:rFonts w:hint="default" w:ascii="Times New Roman" w:hAnsi="Times New Roman" w:cs="Times New Roman"/>
          <w:color w:val="auto"/>
          <w:sz w:val="16"/>
          <w:szCs w:val="16"/>
        </w:rPr>
        <w:t>: Data are presented as n/N (%), where n is the number of HAI episodes and N is the number of surveyed patients in the corresponding department and year. Departments represented in all five PPSs were eligible for ranking, and the six departments with the highest pooled episode-level prevalence are shown. Annual estimates should be interpreted cautiously because several cells are based on small numerators and denominators. HAI, healthcare-associated infection; PPS, point prevalence survey; ICU, intensive care unit; CCU, coronary care unit.</w:t>
      </w:r>
    </w:p>
    <w:p w14:paraId="5F8B31ED">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16"/>
          <w:szCs w:val="16"/>
          <w:lang w:val="en-US" w:eastAsia="zh-CN"/>
        </w:rPr>
      </w:pPr>
    </w:p>
    <w:p w14:paraId="50DCECA9">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b/>
          <w:bCs/>
          <w:color w:val="auto"/>
        </w:rPr>
      </w:pPr>
      <w:r>
        <w:rPr>
          <w:rFonts w:hint="default" w:ascii="Times New Roman" w:hAnsi="Times New Roman" w:cs="Times New Roman"/>
          <w:b/>
          <w:bCs/>
          <w:color w:val="auto"/>
          <w:sz w:val="18"/>
          <w:szCs w:val="18"/>
          <w:highlight w:val="none"/>
        </w:rPr>
        <w:t>Supplementary</w:t>
      </w:r>
      <w:r>
        <w:rPr>
          <w:rFonts w:hint="eastAsia" w:ascii="Times New Roman" w:hAnsi="Times New Roman" w:cs="Times New Roman"/>
          <w:b/>
          <w:bCs/>
          <w:color w:val="auto"/>
          <w:sz w:val="18"/>
          <w:szCs w:val="18"/>
          <w:highlight w:val="none"/>
          <w:lang w:val="en-US" w:eastAsia="zh-CN"/>
        </w:rPr>
        <w:t xml:space="preserve"> </w:t>
      </w:r>
      <w:r>
        <w:rPr>
          <w:rFonts w:hint="default" w:ascii="Times New Roman" w:hAnsi="Times New Roman" w:cs="Times New Roman"/>
          <w:b/>
          <w:bCs/>
          <w:color w:val="auto"/>
          <w:sz w:val="18"/>
          <w:szCs w:val="18"/>
          <w:highlight w:val="none"/>
        </w:rPr>
        <w:t>Table S</w:t>
      </w:r>
      <w:r>
        <w:rPr>
          <w:rFonts w:hint="eastAsia" w:ascii="Times New Roman" w:hAnsi="Times New Roman" w:cs="Times New Roman"/>
          <w:b/>
          <w:bCs/>
          <w:color w:val="auto"/>
          <w:sz w:val="18"/>
          <w:szCs w:val="18"/>
          <w:highlight w:val="none"/>
          <w:lang w:val="en-US" w:eastAsia="zh-CN"/>
        </w:rPr>
        <w:t>3</w:t>
      </w:r>
      <w:r>
        <w:rPr>
          <w:rFonts w:hint="default" w:ascii="Times New Roman" w:hAnsi="Times New Roman" w:cs="Times New Roman"/>
          <w:b/>
          <w:bCs/>
          <w:color w:val="auto"/>
          <w:sz w:val="18"/>
          <w:szCs w:val="18"/>
          <w:highlight w:val="none"/>
        </w:rPr>
        <w:t xml:space="preserve">. Annual microbiological specimen submission and culture positivity among </w:t>
      </w:r>
      <w:r>
        <w:rPr>
          <w:rFonts w:hint="eastAsia" w:ascii="Times New Roman" w:hAnsi="Times New Roman" w:cs="Times New Roman"/>
          <w:b/>
          <w:bCs/>
          <w:color w:val="auto"/>
          <w:sz w:val="18"/>
          <w:szCs w:val="18"/>
          <w:highlight w:val="none"/>
          <w:lang w:val="en-US" w:eastAsia="zh-CN"/>
        </w:rPr>
        <w:t>HAI</w:t>
      </w:r>
      <w:r>
        <w:rPr>
          <w:rFonts w:hint="default" w:ascii="Times New Roman" w:hAnsi="Times New Roman" w:cs="Times New Roman"/>
          <w:b/>
          <w:bCs/>
          <w:color w:val="auto"/>
          <w:sz w:val="18"/>
          <w:szCs w:val="18"/>
          <w:highlight w:val="none"/>
        </w:rPr>
        <w:t xml:space="preserve"> episodes, 2020–2024</w:t>
      </w:r>
    </w:p>
    <w:tbl>
      <w:tblPr>
        <w:tblStyle w:val="3"/>
        <w:tblW w:w="95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01"/>
        <w:gridCol w:w="1218"/>
        <w:gridCol w:w="2491"/>
        <w:gridCol w:w="2438"/>
        <w:gridCol w:w="2268"/>
      </w:tblGrid>
      <w:tr w14:paraId="6FBF9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 w:hRule="atLeast"/>
          <w:jc w:val="center"/>
        </w:trPr>
        <w:tc>
          <w:tcPr>
            <w:tcW w:w="1101" w:type="dxa"/>
            <w:tcBorders>
              <w:top w:val="single" w:color="000000" w:sz="4" w:space="0"/>
              <w:left w:val="nil"/>
              <w:bottom w:val="single" w:color="000000" w:sz="4" w:space="0"/>
              <w:right w:val="nil"/>
            </w:tcBorders>
            <w:shd w:val="clear" w:color="auto" w:fill="auto"/>
            <w:noWrap/>
            <w:vAlign w:val="center"/>
          </w:tcPr>
          <w:p w14:paraId="1E02C8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Year</w:t>
            </w:r>
          </w:p>
        </w:tc>
        <w:tc>
          <w:tcPr>
            <w:tcW w:w="1218" w:type="dxa"/>
            <w:tcBorders>
              <w:top w:val="single" w:color="000000" w:sz="4" w:space="0"/>
              <w:left w:val="nil"/>
              <w:bottom w:val="single" w:color="000000" w:sz="4" w:space="0"/>
              <w:right w:val="nil"/>
            </w:tcBorders>
            <w:shd w:val="clear" w:color="auto" w:fill="auto"/>
            <w:noWrap/>
            <w:vAlign w:val="center"/>
          </w:tcPr>
          <w:p w14:paraId="18A5783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HAI episodes</w:t>
            </w:r>
          </w:p>
        </w:tc>
        <w:tc>
          <w:tcPr>
            <w:tcW w:w="2491" w:type="dxa"/>
            <w:tcBorders>
              <w:top w:val="single" w:color="000000" w:sz="4" w:space="0"/>
              <w:left w:val="nil"/>
              <w:bottom w:val="single" w:color="000000" w:sz="4" w:space="0"/>
              <w:right w:val="nil"/>
            </w:tcBorders>
            <w:shd w:val="clear" w:color="auto" w:fill="auto"/>
            <w:vAlign w:val="center"/>
          </w:tcPr>
          <w:p w14:paraId="753FDC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Episodes with specimens submitted, n (%)</w:t>
            </w:r>
          </w:p>
        </w:tc>
        <w:tc>
          <w:tcPr>
            <w:tcW w:w="2438" w:type="dxa"/>
            <w:tcBorders>
              <w:top w:val="single" w:color="000000" w:sz="4" w:space="0"/>
              <w:left w:val="nil"/>
              <w:bottom w:val="single" w:color="000000" w:sz="4" w:space="0"/>
              <w:right w:val="nil"/>
            </w:tcBorders>
            <w:shd w:val="clear" w:color="auto" w:fill="auto"/>
            <w:vAlign w:val="center"/>
          </w:tcPr>
          <w:p w14:paraId="3DA9D5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Culture-positive episodes, n (% of submitted episodes)</w:t>
            </w:r>
          </w:p>
        </w:tc>
        <w:tc>
          <w:tcPr>
            <w:tcW w:w="2268" w:type="dxa"/>
            <w:tcBorders>
              <w:top w:val="single" w:color="000000" w:sz="4" w:space="0"/>
              <w:left w:val="nil"/>
              <w:bottom w:val="single" w:color="000000" w:sz="4" w:space="0"/>
              <w:right w:val="nil"/>
            </w:tcBorders>
            <w:shd w:val="clear" w:color="auto" w:fill="auto"/>
            <w:vAlign w:val="center"/>
          </w:tcPr>
          <w:p w14:paraId="225A1A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Pathogen isolates, n</w:t>
            </w:r>
          </w:p>
        </w:tc>
      </w:tr>
      <w:tr w14:paraId="75899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 w:hRule="atLeast"/>
          <w:jc w:val="center"/>
        </w:trPr>
        <w:tc>
          <w:tcPr>
            <w:tcW w:w="1101" w:type="dxa"/>
            <w:tcBorders>
              <w:top w:val="nil"/>
              <w:left w:val="nil"/>
              <w:bottom w:val="nil"/>
              <w:right w:val="nil"/>
            </w:tcBorders>
            <w:shd w:val="clear" w:color="auto" w:fill="auto"/>
            <w:noWrap/>
            <w:vAlign w:val="bottom"/>
          </w:tcPr>
          <w:p w14:paraId="464498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val="0"/>
                <w:bCs w:val="0"/>
                <w:i w:val="0"/>
                <w:iCs w:val="0"/>
                <w:color w:val="auto"/>
                <w:sz w:val="16"/>
                <w:szCs w:val="16"/>
                <w:u w:val="none"/>
              </w:rPr>
            </w:pPr>
            <w:r>
              <w:rPr>
                <w:rFonts w:hint="default" w:ascii="Times New Roman" w:hAnsi="Times New Roman" w:eastAsia="Carlito" w:cs="Times New Roman"/>
                <w:b w:val="0"/>
                <w:bCs w:val="0"/>
                <w:i w:val="0"/>
                <w:iCs w:val="0"/>
                <w:color w:val="auto"/>
                <w:kern w:val="0"/>
                <w:sz w:val="16"/>
                <w:szCs w:val="16"/>
                <w:u w:val="none"/>
                <w:lang w:val="en-US" w:eastAsia="zh-CN" w:bidi="ar"/>
              </w:rPr>
              <w:t>2020</w:t>
            </w:r>
          </w:p>
        </w:tc>
        <w:tc>
          <w:tcPr>
            <w:tcW w:w="1218" w:type="dxa"/>
            <w:tcBorders>
              <w:top w:val="nil"/>
              <w:left w:val="nil"/>
              <w:bottom w:val="nil"/>
              <w:right w:val="nil"/>
            </w:tcBorders>
            <w:shd w:val="clear" w:color="auto" w:fill="auto"/>
            <w:noWrap/>
            <w:vAlign w:val="center"/>
          </w:tcPr>
          <w:p w14:paraId="0715E0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b w:val="0"/>
                <w:bCs w:val="0"/>
                <w:i w:val="0"/>
                <w:iCs w:val="0"/>
                <w:color w:val="auto"/>
                <w:sz w:val="16"/>
                <w:szCs w:val="16"/>
                <w:u w:val="none"/>
              </w:rPr>
            </w:pPr>
            <w:r>
              <w:rPr>
                <w:rFonts w:hint="default" w:ascii="Times New Roman" w:hAnsi="Times New Roman" w:eastAsia="Carlito" w:cs="Times New Roman"/>
                <w:b w:val="0"/>
                <w:bCs w:val="0"/>
                <w:i w:val="0"/>
                <w:iCs w:val="0"/>
                <w:color w:val="auto"/>
                <w:kern w:val="0"/>
                <w:sz w:val="16"/>
                <w:szCs w:val="16"/>
                <w:u w:val="none"/>
                <w:lang w:val="en-US" w:eastAsia="zh-CN" w:bidi="ar"/>
              </w:rPr>
              <w:t>22</w:t>
            </w:r>
          </w:p>
        </w:tc>
        <w:tc>
          <w:tcPr>
            <w:tcW w:w="2491" w:type="dxa"/>
            <w:tcBorders>
              <w:top w:val="nil"/>
              <w:left w:val="nil"/>
              <w:bottom w:val="nil"/>
              <w:right w:val="nil"/>
            </w:tcBorders>
            <w:shd w:val="clear" w:color="auto" w:fill="auto"/>
            <w:noWrap/>
            <w:vAlign w:val="bottom"/>
          </w:tcPr>
          <w:p w14:paraId="60D50A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val="0"/>
                <w:bCs w:val="0"/>
                <w:i w:val="0"/>
                <w:iCs w:val="0"/>
                <w:color w:val="auto"/>
                <w:sz w:val="16"/>
                <w:szCs w:val="16"/>
                <w:u w:val="none"/>
              </w:rPr>
            </w:pPr>
            <w:r>
              <w:rPr>
                <w:rFonts w:hint="default" w:ascii="Times New Roman" w:hAnsi="Times New Roman" w:eastAsia="Carlito" w:cs="Times New Roman"/>
                <w:b w:val="0"/>
                <w:bCs w:val="0"/>
                <w:i w:val="0"/>
                <w:iCs w:val="0"/>
                <w:color w:val="auto"/>
                <w:kern w:val="0"/>
                <w:sz w:val="16"/>
                <w:szCs w:val="16"/>
                <w:u w:val="none"/>
                <w:lang w:val="en-US" w:eastAsia="zh-CN" w:bidi="ar"/>
              </w:rPr>
              <w:t>20 (90.91)</w:t>
            </w:r>
          </w:p>
        </w:tc>
        <w:tc>
          <w:tcPr>
            <w:tcW w:w="2438" w:type="dxa"/>
            <w:tcBorders>
              <w:top w:val="nil"/>
              <w:left w:val="nil"/>
              <w:bottom w:val="nil"/>
              <w:right w:val="nil"/>
            </w:tcBorders>
            <w:shd w:val="clear" w:color="auto" w:fill="auto"/>
            <w:noWrap/>
            <w:vAlign w:val="bottom"/>
          </w:tcPr>
          <w:p w14:paraId="1B1663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val="0"/>
                <w:bCs w:val="0"/>
                <w:i w:val="0"/>
                <w:iCs w:val="0"/>
                <w:color w:val="auto"/>
                <w:sz w:val="16"/>
                <w:szCs w:val="16"/>
                <w:u w:val="none"/>
              </w:rPr>
            </w:pPr>
            <w:r>
              <w:rPr>
                <w:rFonts w:hint="default" w:ascii="Times New Roman" w:hAnsi="Times New Roman" w:eastAsia="Carlito" w:cs="Times New Roman"/>
                <w:b w:val="0"/>
                <w:bCs w:val="0"/>
                <w:i w:val="0"/>
                <w:iCs w:val="0"/>
                <w:color w:val="auto"/>
                <w:kern w:val="0"/>
                <w:sz w:val="16"/>
                <w:szCs w:val="16"/>
                <w:u w:val="none"/>
                <w:lang w:val="en-US" w:eastAsia="zh-CN" w:bidi="ar"/>
              </w:rPr>
              <w:t>18 (90.00)</w:t>
            </w:r>
          </w:p>
        </w:tc>
        <w:tc>
          <w:tcPr>
            <w:tcW w:w="2268" w:type="dxa"/>
            <w:tcBorders>
              <w:top w:val="nil"/>
              <w:left w:val="nil"/>
              <w:bottom w:val="nil"/>
              <w:right w:val="nil"/>
            </w:tcBorders>
            <w:shd w:val="clear" w:color="auto" w:fill="auto"/>
            <w:vAlign w:val="bottom"/>
          </w:tcPr>
          <w:p w14:paraId="3A3926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val="0"/>
                <w:bCs w:val="0"/>
                <w:i w:val="0"/>
                <w:iCs w:val="0"/>
                <w:color w:val="auto"/>
                <w:sz w:val="16"/>
                <w:szCs w:val="16"/>
                <w:u w:val="none"/>
              </w:rPr>
            </w:pPr>
            <w:r>
              <w:rPr>
                <w:rFonts w:hint="default" w:ascii="Times New Roman" w:hAnsi="Times New Roman" w:eastAsia="Carlito" w:cs="Times New Roman"/>
                <w:b w:val="0"/>
                <w:bCs w:val="0"/>
                <w:i w:val="0"/>
                <w:iCs w:val="0"/>
                <w:color w:val="auto"/>
                <w:kern w:val="0"/>
                <w:sz w:val="16"/>
                <w:szCs w:val="16"/>
                <w:u w:val="none"/>
                <w:lang w:val="en-US" w:eastAsia="zh-CN" w:bidi="ar"/>
              </w:rPr>
              <w:t>19</w:t>
            </w:r>
          </w:p>
        </w:tc>
      </w:tr>
      <w:tr w14:paraId="0AC14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 w:hRule="atLeast"/>
          <w:jc w:val="center"/>
        </w:trPr>
        <w:tc>
          <w:tcPr>
            <w:tcW w:w="1101" w:type="dxa"/>
            <w:tcBorders>
              <w:top w:val="nil"/>
              <w:left w:val="nil"/>
              <w:bottom w:val="nil"/>
              <w:right w:val="nil"/>
            </w:tcBorders>
            <w:shd w:val="clear" w:color="auto" w:fill="auto"/>
            <w:noWrap/>
            <w:vAlign w:val="bottom"/>
          </w:tcPr>
          <w:p w14:paraId="6C3149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val="0"/>
                <w:bCs w:val="0"/>
                <w:i w:val="0"/>
                <w:iCs w:val="0"/>
                <w:color w:val="auto"/>
                <w:sz w:val="16"/>
                <w:szCs w:val="16"/>
                <w:u w:val="none"/>
              </w:rPr>
            </w:pPr>
            <w:r>
              <w:rPr>
                <w:rFonts w:hint="default" w:ascii="Times New Roman" w:hAnsi="Times New Roman" w:eastAsia="Carlito" w:cs="Times New Roman"/>
                <w:b w:val="0"/>
                <w:bCs w:val="0"/>
                <w:i w:val="0"/>
                <w:iCs w:val="0"/>
                <w:color w:val="auto"/>
                <w:kern w:val="0"/>
                <w:sz w:val="16"/>
                <w:szCs w:val="16"/>
                <w:u w:val="none"/>
                <w:lang w:val="en-US" w:eastAsia="zh-CN" w:bidi="ar"/>
              </w:rPr>
              <w:t>2021</w:t>
            </w:r>
          </w:p>
        </w:tc>
        <w:tc>
          <w:tcPr>
            <w:tcW w:w="1218" w:type="dxa"/>
            <w:tcBorders>
              <w:top w:val="nil"/>
              <w:left w:val="nil"/>
              <w:bottom w:val="nil"/>
              <w:right w:val="nil"/>
            </w:tcBorders>
            <w:shd w:val="clear" w:color="auto" w:fill="auto"/>
            <w:noWrap/>
            <w:vAlign w:val="center"/>
          </w:tcPr>
          <w:p w14:paraId="3A2F5A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b w:val="0"/>
                <w:bCs w:val="0"/>
                <w:i w:val="0"/>
                <w:iCs w:val="0"/>
                <w:color w:val="auto"/>
                <w:sz w:val="16"/>
                <w:szCs w:val="16"/>
                <w:u w:val="none"/>
              </w:rPr>
            </w:pPr>
            <w:r>
              <w:rPr>
                <w:rFonts w:hint="default" w:ascii="Times New Roman" w:hAnsi="Times New Roman" w:eastAsia="Carlito" w:cs="Times New Roman"/>
                <w:b w:val="0"/>
                <w:bCs w:val="0"/>
                <w:i w:val="0"/>
                <w:iCs w:val="0"/>
                <w:color w:val="auto"/>
                <w:kern w:val="0"/>
                <w:sz w:val="16"/>
                <w:szCs w:val="16"/>
                <w:u w:val="none"/>
                <w:lang w:val="en-US" w:eastAsia="zh-CN" w:bidi="ar"/>
              </w:rPr>
              <w:t>22</w:t>
            </w:r>
          </w:p>
        </w:tc>
        <w:tc>
          <w:tcPr>
            <w:tcW w:w="2491" w:type="dxa"/>
            <w:tcBorders>
              <w:top w:val="nil"/>
              <w:left w:val="nil"/>
              <w:bottom w:val="nil"/>
              <w:right w:val="nil"/>
            </w:tcBorders>
            <w:shd w:val="clear" w:color="auto" w:fill="auto"/>
            <w:noWrap/>
            <w:vAlign w:val="bottom"/>
          </w:tcPr>
          <w:p w14:paraId="6A0CDF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val="0"/>
                <w:bCs w:val="0"/>
                <w:i w:val="0"/>
                <w:iCs w:val="0"/>
                <w:color w:val="auto"/>
                <w:sz w:val="16"/>
                <w:szCs w:val="16"/>
                <w:u w:val="none"/>
              </w:rPr>
            </w:pPr>
            <w:r>
              <w:rPr>
                <w:rFonts w:hint="default" w:ascii="Times New Roman" w:hAnsi="Times New Roman" w:eastAsia="Carlito" w:cs="Times New Roman"/>
                <w:b w:val="0"/>
                <w:bCs w:val="0"/>
                <w:i w:val="0"/>
                <w:iCs w:val="0"/>
                <w:color w:val="auto"/>
                <w:kern w:val="0"/>
                <w:sz w:val="16"/>
                <w:szCs w:val="16"/>
                <w:u w:val="none"/>
                <w:lang w:val="en-US" w:eastAsia="zh-CN" w:bidi="ar"/>
              </w:rPr>
              <w:t>20 (90.91)</w:t>
            </w:r>
          </w:p>
        </w:tc>
        <w:tc>
          <w:tcPr>
            <w:tcW w:w="2438" w:type="dxa"/>
            <w:tcBorders>
              <w:top w:val="nil"/>
              <w:left w:val="nil"/>
              <w:bottom w:val="nil"/>
              <w:right w:val="nil"/>
            </w:tcBorders>
            <w:shd w:val="clear" w:color="auto" w:fill="auto"/>
            <w:noWrap/>
            <w:vAlign w:val="bottom"/>
          </w:tcPr>
          <w:p w14:paraId="170E3A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val="0"/>
                <w:bCs w:val="0"/>
                <w:i w:val="0"/>
                <w:iCs w:val="0"/>
                <w:color w:val="auto"/>
                <w:sz w:val="16"/>
                <w:szCs w:val="16"/>
                <w:u w:val="none"/>
              </w:rPr>
            </w:pPr>
            <w:r>
              <w:rPr>
                <w:rFonts w:hint="default" w:ascii="Times New Roman" w:hAnsi="Times New Roman" w:eastAsia="Carlito" w:cs="Times New Roman"/>
                <w:b w:val="0"/>
                <w:bCs w:val="0"/>
                <w:i w:val="0"/>
                <w:iCs w:val="0"/>
                <w:color w:val="auto"/>
                <w:kern w:val="0"/>
                <w:sz w:val="16"/>
                <w:szCs w:val="16"/>
                <w:u w:val="none"/>
                <w:lang w:val="en-US" w:eastAsia="zh-CN" w:bidi="ar"/>
              </w:rPr>
              <w:t>10 (50.00)</w:t>
            </w:r>
          </w:p>
        </w:tc>
        <w:tc>
          <w:tcPr>
            <w:tcW w:w="2268" w:type="dxa"/>
            <w:tcBorders>
              <w:top w:val="nil"/>
              <w:left w:val="nil"/>
              <w:bottom w:val="nil"/>
              <w:right w:val="nil"/>
            </w:tcBorders>
            <w:shd w:val="clear" w:color="auto" w:fill="auto"/>
            <w:vAlign w:val="bottom"/>
          </w:tcPr>
          <w:p w14:paraId="0D3D90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val="0"/>
                <w:bCs w:val="0"/>
                <w:i w:val="0"/>
                <w:iCs w:val="0"/>
                <w:color w:val="auto"/>
                <w:sz w:val="16"/>
                <w:szCs w:val="16"/>
                <w:u w:val="none"/>
              </w:rPr>
            </w:pPr>
            <w:r>
              <w:rPr>
                <w:rFonts w:hint="default" w:ascii="Times New Roman" w:hAnsi="Times New Roman" w:eastAsia="Carlito" w:cs="Times New Roman"/>
                <w:b w:val="0"/>
                <w:bCs w:val="0"/>
                <w:i w:val="0"/>
                <w:iCs w:val="0"/>
                <w:color w:val="auto"/>
                <w:kern w:val="0"/>
                <w:sz w:val="16"/>
                <w:szCs w:val="16"/>
                <w:u w:val="none"/>
                <w:lang w:val="en-US" w:eastAsia="zh-CN" w:bidi="ar"/>
              </w:rPr>
              <w:t>10</w:t>
            </w:r>
          </w:p>
        </w:tc>
      </w:tr>
      <w:tr w14:paraId="2B559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 w:hRule="atLeast"/>
          <w:jc w:val="center"/>
        </w:trPr>
        <w:tc>
          <w:tcPr>
            <w:tcW w:w="1101" w:type="dxa"/>
            <w:tcBorders>
              <w:top w:val="nil"/>
              <w:left w:val="nil"/>
              <w:bottom w:val="nil"/>
              <w:right w:val="nil"/>
            </w:tcBorders>
            <w:shd w:val="clear" w:color="auto" w:fill="auto"/>
            <w:noWrap/>
            <w:vAlign w:val="bottom"/>
          </w:tcPr>
          <w:p w14:paraId="2AA26F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val="0"/>
                <w:bCs w:val="0"/>
                <w:i w:val="0"/>
                <w:iCs w:val="0"/>
                <w:color w:val="auto"/>
                <w:sz w:val="16"/>
                <w:szCs w:val="16"/>
                <w:u w:val="none"/>
              </w:rPr>
            </w:pPr>
            <w:r>
              <w:rPr>
                <w:rFonts w:hint="default" w:ascii="Times New Roman" w:hAnsi="Times New Roman" w:eastAsia="Carlito" w:cs="Times New Roman"/>
                <w:b w:val="0"/>
                <w:bCs w:val="0"/>
                <w:i w:val="0"/>
                <w:iCs w:val="0"/>
                <w:color w:val="auto"/>
                <w:kern w:val="0"/>
                <w:sz w:val="16"/>
                <w:szCs w:val="16"/>
                <w:u w:val="none"/>
                <w:lang w:val="en-US" w:eastAsia="zh-CN" w:bidi="ar"/>
              </w:rPr>
              <w:t>2022</w:t>
            </w:r>
          </w:p>
        </w:tc>
        <w:tc>
          <w:tcPr>
            <w:tcW w:w="1218" w:type="dxa"/>
            <w:tcBorders>
              <w:top w:val="nil"/>
              <w:left w:val="nil"/>
              <w:bottom w:val="nil"/>
              <w:right w:val="nil"/>
            </w:tcBorders>
            <w:shd w:val="clear" w:color="auto" w:fill="auto"/>
            <w:noWrap/>
            <w:vAlign w:val="center"/>
          </w:tcPr>
          <w:p w14:paraId="7A8254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b w:val="0"/>
                <w:bCs w:val="0"/>
                <w:i w:val="0"/>
                <w:iCs w:val="0"/>
                <w:color w:val="auto"/>
                <w:sz w:val="16"/>
                <w:szCs w:val="16"/>
                <w:u w:val="none"/>
              </w:rPr>
            </w:pPr>
            <w:r>
              <w:rPr>
                <w:rFonts w:hint="default" w:ascii="Times New Roman" w:hAnsi="Times New Roman" w:eastAsia="Carlito" w:cs="Times New Roman"/>
                <w:b w:val="0"/>
                <w:bCs w:val="0"/>
                <w:i w:val="0"/>
                <w:iCs w:val="0"/>
                <w:color w:val="auto"/>
                <w:kern w:val="0"/>
                <w:sz w:val="16"/>
                <w:szCs w:val="16"/>
                <w:u w:val="none"/>
                <w:lang w:val="en-US" w:eastAsia="zh-CN" w:bidi="ar"/>
              </w:rPr>
              <w:t>13</w:t>
            </w:r>
          </w:p>
        </w:tc>
        <w:tc>
          <w:tcPr>
            <w:tcW w:w="2491" w:type="dxa"/>
            <w:tcBorders>
              <w:top w:val="nil"/>
              <w:left w:val="nil"/>
              <w:bottom w:val="nil"/>
              <w:right w:val="nil"/>
            </w:tcBorders>
            <w:shd w:val="clear" w:color="auto" w:fill="auto"/>
            <w:noWrap/>
            <w:vAlign w:val="bottom"/>
          </w:tcPr>
          <w:p w14:paraId="63482C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val="0"/>
                <w:bCs w:val="0"/>
                <w:i w:val="0"/>
                <w:iCs w:val="0"/>
                <w:color w:val="auto"/>
                <w:sz w:val="16"/>
                <w:szCs w:val="16"/>
                <w:u w:val="none"/>
              </w:rPr>
            </w:pPr>
            <w:r>
              <w:rPr>
                <w:rFonts w:hint="default" w:ascii="Times New Roman" w:hAnsi="Times New Roman" w:eastAsia="Carlito" w:cs="Times New Roman"/>
                <w:b w:val="0"/>
                <w:bCs w:val="0"/>
                <w:i w:val="0"/>
                <w:iCs w:val="0"/>
                <w:color w:val="auto"/>
                <w:kern w:val="0"/>
                <w:sz w:val="16"/>
                <w:szCs w:val="16"/>
                <w:u w:val="none"/>
                <w:lang w:val="en-US" w:eastAsia="zh-CN" w:bidi="ar"/>
              </w:rPr>
              <w:t>11 (84.62)</w:t>
            </w:r>
          </w:p>
        </w:tc>
        <w:tc>
          <w:tcPr>
            <w:tcW w:w="2438" w:type="dxa"/>
            <w:tcBorders>
              <w:top w:val="nil"/>
              <w:left w:val="nil"/>
              <w:bottom w:val="nil"/>
              <w:right w:val="nil"/>
            </w:tcBorders>
            <w:shd w:val="clear" w:color="auto" w:fill="auto"/>
            <w:noWrap/>
            <w:vAlign w:val="bottom"/>
          </w:tcPr>
          <w:p w14:paraId="553E68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val="0"/>
                <w:bCs w:val="0"/>
                <w:i w:val="0"/>
                <w:iCs w:val="0"/>
                <w:color w:val="auto"/>
                <w:sz w:val="16"/>
                <w:szCs w:val="16"/>
                <w:u w:val="none"/>
              </w:rPr>
            </w:pPr>
            <w:r>
              <w:rPr>
                <w:rFonts w:hint="default" w:ascii="Times New Roman" w:hAnsi="Times New Roman" w:eastAsia="Carlito" w:cs="Times New Roman"/>
                <w:b w:val="0"/>
                <w:bCs w:val="0"/>
                <w:i w:val="0"/>
                <w:iCs w:val="0"/>
                <w:color w:val="auto"/>
                <w:kern w:val="0"/>
                <w:sz w:val="16"/>
                <w:szCs w:val="16"/>
                <w:u w:val="none"/>
                <w:lang w:val="en-US" w:eastAsia="zh-CN" w:bidi="ar"/>
              </w:rPr>
              <w:t>6 (54.55)</w:t>
            </w:r>
          </w:p>
        </w:tc>
        <w:tc>
          <w:tcPr>
            <w:tcW w:w="2268" w:type="dxa"/>
            <w:tcBorders>
              <w:top w:val="nil"/>
              <w:left w:val="nil"/>
              <w:bottom w:val="nil"/>
              <w:right w:val="nil"/>
            </w:tcBorders>
            <w:shd w:val="clear" w:color="auto" w:fill="auto"/>
            <w:vAlign w:val="bottom"/>
          </w:tcPr>
          <w:p w14:paraId="044A8F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val="0"/>
                <w:bCs w:val="0"/>
                <w:i w:val="0"/>
                <w:iCs w:val="0"/>
                <w:color w:val="auto"/>
                <w:sz w:val="16"/>
                <w:szCs w:val="16"/>
                <w:u w:val="none"/>
              </w:rPr>
            </w:pPr>
            <w:r>
              <w:rPr>
                <w:rFonts w:hint="default" w:ascii="Times New Roman" w:hAnsi="Times New Roman" w:eastAsia="Carlito" w:cs="Times New Roman"/>
                <w:b w:val="0"/>
                <w:bCs w:val="0"/>
                <w:i w:val="0"/>
                <w:iCs w:val="0"/>
                <w:color w:val="auto"/>
                <w:kern w:val="0"/>
                <w:sz w:val="16"/>
                <w:szCs w:val="16"/>
                <w:u w:val="none"/>
                <w:lang w:val="en-US" w:eastAsia="zh-CN" w:bidi="ar"/>
              </w:rPr>
              <w:t>6</w:t>
            </w:r>
          </w:p>
        </w:tc>
      </w:tr>
      <w:tr w14:paraId="3C493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 w:hRule="atLeast"/>
          <w:jc w:val="center"/>
        </w:trPr>
        <w:tc>
          <w:tcPr>
            <w:tcW w:w="1101" w:type="dxa"/>
            <w:tcBorders>
              <w:top w:val="nil"/>
              <w:left w:val="nil"/>
              <w:bottom w:val="nil"/>
              <w:right w:val="nil"/>
            </w:tcBorders>
            <w:shd w:val="clear" w:color="auto" w:fill="auto"/>
            <w:noWrap/>
            <w:vAlign w:val="bottom"/>
          </w:tcPr>
          <w:p w14:paraId="17C1A7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val="0"/>
                <w:bCs w:val="0"/>
                <w:i w:val="0"/>
                <w:iCs w:val="0"/>
                <w:color w:val="auto"/>
                <w:sz w:val="16"/>
                <w:szCs w:val="16"/>
                <w:u w:val="none"/>
              </w:rPr>
            </w:pPr>
            <w:r>
              <w:rPr>
                <w:rFonts w:hint="default" w:ascii="Times New Roman" w:hAnsi="Times New Roman" w:eastAsia="Carlito" w:cs="Times New Roman"/>
                <w:b w:val="0"/>
                <w:bCs w:val="0"/>
                <w:i w:val="0"/>
                <w:iCs w:val="0"/>
                <w:color w:val="auto"/>
                <w:kern w:val="0"/>
                <w:sz w:val="16"/>
                <w:szCs w:val="16"/>
                <w:u w:val="none"/>
                <w:lang w:val="en-US" w:eastAsia="zh-CN" w:bidi="ar"/>
              </w:rPr>
              <w:t>2023</w:t>
            </w:r>
          </w:p>
        </w:tc>
        <w:tc>
          <w:tcPr>
            <w:tcW w:w="1218" w:type="dxa"/>
            <w:tcBorders>
              <w:top w:val="nil"/>
              <w:left w:val="nil"/>
              <w:bottom w:val="nil"/>
              <w:right w:val="nil"/>
            </w:tcBorders>
            <w:shd w:val="clear" w:color="auto" w:fill="auto"/>
            <w:noWrap/>
            <w:vAlign w:val="center"/>
          </w:tcPr>
          <w:p w14:paraId="01A0CB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b w:val="0"/>
                <w:bCs w:val="0"/>
                <w:i w:val="0"/>
                <w:iCs w:val="0"/>
                <w:color w:val="auto"/>
                <w:sz w:val="16"/>
                <w:szCs w:val="16"/>
                <w:u w:val="none"/>
              </w:rPr>
            </w:pPr>
            <w:r>
              <w:rPr>
                <w:rFonts w:hint="default" w:ascii="Times New Roman" w:hAnsi="Times New Roman" w:eastAsia="Carlito" w:cs="Times New Roman"/>
                <w:b w:val="0"/>
                <w:bCs w:val="0"/>
                <w:i w:val="0"/>
                <w:iCs w:val="0"/>
                <w:color w:val="auto"/>
                <w:kern w:val="0"/>
                <w:sz w:val="16"/>
                <w:szCs w:val="16"/>
                <w:u w:val="none"/>
                <w:lang w:val="en-US" w:eastAsia="zh-CN" w:bidi="ar"/>
              </w:rPr>
              <w:t>16</w:t>
            </w:r>
          </w:p>
        </w:tc>
        <w:tc>
          <w:tcPr>
            <w:tcW w:w="2491" w:type="dxa"/>
            <w:tcBorders>
              <w:top w:val="nil"/>
              <w:left w:val="nil"/>
              <w:bottom w:val="nil"/>
              <w:right w:val="nil"/>
            </w:tcBorders>
            <w:shd w:val="clear" w:color="auto" w:fill="auto"/>
            <w:noWrap/>
            <w:vAlign w:val="bottom"/>
          </w:tcPr>
          <w:p w14:paraId="11F84B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val="0"/>
                <w:bCs w:val="0"/>
                <w:i w:val="0"/>
                <w:iCs w:val="0"/>
                <w:color w:val="auto"/>
                <w:sz w:val="16"/>
                <w:szCs w:val="16"/>
                <w:u w:val="none"/>
              </w:rPr>
            </w:pPr>
            <w:r>
              <w:rPr>
                <w:rFonts w:hint="default" w:ascii="Times New Roman" w:hAnsi="Times New Roman" w:eastAsia="Carlito" w:cs="Times New Roman"/>
                <w:b w:val="0"/>
                <w:bCs w:val="0"/>
                <w:i w:val="0"/>
                <w:iCs w:val="0"/>
                <w:color w:val="auto"/>
                <w:kern w:val="0"/>
                <w:sz w:val="16"/>
                <w:szCs w:val="16"/>
                <w:u w:val="none"/>
                <w:lang w:val="en-US" w:eastAsia="zh-CN" w:bidi="ar"/>
              </w:rPr>
              <w:t>12 (75.00)</w:t>
            </w:r>
          </w:p>
        </w:tc>
        <w:tc>
          <w:tcPr>
            <w:tcW w:w="2438" w:type="dxa"/>
            <w:tcBorders>
              <w:top w:val="nil"/>
              <w:left w:val="nil"/>
              <w:bottom w:val="nil"/>
              <w:right w:val="nil"/>
            </w:tcBorders>
            <w:shd w:val="clear" w:color="auto" w:fill="auto"/>
            <w:noWrap/>
            <w:vAlign w:val="bottom"/>
          </w:tcPr>
          <w:p w14:paraId="390B54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val="0"/>
                <w:bCs w:val="0"/>
                <w:i w:val="0"/>
                <w:iCs w:val="0"/>
                <w:color w:val="auto"/>
                <w:sz w:val="16"/>
                <w:szCs w:val="16"/>
                <w:u w:val="none"/>
              </w:rPr>
            </w:pPr>
            <w:r>
              <w:rPr>
                <w:rFonts w:hint="default" w:ascii="Times New Roman" w:hAnsi="Times New Roman" w:eastAsia="Carlito" w:cs="Times New Roman"/>
                <w:b w:val="0"/>
                <w:bCs w:val="0"/>
                <w:i w:val="0"/>
                <w:iCs w:val="0"/>
                <w:color w:val="auto"/>
                <w:kern w:val="0"/>
                <w:sz w:val="16"/>
                <w:szCs w:val="16"/>
                <w:u w:val="none"/>
                <w:lang w:val="en-US" w:eastAsia="zh-CN" w:bidi="ar"/>
              </w:rPr>
              <w:t>8 (66.67)</w:t>
            </w:r>
          </w:p>
        </w:tc>
        <w:tc>
          <w:tcPr>
            <w:tcW w:w="2268" w:type="dxa"/>
            <w:tcBorders>
              <w:top w:val="nil"/>
              <w:left w:val="nil"/>
              <w:bottom w:val="nil"/>
              <w:right w:val="nil"/>
            </w:tcBorders>
            <w:shd w:val="clear" w:color="auto" w:fill="auto"/>
            <w:vAlign w:val="bottom"/>
          </w:tcPr>
          <w:p w14:paraId="6A3314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val="0"/>
                <w:bCs w:val="0"/>
                <w:i w:val="0"/>
                <w:iCs w:val="0"/>
                <w:color w:val="auto"/>
                <w:sz w:val="16"/>
                <w:szCs w:val="16"/>
                <w:u w:val="none"/>
              </w:rPr>
            </w:pPr>
            <w:r>
              <w:rPr>
                <w:rFonts w:hint="default" w:ascii="Times New Roman" w:hAnsi="Times New Roman" w:eastAsia="Carlito" w:cs="Times New Roman"/>
                <w:b w:val="0"/>
                <w:bCs w:val="0"/>
                <w:i w:val="0"/>
                <w:iCs w:val="0"/>
                <w:color w:val="auto"/>
                <w:kern w:val="0"/>
                <w:sz w:val="16"/>
                <w:szCs w:val="16"/>
                <w:u w:val="none"/>
                <w:lang w:val="en-US" w:eastAsia="zh-CN" w:bidi="ar"/>
              </w:rPr>
              <w:t>8</w:t>
            </w:r>
          </w:p>
        </w:tc>
      </w:tr>
      <w:tr w14:paraId="2C299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 w:hRule="atLeast"/>
          <w:jc w:val="center"/>
        </w:trPr>
        <w:tc>
          <w:tcPr>
            <w:tcW w:w="1101" w:type="dxa"/>
            <w:tcBorders>
              <w:top w:val="nil"/>
              <w:left w:val="nil"/>
              <w:bottom w:val="nil"/>
              <w:right w:val="nil"/>
            </w:tcBorders>
            <w:shd w:val="clear" w:color="auto" w:fill="auto"/>
            <w:noWrap/>
            <w:vAlign w:val="bottom"/>
          </w:tcPr>
          <w:p w14:paraId="4F1D53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val="0"/>
                <w:bCs w:val="0"/>
                <w:i w:val="0"/>
                <w:iCs w:val="0"/>
                <w:color w:val="auto"/>
                <w:sz w:val="16"/>
                <w:szCs w:val="16"/>
                <w:u w:val="none"/>
              </w:rPr>
            </w:pPr>
            <w:r>
              <w:rPr>
                <w:rFonts w:hint="default" w:ascii="Times New Roman" w:hAnsi="Times New Roman" w:eastAsia="Carlito" w:cs="Times New Roman"/>
                <w:b w:val="0"/>
                <w:bCs w:val="0"/>
                <w:i w:val="0"/>
                <w:iCs w:val="0"/>
                <w:color w:val="auto"/>
                <w:kern w:val="0"/>
                <w:sz w:val="16"/>
                <w:szCs w:val="16"/>
                <w:u w:val="none"/>
                <w:lang w:val="en-US" w:eastAsia="zh-CN" w:bidi="ar"/>
              </w:rPr>
              <w:t>2024</w:t>
            </w:r>
          </w:p>
        </w:tc>
        <w:tc>
          <w:tcPr>
            <w:tcW w:w="1218" w:type="dxa"/>
            <w:tcBorders>
              <w:top w:val="nil"/>
              <w:left w:val="nil"/>
              <w:bottom w:val="nil"/>
              <w:right w:val="nil"/>
            </w:tcBorders>
            <w:shd w:val="clear" w:color="auto" w:fill="auto"/>
            <w:noWrap/>
            <w:vAlign w:val="center"/>
          </w:tcPr>
          <w:p w14:paraId="0B880D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b w:val="0"/>
                <w:bCs w:val="0"/>
                <w:i w:val="0"/>
                <w:iCs w:val="0"/>
                <w:color w:val="auto"/>
                <w:sz w:val="16"/>
                <w:szCs w:val="16"/>
                <w:u w:val="none"/>
              </w:rPr>
            </w:pPr>
            <w:r>
              <w:rPr>
                <w:rFonts w:hint="default" w:ascii="Times New Roman" w:hAnsi="Times New Roman" w:eastAsia="Carlito" w:cs="Times New Roman"/>
                <w:b w:val="0"/>
                <w:bCs w:val="0"/>
                <w:i w:val="0"/>
                <w:iCs w:val="0"/>
                <w:color w:val="auto"/>
                <w:kern w:val="0"/>
                <w:sz w:val="16"/>
                <w:szCs w:val="16"/>
                <w:u w:val="none"/>
                <w:lang w:val="en-US" w:eastAsia="zh-CN" w:bidi="ar"/>
              </w:rPr>
              <w:t>8</w:t>
            </w:r>
          </w:p>
        </w:tc>
        <w:tc>
          <w:tcPr>
            <w:tcW w:w="2491" w:type="dxa"/>
            <w:tcBorders>
              <w:top w:val="nil"/>
              <w:left w:val="nil"/>
              <w:bottom w:val="nil"/>
              <w:right w:val="nil"/>
            </w:tcBorders>
            <w:shd w:val="clear" w:color="auto" w:fill="auto"/>
            <w:noWrap/>
            <w:vAlign w:val="bottom"/>
          </w:tcPr>
          <w:p w14:paraId="02A649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val="0"/>
                <w:bCs w:val="0"/>
                <w:i w:val="0"/>
                <w:iCs w:val="0"/>
                <w:color w:val="auto"/>
                <w:sz w:val="16"/>
                <w:szCs w:val="16"/>
                <w:u w:val="none"/>
              </w:rPr>
            </w:pPr>
            <w:r>
              <w:rPr>
                <w:rFonts w:hint="default" w:ascii="Times New Roman" w:hAnsi="Times New Roman" w:eastAsia="Carlito" w:cs="Times New Roman"/>
                <w:b w:val="0"/>
                <w:bCs w:val="0"/>
                <w:i w:val="0"/>
                <w:iCs w:val="0"/>
                <w:color w:val="auto"/>
                <w:kern w:val="0"/>
                <w:sz w:val="16"/>
                <w:szCs w:val="16"/>
                <w:u w:val="none"/>
                <w:lang w:val="en-US" w:eastAsia="zh-CN" w:bidi="ar"/>
              </w:rPr>
              <w:t>7 (87.50)</w:t>
            </w:r>
          </w:p>
        </w:tc>
        <w:tc>
          <w:tcPr>
            <w:tcW w:w="2438" w:type="dxa"/>
            <w:tcBorders>
              <w:top w:val="nil"/>
              <w:left w:val="nil"/>
              <w:bottom w:val="nil"/>
              <w:right w:val="nil"/>
            </w:tcBorders>
            <w:shd w:val="clear" w:color="auto" w:fill="auto"/>
            <w:noWrap/>
            <w:vAlign w:val="bottom"/>
          </w:tcPr>
          <w:p w14:paraId="3B198D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val="0"/>
                <w:bCs w:val="0"/>
                <w:i w:val="0"/>
                <w:iCs w:val="0"/>
                <w:color w:val="auto"/>
                <w:sz w:val="16"/>
                <w:szCs w:val="16"/>
                <w:u w:val="none"/>
              </w:rPr>
            </w:pPr>
            <w:r>
              <w:rPr>
                <w:rFonts w:hint="default" w:ascii="Times New Roman" w:hAnsi="Times New Roman" w:eastAsia="Carlito" w:cs="Times New Roman"/>
                <w:b w:val="0"/>
                <w:bCs w:val="0"/>
                <w:i w:val="0"/>
                <w:iCs w:val="0"/>
                <w:color w:val="auto"/>
                <w:kern w:val="0"/>
                <w:sz w:val="16"/>
                <w:szCs w:val="16"/>
                <w:u w:val="none"/>
                <w:lang w:val="en-US" w:eastAsia="zh-CN" w:bidi="ar"/>
              </w:rPr>
              <w:t>4 (57.14)</w:t>
            </w:r>
          </w:p>
        </w:tc>
        <w:tc>
          <w:tcPr>
            <w:tcW w:w="2268" w:type="dxa"/>
            <w:tcBorders>
              <w:top w:val="nil"/>
              <w:left w:val="nil"/>
              <w:bottom w:val="nil"/>
              <w:right w:val="nil"/>
            </w:tcBorders>
            <w:shd w:val="clear" w:color="auto" w:fill="auto"/>
            <w:vAlign w:val="bottom"/>
          </w:tcPr>
          <w:p w14:paraId="180AD2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val="0"/>
                <w:bCs w:val="0"/>
                <w:i w:val="0"/>
                <w:iCs w:val="0"/>
                <w:color w:val="auto"/>
                <w:sz w:val="16"/>
                <w:szCs w:val="16"/>
                <w:u w:val="none"/>
              </w:rPr>
            </w:pPr>
            <w:r>
              <w:rPr>
                <w:rFonts w:hint="default" w:ascii="Times New Roman" w:hAnsi="Times New Roman" w:eastAsia="Carlito" w:cs="Times New Roman"/>
                <w:b w:val="0"/>
                <w:bCs w:val="0"/>
                <w:i w:val="0"/>
                <w:iCs w:val="0"/>
                <w:color w:val="auto"/>
                <w:kern w:val="0"/>
                <w:sz w:val="16"/>
                <w:szCs w:val="16"/>
                <w:u w:val="none"/>
                <w:lang w:val="en-US" w:eastAsia="zh-CN" w:bidi="ar"/>
              </w:rPr>
              <w:t>4</w:t>
            </w:r>
          </w:p>
        </w:tc>
      </w:tr>
      <w:tr w14:paraId="71E20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 w:hRule="atLeast"/>
          <w:jc w:val="center"/>
        </w:trPr>
        <w:tc>
          <w:tcPr>
            <w:tcW w:w="1101" w:type="dxa"/>
            <w:tcBorders>
              <w:top w:val="nil"/>
              <w:left w:val="nil"/>
              <w:bottom w:val="single" w:color="000000" w:sz="4" w:space="0"/>
              <w:right w:val="nil"/>
            </w:tcBorders>
            <w:shd w:val="clear" w:color="auto" w:fill="auto"/>
            <w:noWrap/>
            <w:vAlign w:val="bottom"/>
          </w:tcPr>
          <w:p w14:paraId="2EB2DE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val="0"/>
                <w:bCs w:val="0"/>
                <w:i w:val="0"/>
                <w:iCs w:val="0"/>
                <w:color w:val="auto"/>
                <w:sz w:val="16"/>
                <w:szCs w:val="16"/>
                <w:u w:val="none"/>
              </w:rPr>
            </w:pPr>
            <w:r>
              <w:rPr>
                <w:rFonts w:hint="default" w:ascii="Times New Roman" w:hAnsi="Times New Roman" w:eastAsia="Carlito" w:cs="Times New Roman"/>
                <w:b w:val="0"/>
                <w:bCs w:val="0"/>
                <w:i w:val="0"/>
                <w:iCs w:val="0"/>
                <w:color w:val="auto"/>
                <w:kern w:val="0"/>
                <w:sz w:val="16"/>
                <w:szCs w:val="16"/>
                <w:u w:val="none"/>
                <w:lang w:val="en-US" w:eastAsia="zh-CN" w:bidi="ar"/>
              </w:rPr>
              <w:t>Total</w:t>
            </w:r>
          </w:p>
        </w:tc>
        <w:tc>
          <w:tcPr>
            <w:tcW w:w="1218" w:type="dxa"/>
            <w:tcBorders>
              <w:top w:val="nil"/>
              <w:left w:val="nil"/>
              <w:bottom w:val="single" w:color="000000" w:sz="4" w:space="0"/>
              <w:right w:val="nil"/>
            </w:tcBorders>
            <w:shd w:val="clear" w:color="auto" w:fill="auto"/>
            <w:noWrap/>
            <w:vAlign w:val="center"/>
          </w:tcPr>
          <w:p w14:paraId="3D502F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b w:val="0"/>
                <w:bCs w:val="0"/>
                <w:i w:val="0"/>
                <w:iCs w:val="0"/>
                <w:color w:val="auto"/>
                <w:sz w:val="16"/>
                <w:szCs w:val="16"/>
                <w:u w:val="none"/>
              </w:rPr>
            </w:pPr>
            <w:r>
              <w:rPr>
                <w:rFonts w:hint="default" w:ascii="Times New Roman" w:hAnsi="Times New Roman" w:eastAsia="Carlito" w:cs="Times New Roman"/>
                <w:b w:val="0"/>
                <w:bCs w:val="0"/>
                <w:i w:val="0"/>
                <w:iCs w:val="0"/>
                <w:color w:val="auto"/>
                <w:kern w:val="0"/>
                <w:sz w:val="16"/>
                <w:szCs w:val="16"/>
                <w:u w:val="none"/>
                <w:lang w:val="en-US" w:eastAsia="zh-CN" w:bidi="ar"/>
              </w:rPr>
              <w:t>81</w:t>
            </w:r>
          </w:p>
        </w:tc>
        <w:tc>
          <w:tcPr>
            <w:tcW w:w="2491" w:type="dxa"/>
            <w:tcBorders>
              <w:top w:val="nil"/>
              <w:left w:val="nil"/>
              <w:bottom w:val="single" w:color="000000" w:sz="4" w:space="0"/>
              <w:right w:val="nil"/>
            </w:tcBorders>
            <w:shd w:val="clear" w:color="auto" w:fill="auto"/>
            <w:noWrap/>
            <w:vAlign w:val="bottom"/>
          </w:tcPr>
          <w:p w14:paraId="77138B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val="0"/>
                <w:bCs w:val="0"/>
                <w:i w:val="0"/>
                <w:iCs w:val="0"/>
                <w:color w:val="auto"/>
                <w:sz w:val="16"/>
                <w:szCs w:val="16"/>
                <w:u w:val="none"/>
              </w:rPr>
            </w:pPr>
            <w:r>
              <w:rPr>
                <w:rFonts w:hint="default" w:ascii="Times New Roman" w:hAnsi="Times New Roman" w:eastAsia="Carlito" w:cs="Times New Roman"/>
                <w:b w:val="0"/>
                <w:bCs w:val="0"/>
                <w:i w:val="0"/>
                <w:iCs w:val="0"/>
                <w:color w:val="auto"/>
                <w:kern w:val="0"/>
                <w:sz w:val="16"/>
                <w:szCs w:val="16"/>
                <w:u w:val="none"/>
                <w:lang w:val="en-US" w:eastAsia="zh-CN" w:bidi="ar"/>
              </w:rPr>
              <w:t>70 (86.42)</w:t>
            </w:r>
          </w:p>
        </w:tc>
        <w:tc>
          <w:tcPr>
            <w:tcW w:w="2438" w:type="dxa"/>
            <w:tcBorders>
              <w:top w:val="nil"/>
              <w:left w:val="nil"/>
              <w:bottom w:val="single" w:color="000000" w:sz="4" w:space="0"/>
              <w:right w:val="nil"/>
            </w:tcBorders>
            <w:shd w:val="clear" w:color="auto" w:fill="auto"/>
            <w:noWrap/>
            <w:vAlign w:val="bottom"/>
          </w:tcPr>
          <w:p w14:paraId="19F734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val="0"/>
                <w:bCs w:val="0"/>
                <w:i w:val="0"/>
                <w:iCs w:val="0"/>
                <w:color w:val="auto"/>
                <w:sz w:val="16"/>
                <w:szCs w:val="16"/>
                <w:u w:val="none"/>
              </w:rPr>
            </w:pPr>
            <w:r>
              <w:rPr>
                <w:rFonts w:hint="default" w:ascii="Times New Roman" w:hAnsi="Times New Roman" w:eastAsia="Carlito" w:cs="Times New Roman"/>
                <w:b w:val="0"/>
                <w:bCs w:val="0"/>
                <w:i w:val="0"/>
                <w:iCs w:val="0"/>
                <w:color w:val="auto"/>
                <w:kern w:val="0"/>
                <w:sz w:val="16"/>
                <w:szCs w:val="16"/>
                <w:u w:val="none"/>
                <w:lang w:val="en-US" w:eastAsia="zh-CN" w:bidi="ar"/>
              </w:rPr>
              <w:t>46 (65.71)</w:t>
            </w:r>
          </w:p>
        </w:tc>
        <w:tc>
          <w:tcPr>
            <w:tcW w:w="2268" w:type="dxa"/>
            <w:tcBorders>
              <w:top w:val="nil"/>
              <w:left w:val="nil"/>
              <w:bottom w:val="single" w:color="000000" w:sz="4" w:space="0"/>
              <w:right w:val="nil"/>
            </w:tcBorders>
            <w:shd w:val="clear" w:color="auto" w:fill="auto"/>
            <w:vAlign w:val="bottom"/>
          </w:tcPr>
          <w:p w14:paraId="769152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val="0"/>
                <w:bCs w:val="0"/>
                <w:i w:val="0"/>
                <w:iCs w:val="0"/>
                <w:color w:val="auto"/>
                <w:sz w:val="16"/>
                <w:szCs w:val="16"/>
                <w:u w:val="none"/>
              </w:rPr>
            </w:pPr>
            <w:r>
              <w:rPr>
                <w:rFonts w:hint="default" w:ascii="Times New Roman" w:hAnsi="Times New Roman" w:eastAsia="Carlito" w:cs="Times New Roman"/>
                <w:b w:val="0"/>
                <w:bCs w:val="0"/>
                <w:i w:val="0"/>
                <w:iCs w:val="0"/>
                <w:color w:val="auto"/>
                <w:kern w:val="0"/>
                <w:sz w:val="16"/>
                <w:szCs w:val="16"/>
                <w:u w:val="none"/>
                <w:lang w:val="en-US" w:eastAsia="zh-CN" w:bidi="ar"/>
              </w:rPr>
              <w:t>47</w:t>
            </w:r>
          </w:p>
        </w:tc>
      </w:tr>
    </w:tbl>
    <w:p w14:paraId="3BCE97A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16"/>
          <w:szCs w:val="16"/>
        </w:rPr>
      </w:pPr>
      <w:r>
        <w:rPr>
          <w:rFonts w:hint="default" w:ascii="Times New Roman" w:hAnsi="Times New Roman" w:cs="Times New Roman"/>
          <w:b/>
          <w:bCs/>
          <w:i/>
          <w:iCs/>
          <w:color w:val="auto"/>
          <w:sz w:val="16"/>
          <w:szCs w:val="16"/>
        </w:rPr>
        <w:t>Note</w:t>
      </w:r>
      <w:r>
        <w:rPr>
          <w:rFonts w:hint="default" w:ascii="Times New Roman" w:hAnsi="Times New Roman" w:cs="Times New Roman"/>
          <w:color w:val="auto"/>
          <w:sz w:val="16"/>
          <w:szCs w:val="16"/>
        </w:rPr>
        <w:t>: The specimen submission rate was calculated as the number of HAI episodes with at least one microbiological specimen submitted divided by the total number of HAI episodes in the corresponding survey year. The culture positivity rate was calculated as the number of HAI episodes with at least one pathogen recovered from submitted specimens divided by the number of HAI episodes with specimens submitted. One culture-positive lower respiratory tract episode yielded two pathogen isolates; all other culture-positive episodes yielded one isolate each. Annual data were summarized descriptively because of the small number of HAI episodes. HAI, healthcare-associated infection.</w:t>
      </w:r>
    </w:p>
    <w:p w14:paraId="750B0D8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16"/>
          <w:szCs w:val="16"/>
        </w:rPr>
      </w:pPr>
    </w:p>
    <w:p w14:paraId="2466D886">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Supplementary Table S</w:t>
      </w:r>
      <w:r>
        <w:rPr>
          <w:rFonts w:hint="eastAsia" w:ascii="Times New Roman" w:hAnsi="Times New Roman" w:cs="Times New Roman"/>
          <w:b/>
          <w:bCs/>
          <w:color w:val="auto"/>
          <w:sz w:val="18"/>
          <w:szCs w:val="18"/>
          <w:lang w:val="en-US" w:eastAsia="zh-CN"/>
        </w:rPr>
        <w:t>4</w:t>
      </w:r>
      <w:r>
        <w:rPr>
          <w:rFonts w:hint="default" w:ascii="Times New Roman" w:hAnsi="Times New Roman" w:cs="Times New Roman"/>
          <w:b/>
          <w:bCs/>
          <w:color w:val="auto"/>
          <w:sz w:val="18"/>
          <w:szCs w:val="18"/>
        </w:rPr>
        <w:t>. Sequential logistic regression analysis of the surgery coefficient</w:t>
      </w:r>
    </w:p>
    <w:tbl>
      <w:tblPr>
        <w:tblStyle w:val="3"/>
        <w:tblW w:w="963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77"/>
        <w:gridCol w:w="4460"/>
        <w:gridCol w:w="1346"/>
        <w:gridCol w:w="1341"/>
        <w:gridCol w:w="915"/>
      </w:tblGrid>
      <w:tr w14:paraId="68B81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577" w:type="dxa"/>
            <w:tcBorders>
              <w:top w:val="single" w:color="000000" w:sz="4" w:space="0"/>
              <w:left w:val="nil"/>
              <w:bottom w:val="single" w:color="000000" w:sz="4" w:space="0"/>
              <w:right w:val="nil"/>
            </w:tcBorders>
            <w:shd w:val="clear" w:color="auto" w:fill="auto"/>
            <w:noWrap/>
            <w:vAlign w:val="bottom"/>
          </w:tcPr>
          <w:p w14:paraId="00857B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Model</w:t>
            </w:r>
          </w:p>
        </w:tc>
        <w:tc>
          <w:tcPr>
            <w:tcW w:w="4460" w:type="dxa"/>
            <w:tcBorders>
              <w:top w:val="single" w:color="000000" w:sz="4" w:space="0"/>
              <w:left w:val="nil"/>
              <w:bottom w:val="single" w:color="000000" w:sz="4" w:space="0"/>
              <w:right w:val="nil"/>
            </w:tcBorders>
            <w:shd w:val="clear" w:color="auto" w:fill="auto"/>
            <w:noWrap/>
            <w:vAlign w:val="bottom"/>
          </w:tcPr>
          <w:p w14:paraId="615DD0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Variables included</w:t>
            </w:r>
          </w:p>
        </w:tc>
        <w:tc>
          <w:tcPr>
            <w:tcW w:w="1346" w:type="dxa"/>
            <w:tcBorders>
              <w:top w:val="single" w:color="000000" w:sz="4" w:space="0"/>
              <w:left w:val="nil"/>
              <w:bottom w:val="single" w:color="000000" w:sz="4" w:space="0"/>
              <w:right w:val="nil"/>
            </w:tcBorders>
            <w:shd w:val="clear" w:color="auto" w:fill="auto"/>
            <w:noWrap/>
            <w:vAlign w:val="bottom"/>
          </w:tcPr>
          <w:p w14:paraId="0B9CCA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Surgery OR</w:t>
            </w:r>
          </w:p>
        </w:tc>
        <w:tc>
          <w:tcPr>
            <w:tcW w:w="1341" w:type="dxa"/>
            <w:tcBorders>
              <w:top w:val="single" w:color="000000" w:sz="4" w:space="0"/>
              <w:left w:val="nil"/>
              <w:bottom w:val="single" w:color="000000" w:sz="4" w:space="0"/>
              <w:right w:val="nil"/>
            </w:tcBorders>
            <w:shd w:val="clear" w:color="auto" w:fill="auto"/>
            <w:noWrap/>
            <w:vAlign w:val="bottom"/>
          </w:tcPr>
          <w:p w14:paraId="49F947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95% CI</w:t>
            </w:r>
          </w:p>
        </w:tc>
        <w:tc>
          <w:tcPr>
            <w:tcW w:w="915" w:type="dxa"/>
            <w:tcBorders>
              <w:top w:val="single" w:color="000000" w:sz="4" w:space="0"/>
              <w:left w:val="nil"/>
              <w:bottom w:val="single" w:color="000000" w:sz="4" w:space="0"/>
              <w:right w:val="nil"/>
            </w:tcBorders>
            <w:shd w:val="clear" w:color="auto" w:fill="auto"/>
            <w:noWrap/>
            <w:vAlign w:val="bottom"/>
          </w:tcPr>
          <w:p w14:paraId="4A02C6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bCs/>
                <w:i/>
                <w:iCs/>
                <w:color w:val="auto"/>
                <w:sz w:val="16"/>
                <w:szCs w:val="16"/>
                <w:u w:val="none"/>
              </w:rPr>
            </w:pPr>
            <w:r>
              <w:rPr>
                <w:rStyle w:val="8"/>
                <w:rFonts w:eastAsia="Carlito"/>
                <w:b/>
                <w:bCs/>
                <w:color w:val="auto"/>
                <w:sz w:val="16"/>
                <w:szCs w:val="16"/>
                <w:lang w:val="en-US" w:eastAsia="zh-CN" w:bidi="ar"/>
              </w:rPr>
              <w:t>P</w:t>
            </w:r>
            <w:r>
              <w:rPr>
                <w:rFonts w:hint="default" w:ascii="Times New Roman" w:hAnsi="Times New Roman" w:eastAsia="Carlito" w:cs="Times New Roman"/>
                <w:b/>
                <w:bCs/>
                <w:i w:val="0"/>
                <w:iCs w:val="0"/>
                <w:color w:val="auto"/>
                <w:kern w:val="0"/>
                <w:sz w:val="16"/>
                <w:szCs w:val="16"/>
                <w:u w:val="none"/>
                <w:lang w:val="en-US" w:eastAsia="zh-CN" w:bidi="ar"/>
              </w:rPr>
              <w:t xml:space="preserve"> value</w:t>
            </w:r>
          </w:p>
        </w:tc>
      </w:tr>
      <w:tr w14:paraId="002BB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0" w:type="auto"/>
            <w:tcBorders>
              <w:top w:val="nil"/>
              <w:left w:val="nil"/>
              <w:bottom w:val="nil"/>
              <w:right w:val="nil"/>
            </w:tcBorders>
            <w:shd w:val="clear" w:color="auto" w:fill="auto"/>
            <w:noWrap/>
            <w:vAlign w:val="bottom"/>
          </w:tcPr>
          <w:p w14:paraId="080C9C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Crude model</w:t>
            </w:r>
          </w:p>
        </w:tc>
        <w:tc>
          <w:tcPr>
            <w:tcW w:w="0" w:type="auto"/>
            <w:tcBorders>
              <w:top w:val="nil"/>
              <w:left w:val="nil"/>
              <w:bottom w:val="nil"/>
              <w:right w:val="nil"/>
            </w:tcBorders>
            <w:shd w:val="clear" w:color="auto" w:fill="auto"/>
            <w:noWrap/>
            <w:vAlign w:val="bottom"/>
          </w:tcPr>
          <w:p w14:paraId="7288BD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Surgery only</w:t>
            </w:r>
          </w:p>
        </w:tc>
        <w:tc>
          <w:tcPr>
            <w:tcW w:w="0" w:type="auto"/>
            <w:tcBorders>
              <w:top w:val="nil"/>
              <w:left w:val="nil"/>
              <w:bottom w:val="nil"/>
              <w:right w:val="nil"/>
            </w:tcBorders>
            <w:shd w:val="clear" w:color="auto" w:fill="auto"/>
            <w:noWrap/>
            <w:vAlign w:val="bottom"/>
          </w:tcPr>
          <w:p w14:paraId="67964F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2.149</w:t>
            </w:r>
          </w:p>
        </w:tc>
        <w:tc>
          <w:tcPr>
            <w:tcW w:w="0" w:type="auto"/>
            <w:tcBorders>
              <w:top w:val="nil"/>
              <w:left w:val="nil"/>
              <w:bottom w:val="nil"/>
              <w:right w:val="nil"/>
            </w:tcBorders>
            <w:shd w:val="clear" w:color="auto" w:fill="auto"/>
            <w:noWrap/>
            <w:vAlign w:val="bottom"/>
          </w:tcPr>
          <w:p w14:paraId="708F64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1.297–3.561</w:t>
            </w:r>
          </w:p>
        </w:tc>
        <w:tc>
          <w:tcPr>
            <w:tcW w:w="0" w:type="auto"/>
            <w:tcBorders>
              <w:top w:val="nil"/>
              <w:left w:val="nil"/>
              <w:bottom w:val="nil"/>
              <w:right w:val="nil"/>
            </w:tcBorders>
            <w:shd w:val="clear" w:color="auto" w:fill="auto"/>
            <w:noWrap/>
            <w:vAlign w:val="bottom"/>
          </w:tcPr>
          <w:p w14:paraId="1FC9EB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0.003</w:t>
            </w:r>
          </w:p>
        </w:tc>
      </w:tr>
      <w:tr w14:paraId="3DA26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0" w:type="auto"/>
            <w:tcBorders>
              <w:top w:val="nil"/>
              <w:left w:val="nil"/>
              <w:bottom w:val="nil"/>
              <w:right w:val="nil"/>
            </w:tcBorders>
            <w:shd w:val="clear" w:color="auto" w:fill="auto"/>
            <w:noWrap/>
            <w:vAlign w:val="bottom"/>
          </w:tcPr>
          <w:p w14:paraId="6B9DDB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Model A</w:t>
            </w:r>
          </w:p>
        </w:tc>
        <w:tc>
          <w:tcPr>
            <w:tcW w:w="0" w:type="auto"/>
            <w:tcBorders>
              <w:top w:val="nil"/>
              <w:left w:val="nil"/>
              <w:bottom w:val="nil"/>
              <w:right w:val="nil"/>
            </w:tcBorders>
            <w:shd w:val="clear" w:color="auto" w:fill="auto"/>
            <w:noWrap/>
            <w:vAlign w:val="bottom"/>
          </w:tcPr>
          <w:p w14:paraId="169F5D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Age, sex, and surgery</w:t>
            </w:r>
          </w:p>
        </w:tc>
        <w:tc>
          <w:tcPr>
            <w:tcW w:w="0" w:type="auto"/>
            <w:tcBorders>
              <w:top w:val="nil"/>
              <w:left w:val="nil"/>
              <w:bottom w:val="nil"/>
              <w:right w:val="nil"/>
            </w:tcBorders>
            <w:shd w:val="clear" w:color="auto" w:fill="auto"/>
            <w:noWrap/>
            <w:vAlign w:val="bottom"/>
          </w:tcPr>
          <w:p w14:paraId="5E895F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2.183</w:t>
            </w:r>
          </w:p>
        </w:tc>
        <w:tc>
          <w:tcPr>
            <w:tcW w:w="0" w:type="auto"/>
            <w:tcBorders>
              <w:top w:val="nil"/>
              <w:left w:val="nil"/>
              <w:bottom w:val="nil"/>
              <w:right w:val="nil"/>
            </w:tcBorders>
            <w:shd w:val="clear" w:color="auto" w:fill="auto"/>
            <w:noWrap/>
            <w:vAlign w:val="bottom"/>
          </w:tcPr>
          <w:p w14:paraId="0D8A48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1.315–3.619</w:t>
            </w:r>
          </w:p>
        </w:tc>
        <w:tc>
          <w:tcPr>
            <w:tcW w:w="0" w:type="auto"/>
            <w:tcBorders>
              <w:top w:val="nil"/>
              <w:left w:val="nil"/>
              <w:bottom w:val="nil"/>
              <w:right w:val="nil"/>
            </w:tcBorders>
            <w:shd w:val="clear" w:color="auto" w:fill="auto"/>
            <w:noWrap/>
            <w:vAlign w:val="bottom"/>
          </w:tcPr>
          <w:p w14:paraId="0A109A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0.003</w:t>
            </w:r>
          </w:p>
        </w:tc>
      </w:tr>
      <w:tr w14:paraId="0F78D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0" w:type="auto"/>
            <w:tcBorders>
              <w:top w:val="nil"/>
              <w:left w:val="nil"/>
              <w:bottom w:val="nil"/>
              <w:right w:val="nil"/>
            </w:tcBorders>
            <w:shd w:val="clear" w:color="auto" w:fill="auto"/>
            <w:noWrap/>
            <w:vAlign w:val="bottom"/>
          </w:tcPr>
          <w:p w14:paraId="424436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Model B</w:t>
            </w:r>
          </w:p>
        </w:tc>
        <w:tc>
          <w:tcPr>
            <w:tcW w:w="0" w:type="auto"/>
            <w:tcBorders>
              <w:top w:val="nil"/>
              <w:left w:val="nil"/>
              <w:bottom w:val="nil"/>
              <w:right w:val="nil"/>
            </w:tcBorders>
            <w:shd w:val="clear" w:color="auto" w:fill="auto"/>
            <w:noWrap/>
            <w:vAlign w:val="bottom"/>
          </w:tcPr>
          <w:p w14:paraId="6861D2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Model A + mechanical ventilation</w:t>
            </w:r>
          </w:p>
        </w:tc>
        <w:tc>
          <w:tcPr>
            <w:tcW w:w="0" w:type="auto"/>
            <w:tcBorders>
              <w:top w:val="nil"/>
              <w:left w:val="nil"/>
              <w:bottom w:val="nil"/>
              <w:right w:val="nil"/>
            </w:tcBorders>
            <w:shd w:val="clear" w:color="auto" w:fill="auto"/>
            <w:noWrap/>
            <w:vAlign w:val="bottom"/>
          </w:tcPr>
          <w:p w14:paraId="66FA4B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1.511</w:t>
            </w:r>
          </w:p>
        </w:tc>
        <w:tc>
          <w:tcPr>
            <w:tcW w:w="0" w:type="auto"/>
            <w:tcBorders>
              <w:top w:val="nil"/>
              <w:left w:val="nil"/>
              <w:bottom w:val="nil"/>
              <w:right w:val="nil"/>
            </w:tcBorders>
            <w:shd w:val="clear" w:color="auto" w:fill="auto"/>
            <w:noWrap/>
            <w:vAlign w:val="bottom"/>
          </w:tcPr>
          <w:p w14:paraId="7F6645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0.878–2.602</w:t>
            </w:r>
          </w:p>
        </w:tc>
        <w:tc>
          <w:tcPr>
            <w:tcW w:w="0" w:type="auto"/>
            <w:tcBorders>
              <w:top w:val="nil"/>
              <w:left w:val="nil"/>
              <w:bottom w:val="nil"/>
              <w:right w:val="nil"/>
            </w:tcBorders>
            <w:shd w:val="clear" w:color="auto" w:fill="auto"/>
            <w:noWrap/>
            <w:vAlign w:val="bottom"/>
          </w:tcPr>
          <w:p w14:paraId="15F772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0.136</w:t>
            </w:r>
          </w:p>
        </w:tc>
      </w:tr>
      <w:tr w14:paraId="41846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0" w:type="auto"/>
            <w:tcBorders>
              <w:top w:val="nil"/>
              <w:left w:val="nil"/>
              <w:bottom w:val="nil"/>
              <w:right w:val="nil"/>
            </w:tcBorders>
            <w:shd w:val="clear" w:color="auto" w:fill="auto"/>
            <w:noWrap/>
            <w:vAlign w:val="bottom"/>
          </w:tcPr>
          <w:p w14:paraId="589EB0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Model C</w:t>
            </w:r>
          </w:p>
        </w:tc>
        <w:tc>
          <w:tcPr>
            <w:tcW w:w="0" w:type="auto"/>
            <w:tcBorders>
              <w:top w:val="nil"/>
              <w:left w:val="nil"/>
              <w:bottom w:val="nil"/>
              <w:right w:val="nil"/>
            </w:tcBorders>
            <w:shd w:val="clear" w:color="auto" w:fill="auto"/>
            <w:noWrap/>
            <w:vAlign w:val="bottom"/>
          </w:tcPr>
          <w:p w14:paraId="0D32C4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Model B + indwelling urinary catheterization</w:t>
            </w:r>
          </w:p>
        </w:tc>
        <w:tc>
          <w:tcPr>
            <w:tcW w:w="0" w:type="auto"/>
            <w:tcBorders>
              <w:top w:val="nil"/>
              <w:left w:val="nil"/>
              <w:bottom w:val="nil"/>
              <w:right w:val="nil"/>
            </w:tcBorders>
            <w:shd w:val="clear" w:color="auto" w:fill="auto"/>
            <w:noWrap/>
            <w:vAlign w:val="bottom"/>
          </w:tcPr>
          <w:p w14:paraId="0EFA0A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0.534</w:t>
            </w:r>
          </w:p>
        </w:tc>
        <w:tc>
          <w:tcPr>
            <w:tcW w:w="0" w:type="auto"/>
            <w:tcBorders>
              <w:top w:val="nil"/>
              <w:left w:val="nil"/>
              <w:bottom w:val="nil"/>
              <w:right w:val="nil"/>
            </w:tcBorders>
            <w:shd w:val="clear" w:color="auto" w:fill="auto"/>
            <w:noWrap/>
            <w:vAlign w:val="bottom"/>
          </w:tcPr>
          <w:p w14:paraId="6B3E73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0.285–0.997</w:t>
            </w:r>
          </w:p>
        </w:tc>
        <w:tc>
          <w:tcPr>
            <w:tcW w:w="0" w:type="auto"/>
            <w:tcBorders>
              <w:top w:val="nil"/>
              <w:left w:val="nil"/>
              <w:bottom w:val="nil"/>
              <w:right w:val="nil"/>
            </w:tcBorders>
            <w:shd w:val="clear" w:color="auto" w:fill="auto"/>
            <w:noWrap/>
            <w:vAlign w:val="bottom"/>
          </w:tcPr>
          <w:p w14:paraId="467D37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0.049</w:t>
            </w:r>
          </w:p>
        </w:tc>
      </w:tr>
      <w:tr w14:paraId="2D69A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0" w:type="auto"/>
            <w:tcBorders>
              <w:top w:val="nil"/>
              <w:left w:val="nil"/>
              <w:bottom w:val="single" w:color="000000" w:sz="4" w:space="0"/>
              <w:right w:val="nil"/>
            </w:tcBorders>
            <w:shd w:val="clear" w:color="auto" w:fill="auto"/>
            <w:noWrap/>
            <w:vAlign w:val="bottom"/>
          </w:tcPr>
          <w:p w14:paraId="5BA3C3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Model D</w:t>
            </w:r>
          </w:p>
        </w:tc>
        <w:tc>
          <w:tcPr>
            <w:tcW w:w="0" w:type="auto"/>
            <w:tcBorders>
              <w:top w:val="nil"/>
              <w:left w:val="nil"/>
              <w:bottom w:val="single" w:color="000000" w:sz="4" w:space="0"/>
              <w:right w:val="nil"/>
            </w:tcBorders>
            <w:shd w:val="clear" w:color="auto" w:fill="auto"/>
            <w:noWrap/>
            <w:vAlign w:val="bottom"/>
          </w:tcPr>
          <w:p w14:paraId="3585E3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Model C + CVAD placement</w:t>
            </w:r>
          </w:p>
        </w:tc>
        <w:tc>
          <w:tcPr>
            <w:tcW w:w="0" w:type="auto"/>
            <w:tcBorders>
              <w:top w:val="nil"/>
              <w:left w:val="nil"/>
              <w:bottom w:val="single" w:color="000000" w:sz="4" w:space="0"/>
              <w:right w:val="nil"/>
            </w:tcBorders>
            <w:shd w:val="clear" w:color="auto" w:fill="auto"/>
            <w:noWrap/>
            <w:vAlign w:val="bottom"/>
          </w:tcPr>
          <w:p w14:paraId="575737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0.462</w:t>
            </w:r>
          </w:p>
        </w:tc>
        <w:tc>
          <w:tcPr>
            <w:tcW w:w="0" w:type="auto"/>
            <w:tcBorders>
              <w:top w:val="nil"/>
              <w:left w:val="nil"/>
              <w:bottom w:val="single" w:color="000000" w:sz="4" w:space="0"/>
              <w:right w:val="nil"/>
            </w:tcBorders>
            <w:shd w:val="clear" w:color="auto" w:fill="auto"/>
            <w:noWrap/>
            <w:vAlign w:val="bottom"/>
          </w:tcPr>
          <w:p w14:paraId="742AF5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0.241–0.883</w:t>
            </w:r>
          </w:p>
        </w:tc>
        <w:tc>
          <w:tcPr>
            <w:tcW w:w="0" w:type="auto"/>
            <w:tcBorders>
              <w:top w:val="nil"/>
              <w:left w:val="nil"/>
              <w:bottom w:val="single" w:color="000000" w:sz="4" w:space="0"/>
              <w:right w:val="nil"/>
            </w:tcBorders>
            <w:shd w:val="clear" w:color="auto" w:fill="auto"/>
            <w:noWrap/>
            <w:vAlign w:val="bottom"/>
          </w:tcPr>
          <w:p w14:paraId="468E22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 xml:space="preserve">0.020 </w:t>
            </w:r>
          </w:p>
        </w:tc>
      </w:tr>
    </w:tbl>
    <w:p w14:paraId="1839592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cs="Times New Roman"/>
          <w:color w:val="auto"/>
          <w:sz w:val="16"/>
          <w:szCs w:val="16"/>
          <w:lang w:val="en-US" w:eastAsia="zh-CN"/>
        </w:rPr>
      </w:pPr>
      <w:r>
        <w:rPr>
          <w:rFonts w:hint="default" w:ascii="Times New Roman" w:hAnsi="Times New Roman" w:cs="Times New Roman"/>
          <w:b/>
          <w:bCs/>
          <w:i/>
          <w:iCs/>
          <w:color w:val="auto"/>
          <w:sz w:val="16"/>
          <w:szCs w:val="16"/>
        </w:rPr>
        <w:t>Note</w:t>
      </w:r>
      <w:r>
        <w:rPr>
          <w:rFonts w:hint="default" w:ascii="Times New Roman" w:hAnsi="Times New Roman" w:cs="Times New Roman"/>
          <w:color w:val="auto"/>
          <w:sz w:val="16"/>
          <w:szCs w:val="16"/>
        </w:rPr>
        <w:t xml:space="preserve">: </w:t>
      </w:r>
      <w:r>
        <w:rPr>
          <w:rFonts w:hint="eastAsia" w:ascii="Times New Roman" w:hAnsi="Times New Roman" w:cs="Times New Roman"/>
          <w:color w:val="auto"/>
          <w:sz w:val="16"/>
          <w:szCs w:val="16"/>
          <w:lang w:val="en-US" w:eastAsia="zh-CN"/>
        </w:rPr>
        <w:t>The surgery coefficient remained positive through Model B and reversed direction after indwelling urinary catheterization was added in Model C. OR, odds ratio; CI, confidence interval; CVAD, central venous access device.</w:t>
      </w:r>
    </w:p>
    <w:p w14:paraId="6BDBF8DC">
      <w:pPr>
        <w:keepNext w:val="0"/>
        <w:keepLines w:val="0"/>
        <w:pageBreakBefore w:val="0"/>
        <w:kinsoku/>
        <w:wordWrap/>
        <w:overflowPunct/>
        <w:topLinePunct w:val="0"/>
        <w:autoSpaceDE/>
        <w:autoSpaceDN/>
        <w:bidi w:val="0"/>
        <w:adjustRightInd/>
        <w:snapToGrid/>
        <w:spacing w:line="360" w:lineRule="auto"/>
        <w:rPr>
          <w:rFonts w:hint="eastAsia" w:ascii="Times New Roman" w:hAnsi="Times New Roman" w:cs="Times New Roman"/>
          <w:color w:val="auto"/>
          <w:sz w:val="16"/>
          <w:szCs w:val="16"/>
          <w:lang w:val="en-US" w:eastAsia="zh-CN"/>
        </w:rPr>
      </w:pPr>
    </w:p>
    <w:p w14:paraId="5A2A010C">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Supplementary Table S</w:t>
      </w:r>
      <w:r>
        <w:rPr>
          <w:rFonts w:hint="eastAsia" w:ascii="Times New Roman" w:hAnsi="Times New Roman" w:cs="Times New Roman"/>
          <w:b/>
          <w:bCs/>
          <w:color w:val="auto"/>
          <w:sz w:val="18"/>
          <w:szCs w:val="18"/>
          <w:lang w:val="en-US" w:eastAsia="zh-CN"/>
        </w:rPr>
        <w:t>5</w:t>
      </w:r>
      <w:r>
        <w:rPr>
          <w:rFonts w:hint="default" w:ascii="Times New Roman" w:hAnsi="Times New Roman" w:cs="Times New Roman"/>
          <w:b/>
          <w:bCs/>
          <w:color w:val="auto"/>
          <w:sz w:val="18"/>
          <w:szCs w:val="18"/>
        </w:rPr>
        <w:t>. Firth-penalized logistic regression sensitivity analysis for factors associated with prevalent HAI</w:t>
      </w:r>
    </w:p>
    <w:tbl>
      <w:tblPr>
        <w:tblStyle w:val="3"/>
        <w:tblW w:w="95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079"/>
        <w:gridCol w:w="1069"/>
        <w:gridCol w:w="3279"/>
        <w:gridCol w:w="1131"/>
      </w:tblGrid>
      <w:tr w14:paraId="63320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jc w:val="center"/>
        </w:trPr>
        <w:tc>
          <w:tcPr>
            <w:tcW w:w="4079" w:type="dxa"/>
            <w:tcBorders>
              <w:top w:val="single" w:color="000000" w:sz="4" w:space="0"/>
              <w:left w:val="nil"/>
              <w:bottom w:val="single" w:color="000000" w:sz="4" w:space="0"/>
              <w:right w:val="nil"/>
            </w:tcBorders>
            <w:shd w:val="clear" w:color="auto" w:fill="auto"/>
            <w:noWrap/>
            <w:vAlign w:val="bottom"/>
          </w:tcPr>
          <w:p w14:paraId="08BD14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Variable</w:t>
            </w:r>
          </w:p>
        </w:tc>
        <w:tc>
          <w:tcPr>
            <w:tcW w:w="1069" w:type="dxa"/>
            <w:tcBorders>
              <w:top w:val="single" w:color="000000" w:sz="4" w:space="0"/>
              <w:left w:val="nil"/>
              <w:bottom w:val="single" w:color="000000" w:sz="4" w:space="0"/>
              <w:right w:val="nil"/>
            </w:tcBorders>
            <w:shd w:val="clear" w:color="auto" w:fill="auto"/>
            <w:noWrap/>
            <w:vAlign w:val="bottom"/>
          </w:tcPr>
          <w:p w14:paraId="663C41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Firth OR</w:t>
            </w:r>
          </w:p>
        </w:tc>
        <w:tc>
          <w:tcPr>
            <w:tcW w:w="3279" w:type="dxa"/>
            <w:tcBorders>
              <w:top w:val="single" w:color="000000" w:sz="4" w:space="0"/>
              <w:left w:val="nil"/>
              <w:bottom w:val="single" w:color="000000" w:sz="4" w:space="0"/>
              <w:right w:val="nil"/>
            </w:tcBorders>
            <w:shd w:val="clear" w:color="auto" w:fill="auto"/>
            <w:noWrap/>
            <w:vAlign w:val="bottom"/>
          </w:tcPr>
          <w:p w14:paraId="6E9D43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Profile penalized-likelihood 95% CI</w:t>
            </w:r>
          </w:p>
        </w:tc>
        <w:tc>
          <w:tcPr>
            <w:tcW w:w="1131" w:type="dxa"/>
            <w:tcBorders>
              <w:top w:val="single" w:color="000000" w:sz="4" w:space="0"/>
              <w:left w:val="nil"/>
              <w:bottom w:val="single" w:color="000000" w:sz="4" w:space="0"/>
              <w:right w:val="nil"/>
            </w:tcBorders>
            <w:shd w:val="clear" w:color="auto" w:fill="auto"/>
            <w:noWrap/>
            <w:vAlign w:val="bottom"/>
          </w:tcPr>
          <w:p w14:paraId="38F50B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b/>
                <w:bCs/>
                <w:i/>
                <w:iCs/>
                <w:color w:val="auto"/>
                <w:sz w:val="16"/>
                <w:szCs w:val="16"/>
                <w:u w:val="none"/>
              </w:rPr>
            </w:pPr>
            <w:r>
              <w:rPr>
                <w:rFonts w:hint="default" w:ascii="Times New Roman" w:hAnsi="Times New Roman" w:eastAsia="Carlito" w:cs="Times New Roman"/>
                <w:b/>
                <w:bCs/>
                <w:i/>
                <w:iCs/>
                <w:color w:val="auto"/>
                <w:kern w:val="0"/>
                <w:sz w:val="16"/>
                <w:szCs w:val="16"/>
                <w:u w:val="none"/>
                <w:lang w:val="en-US" w:eastAsia="zh-CN" w:bidi="ar"/>
              </w:rPr>
              <w:t>P</w:t>
            </w:r>
            <w:r>
              <w:rPr>
                <w:rFonts w:hint="default" w:ascii="Times New Roman" w:hAnsi="Times New Roman" w:eastAsia="Carlito" w:cs="Times New Roman"/>
                <w:b/>
                <w:bCs/>
                <w:i w:val="0"/>
                <w:iCs w:val="0"/>
                <w:color w:val="auto"/>
                <w:kern w:val="0"/>
                <w:sz w:val="16"/>
                <w:szCs w:val="16"/>
                <w:u w:val="none"/>
                <w:lang w:val="en-US" w:eastAsia="zh-CN" w:bidi="ar"/>
              </w:rPr>
              <w:t xml:space="preserve"> value</w:t>
            </w:r>
          </w:p>
        </w:tc>
      </w:tr>
      <w:tr w14:paraId="12827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4079" w:type="dxa"/>
            <w:tcBorders>
              <w:top w:val="nil"/>
              <w:left w:val="nil"/>
              <w:bottom w:val="nil"/>
              <w:right w:val="nil"/>
            </w:tcBorders>
            <w:shd w:val="clear" w:color="auto" w:fill="auto"/>
            <w:noWrap/>
            <w:vAlign w:val="bottom"/>
          </w:tcPr>
          <w:p w14:paraId="718C0D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Age (per 1-year increase)</w:t>
            </w:r>
          </w:p>
        </w:tc>
        <w:tc>
          <w:tcPr>
            <w:tcW w:w="1069" w:type="dxa"/>
            <w:tcBorders>
              <w:top w:val="nil"/>
              <w:left w:val="nil"/>
              <w:bottom w:val="nil"/>
              <w:right w:val="nil"/>
            </w:tcBorders>
            <w:shd w:val="clear" w:color="auto" w:fill="auto"/>
            <w:noWrap/>
            <w:vAlign w:val="bottom"/>
          </w:tcPr>
          <w:p w14:paraId="15F751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1.013</w:t>
            </w:r>
          </w:p>
        </w:tc>
        <w:tc>
          <w:tcPr>
            <w:tcW w:w="3279" w:type="dxa"/>
            <w:tcBorders>
              <w:top w:val="nil"/>
              <w:left w:val="nil"/>
              <w:bottom w:val="nil"/>
              <w:right w:val="nil"/>
            </w:tcBorders>
            <w:shd w:val="clear" w:color="auto" w:fill="auto"/>
            <w:noWrap/>
            <w:vAlign w:val="bottom"/>
          </w:tcPr>
          <w:p w14:paraId="1C1D04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0.999–1.028</w:t>
            </w:r>
          </w:p>
        </w:tc>
        <w:tc>
          <w:tcPr>
            <w:tcW w:w="1131" w:type="dxa"/>
            <w:tcBorders>
              <w:top w:val="nil"/>
              <w:left w:val="nil"/>
              <w:bottom w:val="nil"/>
              <w:right w:val="nil"/>
            </w:tcBorders>
            <w:shd w:val="clear" w:color="auto" w:fill="auto"/>
            <w:noWrap/>
            <w:vAlign w:val="bottom"/>
          </w:tcPr>
          <w:p w14:paraId="4F7041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0.072</w:t>
            </w:r>
          </w:p>
        </w:tc>
      </w:tr>
      <w:tr w14:paraId="7B1E5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jc w:val="center"/>
        </w:trPr>
        <w:tc>
          <w:tcPr>
            <w:tcW w:w="4079" w:type="dxa"/>
            <w:tcBorders>
              <w:top w:val="nil"/>
              <w:left w:val="nil"/>
              <w:bottom w:val="nil"/>
              <w:right w:val="nil"/>
            </w:tcBorders>
            <w:shd w:val="clear" w:color="auto" w:fill="auto"/>
            <w:noWrap/>
            <w:vAlign w:val="bottom"/>
          </w:tcPr>
          <w:p w14:paraId="5B8EC8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Male (vs female)</w:t>
            </w:r>
          </w:p>
        </w:tc>
        <w:tc>
          <w:tcPr>
            <w:tcW w:w="1069" w:type="dxa"/>
            <w:tcBorders>
              <w:top w:val="nil"/>
              <w:left w:val="nil"/>
              <w:bottom w:val="nil"/>
              <w:right w:val="nil"/>
            </w:tcBorders>
            <w:shd w:val="clear" w:color="auto" w:fill="auto"/>
            <w:noWrap/>
            <w:vAlign w:val="bottom"/>
          </w:tcPr>
          <w:p w14:paraId="304F62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1.207</w:t>
            </w:r>
          </w:p>
        </w:tc>
        <w:tc>
          <w:tcPr>
            <w:tcW w:w="3279" w:type="dxa"/>
            <w:tcBorders>
              <w:top w:val="nil"/>
              <w:left w:val="nil"/>
              <w:bottom w:val="nil"/>
              <w:right w:val="nil"/>
            </w:tcBorders>
            <w:shd w:val="clear" w:color="auto" w:fill="auto"/>
            <w:noWrap/>
            <w:vAlign w:val="bottom"/>
          </w:tcPr>
          <w:p w14:paraId="49E839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0.742–1.995</w:t>
            </w:r>
          </w:p>
        </w:tc>
        <w:tc>
          <w:tcPr>
            <w:tcW w:w="1131" w:type="dxa"/>
            <w:tcBorders>
              <w:top w:val="nil"/>
              <w:left w:val="nil"/>
              <w:bottom w:val="nil"/>
              <w:right w:val="nil"/>
            </w:tcBorders>
            <w:shd w:val="clear" w:color="auto" w:fill="auto"/>
            <w:noWrap/>
            <w:vAlign w:val="bottom"/>
          </w:tcPr>
          <w:p w14:paraId="0653DD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0.453</w:t>
            </w:r>
          </w:p>
        </w:tc>
      </w:tr>
      <w:tr w14:paraId="4FCAE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jc w:val="center"/>
        </w:trPr>
        <w:tc>
          <w:tcPr>
            <w:tcW w:w="4079" w:type="dxa"/>
            <w:tcBorders>
              <w:top w:val="nil"/>
              <w:left w:val="nil"/>
              <w:bottom w:val="nil"/>
              <w:right w:val="nil"/>
            </w:tcBorders>
            <w:shd w:val="clear" w:color="auto" w:fill="auto"/>
            <w:noWrap/>
            <w:vAlign w:val="bottom"/>
          </w:tcPr>
          <w:p w14:paraId="2549AF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Surgery, yes vs no</w:t>
            </w:r>
          </w:p>
        </w:tc>
        <w:tc>
          <w:tcPr>
            <w:tcW w:w="1069" w:type="dxa"/>
            <w:tcBorders>
              <w:top w:val="nil"/>
              <w:left w:val="nil"/>
              <w:bottom w:val="nil"/>
              <w:right w:val="nil"/>
            </w:tcBorders>
            <w:shd w:val="clear" w:color="auto" w:fill="auto"/>
            <w:noWrap/>
            <w:vAlign w:val="bottom"/>
          </w:tcPr>
          <w:p w14:paraId="4500B9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0.463</w:t>
            </w:r>
          </w:p>
        </w:tc>
        <w:tc>
          <w:tcPr>
            <w:tcW w:w="3279" w:type="dxa"/>
            <w:tcBorders>
              <w:top w:val="nil"/>
              <w:left w:val="nil"/>
              <w:bottom w:val="nil"/>
              <w:right w:val="nil"/>
            </w:tcBorders>
            <w:shd w:val="clear" w:color="auto" w:fill="auto"/>
            <w:noWrap/>
            <w:vAlign w:val="bottom"/>
          </w:tcPr>
          <w:p w14:paraId="47A8B1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0.243–0.885</w:t>
            </w:r>
          </w:p>
        </w:tc>
        <w:tc>
          <w:tcPr>
            <w:tcW w:w="1131" w:type="dxa"/>
            <w:tcBorders>
              <w:top w:val="nil"/>
              <w:left w:val="nil"/>
              <w:bottom w:val="nil"/>
              <w:right w:val="nil"/>
            </w:tcBorders>
            <w:shd w:val="clear" w:color="auto" w:fill="auto"/>
            <w:noWrap/>
            <w:vAlign w:val="bottom"/>
          </w:tcPr>
          <w:p w14:paraId="639B8D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 xml:space="preserve">0.020 </w:t>
            </w:r>
          </w:p>
        </w:tc>
      </w:tr>
      <w:tr w14:paraId="6873C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jc w:val="center"/>
        </w:trPr>
        <w:tc>
          <w:tcPr>
            <w:tcW w:w="4079" w:type="dxa"/>
            <w:tcBorders>
              <w:top w:val="nil"/>
              <w:left w:val="nil"/>
              <w:bottom w:val="nil"/>
              <w:right w:val="nil"/>
            </w:tcBorders>
            <w:shd w:val="clear" w:color="auto" w:fill="auto"/>
            <w:noWrap/>
            <w:vAlign w:val="bottom"/>
          </w:tcPr>
          <w:p w14:paraId="1DBB09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Mechanical ventilation (yes vs no)</w:t>
            </w:r>
          </w:p>
        </w:tc>
        <w:tc>
          <w:tcPr>
            <w:tcW w:w="1069" w:type="dxa"/>
            <w:tcBorders>
              <w:top w:val="nil"/>
              <w:left w:val="nil"/>
              <w:bottom w:val="nil"/>
              <w:right w:val="nil"/>
            </w:tcBorders>
            <w:shd w:val="clear" w:color="auto" w:fill="auto"/>
            <w:noWrap/>
            <w:vAlign w:val="bottom"/>
          </w:tcPr>
          <w:p w14:paraId="031CF4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1.788</w:t>
            </w:r>
          </w:p>
        </w:tc>
        <w:tc>
          <w:tcPr>
            <w:tcW w:w="3279" w:type="dxa"/>
            <w:tcBorders>
              <w:top w:val="nil"/>
              <w:left w:val="nil"/>
              <w:bottom w:val="nil"/>
              <w:right w:val="nil"/>
            </w:tcBorders>
            <w:shd w:val="clear" w:color="auto" w:fill="auto"/>
            <w:noWrap/>
            <w:vAlign w:val="bottom"/>
          </w:tcPr>
          <w:p w14:paraId="6DE59B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0.881–3.615</w:t>
            </w:r>
          </w:p>
        </w:tc>
        <w:tc>
          <w:tcPr>
            <w:tcW w:w="1131" w:type="dxa"/>
            <w:tcBorders>
              <w:top w:val="nil"/>
              <w:left w:val="nil"/>
              <w:bottom w:val="nil"/>
              <w:right w:val="nil"/>
            </w:tcBorders>
            <w:shd w:val="clear" w:color="auto" w:fill="auto"/>
            <w:noWrap/>
            <w:vAlign w:val="bottom"/>
          </w:tcPr>
          <w:p w14:paraId="51611A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0.107</w:t>
            </w:r>
          </w:p>
        </w:tc>
      </w:tr>
      <w:tr w14:paraId="17BAC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jc w:val="center"/>
        </w:trPr>
        <w:tc>
          <w:tcPr>
            <w:tcW w:w="4079" w:type="dxa"/>
            <w:tcBorders>
              <w:top w:val="nil"/>
              <w:left w:val="nil"/>
              <w:bottom w:val="nil"/>
              <w:right w:val="nil"/>
            </w:tcBorders>
            <w:shd w:val="clear" w:color="auto" w:fill="auto"/>
            <w:noWrap/>
            <w:vAlign w:val="bottom"/>
          </w:tcPr>
          <w:p w14:paraId="4B6754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Indwelling urinary catheterization (yes vs no)</w:t>
            </w:r>
          </w:p>
        </w:tc>
        <w:tc>
          <w:tcPr>
            <w:tcW w:w="1069" w:type="dxa"/>
            <w:tcBorders>
              <w:top w:val="nil"/>
              <w:left w:val="nil"/>
              <w:bottom w:val="nil"/>
              <w:right w:val="nil"/>
            </w:tcBorders>
            <w:shd w:val="clear" w:color="auto" w:fill="auto"/>
            <w:noWrap/>
            <w:vAlign w:val="bottom"/>
          </w:tcPr>
          <w:p w14:paraId="3CAACB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12.654</w:t>
            </w:r>
          </w:p>
        </w:tc>
        <w:tc>
          <w:tcPr>
            <w:tcW w:w="3279" w:type="dxa"/>
            <w:tcBorders>
              <w:top w:val="nil"/>
              <w:left w:val="nil"/>
              <w:bottom w:val="nil"/>
              <w:right w:val="nil"/>
            </w:tcBorders>
            <w:shd w:val="clear" w:color="auto" w:fill="auto"/>
            <w:noWrap/>
            <w:vAlign w:val="bottom"/>
          </w:tcPr>
          <w:p w14:paraId="781280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6.564–25.053</w:t>
            </w:r>
          </w:p>
        </w:tc>
        <w:tc>
          <w:tcPr>
            <w:tcW w:w="1131" w:type="dxa"/>
            <w:tcBorders>
              <w:top w:val="nil"/>
              <w:left w:val="nil"/>
              <w:bottom w:val="nil"/>
              <w:right w:val="nil"/>
            </w:tcBorders>
            <w:shd w:val="clear" w:color="auto" w:fill="auto"/>
            <w:noWrap/>
            <w:vAlign w:val="bottom"/>
          </w:tcPr>
          <w:p w14:paraId="1126DD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&lt;0.001</w:t>
            </w:r>
          </w:p>
        </w:tc>
      </w:tr>
      <w:tr w14:paraId="671EF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4079" w:type="dxa"/>
            <w:tcBorders>
              <w:top w:val="nil"/>
              <w:left w:val="nil"/>
              <w:bottom w:val="single" w:color="000000" w:sz="4" w:space="0"/>
              <w:right w:val="nil"/>
            </w:tcBorders>
            <w:shd w:val="clear" w:color="auto" w:fill="auto"/>
            <w:noWrap/>
            <w:vAlign w:val="bottom"/>
          </w:tcPr>
          <w:p w14:paraId="02CA90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CVAD placement (yes vs no)</w:t>
            </w:r>
          </w:p>
        </w:tc>
        <w:tc>
          <w:tcPr>
            <w:tcW w:w="1069" w:type="dxa"/>
            <w:tcBorders>
              <w:top w:val="nil"/>
              <w:left w:val="nil"/>
              <w:bottom w:val="single" w:color="000000" w:sz="4" w:space="0"/>
              <w:right w:val="nil"/>
            </w:tcBorders>
            <w:shd w:val="clear" w:color="auto" w:fill="auto"/>
            <w:noWrap/>
            <w:vAlign w:val="bottom"/>
          </w:tcPr>
          <w:p w14:paraId="15D7A7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2.222</w:t>
            </w:r>
          </w:p>
        </w:tc>
        <w:tc>
          <w:tcPr>
            <w:tcW w:w="3279" w:type="dxa"/>
            <w:tcBorders>
              <w:top w:val="nil"/>
              <w:left w:val="nil"/>
              <w:bottom w:val="single" w:color="000000" w:sz="4" w:space="0"/>
              <w:right w:val="nil"/>
            </w:tcBorders>
            <w:shd w:val="clear" w:color="auto" w:fill="auto"/>
            <w:noWrap/>
            <w:vAlign w:val="bottom"/>
          </w:tcPr>
          <w:p w14:paraId="32BF83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1.148–4.232</w:t>
            </w:r>
          </w:p>
        </w:tc>
        <w:tc>
          <w:tcPr>
            <w:tcW w:w="1131" w:type="dxa"/>
            <w:tcBorders>
              <w:top w:val="nil"/>
              <w:left w:val="nil"/>
              <w:bottom w:val="single" w:color="000000" w:sz="4" w:space="0"/>
              <w:right w:val="nil"/>
            </w:tcBorders>
            <w:shd w:val="clear" w:color="auto" w:fill="auto"/>
            <w:noWrap/>
            <w:vAlign w:val="bottom"/>
          </w:tcPr>
          <w:p w14:paraId="16B0DF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0.018</w:t>
            </w:r>
          </w:p>
        </w:tc>
      </w:tr>
    </w:tbl>
    <w:p w14:paraId="39A3200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16"/>
          <w:szCs w:val="16"/>
        </w:rPr>
      </w:pPr>
      <w:r>
        <w:rPr>
          <w:rFonts w:hint="default" w:ascii="Times New Roman" w:hAnsi="Times New Roman" w:cs="Times New Roman"/>
          <w:b/>
          <w:bCs/>
          <w:i/>
          <w:iCs/>
          <w:color w:val="auto"/>
          <w:sz w:val="16"/>
          <w:szCs w:val="16"/>
        </w:rPr>
        <w:t>Note</w:t>
      </w:r>
      <w:r>
        <w:rPr>
          <w:rFonts w:hint="default" w:ascii="Times New Roman" w:hAnsi="Times New Roman" w:cs="Times New Roman"/>
          <w:color w:val="auto"/>
          <w:sz w:val="16"/>
          <w:szCs w:val="16"/>
        </w:rPr>
        <w:t>: The same six predictors as in the primary multivariable model were included. Profile penalized-likelihood 95% CI and penalized likelihood-ratio P values are reported. HAI, healthcare-associated infection; OR, odds ratio; CI, confidence interval; CVAD, central venous access device.</w:t>
      </w:r>
    </w:p>
    <w:p w14:paraId="7B46CB6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16"/>
          <w:szCs w:val="16"/>
        </w:rPr>
      </w:pPr>
    </w:p>
    <w:p w14:paraId="6AAA9709">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Supplementary Table S</w:t>
      </w:r>
      <w:r>
        <w:rPr>
          <w:rFonts w:hint="eastAsia" w:ascii="Times New Roman" w:hAnsi="Times New Roman" w:cs="Times New Roman"/>
          <w:b/>
          <w:bCs/>
          <w:color w:val="auto"/>
          <w:sz w:val="18"/>
          <w:szCs w:val="18"/>
          <w:lang w:val="en-US" w:eastAsia="zh-CN"/>
        </w:rPr>
        <w:t>6</w:t>
      </w:r>
      <w:r>
        <w:rPr>
          <w:rFonts w:hint="default" w:ascii="Times New Roman" w:hAnsi="Times New Roman" w:cs="Times New Roman"/>
          <w:b/>
          <w:bCs/>
          <w:color w:val="auto"/>
          <w:sz w:val="18"/>
          <w:szCs w:val="18"/>
        </w:rPr>
        <w:t>. Sensitivity analyses of cumulative hospital stay and hospitalization costs at the PPS date</w:t>
      </w:r>
    </w:p>
    <w:tbl>
      <w:tblPr>
        <w:tblStyle w:val="3"/>
        <w:tblW w:w="1001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18"/>
        <w:gridCol w:w="2854"/>
        <w:gridCol w:w="2730"/>
        <w:gridCol w:w="1223"/>
        <w:gridCol w:w="1047"/>
        <w:gridCol w:w="938"/>
      </w:tblGrid>
      <w:tr w14:paraId="082C2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trPr>
        <w:tc>
          <w:tcPr>
            <w:tcW w:w="1218" w:type="dxa"/>
            <w:tcBorders>
              <w:top w:val="single" w:color="000000" w:sz="4" w:space="0"/>
              <w:left w:val="nil"/>
              <w:bottom w:val="single" w:color="000000" w:sz="4" w:space="0"/>
              <w:right w:val="nil"/>
            </w:tcBorders>
            <w:shd w:val="clear" w:color="auto" w:fill="auto"/>
            <w:noWrap/>
            <w:vAlign w:val="center"/>
          </w:tcPr>
          <w:p w14:paraId="3CA72B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Outcome</w:t>
            </w:r>
          </w:p>
        </w:tc>
        <w:tc>
          <w:tcPr>
            <w:tcW w:w="2854" w:type="dxa"/>
            <w:tcBorders>
              <w:top w:val="single" w:color="000000" w:sz="4" w:space="0"/>
              <w:left w:val="nil"/>
              <w:bottom w:val="single" w:color="000000" w:sz="4" w:space="0"/>
              <w:right w:val="nil"/>
            </w:tcBorders>
            <w:shd w:val="clear" w:color="auto" w:fill="auto"/>
            <w:noWrap/>
            <w:vAlign w:val="center"/>
          </w:tcPr>
          <w:p w14:paraId="047EC4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Analysis</w:t>
            </w:r>
          </w:p>
        </w:tc>
        <w:tc>
          <w:tcPr>
            <w:tcW w:w="2730" w:type="dxa"/>
            <w:tcBorders>
              <w:top w:val="single" w:color="000000" w:sz="4" w:space="0"/>
              <w:left w:val="nil"/>
              <w:bottom w:val="single" w:color="000000" w:sz="4" w:space="0"/>
              <w:right w:val="nil"/>
            </w:tcBorders>
            <w:shd w:val="clear" w:color="auto" w:fill="auto"/>
            <w:noWrap/>
            <w:vAlign w:val="center"/>
          </w:tcPr>
          <w:p w14:paraId="3A5449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Adjustment set</w:t>
            </w:r>
          </w:p>
        </w:tc>
        <w:tc>
          <w:tcPr>
            <w:tcW w:w="1223" w:type="dxa"/>
            <w:tcBorders>
              <w:top w:val="single" w:color="000000" w:sz="4" w:space="0"/>
              <w:left w:val="nil"/>
              <w:bottom w:val="single" w:color="000000" w:sz="4" w:space="0"/>
              <w:right w:val="nil"/>
            </w:tcBorders>
            <w:shd w:val="clear" w:color="auto" w:fill="auto"/>
            <w:noWrap/>
            <w:vAlign w:val="center"/>
          </w:tcPr>
          <w:p w14:paraId="50B0EA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Ratio estimate</w:t>
            </w:r>
          </w:p>
        </w:tc>
        <w:tc>
          <w:tcPr>
            <w:tcW w:w="1047" w:type="dxa"/>
            <w:tcBorders>
              <w:top w:val="single" w:color="000000" w:sz="4" w:space="0"/>
              <w:left w:val="nil"/>
              <w:bottom w:val="single" w:color="000000" w:sz="4" w:space="0"/>
              <w:right w:val="nil"/>
            </w:tcBorders>
            <w:shd w:val="clear" w:color="auto" w:fill="auto"/>
            <w:noWrap/>
            <w:vAlign w:val="center"/>
          </w:tcPr>
          <w:p w14:paraId="278BA1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95% CI</w:t>
            </w:r>
          </w:p>
        </w:tc>
        <w:tc>
          <w:tcPr>
            <w:tcW w:w="938" w:type="dxa"/>
            <w:tcBorders>
              <w:top w:val="single" w:color="000000" w:sz="4" w:space="0"/>
              <w:left w:val="nil"/>
              <w:bottom w:val="single" w:color="000000" w:sz="4" w:space="0"/>
              <w:right w:val="nil"/>
            </w:tcBorders>
            <w:shd w:val="clear" w:color="auto" w:fill="auto"/>
            <w:noWrap/>
            <w:vAlign w:val="center"/>
          </w:tcPr>
          <w:p w14:paraId="69EFA0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b/>
                <w:bCs/>
                <w:i/>
                <w:iCs/>
                <w:color w:val="auto"/>
                <w:sz w:val="16"/>
                <w:szCs w:val="16"/>
                <w:u w:val="none"/>
              </w:rPr>
            </w:pPr>
            <w:r>
              <w:rPr>
                <w:rFonts w:hint="default" w:ascii="Times New Roman" w:hAnsi="Times New Roman" w:eastAsia="Carlito" w:cs="Times New Roman"/>
                <w:b/>
                <w:bCs/>
                <w:i/>
                <w:iCs/>
                <w:color w:val="auto"/>
                <w:kern w:val="0"/>
                <w:sz w:val="16"/>
                <w:szCs w:val="16"/>
                <w:u w:val="none"/>
                <w:lang w:val="en-US" w:eastAsia="zh-CN" w:bidi="ar"/>
              </w:rPr>
              <w:t>P</w:t>
            </w:r>
            <w:r>
              <w:rPr>
                <w:rFonts w:hint="default" w:ascii="Times New Roman" w:hAnsi="Times New Roman" w:eastAsia="Carlito" w:cs="Times New Roman"/>
                <w:b/>
                <w:bCs/>
                <w:i w:val="0"/>
                <w:iCs w:val="0"/>
                <w:color w:val="auto"/>
                <w:kern w:val="0"/>
                <w:sz w:val="16"/>
                <w:szCs w:val="16"/>
                <w:u w:val="none"/>
                <w:lang w:val="en-US" w:eastAsia="zh-CN" w:bidi="ar"/>
              </w:rPr>
              <w:t xml:space="preserve"> value</w:t>
            </w:r>
          </w:p>
        </w:tc>
      </w:tr>
      <w:tr w14:paraId="3140E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18" w:type="dxa"/>
            <w:vMerge w:val="restart"/>
            <w:tcBorders>
              <w:top w:val="nil"/>
              <w:left w:val="nil"/>
              <w:bottom w:val="nil"/>
              <w:right w:val="nil"/>
            </w:tcBorders>
            <w:shd w:val="clear" w:color="auto" w:fill="auto"/>
            <w:vAlign w:val="center"/>
          </w:tcPr>
          <w:p w14:paraId="556020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 xml:space="preserve">Cumulative hospital stay </w:t>
            </w:r>
            <w:r>
              <w:rPr>
                <w:rFonts w:hint="default" w:ascii="Times New Roman" w:hAnsi="Times New Roman" w:eastAsia="Carlito" w:cs="Times New Roman"/>
                <w:i w:val="0"/>
                <w:iCs w:val="0"/>
                <w:color w:val="auto"/>
                <w:kern w:val="0"/>
                <w:sz w:val="16"/>
                <w:szCs w:val="16"/>
                <w:u w:val="none"/>
                <w:lang w:val="en-US" w:eastAsia="zh-CN" w:bidi="ar"/>
              </w:rPr>
              <w:br w:type="textWrapping"/>
            </w:r>
            <w:r>
              <w:rPr>
                <w:rFonts w:hint="default" w:ascii="Times New Roman" w:hAnsi="Times New Roman" w:eastAsia="Carlito" w:cs="Times New Roman"/>
                <w:i w:val="0"/>
                <w:iCs w:val="0"/>
                <w:color w:val="auto"/>
                <w:kern w:val="0"/>
                <w:sz w:val="16"/>
                <w:szCs w:val="16"/>
                <w:u w:val="none"/>
                <w:lang w:val="en-US" w:eastAsia="zh-CN" w:bidi="ar"/>
              </w:rPr>
              <w:t>(days)</w:t>
            </w:r>
          </w:p>
        </w:tc>
        <w:tc>
          <w:tcPr>
            <w:tcW w:w="2854" w:type="dxa"/>
            <w:tcBorders>
              <w:top w:val="nil"/>
              <w:left w:val="nil"/>
              <w:bottom w:val="nil"/>
              <w:right w:val="nil"/>
            </w:tcBorders>
            <w:shd w:val="clear" w:color="auto" w:fill="auto"/>
            <w:vAlign w:val="center"/>
          </w:tcPr>
          <w:p w14:paraId="1584A2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Primary Gamma-log GLM</w:t>
            </w:r>
          </w:p>
        </w:tc>
        <w:tc>
          <w:tcPr>
            <w:tcW w:w="2730" w:type="dxa"/>
            <w:tcBorders>
              <w:top w:val="nil"/>
              <w:left w:val="nil"/>
              <w:bottom w:val="nil"/>
              <w:right w:val="nil"/>
            </w:tcBorders>
            <w:shd w:val="clear" w:color="auto" w:fill="auto"/>
            <w:vAlign w:val="center"/>
          </w:tcPr>
          <w:p w14:paraId="7C26F4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Age, sex, surgery, mechanical ventilation, urinary catheter, CVAD, department, and survey year</w:t>
            </w:r>
          </w:p>
        </w:tc>
        <w:tc>
          <w:tcPr>
            <w:tcW w:w="1223" w:type="dxa"/>
            <w:tcBorders>
              <w:top w:val="nil"/>
              <w:left w:val="nil"/>
              <w:bottom w:val="nil"/>
              <w:right w:val="nil"/>
            </w:tcBorders>
            <w:shd w:val="clear" w:color="auto" w:fill="auto"/>
            <w:noWrap/>
            <w:vAlign w:val="center"/>
          </w:tcPr>
          <w:p w14:paraId="5AABD5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lang w:val="en-US"/>
              </w:rPr>
            </w:pPr>
            <w:r>
              <w:rPr>
                <w:rFonts w:hint="default" w:ascii="Times New Roman" w:hAnsi="Times New Roman" w:eastAsia="Carlito" w:cs="Times New Roman"/>
                <w:i w:val="0"/>
                <w:iCs w:val="0"/>
                <w:color w:val="auto"/>
                <w:kern w:val="0"/>
                <w:sz w:val="16"/>
                <w:szCs w:val="16"/>
                <w:u w:val="none"/>
                <w:lang w:val="en-US" w:eastAsia="zh-CN" w:bidi="ar"/>
              </w:rPr>
              <w:t>1.97</w:t>
            </w:r>
            <w:r>
              <w:rPr>
                <w:rFonts w:hint="eastAsia" w:ascii="Times New Roman" w:hAnsi="Times New Roman" w:eastAsia="Carlito" w:cs="Times New Roman"/>
                <w:i w:val="0"/>
                <w:iCs w:val="0"/>
                <w:color w:val="auto"/>
                <w:kern w:val="0"/>
                <w:sz w:val="16"/>
                <w:szCs w:val="16"/>
                <w:u w:val="none"/>
                <w:lang w:val="en-US" w:eastAsia="zh-CN" w:bidi="ar"/>
              </w:rPr>
              <w:t>0</w:t>
            </w:r>
          </w:p>
        </w:tc>
        <w:tc>
          <w:tcPr>
            <w:tcW w:w="1047" w:type="dxa"/>
            <w:tcBorders>
              <w:top w:val="nil"/>
              <w:left w:val="nil"/>
              <w:bottom w:val="nil"/>
              <w:right w:val="nil"/>
            </w:tcBorders>
            <w:shd w:val="clear" w:color="auto" w:fill="auto"/>
            <w:noWrap/>
            <w:vAlign w:val="center"/>
          </w:tcPr>
          <w:p w14:paraId="0822EA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1.616–2.402</w:t>
            </w:r>
          </w:p>
        </w:tc>
        <w:tc>
          <w:tcPr>
            <w:tcW w:w="938" w:type="dxa"/>
            <w:tcBorders>
              <w:top w:val="nil"/>
              <w:left w:val="nil"/>
              <w:bottom w:val="nil"/>
              <w:right w:val="nil"/>
            </w:tcBorders>
            <w:shd w:val="clear" w:color="auto" w:fill="auto"/>
            <w:noWrap/>
            <w:vAlign w:val="center"/>
          </w:tcPr>
          <w:p w14:paraId="02FEC8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&lt;0.001</w:t>
            </w:r>
          </w:p>
        </w:tc>
      </w:tr>
      <w:tr w14:paraId="69DE3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18" w:type="dxa"/>
            <w:vMerge w:val="continue"/>
            <w:tcBorders>
              <w:top w:val="nil"/>
              <w:left w:val="nil"/>
              <w:bottom w:val="nil"/>
              <w:right w:val="nil"/>
            </w:tcBorders>
            <w:shd w:val="clear" w:color="auto" w:fill="auto"/>
            <w:vAlign w:val="center"/>
          </w:tcPr>
          <w:p w14:paraId="2741D190">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eastAsia="Carlito" w:cs="Times New Roman"/>
                <w:i w:val="0"/>
                <w:iCs w:val="0"/>
                <w:color w:val="auto"/>
                <w:sz w:val="16"/>
                <w:szCs w:val="16"/>
                <w:u w:val="none"/>
              </w:rPr>
            </w:pPr>
          </w:p>
        </w:tc>
        <w:tc>
          <w:tcPr>
            <w:tcW w:w="2854" w:type="dxa"/>
            <w:tcBorders>
              <w:top w:val="nil"/>
              <w:left w:val="nil"/>
              <w:bottom w:val="nil"/>
              <w:right w:val="nil"/>
            </w:tcBorders>
            <w:shd w:val="clear" w:color="auto" w:fill="auto"/>
            <w:vAlign w:val="center"/>
          </w:tcPr>
          <w:p w14:paraId="03C990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Sensitivity 1: Gamma-log GLM omitting concurrent device covariates</w:t>
            </w:r>
          </w:p>
        </w:tc>
        <w:tc>
          <w:tcPr>
            <w:tcW w:w="2730" w:type="dxa"/>
            <w:tcBorders>
              <w:top w:val="nil"/>
              <w:left w:val="nil"/>
              <w:bottom w:val="nil"/>
              <w:right w:val="nil"/>
            </w:tcBorders>
            <w:shd w:val="clear" w:color="auto" w:fill="auto"/>
            <w:noWrap/>
            <w:vAlign w:val="center"/>
          </w:tcPr>
          <w:p w14:paraId="0ABF49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Age, sex, surgery, department, and survey year</w:t>
            </w:r>
          </w:p>
        </w:tc>
        <w:tc>
          <w:tcPr>
            <w:tcW w:w="1223" w:type="dxa"/>
            <w:tcBorders>
              <w:top w:val="nil"/>
              <w:left w:val="nil"/>
              <w:bottom w:val="nil"/>
              <w:right w:val="nil"/>
            </w:tcBorders>
            <w:shd w:val="clear" w:color="auto" w:fill="auto"/>
            <w:noWrap/>
            <w:vAlign w:val="center"/>
          </w:tcPr>
          <w:p w14:paraId="09FA48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2.621</w:t>
            </w:r>
          </w:p>
        </w:tc>
        <w:tc>
          <w:tcPr>
            <w:tcW w:w="1047" w:type="dxa"/>
            <w:tcBorders>
              <w:top w:val="nil"/>
              <w:left w:val="nil"/>
              <w:bottom w:val="nil"/>
              <w:right w:val="nil"/>
            </w:tcBorders>
            <w:shd w:val="clear" w:color="auto" w:fill="auto"/>
            <w:noWrap/>
            <w:vAlign w:val="center"/>
          </w:tcPr>
          <w:p w14:paraId="434AD2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2.084–3.298</w:t>
            </w:r>
          </w:p>
        </w:tc>
        <w:tc>
          <w:tcPr>
            <w:tcW w:w="938" w:type="dxa"/>
            <w:tcBorders>
              <w:top w:val="nil"/>
              <w:left w:val="nil"/>
              <w:bottom w:val="nil"/>
              <w:right w:val="nil"/>
            </w:tcBorders>
            <w:shd w:val="clear" w:color="auto" w:fill="auto"/>
            <w:noWrap/>
            <w:vAlign w:val="center"/>
          </w:tcPr>
          <w:p w14:paraId="35163E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&lt;0.001</w:t>
            </w:r>
          </w:p>
        </w:tc>
      </w:tr>
      <w:tr w14:paraId="053C5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trPr>
        <w:tc>
          <w:tcPr>
            <w:tcW w:w="1218" w:type="dxa"/>
            <w:vMerge w:val="continue"/>
            <w:tcBorders>
              <w:top w:val="nil"/>
              <w:left w:val="nil"/>
              <w:bottom w:val="nil"/>
              <w:right w:val="nil"/>
            </w:tcBorders>
            <w:shd w:val="clear" w:color="auto" w:fill="auto"/>
            <w:vAlign w:val="center"/>
          </w:tcPr>
          <w:p w14:paraId="35333D6E">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eastAsia="Carlito" w:cs="Times New Roman"/>
                <w:i w:val="0"/>
                <w:iCs w:val="0"/>
                <w:color w:val="auto"/>
                <w:sz w:val="16"/>
                <w:szCs w:val="16"/>
                <w:u w:val="none"/>
              </w:rPr>
            </w:pPr>
          </w:p>
        </w:tc>
        <w:tc>
          <w:tcPr>
            <w:tcW w:w="2854" w:type="dxa"/>
            <w:tcBorders>
              <w:top w:val="nil"/>
              <w:left w:val="nil"/>
              <w:bottom w:val="nil"/>
              <w:right w:val="nil"/>
            </w:tcBorders>
            <w:shd w:val="clear" w:color="auto" w:fill="auto"/>
            <w:vAlign w:val="center"/>
          </w:tcPr>
          <w:p w14:paraId="79A436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Sensitivity 2: log-transformed OLS with robust SE</w:t>
            </w:r>
          </w:p>
        </w:tc>
        <w:tc>
          <w:tcPr>
            <w:tcW w:w="2730" w:type="dxa"/>
            <w:tcBorders>
              <w:top w:val="nil"/>
              <w:left w:val="nil"/>
              <w:bottom w:val="nil"/>
              <w:right w:val="nil"/>
            </w:tcBorders>
            <w:shd w:val="clear" w:color="auto" w:fill="auto"/>
            <w:vAlign w:val="center"/>
          </w:tcPr>
          <w:p w14:paraId="47040F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Same covariates as the primary model</w:t>
            </w:r>
          </w:p>
        </w:tc>
        <w:tc>
          <w:tcPr>
            <w:tcW w:w="1223" w:type="dxa"/>
            <w:tcBorders>
              <w:top w:val="nil"/>
              <w:left w:val="nil"/>
              <w:bottom w:val="nil"/>
              <w:right w:val="nil"/>
            </w:tcBorders>
            <w:shd w:val="clear" w:color="auto" w:fill="auto"/>
            <w:noWrap/>
            <w:vAlign w:val="center"/>
          </w:tcPr>
          <w:p w14:paraId="2880D2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1.825</w:t>
            </w:r>
          </w:p>
        </w:tc>
        <w:tc>
          <w:tcPr>
            <w:tcW w:w="1047" w:type="dxa"/>
            <w:tcBorders>
              <w:top w:val="nil"/>
              <w:left w:val="nil"/>
              <w:bottom w:val="nil"/>
              <w:right w:val="nil"/>
            </w:tcBorders>
            <w:shd w:val="clear" w:color="auto" w:fill="auto"/>
            <w:noWrap/>
            <w:vAlign w:val="center"/>
          </w:tcPr>
          <w:p w14:paraId="5DCAD6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1.520–2.191</w:t>
            </w:r>
          </w:p>
        </w:tc>
        <w:tc>
          <w:tcPr>
            <w:tcW w:w="938" w:type="dxa"/>
            <w:tcBorders>
              <w:top w:val="nil"/>
              <w:left w:val="nil"/>
              <w:bottom w:val="nil"/>
              <w:right w:val="nil"/>
            </w:tcBorders>
            <w:shd w:val="clear" w:color="auto" w:fill="auto"/>
            <w:noWrap/>
            <w:vAlign w:val="center"/>
          </w:tcPr>
          <w:p w14:paraId="6ABB39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&lt;0.001</w:t>
            </w:r>
          </w:p>
        </w:tc>
      </w:tr>
      <w:tr w14:paraId="5B5C5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18" w:type="dxa"/>
            <w:vMerge w:val="restart"/>
            <w:tcBorders>
              <w:top w:val="nil"/>
              <w:left w:val="nil"/>
              <w:bottom w:val="single" w:color="000000" w:sz="4" w:space="0"/>
              <w:right w:val="nil"/>
            </w:tcBorders>
            <w:shd w:val="clear" w:color="auto" w:fill="auto"/>
            <w:vAlign w:val="center"/>
          </w:tcPr>
          <w:p w14:paraId="29978E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Cumulative hospitalization costs</w:t>
            </w:r>
            <w:r>
              <w:rPr>
                <w:rFonts w:hint="default" w:ascii="Times New Roman" w:hAnsi="Times New Roman" w:eastAsia="Carlito" w:cs="Times New Roman"/>
                <w:i w:val="0"/>
                <w:iCs w:val="0"/>
                <w:color w:val="auto"/>
                <w:kern w:val="0"/>
                <w:sz w:val="16"/>
                <w:szCs w:val="16"/>
                <w:u w:val="none"/>
                <w:lang w:val="en-US" w:eastAsia="zh-CN" w:bidi="ar"/>
              </w:rPr>
              <w:br w:type="textWrapping"/>
            </w:r>
            <w:r>
              <w:rPr>
                <w:rFonts w:hint="default" w:ascii="Times New Roman" w:hAnsi="Times New Roman" w:eastAsia="Carlito" w:cs="Times New Roman"/>
                <w:i w:val="0"/>
                <w:iCs w:val="0"/>
                <w:color w:val="auto"/>
                <w:kern w:val="0"/>
                <w:sz w:val="16"/>
                <w:szCs w:val="16"/>
                <w:u w:val="none"/>
                <w:lang w:val="en-US" w:eastAsia="zh-CN" w:bidi="ar"/>
              </w:rPr>
              <w:t>(2024 constant CNY)</w:t>
            </w:r>
          </w:p>
        </w:tc>
        <w:tc>
          <w:tcPr>
            <w:tcW w:w="2854" w:type="dxa"/>
            <w:tcBorders>
              <w:top w:val="nil"/>
              <w:left w:val="nil"/>
              <w:bottom w:val="nil"/>
              <w:right w:val="nil"/>
            </w:tcBorders>
            <w:shd w:val="clear" w:color="auto" w:fill="auto"/>
            <w:vAlign w:val="center"/>
          </w:tcPr>
          <w:p w14:paraId="2B7D38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Primary Gamma-log GLM</w:t>
            </w:r>
          </w:p>
        </w:tc>
        <w:tc>
          <w:tcPr>
            <w:tcW w:w="2730" w:type="dxa"/>
            <w:tcBorders>
              <w:top w:val="nil"/>
              <w:left w:val="nil"/>
              <w:bottom w:val="nil"/>
              <w:right w:val="nil"/>
            </w:tcBorders>
            <w:shd w:val="clear" w:color="auto" w:fill="auto"/>
            <w:vAlign w:val="center"/>
          </w:tcPr>
          <w:p w14:paraId="517AFF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Age, sex, surgery, mechanical ventilation, urinary catheter, CVAD, department, and survey year</w:t>
            </w:r>
          </w:p>
        </w:tc>
        <w:tc>
          <w:tcPr>
            <w:tcW w:w="1223" w:type="dxa"/>
            <w:tcBorders>
              <w:top w:val="nil"/>
              <w:left w:val="nil"/>
              <w:bottom w:val="nil"/>
              <w:right w:val="nil"/>
            </w:tcBorders>
            <w:shd w:val="clear" w:color="auto" w:fill="auto"/>
            <w:noWrap/>
            <w:vAlign w:val="center"/>
          </w:tcPr>
          <w:p w14:paraId="3C77E8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2.013</w:t>
            </w:r>
          </w:p>
        </w:tc>
        <w:tc>
          <w:tcPr>
            <w:tcW w:w="1047" w:type="dxa"/>
            <w:tcBorders>
              <w:top w:val="nil"/>
              <w:left w:val="nil"/>
              <w:bottom w:val="nil"/>
              <w:right w:val="nil"/>
            </w:tcBorders>
            <w:shd w:val="clear" w:color="auto" w:fill="auto"/>
            <w:noWrap/>
            <w:vAlign w:val="center"/>
          </w:tcPr>
          <w:p w14:paraId="0E6F5F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1.673–2.423</w:t>
            </w:r>
          </w:p>
        </w:tc>
        <w:tc>
          <w:tcPr>
            <w:tcW w:w="938" w:type="dxa"/>
            <w:tcBorders>
              <w:top w:val="nil"/>
              <w:left w:val="nil"/>
              <w:bottom w:val="nil"/>
              <w:right w:val="nil"/>
            </w:tcBorders>
            <w:shd w:val="clear" w:color="auto" w:fill="auto"/>
            <w:noWrap/>
            <w:vAlign w:val="center"/>
          </w:tcPr>
          <w:p w14:paraId="030AAA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&lt;0.001</w:t>
            </w:r>
          </w:p>
        </w:tc>
      </w:tr>
      <w:tr w14:paraId="43CAE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18" w:type="dxa"/>
            <w:vMerge w:val="continue"/>
            <w:tcBorders>
              <w:top w:val="nil"/>
              <w:left w:val="nil"/>
              <w:bottom w:val="single" w:color="000000" w:sz="4" w:space="0"/>
              <w:right w:val="nil"/>
            </w:tcBorders>
            <w:shd w:val="clear" w:color="auto" w:fill="auto"/>
            <w:vAlign w:val="center"/>
          </w:tcPr>
          <w:p w14:paraId="670D84D0">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eastAsia="Carlito" w:cs="Times New Roman"/>
                <w:i w:val="0"/>
                <w:iCs w:val="0"/>
                <w:color w:val="auto"/>
                <w:sz w:val="16"/>
                <w:szCs w:val="16"/>
                <w:u w:val="none"/>
              </w:rPr>
            </w:pPr>
          </w:p>
        </w:tc>
        <w:tc>
          <w:tcPr>
            <w:tcW w:w="2854" w:type="dxa"/>
            <w:tcBorders>
              <w:top w:val="nil"/>
              <w:left w:val="nil"/>
              <w:bottom w:val="nil"/>
              <w:right w:val="nil"/>
            </w:tcBorders>
            <w:shd w:val="clear" w:color="auto" w:fill="auto"/>
            <w:vAlign w:val="center"/>
          </w:tcPr>
          <w:p w14:paraId="499A6A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Sensitivity 1: Gamma-log GLM omitting concurrent device covariates</w:t>
            </w:r>
          </w:p>
        </w:tc>
        <w:tc>
          <w:tcPr>
            <w:tcW w:w="2730" w:type="dxa"/>
            <w:tcBorders>
              <w:top w:val="nil"/>
              <w:left w:val="nil"/>
              <w:bottom w:val="nil"/>
              <w:right w:val="nil"/>
            </w:tcBorders>
            <w:shd w:val="clear" w:color="auto" w:fill="auto"/>
            <w:vAlign w:val="center"/>
          </w:tcPr>
          <w:p w14:paraId="3580E0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Age, sex, surgery, department, and survey year</w:t>
            </w:r>
          </w:p>
        </w:tc>
        <w:tc>
          <w:tcPr>
            <w:tcW w:w="1223" w:type="dxa"/>
            <w:tcBorders>
              <w:top w:val="nil"/>
              <w:left w:val="nil"/>
              <w:bottom w:val="nil"/>
              <w:right w:val="nil"/>
            </w:tcBorders>
            <w:shd w:val="clear" w:color="auto" w:fill="auto"/>
            <w:noWrap/>
            <w:vAlign w:val="center"/>
          </w:tcPr>
          <w:p w14:paraId="45F989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3.231</w:t>
            </w:r>
          </w:p>
        </w:tc>
        <w:tc>
          <w:tcPr>
            <w:tcW w:w="1047" w:type="dxa"/>
            <w:tcBorders>
              <w:top w:val="nil"/>
              <w:left w:val="nil"/>
              <w:bottom w:val="nil"/>
              <w:right w:val="nil"/>
            </w:tcBorders>
            <w:shd w:val="clear" w:color="auto" w:fill="auto"/>
            <w:noWrap/>
            <w:vAlign w:val="center"/>
          </w:tcPr>
          <w:p w14:paraId="3BD905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2.545–4.102</w:t>
            </w:r>
          </w:p>
        </w:tc>
        <w:tc>
          <w:tcPr>
            <w:tcW w:w="938" w:type="dxa"/>
            <w:tcBorders>
              <w:top w:val="nil"/>
              <w:left w:val="nil"/>
              <w:bottom w:val="nil"/>
              <w:right w:val="nil"/>
            </w:tcBorders>
            <w:shd w:val="clear" w:color="auto" w:fill="auto"/>
            <w:noWrap/>
            <w:vAlign w:val="center"/>
          </w:tcPr>
          <w:p w14:paraId="512F1F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&lt;0.001</w:t>
            </w:r>
          </w:p>
        </w:tc>
      </w:tr>
      <w:tr w14:paraId="5490D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trPr>
        <w:tc>
          <w:tcPr>
            <w:tcW w:w="1218" w:type="dxa"/>
            <w:vMerge w:val="continue"/>
            <w:tcBorders>
              <w:top w:val="nil"/>
              <w:left w:val="nil"/>
              <w:bottom w:val="single" w:color="000000" w:sz="4" w:space="0"/>
              <w:right w:val="nil"/>
            </w:tcBorders>
            <w:shd w:val="clear" w:color="auto" w:fill="auto"/>
            <w:vAlign w:val="center"/>
          </w:tcPr>
          <w:p w14:paraId="3ED441ED">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eastAsia="Carlito" w:cs="Times New Roman"/>
                <w:i w:val="0"/>
                <w:iCs w:val="0"/>
                <w:color w:val="auto"/>
                <w:sz w:val="16"/>
                <w:szCs w:val="16"/>
                <w:u w:val="none"/>
              </w:rPr>
            </w:pPr>
          </w:p>
        </w:tc>
        <w:tc>
          <w:tcPr>
            <w:tcW w:w="2854" w:type="dxa"/>
            <w:tcBorders>
              <w:top w:val="nil"/>
              <w:left w:val="nil"/>
              <w:bottom w:val="single" w:color="000000" w:sz="4" w:space="0"/>
              <w:right w:val="nil"/>
            </w:tcBorders>
            <w:shd w:val="clear" w:color="auto" w:fill="auto"/>
            <w:vAlign w:val="center"/>
          </w:tcPr>
          <w:p w14:paraId="7659E9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Sensitivity 2: log-transformed OLS with robust SE</w:t>
            </w:r>
          </w:p>
        </w:tc>
        <w:tc>
          <w:tcPr>
            <w:tcW w:w="2730" w:type="dxa"/>
            <w:tcBorders>
              <w:top w:val="nil"/>
              <w:left w:val="nil"/>
              <w:bottom w:val="single" w:color="000000" w:sz="4" w:space="0"/>
              <w:right w:val="nil"/>
            </w:tcBorders>
            <w:shd w:val="clear" w:color="auto" w:fill="auto"/>
            <w:vAlign w:val="center"/>
          </w:tcPr>
          <w:p w14:paraId="55C5D6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Same covariates as the primary model</w:t>
            </w:r>
          </w:p>
        </w:tc>
        <w:tc>
          <w:tcPr>
            <w:tcW w:w="1223" w:type="dxa"/>
            <w:tcBorders>
              <w:top w:val="nil"/>
              <w:left w:val="nil"/>
              <w:bottom w:val="single" w:color="000000" w:sz="4" w:space="0"/>
              <w:right w:val="nil"/>
            </w:tcBorders>
            <w:shd w:val="clear" w:color="auto" w:fill="auto"/>
            <w:noWrap/>
            <w:vAlign w:val="center"/>
          </w:tcPr>
          <w:p w14:paraId="137C3F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1.949</w:t>
            </w:r>
          </w:p>
        </w:tc>
        <w:tc>
          <w:tcPr>
            <w:tcW w:w="1047" w:type="dxa"/>
            <w:tcBorders>
              <w:top w:val="nil"/>
              <w:left w:val="nil"/>
              <w:bottom w:val="single" w:color="000000" w:sz="4" w:space="0"/>
              <w:right w:val="nil"/>
            </w:tcBorders>
            <w:shd w:val="clear" w:color="auto" w:fill="auto"/>
            <w:noWrap/>
            <w:vAlign w:val="center"/>
          </w:tcPr>
          <w:p w14:paraId="1877C8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1.644–2.310</w:t>
            </w:r>
          </w:p>
        </w:tc>
        <w:tc>
          <w:tcPr>
            <w:tcW w:w="938" w:type="dxa"/>
            <w:tcBorders>
              <w:top w:val="nil"/>
              <w:left w:val="nil"/>
              <w:bottom w:val="single" w:color="000000" w:sz="4" w:space="0"/>
              <w:right w:val="nil"/>
            </w:tcBorders>
            <w:shd w:val="clear" w:color="auto" w:fill="auto"/>
            <w:noWrap/>
            <w:vAlign w:val="center"/>
          </w:tcPr>
          <w:p w14:paraId="57F8FA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&lt;0.001</w:t>
            </w:r>
          </w:p>
        </w:tc>
      </w:tr>
    </w:tbl>
    <w:p w14:paraId="2AD3DF1A">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16"/>
          <w:szCs w:val="16"/>
        </w:rPr>
      </w:pPr>
      <w:r>
        <w:rPr>
          <w:rFonts w:hint="default" w:ascii="Times New Roman" w:hAnsi="Times New Roman" w:cs="Times New Roman"/>
          <w:b/>
          <w:bCs/>
          <w:i/>
          <w:iCs/>
          <w:color w:val="auto"/>
          <w:sz w:val="16"/>
          <w:szCs w:val="16"/>
        </w:rPr>
        <w:t>Note</w:t>
      </w:r>
      <w:r>
        <w:rPr>
          <w:rFonts w:hint="default" w:ascii="Times New Roman" w:hAnsi="Times New Roman" w:cs="Times New Roman"/>
          <w:color w:val="auto"/>
          <w:sz w:val="16"/>
          <w:szCs w:val="16"/>
        </w:rPr>
        <w:t>: Gamma-log models used robust sandwich standard errors, whereas log-OLS models used HC3 robust standard errors. For Gamma-log models, ratio estimates are adjusted mean ratios; for log-OLS models, they are exponentiated coefficients for HAI status. All ratios compare patients with HAIs with those without HAIs and represent cross-sectional associations at the PPS date rather than causal effects. HAI, healthcare-associated infection; PPS, point prevalence survey; GLM, generalized linear model; OLS, ordinary least squares; SE, standard error; CVAD, central venous access device; CNY, Chinese yuan; CI, confidence interval.</w:t>
      </w:r>
    </w:p>
    <w:p w14:paraId="0C34CB5E">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color w:val="auto"/>
          <w:sz w:val="16"/>
          <w:szCs w:val="16"/>
        </w:rPr>
      </w:pPr>
    </w:p>
    <w:p w14:paraId="5DF3B5B3">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Supplementary Table S</w:t>
      </w:r>
      <w:r>
        <w:rPr>
          <w:rFonts w:hint="eastAsia" w:ascii="Times New Roman" w:hAnsi="Times New Roman" w:cs="Times New Roman"/>
          <w:b/>
          <w:bCs/>
          <w:color w:val="auto"/>
          <w:sz w:val="18"/>
          <w:szCs w:val="18"/>
          <w:lang w:val="en-US" w:eastAsia="zh-CN"/>
        </w:rPr>
        <w:t>7</w:t>
      </w:r>
      <w:r>
        <w:rPr>
          <w:rFonts w:hint="default" w:ascii="Times New Roman" w:hAnsi="Times New Roman" w:cs="Times New Roman"/>
          <w:b/>
          <w:bCs/>
          <w:color w:val="auto"/>
          <w:sz w:val="18"/>
          <w:szCs w:val="18"/>
        </w:rPr>
        <w:t>. CPI conversion factors used to express hospitalization costs in 2024 constant CNY</w:t>
      </w:r>
    </w:p>
    <w:tbl>
      <w:tblPr>
        <w:tblStyle w:val="3"/>
        <w:tblW w:w="9779"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33"/>
        <w:gridCol w:w="4831"/>
        <w:gridCol w:w="3115"/>
      </w:tblGrid>
      <w:tr w14:paraId="08308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833" w:type="dxa"/>
            <w:tcBorders>
              <w:top w:val="single" w:color="000000" w:sz="4" w:space="0"/>
              <w:left w:val="nil"/>
              <w:bottom w:val="single" w:color="000000" w:sz="4" w:space="0"/>
              <w:right w:val="nil"/>
            </w:tcBorders>
            <w:shd w:val="clear" w:color="auto" w:fill="auto"/>
            <w:noWrap/>
            <w:vAlign w:val="center"/>
          </w:tcPr>
          <w:p w14:paraId="36B9B2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Cost year</w:t>
            </w:r>
          </w:p>
        </w:tc>
        <w:tc>
          <w:tcPr>
            <w:tcW w:w="4831" w:type="dxa"/>
            <w:tcBorders>
              <w:top w:val="single" w:color="000000" w:sz="4" w:space="0"/>
              <w:left w:val="nil"/>
              <w:bottom w:val="single" w:color="000000" w:sz="4" w:space="0"/>
              <w:right w:val="nil"/>
            </w:tcBorders>
            <w:shd w:val="clear" w:color="auto" w:fill="auto"/>
            <w:vAlign w:val="center"/>
          </w:tcPr>
          <w:p w14:paraId="1431285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Annual CPI changes included in cumulative factor</w:t>
            </w:r>
          </w:p>
        </w:tc>
        <w:tc>
          <w:tcPr>
            <w:tcW w:w="3115" w:type="dxa"/>
            <w:tcBorders>
              <w:top w:val="single" w:color="000000" w:sz="4" w:space="0"/>
              <w:left w:val="nil"/>
              <w:bottom w:val="single" w:color="000000" w:sz="4" w:space="0"/>
              <w:right w:val="nil"/>
            </w:tcBorders>
            <w:shd w:val="clear" w:color="auto" w:fill="auto"/>
            <w:vAlign w:val="center"/>
          </w:tcPr>
          <w:p w14:paraId="326877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b/>
                <w:bCs/>
                <w:i w:val="0"/>
                <w:iCs w:val="0"/>
                <w:color w:val="auto"/>
                <w:sz w:val="16"/>
                <w:szCs w:val="16"/>
                <w:u w:val="none"/>
              </w:rPr>
            </w:pPr>
            <w:r>
              <w:rPr>
                <w:rFonts w:hint="default" w:ascii="Times New Roman" w:hAnsi="Times New Roman" w:eastAsia="Carlito" w:cs="Times New Roman"/>
                <w:b/>
                <w:bCs/>
                <w:i w:val="0"/>
                <w:iCs w:val="0"/>
                <w:color w:val="auto"/>
                <w:kern w:val="0"/>
                <w:sz w:val="16"/>
                <w:szCs w:val="16"/>
                <w:u w:val="none"/>
                <w:lang w:val="en-US" w:eastAsia="zh-CN" w:bidi="ar"/>
              </w:rPr>
              <w:t>Conversion factor to 2024 constant CNY</w:t>
            </w:r>
          </w:p>
        </w:tc>
      </w:tr>
      <w:tr w14:paraId="5A5B0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0" w:type="auto"/>
            <w:tcBorders>
              <w:top w:val="nil"/>
              <w:left w:val="nil"/>
              <w:bottom w:val="nil"/>
              <w:right w:val="nil"/>
            </w:tcBorders>
            <w:shd w:val="clear" w:color="auto" w:fill="auto"/>
            <w:noWrap/>
            <w:vAlign w:val="center"/>
          </w:tcPr>
          <w:p w14:paraId="639E6A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2020</w:t>
            </w:r>
          </w:p>
        </w:tc>
        <w:tc>
          <w:tcPr>
            <w:tcW w:w="4831" w:type="dxa"/>
            <w:tcBorders>
              <w:top w:val="nil"/>
              <w:left w:val="nil"/>
              <w:bottom w:val="nil"/>
              <w:right w:val="nil"/>
            </w:tcBorders>
            <w:shd w:val="clear" w:color="auto" w:fill="auto"/>
            <w:vAlign w:val="center"/>
          </w:tcPr>
          <w:p w14:paraId="59354C9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2021: 0.9%; 2022: 2.0%; 2023: 0.2%; 2024: 0.2%</w:t>
            </w:r>
          </w:p>
        </w:tc>
        <w:tc>
          <w:tcPr>
            <w:tcW w:w="3115" w:type="dxa"/>
            <w:tcBorders>
              <w:top w:val="nil"/>
              <w:left w:val="nil"/>
              <w:bottom w:val="nil"/>
              <w:right w:val="nil"/>
            </w:tcBorders>
            <w:shd w:val="clear" w:color="auto" w:fill="auto"/>
            <w:noWrap/>
            <w:vAlign w:val="center"/>
          </w:tcPr>
          <w:p w14:paraId="6D1BF4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1.033301</w:t>
            </w:r>
          </w:p>
        </w:tc>
      </w:tr>
      <w:tr w14:paraId="1E4A4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atLeast"/>
        </w:trPr>
        <w:tc>
          <w:tcPr>
            <w:tcW w:w="0" w:type="auto"/>
            <w:tcBorders>
              <w:top w:val="nil"/>
              <w:left w:val="nil"/>
              <w:bottom w:val="nil"/>
              <w:right w:val="nil"/>
            </w:tcBorders>
            <w:shd w:val="clear" w:color="auto" w:fill="auto"/>
            <w:noWrap/>
            <w:vAlign w:val="center"/>
          </w:tcPr>
          <w:p w14:paraId="004A3F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2021</w:t>
            </w:r>
          </w:p>
        </w:tc>
        <w:tc>
          <w:tcPr>
            <w:tcW w:w="4831" w:type="dxa"/>
            <w:tcBorders>
              <w:top w:val="nil"/>
              <w:left w:val="nil"/>
              <w:bottom w:val="nil"/>
              <w:right w:val="nil"/>
            </w:tcBorders>
            <w:shd w:val="clear" w:color="auto" w:fill="auto"/>
            <w:vAlign w:val="center"/>
          </w:tcPr>
          <w:p w14:paraId="0DDF42D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2022: 2.0%; 2023: 0.2%; 2024: 0.2%</w:t>
            </w:r>
          </w:p>
        </w:tc>
        <w:tc>
          <w:tcPr>
            <w:tcW w:w="3115" w:type="dxa"/>
            <w:tcBorders>
              <w:top w:val="nil"/>
              <w:left w:val="nil"/>
              <w:bottom w:val="nil"/>
              <w:right w:val="nil"/>
            </w:tcBorders>
            <w:shd w:val="clear" w:color="auto" w:fill="auto"/>
            <w:noWrap/>
            <w:vAlign w:val="center"/>
          </w:tcPr>
          <w:p w14:paraId="2E4A3C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1.024084</w:t>
            </w:r>
          </w:p>
        </w:tc>
      </w:tr>
      <w:tr w14:paraId="52CF8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atLeast"/>
        </w:trPr>
        <w:tc>
          <w:tcPr>
            <w:tcW w:w="0" w:type="auto"/>
            <w:tcBorders>
              <w:top w:val="nil"/>
              <w:left w:val="nil"/>
              <w:bottom w:val="nil"/>
              <w:right w:val="nil"/>
            </w:tcBorders>
            <w:shd w:val="clear" w:color="auto" w:fill="auto"/>
            <w:noWrap/>
            <w:vAlign w:val="center"/>
          </w:tcPr>
          <w:p w14:paraId="59D850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2022</w:t>
            </w:r>
          </w:p>
        </w:tc>
        <w:tc>
          <w:tcPr>
            <w:tcW w:w="4831" w:type="dxa"/>
            <w:tcBorders>
              <w:top w:val="nil"/>
              <w:left w:val="nil"/>
              <w:bottom w:val="nil"/>
              <w:right w:val="nil"/>
            </w:tcBorders>
            <w:shd w:val="clear" w:color="auto" w:fill="auto"/>
            <w:vAlign w:val="center"/>
          </w:tcPr>
          <w:p w14:paraId="2421EA2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2023: 0.2%; 2024: 0.2%</w:t>
            </w:r>
          </w:p>
        </w:tc>
        <w:tc>
          <w:tcPr>
            <w:tcW w:w="3115" w:type="dxa"/>
            <w:tcBorders>
              <w:top w:val="nil"/>
              <w:left w:val="nil"/>
              <w:bottom w:val="nil"/>
              <w:right w:val="nil"/>
            </w:tcBorders>
            <w:shd w:val="clear" w:color="auto" w:fill="auto"/>
            <w:noWrap/>
            <w:vAlign w:val="center"/>
          </w:tcPr>
          <w:p w14:paraId="031741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1.004004</w:t>
            </w:r>
          </w:p>
        </w:tc>
      </w:tr>
      <w:tr w14:paraId="7D13A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atLeast"/>
        </w:trPr>
        <w:tc>
          <w:tcPr>
            <w:tcW w:w="0" w:type="auto"/>
            <w:tcBorders>
              <w:top w:val="nil"/>
              <w:left w:val="nil"/>
              <w:bottom w:val="nil"/>
              <w:right w:val="nil"/>
            </w:tcBorders>
            <w:shd w:val="clear" w:color="auto" w:fill="auto"/>
            <w:noWrap/>
            <w:vAlign w:val="center"/>
          </w:tcPr>
          <w:p w14:paraId="0DF705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2023</w:t>
            </w:r>
          </w:p>
        </w:tc>
        <w:tc>
          <w:tcPr>
            <w:tcW w:w="4831" w:type="dxa"/>
            <w:tcBorders>
              <w:top w:val="nil"/>
              <w:left w:val="nil"/>
              <w:bottom w:val="nil"/>
              <w:right w:val="nil"/>
            </w:tcBorders>
            <w:shd w:val="clear" w:color="auto" w:fill="auto"/>
            <w:noWrap/>
            <w:vAlign w:val="center"/>
          </w:tcPr>
          <w:p w14:paraId="1DF9769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2024: 0.2%</w:t>
            </w:r>
          </w:p>
        </w:tc>
        <w:tc>
          <w:tcPr>
            <w:tcW w:w="3115" w:type="dxa"/>
            <w:tcBorders>
              <w:top w:val="nil"/>
              <w:left w:val="nil"/>
              <w:bottom w:val="nil"/>
              <w:right w:val="nil"/>
            </w:tcBorders>
            <w:shd w:val="clear" w:color="auto" w:fill="auto"/>
            <w:noWrap/>
            <w:vAlign w:val="center"/>
          </w:tcPr>
          <w:p w14:paraId="3CEE6D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1.002</w:t>
            </w:r>
          </w:p>
        </w:tc>
      </w:tr>
      <w:tr w14:paraId="515A3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0" w:type="auto"/>
            <w:tcBorders>
              <w:top w:val="nil"/>
              <w:left w:val="nil"/>
              <w:bottom w:val="single" w:color="000000" w:sz="4" w:space="0"/>
              <w:right w:val="nil"/>
            </w:tcBorders>
            <w:shd w:val="clear" w:color="auto" w:fill="auto"/>
            <w:noWrap/>
            <w:vAlign w:val="center"/>
          </w:tcPr>
          <w:p w14:paraId="7482AB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2024</w:t>
            </w:r>
          </w:p>
        </w:tc>
        <w:tc>
          <w:tcPr>
            <w:tcW w:w="4831" w:type="dxa"/>
            <w:tcBorders>
              <w:top w:val="nil"/>
              <w:left w:val="nil"/>
              <w:bottom w:val="single" w:color="000000" w:sz="4" w:space="0"/>
              <w:right w:val="nil"/>
            </w:tcBorders>
            <w:shd w:val="clear" w:color="auto" w:fill="auto"/>
            <w:noWrap/>
            <w:vAlign w:val="center"/>
          </w:tcPr>
          <w:p w14:paraId="4B6B6EB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Reference year</w:t>
            </w:r>
          </w:p>
        </w:tc>
        <w:tc>
          <w:tcPr>
            <w:tcW w:w="3115" w:type="dxa"/>
            <w:tcBorders>
              <w:top w:val="nil"/>
              <w:left w:val="nil"/>
              <w:bottom w:val="single" w:color="000000" w:sz="4" w:space="0"/>
              <w:right w:val="nil"/>
            </w:tcBorders>
            <w:shd w:val="clear" w:color="auto" w:fill="auto"/>
            <w:noWrap/>
            <w:vAlign w:val="center"/>
          </w:tcPr>
          <w:p w14:paraId="7AE6AA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Carlito" w:cs="Times New Roman"/>
                <w:i w:val="0"/>
                <w:iCs w:val="0"/>
                <w:color w:val="auto"/>
                <w:sz w:val="16"/>
                <w:szCs w:val="16"/>
                <w:u w:val="none"/>
              </w:rPr>
            </w:pPr>
            <w:r>
              <w:rPr>
                <w:rFonts w:hint="default" w:ascii="Times New Roman" w:hAnsi="Times New Roman" w:eastAsia="Carlito" w:cs="Times New Roman"/>
                <w:i w:val="0"/>
                <w:iCs w:val="0"/>
                <w:color w:val="auto"/>
                <w:kern w:val="0"/>
                <w:sz w:val="16"/>
                <w:szCs w:val="16"/>
                <w:u w:val="none"/>
                <w:lang w:val="en-US" w:eastAsia="zh-CN" w:bidi="ar"/>
              </w:rPr>
              <w:t>1</w:t>
            </w:r>
          </w:p>
        </w:tc>
      </w:tr>
    </w:tbl>
    <w:p w14:paraId="06A146E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16"/>
          <w:szCs w:val="16"/>
        </w:rPr>
      </w:pPr>
      <w:r>
        <w:rPr>
          <w:rFonts w:hint="default" w:ascii="Times New Roman" w:hAnsi="Times New Roman" w:cs="Times New Roman"/>
          <w:b/>
          <w:bCs/>
          <w:i/>
          <w:iCs/>
          <w:color w:val="auto"/>
          <w:sz w:val="16"/>
          <w:szCs w:val="16"/>
        </w:rPr>
        <w:t>Note</w:t>
      </w:r>
      <w:r>
        <w:rPr>
          <w:rFonts w:hint="default" w:ascii="Times New Roman" w:hAnsi="Times New Roman" w:cs="Times New Roman"/>
          <w:color w:val="auto"/>
          <w:sz w:val="16"/>
          <w:szCs w:val="16"/>
        </w:rPr>
        <w:t>: Hospitalization costs recorded in each survey year were multiplied by the corresponding conversion factor. Factors were calculated by cumulatively compounding annual national CPI changes from the year following the cost year through 2024. For example, the 2020 conversion factor was 1.009 × 1.020 × 1.002 × 1.002 = 1.033301. Annual CPI data were obtained from the National Bureau of Statistics of China. CPI, consumer price index; CNY, Chinese yuan.</w:t>
      </w:r>
    </w:p>
    <w:p w14:paraId="132936AF">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color w:val="auto"/>
        </w:rPr>
      </w:pPr>
    </w:p>
    <w:p w14:paraId="2B82C851">
      <w:pPr>
        <w:keepNext w:val="0"/>
        <w:keepLines w:val="0"/>
        <w:pageBreakBefore w:val="0"/>
        <w:numPr>
          <w:ilvl w:val="0"/>
          <w:numId w:val="0"/>
        </w:numPr>
        <w:kinsoku/>
        <w:wordWrap/>
        <w:overflowPunct/>
        <w:topLinePunct w:val="0"/>
        <w:autoSpaceDE/>
        <w:autoSpaceDN/>
        <w:bidi w:val="0"/>
        <w:adjustRightInd/>
        <w:snapToGrid/>
        <w:spacing w:line="360" w:lineRule="auto"/>
        <w:rPr>
          <w:rFonts w:hint="default" w:ascii="Times New Roman" w:hAnsi="Times New Roman" w:cs="Times New Roman"/>
          <w:color w:val="auto"/>
          <w:lang w:val="en-US" w:eastAsia="zh-CN"/>
        </w:rPr>
      </w:pPr>
    </w:p>
    <w:sectPr>
      <w:endnotePr>
        <w:numFmt w:val="decimal"/>
      </w:endnote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rlit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endnotePr>
    <w:numFmt w:val="decimal"/>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8029B"/>
    <w:rsid w:val="02D7765F"/>
    <w:rsid w:val="04A23954"/>
    <w:rsid w:val="058B6AA5"/>
    <w:rsid w:val="068A3C77"/>
    <w:rsid w:val="08F301FA"/>
    <w:rsid w:val="09F43544"/>
    <w:rsid w:val="0B792C38"/>
    <w:rsid w:val="0C1264CA"/>
    <w:rsid w:val="0C3E2DCC"/>
    <w:rsid w:val="0E494690"/>
    <w:rsid w:val="0E6220A1"/>
    <w:rsid w:val="0ED50320"/>
    <w:rsid w:val="0F112BA1"/>
    <w:rsid w:val="0F462D02"/>
    <w:rsid w:val="10EE4C15"/>
    <w:rsid w:val="10FB7C4C"/>
    <w:rsid w:val="11A34988"/>
    <w:rsid w:val="141F746C"/>
    <w:rsid w:val="14D87D91"/>
    <w:rsid w:val="1529799F"/>
    <w:rsid w:val="171F48D1"/>
    <w:rsid w:val="19AD46D3"/>
    <w:rsid w:val="1DA54D54"/>
    <w:rsid w:val="1E402003"/>
    <w:rsid w:val="20831A0C"/>
    <w:rsid w:val="20943FF9"/>
    <w:rsid w:val="21135C97"/>
    <w:rsid w:val="21F81535"/>
    <w:rsid w:val="2228286B"/>
    <w:rsid w:val="22852AED"/>
    <w:rsid w:val="23CB749A"/>
    <w:rsid w:val="23D46A20"/>
    <w:rsid w:val="249156B8"/>
    <w:rsid w:val="250824DF"/>
    <w:rsid w:val="2593624D"/>
    <w:rsid w:val="2684198C"/>
    <w:rsid w:val="26C71603"/>
    <w:rsid w:val="26CA4A73"/>
    <w:rsid w:val="27DA22C0"/>
    <w:rsid w:val="28730A5D"/>
    <w:rsid w:val="2BBD51D1"/>
    <w:rsid w:val="2D761D10"/>
    <w:rsid w:val="2E0D016A"/>
    <w:rsid w:val="2E0E152E"/>
    <w:rsid w:val="333705F7"/>
    <w:rsid w:val="34525300"/>
    <w:rsid w:val="3546741D"/>
    <w:rsid w:val="37384EA6"/>
    <w:rsid w:val="3AF31810"/>
    <w:rsid w:val="3C575C4E"/>
    <w:rsid w:val="3C7B3D94"/>
    <w:rsid w:val="3CBE7DA9"/>
    <w:rsid w:val="3E432CA9"/>
    <w:rsid w:val="3E573E7F"/>
    <w:rsid w:val="3FB02111"/>
    <w:rsid w:val="3FB452E6"/>
    <w:rsid w:val="430F11B1"/>
    <w:rsid w:val="43A538C3"/>
    <w:rsid w:val="44894625"/>
    <w:rsid w:val="458D5981"/>
    <w:rsid w:val="46144D30"/>
    <w:rsid w:val="46DF50E7"/>
    <w:rsid w:val="48A44D0E"/>
    <w:rsid w:val="492E7EB7"/>
    <w:rsid w:val="49411894"/>
    <w:rsid w:val="49CD5922"/>
    <w:rsid w:val="4A280725"/>
    <w:rsid w:val="4A5439AD"/>
    <w:rsid w:val="4C373098"/>
    <w:rsid w:val="4ED924F6"/>
    <w:rsid w:val="4EFA0F67"/>
    <w:rsid w:val="50E47664"/>
    <w:rsid w:val="51271D10"/>
    <w:rsid w:val="51690ECB"/>
    <w:rsid w:val="525E7A5F"/>
    <w:rsid w:val="556E330B"/>
    <w:rsid w:val="57C739B1"/>
    <w:rsid w:val="58F27E66"/>
    <w:rsid w:val="5ABF41C7"/>
    <w:rsid w:val="5C7621B7"/>
    <w:rsid w:val="5D066D29"/>
    <w:rsid w:val="5E336DBD"/>
    <w:rsid w:val="62A86C79"/>
    <w:rsid w:val="63FA6365"/>
    <w:rsid w:val="64540CC2"/>
    <w:rsid w:val="652A171C"/>
    <w:rsid w:val="66157FDD"/>
    <w:rsid w:val="66272E52"/>
    <w:rsid w:val="66515EFE"/>
    <w:rsid w:val="66AE4239"/>
    <w:rsid w:val="69BD2CFE"/>
    <w:rsid w:val="6BA2561F"/>
    <w:rsid w:val="6BD571AA"/>
    <w:rsid w:val="6C121C13"/>
    <w:rsid w:val="6C9C77F5"/>
    <w:rsid w:val="6D757EC6"/>
    <w:rsid w:val="6FA76E79"/>
    <w:rsid w:val="717374F6"/>
    <w:rsid w:val="721506A7"/>
    <w:rsid w:val="733028FA"/>
    <w:rsid w:val="73392201"/>
    <w:rsid w:val="74BB58F5"/>
    <w:rsid w:val="74C94DB4"/>
    <w:rsid w:val="74DD0860"/>
    <w:rsid w:val="752B5B85"/>
    <w:rsid w:val="76C8536C"/>
    <w:rsid w:val="76F40EC9"/>
    <w:rsid w:val="77314EF7"/>
    <w:rsid w:val="77933E66"/>
    <w:rsid w:val="77A25449"/>
    <w:rsid w:val="77A86F03"/>
    <w:rsid w:val="77EF0278"/>
    <w:rsid w:val="7A0D50A7"/>
    <w:rsid w:val="7C4D00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endnote text"/>
    <w:basedOn w:val="1"/>
    <w:qFormat/>
    <w:uiPriority w:val="0"/>
    <w:pPr>
      <w:snapToGrid w:val="0"/>
      <w:jc w:val="left"/>
    </w:pPr>
  </w:style>
  <w:style w:type="character" w:styleId="5">
    <w:name w:val="endnote reference"/>
    <w:basedOn w:val="4"/>
    <w:qFormat/>
    <w:uiPriority w:val="0"/>
    <w:rPr>
      <w:vertAlign w:val="superscript"/>
    </w:rPr>
  </w:style>
  <w:style w:type="character" w:styleId="6">
    <w:name w:val="Hyperlink"/>
    <w:basedOn w:val="4"/>
    <w:qFormat/>
    <w:uiPriority w:val="0"/>
    <w:rPr>
      <w:color w:val="0000FF"/>
      <w:u w:val="single"/>
    </w:rPr>
  </w:style>
  <w:style w:type="character" w:customStyle="1" w:styleId="7">
    <w:name w:val="font11"/>
    <w:basedOn w:val="4"/>
    <w:qFormat/>
    <w:uiPriority w:val="0"/>
    <w:rPr>
      <w:rFonts w:hint="default" w:ascii="Times New Roman" w:hAnsi="Times New Roman" w:cs="Times New Roman"/>
      <w:color w:val="000000"/>
      <w:sz w:val="20"/>
      <w:szCs w:val="20"/>
      <w:u w:val="none"/>
    </w:rPr>
  </w:style>
  <w:style w:type="character" w:customStyle="1" w:styleId="8">
    <w:name w:val="font21"/>
    <w:basedOn w:val="4"/>
    <w:qFormat/>
    <w:uiPriority w:val="0"/>
    <w:rPr>
      <w:rFonts w:hint="default" w:ascii="Times New Roman" w:hAnsi="Times New Roman" w:cs="Times New Roman"/>
      <w:i/>
      <w:iCs/>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1776</Words>
  <Characters>10419</Characters>
  <Lines>0</Lines>
  <Paragraphs>0</Paragraphs>
  <TotalTime>41</TotalTime>
  <ScaleCrop>false</ScaleCrop>
  <LinksUpToDate>false</LinksUpToDate>
  <CharactersWithSpaces>11915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2026-07-29T13:04:00Z</dcterms:created>
  <dc:creator>KLJ</dc:creator>
  <cp:lastModifiedBy>黄小荣</cp:lastModifiedBy>
  <dcterms:modified xsi:type="dcterms:W3CDTF">2026-08-10T00:52:04Z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eyJoZGlkIjoiNjM0Mzk2OTMyZTM2YzVkMjVjYzE2ZGViY2I2YzJhMjAiLCJ1c2VySWQiOiIyNjU4ODQ0MDUifQ==</vt:lpwstr>
  </property>
  <property fmtid="{D5CDD505-2E9C-101B-9397-08002B2CF9AE}" pid="4" name="ICV">
    <vt:lpwstr>34A604BA5F0C4FFA9936A2B0DB63C85B_13</vt:lpwstr>
  </property>
</Properties>
</file>