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FDCAB">
      <w:pPr>
        <w:keepNext w:val="0"/>
        <w:keepLines w:val="0"/>
        <w:pageBreakBefore w:val="0"/>
        <w:kinsoku/>
        <w:wordWrap/>
        <w:overflowPunct/>
        <w:topLinePunct w:val="0"/>
        <w:autoSpaceDE/>
        <w:autoSpaceDN/>
        <w:bidi w:val="0"/>
        <w:adjustRightInd/>
        <w:snapToGrid/>
        <w:spacing w:before="380" w:after="140" w:line="240" w:lineRule="auto"/>
        <w:ind w:left="0"/>
        <w:jc w:val="left"/>
        <w:textAlignment w:val="auto"/>
        <w:outlineLvl w:val="0"/>
        <w:rPr>
          <w:rFonts w:hint="default" w:ascii="Times New Roman" w:hAnsi="Times New Roman" w:eastAsia="等线" w:cs="Times New Roman"/>
          <w:b/>
          <w:kern w:val="0"/>
          <w:sz w:val="36"/>
          <w:szCs w:val="22"/>
          <w:lang/>
        </w:rPr>
      </w:pPr>
      <w:r>
        <w:rPr>
          <w:rFonts w:hint="default" w:ascii="Times New Roman" w:hAnsi="Times New Roman" w:cs="Times New Roman"/>
          <w:b/>
          <w:bCs/>
          <w:i w:val="0"/>
          <w:iCs w:val="0"/>
          <w:caps w:val="0"/>
          <w:color w:val="CCCCCC"/>
          <w:spacing w:val="0"/>
          <w:sz w:val="13"/>
          <w:szCs w:val="13"/>
        </w:rPr>
        <w:t xml:space="preserve"> </w:t>
      </w:r>
      <w:r>
        <w:rPr>
          <w:rFonts w:hint="default" w:ascii="Times New Roman" w:hAnsi="Times New Roman" w:eastAsia="等线" w:cs="Times New Roman"/>
          <w:b/>
          <w:kern w:val="0"/>
          <w:sz w:val="36"/>
          <w:szCs w:val="22"/>
          <w:lang/>
        </w:rPr>
        <w:t>Standardized WeChat Communication Protocol</w:t>
      </w:r>
    </w:p>
    <w:p w14:paraId="510B0ED7">
      <w:pPr>
        <w:keepNext w:val="0"/>
        <w:keepLines w:val="0"/>
        <w:pageBreakBefore w:val="0"/>
        <w:kinsoku/>
        <w:wordWrap/>
        <w:overflowPunct/>
        <w:topLinePunct w:val="0"/>
        <w:autoSpaceDE/>
        <w:autoSpaceDN/>
        <w:bidi w:val="0"/>
        <w:adjustRightInd/>
        <w:snapToGrid/>
        <w:spacing w:before="380" w:after="140" w:line="240" w:lineRule="auto"/>
        <w:ind w:left="0"/>
        <w:jc w:val="left"/>
        <w:textAlignment w:val="auto"/>
        <w:outlineLvl w:val="0"/>
        <w:rPr>
          <w:rFonts w:hint="default" w:ascii="Times New Roman" w:hAnsi="Times New Roman" w:eastAsia="等线" w:cs="Times New Roman"/>
          <w:b/>
          <w:kern w:val="0"/>
          <w:sz w:val="28"/>
          <w:szCs w:val="20"/>
          <w:lang w:val="en-US" w:eastAsia="zh-CN"/>
        </w:rPr>
      </w:pPr>
      <w:r>
        <w:rPr>
          <w:rFonts w:hint="eastAsia" w:ascii="Times New Roman" w:hAnsi="Times New Roman" w:eastAsia="等线" w:cs="Times New Roman"/>
          <w:b/>
          <w:kern w:val="0"/>
          <w:sz w:val="28"/>
          <w:szCs w:val="20"/>
          <w:lang w:val="en-US" w:eastAsia="zh-CN"/>
        </w:rPr>
        <w:t>1.</w:t>
      </w:r>
      <w:r>
        <w:rPr>
          <w:rFonts w:hint="default" w:ascii="Times New Roman" w:hAnsi="Times New Roman" w:eastAsia="等线" w:cs="Times New Roman"/>
          <w:b/>
          <w:kern w:val="0"/>
          <w:sz w:val="28"/>
          <w:szCs w:val="20"/>
          <w:lang w:val="en-US" w:eastAsia="zh-CN"/>
        </w:rPr>
        <w:t>WeChat Group Setup</w:t>
      </w:r>
    </w:p>
    <w:p w14:paraId="5D94C697">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Group name: "[Study Code] TB Patient Health Management Group"</w:t>
      </w:r>
    </w:p>
    <w:p w14:paraId="5EB39D58">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Group administrator: Primary nurse as lead, attending physician as co-administrator</w:t>
      </w:r>
    </w:p>
    <w:p w14:paraId="4CF42218">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Group members: Intervention-group patients and their primary family members + MDT team members (physician, nurse, dietitian, psychological counselor)</w:t>
      </w:r>
    </w:p>
    <w:p w14:paraId="108AF15D">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Naming convention: Unified prefix format (e.g., Doctor-</w:t>
      </w:r>
      <w:r>
        <w:rPr>
          <w:rFonts w:hint="default" w:ascii="Times New Roman" w:hAnsi="Times New Roman" w:eastAsia="Times New Roman" w:cs="Times New Roman"/>
          <w:i w:val="0"/>
          <w:iCs w:val="0"/>
          <w:kern w:val="0"/>
          <w:sz w:val="22"/>
          <w:szCs w:val="22"/>
          <w:lang w:val="en-US" w:eastAsia="zh-CN"/>
        </w:rPr>
        <w:t>Name</w:t>
      </w:r>
      <w:r>
        <w:rPr>
          <w:rFonts w:hint="default" w:ascii="Times New Roman" w:hAnsi="Times New Roman" w:eastAsia="Times New Roman" w:cs="Times New Roman"/>
          <w:i w:val="0"/>
          <w:iCs w:val="0"/>
          <w:kern w:val="0"/>
          <w:sz w:val="22"/>
          <w:szCs w:val="22"/>
          <w:lang w:val="en-US" w:eastAsia="zh-CN"/>
        </w:rPr>
        <w:t xml:space="preserve"> Nurse-</w:t>
      </w:r>
      <w:r>
        <w:rPr>
          <w:rFonts w:hint="default" w:ascii="Times New Roman" w:hAnsi="Times New Roman" w:eastAsia="Times New Roman" w:cs="Times New Roman"/>
          <w:i w:val="0"/>
          <w:iCs w:val="0"/>
          <w:kern w:val="0"/>
          <w:sz w:val="22"/>
          <w:szCs w:val="22"/>
          <w:lang w:val="en-US" w:eastAsia="zh-CN"/>
        </w:rPr>
        <w:t>Name</w:t>
      </w:r>
      <w:r>
        <w:rPr>
          <w:rFonts w:hint="eastAsia" w:ascii="Times New Roman" w:hAnsi="Times New Roman" w:eastAsia="Times New Roman" w:cs="Times New Roman"/>
          <w:i w:val="0"/>
          <w:iCs w:val="0"/>
          <w:kern w:val="0"/>
          <w:sz w:val="22"/>
          <w:szCs w:val="22"/>
          <w:lang w:val="en-US" w:eastAsia="zh-CN"/>
        </w:rPr>
        <w:t>,.</w:t>
      </w:r>
      <w:r>
        <w:rPr>
          <w:rFonts w:hint="default" w:ascii="Times New Roman" w:hAnsi="Times New Roman" w:eastAsia="Times New Roman" w:cs="Times New Roman"/>
          <w:i w:val="0"/>
          <w:iCs w:val="0"/>
          <w:kern w:val="0"/>
          <w:sz w:val="22"/>
          <w:szCs w:val="22"/>
          <w:lang w:val="en-US" w:eastAsia="zh-CN"/>
        </w:rPr>
        <w:t>Dietitian-Name, Counselor-Name)</w:t>
      </w:r>
    </w:p>
    <w:p w14:paraId="2E9633A5">
      <w:pPr>
        <w:keepNext w:val="0"/>
        <w:keepLines w:val="0"/>
        <w:pageBreakBefore w:val="0"/>
        <w:kinsoku/>
        <w:wordWrap/>
        <w:overflowPunct/>
        <w:topLinePunct w:val="0"/>
        <w:autoSpaceDE/>
        <w:autoSpaceDN/>
        <w:bidi w:val="0"/>
        <w:adjustRightInd/>
        <w:snapToGrid/>
        <w:spacing w:before="380" w:after="140" w:line="240" w:lineRule="auto"/>
        <w:ind w:left="0"/>
        <w:jc w:val="left"/>
        <w:textAlignment w:val="auto"/>
        <w:outlineLvl w:val="0"/>
        <w:rPr>
          <w:rFonts w:hint="default" w:ascii="Times New Roman" w:hAnsi="Times New Roman" w:eastAsia="等线" w:cs="Times New Roman"/>
          <w:b/>
          <w:kern w:val="0"/>
          <w:sz w:val="28"/>
          <w:szCs w:val="20"/>
          <w:lang w:val="en-US" w:eastAsia="zh-CN"/>
        </w:rPr>
      </w:pPr>
      <w:r>
        <w:rPr>
          <w:rFonts w:hint="eastAsia" w:ascii="Times New Roman" w:hAnsi="Times New Roman" w:eastAsia="等线" w:cs="Times New Roman"/>
          <w:b/>
          <w:kern w:val="0"/>
          <w:sz w:val="28"/>
          <w:szCs w:val="20"/>
          <w:lang w:val="en-US" w:eastAsia="zh-CN"/>
        </w:rPr>
        <w:t>2.</w:t>
      </w:r>
      <w:r>
        <w:rPr>
          <w:rFonts w:hint="default" w:ascii="Times New Roman" w:hAnsi="Times New Roman" w:eastAsia="等线" w:cs="Times New Roman"/>
          <w:b/>
          <w:kern w:val="0"/>
          <w:sz w:val="28"/>
          <w:szCs w:val="20"/>
          <w:lang w:val="en-US" w:eastAsia="zh-CN"/>
        </w:rPr>
        <w:t>WeChat Communication Frequency and Content</w:t>
      </w:r>
    </w:p>
    <w:tbl>
      <w:tblPr>
        <w:tblStyle w:val="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030"/>
        <w:gridCol w:w="1475"/>
        <w:gridCol w:w="3060"/>
        <w:gridCol w:w="1821"/>
      </w:tblGrid>
      <w:tr w14:paraId="7ADA3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1210" w:type="pct"/>
            <w:shd w:val="clear" w:color="auto" w:fill="auto"/>
            <w:tcMar>
              <w:top w:w="40" w:type="dxa"/>
              <w:left w:w="40" w:type="dxa"/>
              <w:bottom w:w="40" w:type="dxa"/>
              <w:right w:w="40" w:type="dxa"/>
            </w:tcMar>
            <w:vAlign w:val="center"/>
          </w:tcPr>
          <w:p w14:paraId="483986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Communication Type</w:t>
            </w:r>
          </w:p>
        </w:tc>
        <w:tc>
          <w:tcPr>
            <w:tcW w:w="879" w:type="pct"/>
            <w:shd w:val="clear" w:color="auto" w:fill="auto"/>
            <w:tcMar>
              <w:top w:w="40" w:type="dxa"/>
              <w:left w:w="40" w:type="dxa"/>
              <w:bottom w:w="40" w:type="dxa"/>
              <w:right w:w="40" w:type="dxa"/>
            </w:tcMar>
            <w:vAlign w:val="center"/>
          </w:tcPr>
          <w:p w14:paraId="3B23BA7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Frequency</w:t>
            </w:r>
          </w:p>
        </w:tc>
        <w:tc>
          <w:tcPr>
            <w:tcW w:w="1824" w:type="pct"/>
            <w:shd w:val="clear" w:color="auto" w:fill="auto"/>
            <w:tcMar>
              <w:top w:w="40" w:type="dxa"/>
              <w:left w:w="40" w:type="dxa"/>
              <w:bottom w:w="40" w:type="dxa"/>
              <w:right w:w="40" w:type="dxa"/>
            </w:tcMar>
            <w:vAlign w:val="center"/>
          </w:tcPr>
          <w:p w14:paraId="07AF96E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Content</w:t>
            </w:r>
          </w:p>
        </w:tc>
        <w:tc>
          <w:tcPr>
            <w:tcW w:w="1085" w:type="pct"/>
            <w:shd w:val="clear" w:color="auto" w:fill="auto"/>
            <w:tcMar>
              <w:top w:w="40" w:type="dxa"/>
              <w:left w:w="40" w:type="dxa"/>
              <w:bottom w:w="40" w:type="dxa"/>
              <w:right w:w="40" w:type="dxa"/>
            </w:tcMar>
            <w:vAlign w:val="center"/>
          </w:tcPr>
          <w:p w14:paraId="40116F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Sender</w:t>
            </w:r>
          </w:p>
        </w:tc>
      </w:tr>
      <w:tr w14:paraId="4062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210" w:type="pct"/>
            <w:shd w:val="clear" w:color="auto" w:fill="auto"/>
            <w:tcMar>
              <w:top w:w="40" w:type="dxa"/>
              <w:left w:w="40" w:type="dxa"/>
              <w:bottom w:w="40" w:type="dxa"/>
              <w:right w:w="40" w:type="dxa"/>
            </w:tcMar>
            <w:vAlign w:val="center"/>
          </w:tcPr>
          <w:p w14:paraId="09E0F1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Daily medication reminder</w:t>
            </w:r>
          </w:p>
        </w:tc>
        <w:tc>
          <w:tcPr>
            <w:tcW w:w="879" w:type="pct"/>
            <w:shd w:val="clear" w:color="auto" w:fill="auto"/>
            <w:tcMar>
              <w:top w:w="40" w:type="dxa"/>
              <w:left w:w="40" w:type="dxa"/>
              <w:bottom w:w="40" w:type="dxa"/>
              <w:right w:w="40" w:type="dxa"/>
            </w:tcMar>
            <w:vAlign w:val="center"/>
          </w:tcPr>
          <w:p w14:paraId="69CB6A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Daily (fixed morning time)</w:t>
            </w:r>
          </w:p>
        </w:tc>
        <w:tc>
          <w:tcPr>
            <w:tcW w:w="1824" w:type="pct"/>
            <w:shd w:val="clear" w:color="auto" w:fill="auto"/>
            <w:tcMar>
              <w:top w:w="40" w:type="dxa"/>
              <w:left w:w="40" w:type="dxa"/>
              <w:bottom w:w="40" w:type="dxa"/>
              <w:right w:w="40" w:type="dxa"/>
            </w:tcMar>
            <w:vAlign w:val="center"/>
          </w:tcPr>
          <w:p w14:paraId="7ECE67C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"Please take your anti-TB medications on time today; remember to log your adherence"</w:t>
            </w:r>
          </w:p>
        </w:tc>
        <w:tc>
          <w:tcPr>
            <w:tcW w:w="1085" w:type="pct"/>
            <w:shd w:val="clear" w:color="auto" w:fill="auto"/>
            <w:tcMar>
              <w:top w:w="40" w:type="dxa"/>
              <w:left w:w="40" w:type="dxa"/>
              <w:bottom w:w="40" w:type="dxa"/>
              <w:right w:w="40" w:type="dxa"/>
            </w:tcMar>
            <w:vAlign w:val="center"/>
          </w:tcPr>
          <w:p w14:paraId="40816E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Primary nurse</w:t>
            </w:r>
          </w:p>
        </w:tc>
      </w:tr>
      <w:tr w14:paraId="5AAE2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210" w:type="pct"/>
            <w:shd w:val="clear" w:color="auto" w:fill="auto"/>
            <w:tcMar>
              <w:top w:w="40" w:type="dxa"/>
              <w:left w:w="40" w:type="dxa"/>
              <w:bottom w:w="40" w:type="dxa"/>
              <w:right w:w="40" w:type="dxa"/>
            </w:tcMar>
            <w:vAlign w:val="center"/>
          </w:tcPr>
          <w:p w14:paraId="13C8D44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Weekly health knowledge post</w:t>
            </w:r>
          </w:p>
        </w:tc>
        <w:tc>
          <w:tcPr>
            <w:tcW w:w="879" w:type="pct"/>
            <w:shd w:val="clear" w:color="auto" w:fill="auto"/>
            <w:tcMar>
              <w:top w:w="40" w:type="dxa"/>
              <w:left w:w="40" w:type="dxa"/>
              <w:bottom w:w="40" w:type="dxa"/>
              <w:right w:w="40" w:type="dxa"/>
            </w:tcMar>
            <w:vAlign w:val="center"/>
          </w:tcPr>
          <w:p w14:paraId="647E252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Weekly (Monday)</w:t>
            </w:r>
          </w:p>
        </w:tc>
        <w:tc>
          <w:tcPr>
            <w:tcW w:w="1824" w:type="pct"/>
            <w:shd w:val="clear" w:color="auto" w:fill="auto"/>
            <w:tcMar>
              <w:top w:w="40" w:type="dxa"/>
              <w:left w:w="40" w:type="dxa"/>
              <w:bottom w:w="40" w:type="dxa"/>
              <w:right w:w="40" w:type="dxa"/>
            </w:tcMar>
            <w:vAlign w:val="center"/>
          </w:tcPr>
          <w:p w14:paraId="3FFC109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TB rehabilitation knowledge infographic (selected from pre-approved content library)</w:t>
            </w:r>
          </w:p>
        </w:tc>
        <w:tc>
          <w:tcPr>
            <w:tcW w:w="1085" w:type="pct"/>
            <w:shd w:val="clear" w:color="auto" w:fill="auto"/>
            <w:tcMar>
              <w:top w:w="40" w:type="dxa"/>
              <w:left w:w="40" w:type="dxa"/>
              <w:bottom w:w="40" w:type="dxa"/>
              <w:right w:w="40" w:type="dxa"/>
            </w:tcMar>
            <w:vAlign w:val="center"/>
          </w:tcPr>
          <w:p w14:paraId="3B5CA6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Primary nurse</w:t>
            </w:r>
          </w:p>
        </w:tc>
      </w:tr>
      <w:tr w14:paraId="3AEF3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210" w:type="pct"/>
            <w:shd w:val="clear" w:color="auto" w:fill="auto"/>
            <w:tcMar>
              <w:top w:w="40" w:type="dxa"/>
              <w:left w:w="40" w:type="dxa"/>
              <w:bottom w:w="40" w:type="dxa"/>
              <w:right w:w="40" w:type="dxa"/>
            </w:tcMar>
            <w:vAlign w:val="center"/>
          </w:tcPr>
          <w:p w14:paraId="6AF7EAA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Weekly patient feedback collection</w:t>
            </w:r>
          </w:p>
        </w:tc>
        <w:tc>
          <w:tcPr>
            <w:tcW w:w="879" w:type="pct"/>
            <w:shd w:val="clear" w:color="auto" w:fill="auto"/>
            <w:tcMar>
              <w:top w:w="40" w:type="dxa"/>
              <w:left w:w="40" w:type="dxa"/>
              <w:bottom w:w="40" w:type="dxa"/>
              <w:right w:w="40" w:type="dxa"/>
            </w:tcMar>
            <w:vAlign w:val="center"/>
          </w:tcPr>
          <w:p w14:paraId="415849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Weekly (Friday)</w:t>
            </w:r>
          </w:p>
        </w:tc>
        <w:tc>
          <w:tcPr>
            <w:tcW w:w="1824" w:type="pct"/>
            <w:shd w:val="clear" w:color="auto" w:fill="auto"/>
            <w:tcMar>
              <w:top w:w="40" w:type="dxa"/>
              <w:left w:w="40" w:type="dxa"/>
              <w:bottom w:w="40" w:type="dxa"/>
              <w:right w:w="40" w:type="dxa"/>
            </w:tcMar>
            <w:vAlign w:val="center"/>
          </w:tcPr>
          <w:p w14:paraId="1BDD055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Brief check-in: "How was your medication this week? Any discomfort? How is your mood?"</w:t>
            </w:r>
          </w:p>
        </w:tc>
        <w:tc>
          <w:tcPr>
            <w:tcW w:w="1085" w:type="pct"/>
            <w:shd w:val="clear" w:color="auto" w:fill="auto"/>
            <w:tcMar>
              <w:top w:w="40" w:type="dxa"/>
              <w:left w:w="40" w:type="dxa"/>
              <w:bottom w:w="40" w:type="dxa"/>
              <w:right w:w="40" w:type="dxa"/>
            </w:tcMar>
            <w:vAlign w:val="center"/>
          </w:tcPr>
          <w:p w14:paraId="0709C1A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Primary nurse</w:t>
            </w:r>
          </w:p>
        </w:tc>
      </w:tr>
      <w:tr w14:paraId="723D5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210" w:type="pct"/>
            <w:shd w:val="clear" w:color="auto" w:fill="auto"/>
            <w:tcMar>
              <w:top w:w="40" w:type="dxa"/>
              <w:left w:w="40" w:type="dxa"/>
              <w:bottom w:w="40" w:type="dxa"/>
              <w:right w:w="40" w:type="dxa"/>
            </w:tcMar>
            <w:vAlign w:val="center"/>
          </w:tcPr>
          <w:p w14:paraId="7A3A03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Counselor periodic interaction</w:t>
            </w:r>
          </w:p>
        </w:tc>
        <w:tc>
          <w:tcPr>
            <w:tcW w:w="879" w:type="pct"/>
            <w:shd w:val="clear" w:color="auto" w:fill="auto"/>
            <w:tcMar>
              <w:top w:w="40" w:type="dxa"/>
              <w:left w:w="40" w:type="dxa"/>
              <w:bottom w:w="40" w:type="dxa"/>
              <w:right w:w="40" w:type="dxa"/>
            </w:tcMar>
            <w:vAlign w:val="center"/>
          </w:tcPr>
          <w:p w14:paraId="0BC3BA1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Every 2 weeks</w:t>
            </w:r>
          </w:p>
        </w:tc>
        <w:tc>
          <w:tcPr>
            <w:tcW w:w="1824" w:type="pct"/>
            <w:shd w:val="clear" w:color="auto" w:fill="auto"/>
            <w:tcMar>
              <w:top w:w="40" w:type="dxa"/>
              <w:left w:w="40" w:type="dxa"/>
              <w:bottom w:w="40" w:type="dxa"/>
              <w:right w:w="40" w:type="dxa"/>
            </w:tcMar>
            <w:vAlign w:val="center"/>
          </w:tcPr>
          <w:p w14:paraId="26CDE2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Mindfulness exercise tips, emotional regulation techniques, encouragement</w:t>
            </w:r>
          </w:p>
        </w:tc>
        <w:tc>
          <w:tcPr>
            <w:tcW w:w="1085" w:type="pct"/>
            <w:shd w:val="clear" w:color="auto" w:fill="auto"/>
            <w:tcMar>
              <w:top w:w="40" w:type="dxa"/>
              <w:left w:w="40" w:type="dxa"/>
              <w:bottom w:w="40" w:type="dxa"/>
              <w:right w:w="40" w:type="dxa"/>
            </w:tcMar>
            <w:vAlign w:val="center"/>
          </w:tcPr>
          <w:p w14:paraId="3047708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Psychological counselor</w:t>
            </w:r>
          </w:p>
        </w:tc>
      </w:tr>
      <w:tr w14:paraId="75D34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210" w:type="pct"/>
            <w:shd w:val="clear" w:color="auto" w:fill="auto"/>
            <w:tcMar>
              <w:top w:w="40" w:type="dxa"/>
              <w:left w:w="40" w:type="dxa"/>
              <w:bottom w:w="40" w:type="dxa"/>
              <w:right w:w="40" w:type="dxa"/>
            </w:tcMar>
            <w:vAlign w:val="center"/>
          </w:tcPr>
          <w:p w14:paraId="3E05459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Dietitian periodic post</w:t>
            </w:r>
          </w:p>
        </w:tc>
        <w:tc>
          <w:tcPr>
            <w:tcW w:w="879" w:type="pct"/>
            <w:shd w:val="clear" w:color="auto" w:fill="auto"/>
            <w:tcMar>
              <w:top w:w="40" w:type="dxa"/>
              <w:left w:w="40" w:type="dxa"/>
              <w:bottom w:w="40" w:type="dxa"/>
              <w:right w:w="40" w:type="dxa"/>
            </w:tcMar>
            <w:vAlign w:val="center"/>
          </w:tcPr>
          <w:p w14:paraId="516B352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Monthly</w:t>
            </w:r>
          </w:p>
        </w:tc>
        <w:tc>
          <w:tcPr>
            <w:tcW w:w="1824" w:type="pct"/>
            <w:shd w:val="clear" w:color="auto" w:fill="auto"/>
            <w:tcMar>
              <w:top w:w="40" w:type="dxa"/>
              <w:left w:w="40" w:type="dxa"/>
              <w:bottom w:w="40" w:type="dxa"/>
              <w:right w:w="40" w:type="dxa"/>
            </w:tcMar>
            <w:vAlign w:val="center"/>
          </w:tcPr>
          <w:p w14:paraId="72E8B8A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Seasonal dietary advice, TB-specific nutrition recipes</w:t>
            </w:r>
          </w:p>
        </w:tc>
        <w:tc>
          <w:tcPr>
            <w:tcW w:w="1085" w:type="pct"/>
            <w:shd w:val="clear" w:color="auto" w:fill="auto"/>
            <w:tcMar>
              <w:top w:w="40" w:type="dxa"/>
              <w:left w:w="40" w:type="dxa"/>
              <w:bottom w:w="40" w:type="dxa"/>
              <w:right w:w="40" w:type="dxa"/>
            </w:tcMar>
            <w:vAlign w:val="center"/>
          </w:tcPr>
          <w:p w14:paraId="143DE05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Dietitian</w:t>
            </w:r>
          </w:p>
        </w:tc>
      </w:tr>
      <w:tr w14:paraId="61DBF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210" w:type="pct"/>
            <w:shd w:val="clear" w:color="auto" w:fill="auto"/>
            <w:tcMar>
              <w:top w:w="40" w:type="dxa"/>
              <w:left w:w="40" w:type="dxa"/>
              <w:bottom w:w="40" w:type="dxa"/>
              <w:right w:w="40" w:type="dxa"/>
            </w:tcMar>
            <w:vAlign w:val="center"/>
          </w:tcPr>
          <w:p w14:paraId="05CB3F7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Real-time patient Q&amp;A</w:t>
            </w:r>
          </w:p>
        </w:tc>
        <w:tc>
          <w:tcPr>
            <w:tcW w:w="879" w:type="pct"/>
            <w:shd w:val="clear" w:color="auto" w:fill="auto"/>
            <w:tcMar>
              <w:top w:w="40" w:type="dxa"/>
              <w:left w:w="40" w:type="dxa"/>
              <w:bottom w:w="40" w:type="dxa"/>
              <w:right w:w="40" w:type="dxa"/>
            </w:tcMar>
            <w:vAlign w:val="center"/>
          </w:tcPr>
          <w:p w14:paraId="29ADDD1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On demand</w:t>
            </w:r>
          </w:p>
        </w:tc>
        <w:tc>
          <w:tcPr>
            <w:tcW w:w="1824" w:type="pct"/>
            <w:shd w:val="clear" w:color="auto" w:fill="auto"/>
            <w:tcMar>
              <w:top w:w="40" w:type="dxa"/>
              <w:left w:w="40" w:type="dxa"/>
              <w:bottom w:w="40" w:type="dxa"/>
              <w:right w:w="40" w:type="dxa"/>
            </w:tcMar>
            <w:vAlign w:val="center"/>
          </w:tcPr>
          <w:p w14:paraId="69E0664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Patient questions answered within defined response timeframes</w:t>
            </w:r>
          </w:p>
        </w:tc>
        <w:tc>
          <w:tcPr>
            <w:tcW w:w="1085" w:type="pct"/>
            <w:shd w:val="clear" w:color="auto" w:fill="auto"/>
            <w:tcMar>
              <w:top w:w="40" w:type="dxa"/>
              <w:left w:w="40" w:type="dxa"/>
              <w:bottom w:w="40" w:type="dxa"/>
              <w:right w:w="40" w:type="dxa"/>
            </w:tcMar>
            <w:vAlign w:val="center"/>
          </w:tcPr>
          <w:p w14:paraId="4D04840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Relevant professional</w:t>
            </w:r>
          </w:p>
        </w:tc>
      </w:tr>
    </w:tbl>
    <w:p w14:paraId="090D0CE7">
      <w:pPr>
        <w:keepNext w:val="0"/>
        <w:keepLines w:val="0"/>
        <w:pageBreakBefore w:val="0"/>
        <w:kinsoku/>
        <w:wordWrap/>
        <w:overflowPunct/>
        <w:topLinePunct w:val="0"/>
        <w:autoSpaceDE/>
        <w:autoSpaceDN/>
        <w:bidi w:val="0"/>
        <w:adjustRightInd/>
        <w:snapToGrid/>
        <w:spacing w:before="380" w:after="140" w:line="240" w:lineRule="auto"/>
        <w:ind w:left="0"/>
        <w:jc w:val="left"/>
        <w:textAlignment w:val="auto"/>
        <w:outlineLvl w:val="0"/>
        <w:rPr>
          <w:rFonts w:hint="default" w:ascii="Times New Roman" w:hAnsi="Times New Roman" w:eastAsia="等线" w:cs="Times New Roman"/>
          <w:b/>
          <w:kern w:val="0"/>
          <w:sz w:val="28"/>
          <w:szCs w:val="20"/>
          <w:lang w:val="en-US" w:eastAsia="zh-CN"/>
        </w:rPr>
      </w:pPr>
      <w:r>
        <w:rPr>
          <w:rFonts w:hint="default" w:ascii="Times New Roman" w:hAnsi="Times New Roman" w:eastAsia="等线" w:cs="Times New Roman"/>
          <w:b/>
          <w:kern w:val="0"/>
          <w:sz w:val="28"/>
          <w:szCs w:val="20"/>
          <w:lang w:val="en-US" w:eastAsia="zh-CN"/>
        </w:rPr>
        <w:t>3 WeChat Response Time Standards</w:t>
      </w:r>
    </w:p>
    <w:tbl>
      <w:tblPr>
        <w:tblStyle w:val="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695"/>
        <w:gridCol w:w="1552"/>
        <w:gridCol w:w="4139"/>
      </w:tblGrid>
      <w:tr w14:paraId="5B94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tblHeader/>
          <w:jc w:val="center"/>
        </w:trPr>
        <w:tc>
          <w:tcPr>
            <w:tcW w:w="1606" w:type="pct"/>
            <w:shd w:val="clear" w:color="auto" w:fill="auto"/>
            <w:tcMar>
              <w:top w:w="40" w:type="dxa"/>
              <w:left w:w="40" w:type="dxa"/>
              <w:bottom w:w="40" w:type="dxa"/>
              <w:right w:w="40" w:type="dxa"/>
            </w:tcMar>
            <w:vAlign w:val="center"/>
          </w:tcPr>
          <w:p w14:paraId="1D45FAD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Issue Type</w:t>
            </w:r>
          </w:p>
        </w:tc>
        <w:tc>
          <w:tcPr>
            <w:tcW w:w="925" w:type="pct"/>
            <w:shd w:val="clear" w:color="auto" w:fill="auto"/>
            <w:tcMar>
              <w:top w:w="40" w:type="dxa"/>
              <w:left w:w="40" w:type="dxa"/>
              <w:bottom w:w="40" w:type="dxa"/>
              <w:right w:w="40" w:type="dxa"/>
            </w:tcMar>
            <w:vAlign w:val="center"/>
          </w:tcPr>
          <w:p w14:paraId="7903AEC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Response Deadline</w:t>
            </w:r>
          </w:p>
        </w:tc>
        <w:tc>
          <w:tcPr>
            <w:tcW w:w="2467" w:type="pct"/>
            <w:shd w:val="clear" w:color="auto" w:fill="auto"/>
            <w:tcMar>
              <w:top w:w="40" w:type="dxa"/>
              <w:left w:w="40" w:type="dxa"/>
              <w:bottom w:w="40" w:type="dxa"/>
              <w:right w:w="40" w:type="dxa"/>
            </w:tcMar>
            <w:vAlign w:val="center"/>
          </w:tcPr>
          <w:p w14:paraId="3E266DE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sz w:val="24"/>
              </w:rPr>
            </w:pPr>
            <w:r>
              <w:rPr>
                <w:rFonts w:hint="default" w:ascii="Times New Roman" w:hAnsi="Times New Roman" w:eastAsia="宋体" w:cs="Times New Roman"/>
                <w:b/>
                <w:bCs/>
                <w:kern w:val="0"/>
                <w:sz w:val="24"/>
                <w:szCs w:val="24"/>
                <w:lang w:val="en-US" w:eastAsia="zh-CN" w:bidi="ar"/>
              </w:rPr>
              <w:t>Handling Process</w:t>
            </w:r>
          </w:p>
        </w:tc>
      </w:tr>
      <w:tr w14:paraId="2CF81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606" w:type="pct"/>
            <w:shd w:val="clear" w:color="auto" w:fill="auto"/>
            <w:tcMar>
              <w:top w:w="40" w:type="dxa"/>
              <w:left w:w="40" w:type="dxa"/>
              <w:bottom w:w="40" w:type="dxa"/>
              <w:right w:w="40" w:type="dxa"/>
            </w:tcMar>
            <w:vAlign w:val="center"/>
          </w:tcPr>
          <w:p w14:paraId="6BB86F8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General health questions (medication, diet)</w:t>
            </w:r>
          </w:p>
        </w:tc>
        <w:tc>
          <w:tcPr>
            <w:tcW w:w="925" w:type="pct"/>
            <w:shd w:val="clear" w:color="auto" w:fill="auto"/>
            <w:tcMar>
              <w:top w:w="40" w:type="dxa"/>
              <w:left w:w="40" w:type="dxa"/>
              <w:bottom w:w="40" w:type="dxa"/>
              <w:right w:w="40" w:type="dxa"/>
            </w:tcMar>
            <w:vAlign w:val="center"/>
          </w:tcPr>
          <w:p w14:paraId="666DEEB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Within 24 hours</w:t>
            </w:r>
          </w:p>
        </w:tc>
        <w:tc>
          <w:tcPr>
            <w:tcW w:w="2467" w:type="pct"/>
            <w:shd w:val="clear" w:color="auto" w:fill="auto"/>
            <w:tcMar>
              <w:top w:w="40" w:type="dxa"/>
              <w:left w:w="40" w:type="dxa"/>
              <w:bottom w:w="40" w:type="dxa"/>
              <w:right w:w="40" w:type="dxa"/>
            </w:tcMar>
            <w:vAlign w:val="center"/>
          </w:tcPr>
          <w:p w14:paraId="4F58720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Managing nurse responds directly or forwards to relevant professional</w:t>
            </w:r>
          </w:p>
        </w:tc>
      </w:tr>
      <w:tr w14:paraId="773C8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606" w:type="pct"/>
            <w:shd w:val="clear" w:color="auto" w:fill="auto"/>
            <w:tcMar>
              <w:top w:w="40" w:type="dxa"/>
              <w:left w:w="40" w:type="dxa"/>
              <w:bottom w:w="40" w:type="dxa"/>
              <w:right w:w="40" w:type="dxa"/>
            </w:tcMar>
            <w:vAlign w:val="center"/>
          </w:tcPr>
          <w:p w14:paraId="40899B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Adverse reaction reports (nausea, rash, etc.)</w:t>
            </w:r>
          </w:p>
        </w:tc>
        <w:tc>
          <w:tcPr>
            <w:tcW w:w="925" w:type="pct"/>
            <w:shd w:val="clear" w:color="auto" w:fill="auto"/>
            <w:tcMar>
              <w:top w:w="40" w:type="dxa"/>
              <w:left w:w="40" w:type="dxa"/>
              <w:bottom w:w="40" w:type="dxa"/>
              <w:right w:w="40" w:type="dxa"/>
            </w:tcMar>
            <w:vAlign w:val="center"/>
          </w:tcPr>
          <w:p w14:paraId="183CBDA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Within 4 hours</w:t>
            </w:r>
          </w:p>
        </w:tc>
        <w:tc>
          <w:tcPr>
            <w:tcW w:w="2467" w:type="pct"/>
            <w:shd w:val="clear" w:color="auto" w:fill="auto"/>
            <w:tcMar>
              <w:top w:w="40" w:type="dxa"/>
              <w:left w:w="40" w:type="dxa"/>
              <w:bottom w:w="40" w:type="dxa"/>
              <w:right w:w="40" w:type="dxa"/>
            </w:tcMar>
            <w:vAlign w:val="center"/>
          </w:tcPr>
          <w:p w14:paraId="736061F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Nurse preliminary assessment → Physician online response → Telephone follow-up if needed</w:t>
            </w:r>
          </w:p>
        </w:tc>
      </w:tr>
      <w:tr w14:paraId="2B22F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0" w:hRule="atLeast"/>
          <w:jc w:val="center"/>
        </w:trPr>
        <w:tc>
          <w:tcPr>
            <w:tcW w:w="1606" w:type="pct"/>
            <w:shd w:val="clear" w:color="auto" w:fill="auto"/>
            <w:tcMar>
              <w:top w:w="40" w:type="dxa"/>
              <w:left w:w="40" w:type="dxa"/>
              <w:bottom w:w="40" w:type="dxa"/>
              <w:right w:w="40" w:type="dxa"/>
            </w:tcMar>
            <w:vAlign w:val="center"/>
          </w:tcPr>
          <w:p w14:paraId="5E3CB49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Psychological distress signals</w:t>
            </w:r>
          </w:p>
        </w:tc>
        <w:tc>
          <w:tcPr>
            <w:tcW w:w="925" w:type="pct"/>
            <w:shd w:val="clear" w:color="auto" w:fill="auto"/>
            <w:tcMar>
              <w:top w:w="40" w:type="dxa"/>
              <w:left w:w="40" w:type="dxa"/>
              <w:bottom w:w="40" w:type="dxa"/>
              <w:right w:w="40" w:type="dxa"/>
            </w:tcMar>
            <w:vAlign w:val="center"/>
          </w:tcPr>
          <w:p w14:paraId="1F3F3F7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Within 2 hours</w:t>
            </w:r>
          </w:p>
        </w:tc>
        <w:tc>
          <w:tcPr>
            <w:tcW w:w="2467" w:type="pct"/>
            <w:shd w:val="clear" w:color="auto" w:fill="auto"/>
            <w:tcMar>
              <w:top w:w="40" w:type="dxa"/>
              <w:left w:w="40" w:type="dxa"/>
              <w:bottom w:w="40" w:type="dxa"/>
              <w:right w:w="40" w:type="dxa"/>
            </w:tcMar>
            <w:vAlign w:val="center"/>
          </w:tcPr>
          <w:p w14:paraId="191D93D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Psychological counselor online response → Telephone/video call if needed</w:t>
            </w:r>
          </w:p>
        </w:tc>
      </w:tr>
      <w:tr w14:paraId="76C03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1606" w:type="pct"/>
            <w:shd w:val="clear" w:color="auto" w:fill="auto"/>
            <w:tcMar>
              <w:top w:w="40" w:type="dxa"/>
              <w:left w:w="40" w:type="dxa"/>
              <w:bottom w:w="40" w:type="dxa"/>
              <w:right w:w="40" w:type="dxa"/>
            </w:tcMar>
            <w:vAlign w:val="center"/>
          </w:tcPr>
          <w:p w14:paraId="548F0B9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Emergency situations (hemoptysis, breathing difficulty)</w:t>
            </w:r>
          </w:p>
        </w:tc>
        <w:tc>
          <w:tcPr>
            <w:tcW w:w="925" w:type="pct"/>
            <w:shd w:val="clear" w:color="auto" w:fill="auto"/>
            <w:tcMar>
              <w:top w:w="40" w:type="dxa"/>
              <w:left w:w="40" w:type="dxa"/>
              <w:bottom w:w="40" w:type="dxa"/>
              <w:right w:w="40" w:type="dxa"/>
            </w:tcMar>
            <w:vAlign w:val="center"/>
          </w:tcPr>
          <w:p w14:paraId="71B2A5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Immediately</w:t>
            </w:r>
          </w:p>
        </w:tc>
        <w:tc>
          <w:tcPr>
            <w:tcW w:w="2467" w:type="pct"/>
            <w:shd w:val="clear" w:color="auto" w:fill="auto"/>
            <w:tcMar>
              <w:top w:w="40" w:type="dxa"/>
              <w:left w:w="40" w:type="dxa"/>
              <w:bottom w:w="40" w:type="dxa"/>
              <w:right w:w="40" w:type="dxa"/>
            </w:tcMar>
            <w:vAlign w:val="center"/>
          </w:tcPr>
          <w:p w14:paraId="15D234A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sz w:val="24"/>
              </w:rPr>
            </w:pPr>
            <w:r>
              <w:rPr>
                <w:rFonts w:hint="default" w:ascii="Times New Roman" w:hAnsi="Times New Roman" w:eastAsia="宋体" w:cs="Times New Roman"/>
                <w:kern w:val="0"/>
                <w:sz w:val="24"/>
                <w:szCs w:val="24"/>
                <w:lang w:val="en-US" w:eastAsia="zh-CN" w:bidi="ar"/>
              </w:rPr>
              <w:t>Guide patient to call 120 or proceed to emergency department → Simultaneously notify attending physician</w:t>
            </w:r>
          </w:p>
        </w:tc>
      </w:tr>
    </w:tbl>
    <w:p w14:paraId="19678C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等线" w:cs="Times New Roman"/>
          <w:b/>
          <w:bCs w:val="0"/>
          <w:kern w:val="0"/>
          <w:sz w:val="28"/>
          <w:szCs w:val="20"/>
          <w:lang w:val="en-US" w:eastAsia="zh-CN" w:bidi="ar-SA"/>
        </w:rPr>
      </w:pPr>
      <w:r>
        <w:rPr>
          <w:rFonts w:hint="eastAsia" w:ascii="Times New Roman" w:hAnsi="Times New Roman" w:eastAsia="等线" w:cs="Times New Roman"/>
          <w:b/>
          <w:bCs w:val="0"/>
          <w:kern w:val="0"/>
          <w:sz w:val="28"/>
          <w:szCs w:val="20"/>
          <w:lang w:val="en-US" w:eastAsia="zh-CN" w:bidi="ar-SA"/>
        </w:rPr>
        <w:t>4.</w:t>
      </w:r>
      <w:r>
        <w:rPr>
          <w:rFonts w:hint="default" w:ascii="Times New Roman" w:hAnsi="Times New Roman" w:eastAsia="等线" w:cs="Times New Roman"/>
          <w:b/>
          <w:bCs w:val="0"/>
          <w:kern w:val="0"/>
          <w:sz w:val="28"/>
          <w:szCs w:val="20"/>
          <w:lang w:val="en-US" w:eastAsia="zh-CN" w:bidi="ar-SA"/>
        </w:rPr>
        <w:t>WeChat Communication Guidelines</w:t>
      </w:r>
    </w:p>
    <w:p w14:paraId="74A6C19F">
      <w:pPr>
        <w:spacing w:after="140" w:line="276" w:lineRule="auto"/>
        <w:rPr>
          <w:rFonts w:hint="default" w:ascii="Times New Roman" w:hAnsi="Times New Roman" w:eastAsia="Times New Roman" w:cs="Times New Roman"/>
          <w:i w:val="0"/>
          <w:iCs w:val="0"/>
          <w:kern w:val="0"/>
          <w:sz w:val="22"/>
          <w:szCs w:val="22"/>
          <w:lang w:val="en-US" w:eastAsia="zh-CN"/>
        </w:rPr>
      </w:pPr>
      <w:r>
        <w:rPr>
          <w:rFonts w:hint="eastAsia" w:ascii="Times New Roman" w:hAnsi="Times New Roman" w:eastAsia="Times New Roman" w:cs="Times New Roman"/>
          <w:i w:val="0"/>
          <w:iCs w:val="0"/>
          <w:kern w:val="0"/>
          <w:sz w:val="22"/>
          <w:szCs w:val="22"/>
          <w:lang w:val="en-US" w:eastAsia="zh-CN"/>
        </w:rPr>
        <w:t>(1)</w:t>
      </w:r>
      <w:r>
        <w:rPr>
          <w:rFonts w:hint="default" w:ascii="Times New Roman" w:hAnsi="Times New Roman" w:eastAsia="Times New Roman" w:cs="Times New Roman"/>
          <w:i w:val="0"/>
          <w:iCs w:val="0"/>
          <w:kern w:val="0"/>
          <w:sz w:val="22"/>
          <w:szCs w:val="22"/>
          <w:lang w:val="en-US" w:eastAsia="zh-CN"/>
        </w:rPr>
        <w:t>All professional advice must be supplemented with the statement: "Please confirm this recommendation during your next outpatient visit." WeChat communication does not substitute for formal medical consultation</w:t>
      </w:r>
    </w:p>
    <w:p w14:paraId="6981A94A">
      <w:pPr>
        <w:spacing w:after="140" w:line="276" w:lineRule="auto"/>
        <w:rPr>
          <w:rFonts w:hint="default" w:ascii="Times New Roman" w:hAnsi="Times New Roman" w:eastAsia="Times New Roman" w:cs="Times New Roman"/>
          <w:i w:val="0"/>
          <w:iCs w:val="0"/>
          <w:kern w:val="0"/>
          <w:sz w:val="22"/>
          <w:szCs w:val="22"/>
          <w:lang w:val="en-US" w:eastAsia="zh-CN"/>
        </w:rPr>
      </w:pPr>
      <w:r>
        <w:rPr>
          <w:rFonts w:hint="eastAsia" w:ascii="Times New Roman" w:hAnsi="Times New Roman" w:eastAsia="Times New Roman" w:cs="Times New Roman"/>
          <w:i w:val="0"/>
          <w:iCs w:val="0"/>
          <w:kern w:val="0"/>
          <w:sz w:val="22"/>
          <w:szCs w:val="22"/>
          <w:lang w:val="en-US" w:eastAsia="zh-CN"/>
        </w:rPr>
        <w:t>(2)</w:t>
      </w:r>
      <w:r>
        <w:rPr>
          <w:rFonts w:hint="default" w:ascii="Times New Roman" w:hAnsi="Times New Roman" w:eastAsia="Times New Roman" w:cs="Times New Roman"/>
          <w:i w:val="0"/>
          <w:iCs w:val="0"/>
          <w:kern w:val="0"/>
          <w:sz w:val="22"/>
          <w:szCs w:val="22"/>
          <w:lang w:val="en-US" w:eastAsia="zh-CN"/>
        </w:rPr>
        <w:t>Discussion of other patients' personal information in the group is prohibited</w:t>
      </w:r>
    </w:p>
    <w:p w14:paraId="4D2208C0">
      <w:pPr>
        <w:spacing w:after="140" w:line="276" w:lineRule="auto"/>
        <w:rPr>
          <w:rFonts w:hint="default" w:ascii="Times New Roman" w:hAnsi="Times New Roman" w:eastAsia="Times New Roman" w:cs="Times New Roman"/>
          <w:i w:val="0"/>
          <w:iCs w:val="0"/>
          <w:kern w:val="0"/>
          <w:sz w:val="22"/>
          <w:szCs w:val="22"/>
          <w:lang w:val="en-US" w:eastAsia="zh-CN"/>
        </w:rPr>
      </w:pPr>
      <w:r>
        <w:rPr>
          <w:rFonts w:hint="eastAsia" w:ascii="Times New Roman" w:hAnsi="Times New Roman" w:eastAsia="Times New Roman" w:cs="Times New Roman"/>
          <w:i w:val="0"/>
          <w:iCs w:val="0"/>
          <w:kern w:val="0"/>
          <w:sz w:val="22"/>
          <w:szCs w:val="22"/>
          <w:lang w:val="en-US" w:eastAsia="zh-CN"/>
        </w:rPr>
        <w:t>(3)</w:t>
      </w:r>
      <w:r>
        <w:rPr>
          <w:rFonts w:hint="default" w:ascii="Times New Roman" w:hAnsi="Times New Roman" w:eastAsia="Times New Roman" w:cs="Times New Roman"/>
          <w:i w:val="0"/>
          <w:iCs w:val="0"/>
          <w:kern w:val="0"/>
          <w:sz w:val="22"/>
          <w:szCs w:val="22"/>
          <w:lang w:val="en-US" w:eastAsia="zh-CN"/>
        </w:rPr>
        <w:t>Posting unverified health information is prohibited (all content must originate from the pre-approved content library or be reviewed by the project lead)</w:t>
      </w:r>
    </w:p>
    <w:p w14:paraId="2727A7C4">
      <w:pPr>
        <w:spacing w:after="140" w:line="276" w:lineRule="auto"/>
        <w:rPr>
          <w:rFonts w:hint="default" w:ascii="Times New Roman" w:hAnsi="Times New Roman" w:eastAsia="Times New Roman" w:cs="Times New Roman"/>
          <w:i w:val="0"/>
          <w:iCs w:val="0"/>
          <w:kern w:val="0"/>
          <w:sz w:val="22"/>
          <w:szCs w:val="22"/>
          <w:lang w:val="en-US" w:eastAsia="zh-CN"/>
        </w:rPr>
      </w:pPr>
      <w:r>
        <w:rPr>
          <w:rFonts w:hint="eastAsia" w:ascii="Times New Roman" w:hAnsi="Times New Roman" w:eastAsia="Times New Roman" w:cs="Times New Roman"/>
          <w:i w:val="0"/>
          <w:iCs w:val="0"/>
          <w:kern w:val="0"/>
          <w:sz w:val="22"/>
          <w:szCs w:val="22"/>
          <w:lang w:val="en-US" w:eastAsia="zh-CN"/>
        </w:rPr>
        <w:t>(4)</w:t>
      </w:r>
      <w:r>
        <w:rPr>
          <w:rFonts w:hint="default" w:ascii="Times New Roman" w:hAnsi="Times New Roman" w:eastAsia="Times New Roman" w:cs="Times New Roman"/>
          <w:i w:val="0"/>
          <w:iCs w:val="0"/>
          <w:kern w:val="0"/>
          <w:sz w:val="22"/>
          <w:szCs w:val="22"/>
          <w:lang w:val="en-US" w:eastAsia="zh-CN"/>
        </w:rPr>
        <w:t>Monthly review of WeChat communication logs by the project lead to ensure intervention fidelity</w:t>
      </w:r>
    </w:p>
    <w:p w14:paraId="577514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等线" w:cs="Times New Roman"/>
          <w:b/>
          <w:bCs w:val="0"/>
          <w:kern w:val="0"/>
          <w:sz w:val="28"/>
          <w:szCs w:val="20"/>
          <w:lang w:val="en-US" w:eastAsia="zh-CN" w:bidi="ar-SA"/>
        </w:rPr>
      </w:pPr>
      <w:r>
        <w:rPr>
          <w:rFonts w:hint="default" w:ascii="Times New Roman" w:hAnsi="Times New Roman" w:eastAsia="等线" w:cs="Times New Roman"/>
          <w:b/>
          <w:bCs w:val="0"/>
          <w:kern w:val="0"/>
          <w:sz w:val="28"/>
          <w:szCs w:val="20"/>
          <w:lang w:val="en-US" w:eastAsia="zh-CN" w:bidi="ar-SA"/>
        </w:rPr>
        <w:t>5 Unified Standard Reply Templates for Common Patient Inquiries</w:t>
      </w:r>
    </w:p>
    <w:p w14:paraId="0A8FDDFB">
      <w:pPr>
        <w:spacing w:after="140" w:line="276" w:lineRule="auto"/>
        <w:rPr>
          <w:rFonts w:hint="default" w:ascii="Times New Roman" w:hAnsi="Times New Roman" w:eastAsia="Times New Roman" w:cs="Times New Roman"/>
          <w:b/>
          <w:bCs/>
          <w:i w:val="0"/>
          <w:iCs w:val="0"/>
          <w:kern w:val="0"/>
          <w:sz w:val="22"/>
          <w:szCs w:val="22"/>
          <w:lang w:val="en-US" w:eastAsia="zh-CN"/>
        </w:rPr>
      </w:pPr>
      <w:bookmarkStart w:id="0" w:name="heading_33"/>
      <w:r>
        <w:rPr>
          <w:rFonts w:hint="default" w:ascii="Times New Roman" w:hAnsi="Times New Roman" w:eastAsia="Times New Roman" w:cs="Times New Roman"/>
          <w:b/>
          <w:bCs/>
          <w:i w:val="0"/>
          <w:iCs w:val="0"/>
          <w:kern w:val="0"/>
          <w:sz w:val="22"/>
          <w:szCs w:val="22"/>
          <w:lang w:val="en-US" w:eastAsia="zh-CN"/>
        </w:rPr>
        <w:t>Template 1: Accidental missed daily medication</w:t>
      </w:r>
      <w:bookmarkEnd w:id="0"/>
    </w:p>
    <w:p w14:paraId="1C31741E">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If you remember the missed dose within the same day, take the tablet immediately. If the time is close to your next fixed administration point, skip the forgotten dose and never take double tablets to compensate. Frequent missed intake raises drug resistance risk; you may set mobile clock reminders to avoid omission. Contact our team if you persistently forget medication.</w:t>
      </w:r>
    </w:p>
    <w:p w14:paraId="69F459E8">
      <w:pPr>
        <w:spacing w:after="140" w:line="276" w:lineRule="auto"/>
        <w:rPr>
          <w:rFonts w:hint="default" w:ascii="Times New Roman" w:hAnsi="Times New Roman" w:eastAsia="Times New Roman" w:cs="Times New Roman"/>
          <w:b/>
          <w:bCs/>
          <w:i w:val="0"/>
          <w:iCs w:val="0"/>
          <w:kern w:val="0"/>
          <w:sz w:val="22"/>
          <w:szCs w:val="22"/>
          <w:lang w:val="en-US" w:eastAsia="zh-CN"/>
        </w:rPr>
      </w:pPr>
      <w:bookmarkStart w:id="1" w:name="heading_34"/>
      <w:r>
        <w:rPr>
          <w:rFonts w:hint="default" w:ascii="Times New Roman" w:hAnsi="Times New Roman" w:eastAsia="Times New Roman" w:cs="Times New Roman"/>
          <w:b/>
          <w:bCs/>
          <w:i w:val="0"/>
          <w:iCs w:val="0"/>
          <w:kern w:val="0"/>
          <w:sz w:val="22"/>
          <w:szCs w:val="22"/>
          <w:lang w:val="en-US" w:eastAsia="zh-CN"/>
        </w:rPr>
        <w:t>Template 2: Mild nausea after anti-TB drugs</w:t>
      </w:r>
      <w:bookmarkEnd w:id="1"/>
    </w:p>
    <w:p w14:paraId="79634D85">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Mild stomach discomfort is a common minor side effect. You can take all medications after meals and reduce greasy food intake. Seek immediate clinical evaluation if persistent vomiting, yellow urine or severe abdominal pain occurs.</w:t>
      </w:r>
    </w:p>
    <w:p w14:paraId="6082E741">
      <w:pPr>
        <w:spacing w:after="140" w:line="276" w:lineRule="auto"/>
        <w:rPr>
          <w:rFonts w:hint="default" w:ascii="Times New Roman" w:hAnsi="Times New Roman" w:eastAsia="Times New Roman" w:cs="Times New Roman"/>
          <w:b/>
          <w:bCs/>
          <w:i w:val="0"/>
          <w:iCs w:val="0"/>
          <w:kern w:val="0"/>
          <w:sz w:val="22"/>
          <w:szCs w:val="22"/>
          <w:lang w:val="en-US" w:eastAsia="zh-CN"/>
        </w:rPr>
      </w:pPr>
      <w:bookmarkStart w:id="2" w:name="heading_35"/>
      <w:r>
        <w:rPr>
          <w:rFonts w:hint="default" w:ascii="Times New Roman" w:hAnsi="Times New Roman" w:eastAsia="Times New Roman" w:cs="Times New Roman"/>
          <w:b/>
          <w:bCs/>
          <w:i w:val="0"/>
          <w:iCs w:val="0"/>
          <w:kern w:val="0"/>
          <w:sz w:val="22"/>
          <w:szCs w:val="22"/>
          <w:lang w:val="en-US" w:eastAsia="zh-CN"/>
        </w:rPr>
        <w:t>Template 3: Outpatient follow-up reminder</w:t>
      </w:r>
      <w:bookmarkEnd w:id="2"/>
    </w:p>
    <w:p w14:paraId="3308F26A">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Your scheduled sputum smear and liver function examination is arranged on [specific date]. Timely recheck ensures rational adjustment of your anti-tuberculosis regimen. Inform our team at least 3 days in advance if you cannot attend the appointment as planned.</w:t>
      </w:r>
    </w:p>
    <w:p w14:paraId="7295370E">
      <w:pPr>
        <w:spacing w:after="140" w:line="276" w:lineRule="auto"/>
        <w:rPr>
          <w:rFonts w:hint="default" w:ascii="Times New Roman" w:hAnsi="Times New Roman" w:eastAsia="Times New Roman" w:cs="Times New Roman"/>
          <w:b/>
          <w:bCs/>
          <w:i w:val="0"/>
          <w:iCs w:val="0"/>
          <w:kern w:val="0"/>
          <w:sz w:val="22"/>
          <w:szCs w:val="22"/>
          <w:lang w:val="en-US" w:eastAsia="zh-CN"/>
        </w:rPr>
      </w:pPr>
      <w:bookmarkStart w:id="3" w:name="heading_36"/>
      <w:r>
        <w:rPr>
          <w:rFonts w:hint="default" w:ascii="Times New Roman" w:hAnsi="Times New Roman" w:eastAsia="Times New Roman" w:cs="Times New Roman"/>
          <w:b/>
          <w:bCs/>
          <w:i w:val="0"/>
          <w:iCs w:val="0"/>
          <w:kern w:val="0"/>
          <w:sz w:val="22"/>
          <w:szCs w:val="22"/>
          <w:lang w:val="en-US" w:eastAsia="zh-CN"/>
        </w:rPr>
        <w:t>Template 4: Insomnia and anxiety during treatment</w:t>
      </w:r>
      <w:bookmarkEnd w:id="3"/>
    </w:p>
    <w:p w14:paraId="3F7B028C">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Long-term anti-TB therapy easily causes mood fluctuation and sleep disturbance. Our clinical psychologist provides free remote counselling via WeChat. Moderate slow walking before bedtime can effectively relieve anxiety and improve sleep quality.</w:t>
      </w:r>
    </w:p>
    <w:p w14:paraId="1855FC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等线" w:cs="Times New Roman"/>
          <w:b/>
          <w:bCs w:val="0"/>
          <w:kern w:val="0"/>
          <w:sz w:val="28"/>
          <w:szCs w:val="20"/>
          <w:lang w:val="en-US" w:eastAsia="zh-CN" w:bidi="ar-SA"/>
        </w:rPr>
      </w:pPr>
      <w:r>
        <w:rPr>
          <w:rFonts w:hint="eastAsia" w:ascii="Times New Roman" w:hAnsi="Times New Roman" w:eastAsia="等线" w:cs="Times New Roman"/>
          <w:b/>
          <w:bCs w:val="0"/>
          <w:kern w:val="0"/>
          <w:sz w:val="28"/>
          <w:szCs w:val="20"/>
          <w:lang w:val="en-US" w:eastAsia="zh-CN" w:bidi="ar-SA"/>
        </w:rPr>
        <w:t>6.</w:t>
      </w:r>
      <w:r>
        <w:rPr>
          <w:rFonts w:hint="default" w:ascii="Times New Roman" w:hAnsi="Times New Roman" w:eastAsia="等线" w:cs="Times New Roman"/>
          <w:b/>
          <w:bCs w:val="0"/>
          <w:kern w:val="0"/>
          <w:sz w:val="28"/>
          <w:szCs w:val="20"/>
          <w:lang w:val="en-US" w:eastAsia="zh-CN" w:bidi="ar-SA"/>
        </w:rPr>
        <w:t>Emergency Response Workflow for Critical Clinical Conditions</w:t>
      </w:r>
    </w:p>
    <w:p w14:paraId="4E9B141C">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Critical symptoms covered: Massive hemoptysis, persistent high fever, generalized severe drug rash, obvious scleral jaundice, severe chest distress.</w:t>
      </w:r>
    </w:p>
    <w:p w14:paraId="6FFE7CA7">
      <w:pPr>
        <w:spacing w:after="140" w:line="276" w:lineRule="auto"/>
        <w:rPr>
          <w:rFonts w:hint="default" w:ascii="Times New Roman" w:hAnsi="Times New Roman" w:eastAsia="Times New Roman" w:cs="Times New Roman"/>
          <w:i w:val="0"/>
          <w:iCs w:val="0"/>
          <w:kern w:val="0"/>
          <w:sz w:val="22"/>
          <w:szCs w:val="22"/>
          <w:lang w:val="en-US" w:eastAsia="zh-CN"/>
        </w:rPr>
      </w:pPr>
      <w:r>
        <w:rPr>
          <w:rFonts w:hint="default" w:ascii="Times New Roman" w:hAnsi="Times New Roman" w:eastAsia="Times New Roman" w:cs="Times New Roman"/>
          <w:i w:val="0"/>
          <w:iCs w:val="0"/>
          <w:kern w:val="0"/>
          <w:sz w:val="22"/>
          <w:szCs w:val="22"/>
          <w:lang w:val="en-US" w:eastAsia="zh-CN"/>
        </w:rPr>
        <w:t>Operation steps:</w:t>
      </w:r>
      <w:r>
        <w:rPr>
          <w:rFonts w:hint="default" w:ascii="Times New Roman" w:hAnsi="Times New Roman" w:eastAsia="Times New Roman" w:cs="Times New Roman"/>
          <w:i w:val="0"/>
          <w:iCs w:val="0"/>
          <w:kern w:val="0"/>
          <w:sz w:val="22"/>
          <w:szCs w:val="22"/>
          <w:lang w:val="en-US" w:eastAsia="zh-CN"/>
        </w:rPr>
        <w:br w:type="textWrapping"/>
      </w:r>
      <w:r>
        <w:rPr>
          <w:rFonts w:hint="default" w:ascii="Times New Roman" w:hAnsi="Times New Roman" w:eastAsia="Times New Roman" w:cs="Times New Roman"/>
          <w:i w:val="0"/>
          <w:iCs w:val="0"/>
          <w:kern w:val="0"/>
          <w:sz w:val="22"/>
          <w:szCs w:val="22"/>
          <w:lang w:val="en-US" w:eastAsia="zh-CN"/>
        </w:rPr>
        <w:t>Step 1: Guide the patient to visit hospital emergency department immediately;</w:t>
      </w:r>
      <w:r>
        <w:rPr>
          <w:rFonts w:hint="default" w:ascii="Times New Roman" w:hAnsi="Times New Roman" w:eastAsia="Times New Roman" w:cs="Times New Roman"/>
          <w:i w:val="0"/>
          <w:iCs w:val="0"/>
          <w:kern w:val="0"/>
          <w:sz w:val="22"/>
          <w:szCs w:val="22"/>
          <w:lang w:val="en-US" w:eastAsia="zh-CN"/>
        </w:rPr>
        <w:br w:type="textWrapping"/>
      </w:r>
      <w:r>
        <w:rPr>
          <w:rFonts w:hint="default" w:ascii="Times New Roman" w:hAnsi="Times New Roman" w:eastAsia="Times New Roman" w:cs="Times New Roman"/>
          <w:i w:val="0"/>
          <w:iCs w:val="0"/>
          <w:kern w:val="0"/>
          <w:sz w:val="22"/>
          <w:szCs w:val="22"/>
          <w:lang w:val="en-US" w:eastAsia="zh-CN"/>
        </w:rPr>
        <w:t>Step 2: Synchronously notify the attending physician of the patient’s group ID and current symptoms;</w:t>
      </w:r>
      <w:r>
        <w:rPr>
          <w:rFonts w:hint="default" w:ascii="Times New Roman" w:hAnsi="Times New Roman" w:eastAsia="Times New Roman" w:cs="Times New Roman"/>
          <w:i w:val="0"/>
          <w:iCs w:val="0"/>
          <w:kern w:val="0"/>
          <w:sz w:val="22"/>
          <w:szCs w:val="22"/>
          <w:lang w:val="en-US" w:eastAsia="zh-CN"/>
        </w:rPr>
        <w:br w:type="textWrapping"/>
      </w:r>
      <w:r>
        <w:rPr>
          <w:rFonts w:hint="default" w:ascii="Times New Roman" w:hAnsi="Times New Roman" w:eastAsia="Times New Roman" w:cs="Times New Roman"/>
          <w:i w:val="0"/>
          <w:iCs w:val="0"/>
          <w:kern w:val="0"/>
          <w:sz w:val="22"/>
          <w:szCs w:val="22"/>
          <w:lang w:val="en-US" w:eastAsia="zh-CN"/>
        </w:rPr>
        <w:t>Step 3: Record all WeChat conversation records in the electronic follow-up archive within 24 hours;</w:t>
      </w:r>
      <w:r>
        <w:rPr>
          <w:rFonts w:hint="default" w:ascii="Times New Roman" w:hAnsi="Times New Roman" w:eastAsia="Times New Roman" w:cs="Times New Roman"/>
          <w:i w:val="0"/>
          <w:iCs w:val="0"/>
          <w:kern w:val="0"/>
          <w:sz w:val="22"/>
          <w:szCs w:val="22"/>
          <w:lang w:val="en-US" w:eastAsia="zh-CN"/>
        </w:rPr>
        <w:br w:type="textWrapping"/>
      </w:r>
      <w:r>
        <w:rPr>
          <w:rFonts w:hint="default" w:ascii="Times New Roman" w:hAnsi="Times New Roman" w:eastAsia="Times New Roman" w:cs="Times New Roman"/>
          <w:i w:val="0"/>
          <w:iCs w:val="0"/>
          <w:kern w:val="0"/>
          <w:sz w:val="22"/>
          <w:szCs w:val="22"/>
          <w:lang w:val="en-US" w:eastAsia="zh-CN"/>
        </w:rPr>
        <w:t>Step 4: Report severe adverse events to the principal investigator and institutional ethics committee as required by the trial protocol.</w:t>
      </w:r>
    </w:p>
    <w:p w14:paraId="433F80AB">
      <w:pPr>
        <w:keepNext w:val="0"/>
        <w:keepLines w:val="0"/>
        <w:pageBreakBefore w:val="0"/>
        <w:kinsoku/>
        <w:wordWrap/>
        <w:overflowPunct/>
        <w:topLinePunct w:val="0"/>
        <w:autoSpaceDE/>
        <w:autoSpaceDN/>
        <w:bidi w:val="0"/>
        <w:adjustRightInd/>
        <w:snapToGrid/>
        <w:spacing w:line="240" w:lineRule="auto"/>
        <w:textAlignment w:val="auto"/>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413F3"/>
    <w:rsid w:val="07C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2026-07-26T08:16:00Z</dcterms:created>
  <dc:creator>李塔娜</dc:creator>
  <cp:lastModifiedBy>李塔娜</cp:lastModifiedBy>
  <dcterms:modified xsi:type="dcterms:W3CDTF">2026-07-26T08:45:50Z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4394B2E53DD0424AB7AF5F4F13844C88_11</vt:lpwstr>
  </property>
  <property fmtid="{D5CDD505-2E9C-101B-9397-08002B2CF9AE}" pid="4" name="KSOTemplateDocerSaveRecord">
    <vt:lpwstr>eyJoZGlkIjoiZTA0NGJjMzc3OTdmMzBmYjQxMjM4NGI2ZWJiNTNjOTEiLCJ1c2VySWQiOiIzMzgwMTcwMDYifQ==</vt:lpwstr>
  </property>
</Properties>
</file>