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F63A32">
      <w:pPr>
        <w:rPr>
          <w:b/>
          <w:bCs/>
        </w:rPr>
      </w:pPr>
      <w:r>
        <w:rPr>
          <w:b/>
          <w:bCs/>
        </w:rPr>
        <w:t>SUPPLEMENTARY FILE 2: STATISTICAL DIAGNOSTICS, MODEL SPECIFICATIONS, AND SENSITIVITY ANALYSES</w:t>
      </w:r>
    </w:p>
    <w:p w14:paraId="378E2318">
      <w:r>
        <w:rPr>
          <w:b/>
          <w:bCs/>
        </w:rPr>
        <w:t>Manuscript Title:</w:t>
      </w:r>
      <w:r>
        <w:t xml:space="preserve"> High Burden of Hepatitis B Virus Infection Among Chronic Liver Disease Patients in Northwest Ethiopia: A Cross-Sectional Study (2023–2024)</w:t>
      </w:r>
    </w:p>
    <w:p w14:paraId="4924A036">
      <w:pPr>
        <w:rPr>
          <w:b/>
          <w:bCs/>
        </w:rPr>
      </w:pPr>
      <w:r>
        <w:rPr>
          <w:b/>
          <w:bCs/>
        </w:rPr>
        <w:t>Table S2.1. Multicollinearity Diagnostics for Candidate Multivariable Variables ($N = 320$)</w:t>
      </w:r>
    </w:p>
    <w:p w14:paraId="3659EC8A">
      <w:r>
        <w:t>To assess potential multicollinearity among explanatory variables prior to multivariable modeling, Variance Inflation Factors (VIF) and Tolerance values were calculated. Variables displaying a VIF &gt; 2.5 or Tolerance &lt; 0.40 (specifically Educational Level and Civil Occupation) were excluded from final multivariable models to prevent variance inflation and parameter instability. Monthly income and residence were retained as the primary socioeconomic proxies.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46"/>
        <w:gridCol w:w="2393"/>
        <w:gridCol w:w="1789"/>
        <w:gridCol w:w="2982"/>
      </w:tblGrid>
      <w:tr w14:paraId="23D65D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83719B5">
            <w:r>
              <w:rPr>
                <w:b/>
                <w:bCs/>
              </w:rPr>
              <w:t>Variable Name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C9084E5">
            <w:r>
              <w:rPr>
                <w:b/>
                <w:bCs/>
              </w:rPr>
              <w:t>Variance Inflation Factor (VIF)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BE0EB91">
            <w:r>
              <w:rPr>
                <w:b/>
                <w:bCs/>
              </w:rPr>
              <w:t>1/VIF (Tolerance)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226B55E">
            <w:r>
              <w:rPr>
                <w:b/>
                <w:bCs/>
              </w:rPr>
              <w:t>Status in Final Multivariable Model</w:t>
            </w:r>
          </w:p>
        </w:tc>
      </w:tr>
      <w:tr w14:paraId="3E260E8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7B6D60A">
            <w:r>
              <w:rPr>
                <w:b/>
                <w:bCs/>
              </w:rPr>
              <w:t>Age (Years)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6C8FD9">
            <w:r>
              <w:t>1.24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C832CC1">
            <w:r>
              <w:t>0.806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605EECA">
            <w:r>
              <w:t>Retained (Baseline Confounder)</w:t>
            </w:r>
          </w:p>
        </w:tc>
      </w:tr>
      <w:tr w14:paraId="6385FDF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AD33ACA">
            <w:r>
              <w:rPr>
                <w:b/>
                <w:bCs/>
              </w:rPr>
              <w:t>Sex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A7B818C">
            <w:r>
              <w:t>1.11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27612A1">
            <w:r>
              <w:t>0.901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A9A637E">
            <w:r>
              <w:t>Retained (Baseline Confounder)</w:t>
            </w:r>
          </w:p>
        </w:tc>
      </w:tr>
      <w:tr w14:paraId="369DCC9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8D1756B">
            <w:r>
              <w:rPr>
                <w:b/>
                <w:bCs/>
              </w:rPr>
              <w:t>Residence (Urban/Rural)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F0F00EE">
            <w:r>
              <w:t>1.42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4004054">
            <w:r>
              <w:t>0.704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B15226">
            <w:r>
              <w:t>Retained</w:t>
            </w:r>
          </w:p>
        </w:tc>
      </w:tr>
      <w:tr w14:paraId="34C0599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07170C7">
            <w:r>
              <w:rPr>
                <w:b/>
                <w:bCs/>
              </w:rPr>
              <w:t>Monthly Income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BBC219C">
            <w:r>
              <w:t>1.58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2573DD6">
            <w:r>
              <w:t>0.633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B30CDDE">
            <w:r>
              <w:t>Retained</w:t>
            </w:r>
          </w:p>
        </w:tc>
      </w:tr>
      <w:tr w14:paraId="045A19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6B3E3E">
            <w:r>
              <w:rPr>
                <w:b/>
                <w:bCs/>
              </w:rPr>
              <w:t>HIV Co-infection Status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F570D79">
            <w:r>
              <w:t>1.18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219E532">
            <w:r>
              <w:t>0.847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9B3F8C5">
            <w:r>
              <w:t>Retained</w:t>
            </w:r>
          </w:p>
        </w:tc>
      </w:tr>
      <w:tr w14:paraId="547EBB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433B13">
            <w:r>
              <w:rPr>
                <w:b/>
                <w:bCs/>
              </w:rPr>
              <w:t>Family History of CLD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B37FE95">
            <w:r>
              <w:t>1.15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DDF45BE">
            <w:r>
              <w:t>0.870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13899FB">
            <w:r>
              <w:t>Retained</w:t>
            </w:r>
          </w:p>
        </w:tc>
      </w:tr>
      <w:tr w14:paraId="68754A8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7CE170">
            <w:r>
              <w:rPr>
                <w:b/>
                <w:bCs/>
              </w:rPr>
              <w:t>History of Dental Procedure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DBBD34">
            <w:r>
              <w:t>1.22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27C35A">
            <w:r>
              <w:t>0.820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C2EBE5">
            <w:r>
              <w:t>Retained</w:t>
            </w:r>
          </w:p>
        </w:tc>
      </w:tr>
      <w:tr w14:paraId="272829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1353A6">
            <w:r>
              <w:rPr>
                <w:b/>
                <w:bCs/>
              </w:rPr>
              <w:t>Contact with Jaundiced Person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802D35D">
            <w:r>
              <w:t>1.19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382A709">
            <w:r>
              <w:t>0.840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5559B4D">
            <w:r>
              <w:t>Retained</w:t>
            </w:r>
          </w:p>
        </w:tc>
      </w:tr>
      <w:tr w14:paraId="1087E71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EAB06E1">
            <w:r>
              <w:rPr>
                <w:b/>
                <w:bCs/>
              </w:rPr>
              <w:t>History of Surgical Procedure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C9D431">
            <w:r>
              <w:t>1.26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FCCD8B3">
            <w:r>
              <w:t>0.794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CBBA409">
            <w:r>
              <w:t>Retained</w:t>
            </w:r>
          </w:p>
        </w:tc>
      </w:tr>
      <w:tr w14:paraId="114E0D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31AA40">
            <w:r>
              <w:rPr>
                <w:b/>
                <w:bCs/>
              </w:rPr>
              <w:t>Traditional Circumcision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2273593">
            <w:r>
              <w:t>1.31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D4856DF">
            <w:r>
              <w:t>0.763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DEA5ABD">
            <w:r>
              <w:t>Retained</w:t>
            </w:r>
          </w:p>
        </w:tc>
      </w:tr>
      <w:tr w14:paraId="137A823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490C190">
            <w:r>
              <w:rPr>
                <w:b/>
                <w:bCs/>
              </w:rPr>
              <w:t>Traditional Uvulectomy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F4FE94F">
            <w:r>
              <w:t>1.28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FBCEE67">
            <w:r>
              <w:t>0.781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973CE0">
            <w:r>
              <w:t>Retained</w:t>
            </w:r>
          </w:p>
        </w:tc>
      </w:tr>
      <w:tr w14:paraId="072CE6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642FBCA">
            <w:r>
              <w:rPr>
                <w:i/>
                <w:iCs/>
              </w:rPr>
              <w:t>Educational Level*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531D4F">
            <w:r>
              <w:rPr>
                <w:i/>
                <w:iCs/>
              </w:rPr>
              <w:t>2.88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0885D29">
            <w:r>
              <w:rPr>
                <w:i/>
                <w:iCs/>
              </w:rPr>
              <w:t>0.347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02104DC">
            <w:r>
              <w:rPr>
                <w:i/>
                <w:iCs/>
              </w:rPr>
              <w:t>Excluded (High Multicollinearity)</w:t>
            </w:r>
          </w:p>
        </w:tc>
      </w:tr>
      <w:tr w14:paraId="747C3C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8B127F0">
            <w:r>
              <w:rPr>
                <w:i/>
                <w:iCs/>
              </w:rPr>
              <w:t>Civil Occupation*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FAA84F3">
            <w:r>
              <w:rPr>
                <w:i/>
                <w:iCs/>
              </w:rPr>
              <w:t>3.12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844BE19">
            <w:r>
              <w:rPr>
                <w:i/>
                <w:iCs/>
              </w:rPr>
              <w:t>0.321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FD9C366">
            <w:r>
              <w:rPr>
                <w:i/>
                <w:iCs/>
              </w:rPr>
              <w:t>Excluded (High Multicollinearity)</w:t>
            </w:r>
          </w:p>
        </w:tc>
      </w:tr>
    </w:tbl>
    <w:p w14:paraId="334767CF">
      <w:r>
        <w:rPr>
          <w:i/>
          <w:iCs/>
        </w:rPr>
        <w:t>Mean VIF for Retained Model Variables = 1.25 (Indicating absence of significant multicollinearity).</w:t>
      </w:r>
    </w:p>
    <w:p w14:paraId="30860887">
      <w:pPr>
        <w:rPr>
          <w:b/>
          <w:bCs/>
        </w:rPr>
      </w:pPr>
      <w:r>
        <w:rPr>
          <w:b/>
          <w:bCs/>
        </w:rPr>
        <w:t>Table S2.2. Hosmer-Lemeshow Goodness-of-Fit Test for Binary Logistic Regression Model</w:t>
      </w:r>
    </w:p>
    <w:p w14:paraId="3D66469F">
      <w:r>
        <w:t>The Hosmer-Lemeshow test evaluates the goodness-of-fit for binary outcomes by comparing observed vs. expected frequencies across risk deciles. A non-significant p-value (p &gt; 0.05) indicates good calibration and model fit.</w:t>
      </w:r>
    </w:p>
    <w:p w14:paraId="29F0AE60">
      <w:pPr>
        <w:numPr>
          <w:ilvl w:val="0"/>
          <w:numId w:val="1"/>
        </w:numPr>
      </w:pPr>
      <w:r>
        <w:rPr>
          <w:b/>
          <w:bCs/>
        </w:rPr>
        <w:t>Chi-Square (chi):</w:t>
      </w:r>
      <w:r>
        <w:t xml:space="preserve"> 7.618</w:t>
      </w:r>
    </w:p>
    <w:p w14:paraId="60BDB24B">
      <w:pPr>
        <w:numPr>
          <w:ilvl w:val="0"/>
          <w:numId w:val="1"/>
        </w:numPr>
      </w:pPr>
      <w:r>
        <w:rPr>
          <w:b/>
          <w:bCs/>
        </w:rPr>
        <w:t>Degrees of Freedom (df):</w:t>
      </w:r>
      <w:r>
        <w:t xml:space="preserve"> 8</w:t>
      </w:r>
    </w:p>
    <w:p w14:paraId="3D159CFE">
      <w:pPr>
        <w:numPr>
          <w:ilvl w:val="0"/>
          <w:numId w:val="1"/>
        </w:numPr>
      </w:pPr>
      <w:r>
        <w:rPr>
          <w:b/>
          <w:bCs/>
        </w:rPr>
        <w:t>p-value:</w:t>
      </w:r>
      <w:r>
        <w:t xml:space="preserve"> </w:t>
      </w:r>
      <w:r>
        <w:rPr>
          <w:b/>
          <w:bCs/>
        </w:rPr>
        <w:t>0.472</w:t>
      </w:r>
    </w:p>
    <w:p w14:paraId="6FA3661D">
      <w:r>
        <w:rPr>
          <w:i/>
          <w:iCs/>
        </w:rPr>
        <w:t>Conclusion: The multivariable binary logistic regression model demonstrates acceptable calibration and fit to the observed data.</w:t>
      </w:r>
    </w:p>
    <w:p w14:paraId="6E1F697D">
      <w:pPr>
        <w:rPr>
          <w:b/>
          <w:bCs/>
        </w:rPr>
      </w:pPr>
      <w:r>
        <w:rPr>
          <w:b/>
          <w:bCs/>
        </w:rPr>
        <w:t>Table S2.3. Model Discrimination: Area Under the Receiver Operating Characteristic Curve (ROC/AUC)</w:t>
      </w:r>
    </w:p>
    <w:p w14:paraId="208D0C3B">
      <w:r>
        <w:t>Model discrimination was evaluated using the Area Under the ROC Curve (AUC), assessing the model's capacity to correctly differentiate between HBsAg-positive and HBsAg-negative CLD patients.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472"/>
        <w:gridCol w:w="1595"/>
        <w:gridCol w:w="2653"/>
      </w:tblGrid>
      <w:tr w14:paraId="625540E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3002FFA">
            <w:r>
              <w:rPr>
                <w:b/>
                <w:bCs/>
              </w:rPr>
              <w:t>Parameter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8BA8822">
            <w:r>
              <w:rPr>
                <w:b/>
                <w:bCs/>
              </w:rPr>
              <w:t>Metric Value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D31E92">
            <w:r>
              <w:rPr>
                <w:b/>
                <w:bCs/>
              </w:rPr>
              <w:t>95% Confidence Interval</w:t>
            </w:r>
          </w:p>
        </w:tc>
      </w:tr>
      <w:tr w14:paraId="6C05E41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CFFC033">
            <w:r>
              <w:rPr>
                <w:b/>
                <w:bCs/>
              </w:rPr>
              <w:t>Area Under the Curve (AUC)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BEF905">
            <w:r>
              <w:rPr>
                <w:b/>
                <w:bCs/>
              </w:rPr>
              <w:t>0.816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7CBD45">
            <w:r>
              <w:rPr>
                <w:b/>
                <w:bCs/>
              </w:rPr>
              <w:t>0.768 – 0.864</w:t>
            </w:r>
          </w:p>
        </w:tc>
      </w:tr>
      <w:tr w14:paraId="3E1EF91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F17C50">
            <w:r>
              <w:rPr>
                <w:b/>
                <w:bCs/>
              </w:rPr>
              <w:t>Standard Error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C6B4472">
            <w:r>
              <w:t>0.024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F59F85">
            <w:r>
              <w:t>—</w:t>
            </w:r>
          </w:p>
        </w:tc>
      </w:tr>
      <w:tr w14:paraId="6E50DF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A017C36">
            <w:r>
              <w:rPr>
                <w:b/>
                <w:bCs/>
              </w:rPr>
              <w:t>Asymptotic Significance (p-value)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0E30702">
            <w:r>
              <w:t>&lt;0.001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C0376FD">
            <w:r>
              <w:t>—</w:t>
            </w:r>
          </w:p>
        </w:tc>
      </w:tr>
      <w:tr w14:paraId="1B426A4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205EAE8">
            <w:r>
              <w:rPr>
                <w:b/>
                <w:bCs/>
              </w:rPr>
              <w:t>Overall Classification Accuracy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F48D919">
            <w:r>
              <w:rPr>
                <w:b/>
                <w:bCs/>
              </w:rPr>
              <w:t>78.8%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411D4D7">
            <w:r>
              <w:t>—</w:t>
            </w:r>
          </w:p>
        </w:tc>
      </w:tr>
    </w:tbl>
    <w:p w14:paraId="72F5BF9A">
      <w:r>
        <w:rPr>
          <w:i/>
          <w:iCs/>
        </w:rPr>
        <w:t xml:space="preserve">Model Discrimination Interpretation: An AUC of 0.816 represents good diagnostic discrimination capability </w:t>
      </w:r>
      <w:r>
        <w:rPr>
          <w:i/>
          <w:iCs/>
          <w:highlight w:val="none"/>
        </w:rPr>
        <w:t>(0.80 ≤</w:t>
      </w:r>
      <w:r>
        <w:rPr>
          <w:rFonts w:hint="default"/>
          <w:i/>
          <w:iCs/>
          <w:highlight w:val="none"/>
          <w:lang w:val="en-US"/>
        </w:rPr>
        <w:t xml:space="preserve"> </w:t>
      </w:r>
      <w:r>
        <w:rPr>
          <w:i/>
          <w:iCs/>
          <w:highlight w:val="none"/>
        </w:rPr>
        <w:t>AUC &lt; 0.90).</w:t>
      </w:r>
    </w:p>
    <w:p w14:paraId="0A6F6851">
      <w:pPr>
        <w:rPr>
          <w:b/>
          <w:bCs/>
        </w:rPr>
      </w:pPr>
      <w:r>
        <w:rPr>
          <w:b/>
          <w:bCs/>
        </w:rPr>
        <w:t>Table S2.4. Post-Hoc Statistical Power Calculations for Primary Predictors (N = 320, alpha = 0.05)</w:t>
      </w:r>
    </w:p>
    <w:p w14:paraId="49988129">
      <w:r>
        <w:t>Post-hoc power calculations were conducted using G*Power</w:t>
      </w:r>
      <w:r>
        <w:rPr>
          <w:highlight w:val="none"/>
        </w:rPr>
        <w:t xml:space="preserve"> 3.1.9.7 to v</w:t>
      </w:r>
      <w:r>
        <w:t>erify that the final analytical sample size (N = 320) achieved adequate statistical power (</w:t>
      </w:r>
      <w:r>
        <w:rPr>
          <w:b w:val="0"/>
          <w:bCs w:val="0"/>
          <w:highlight w:val="none"/>
        </w:rPr>
        <w:t>1−β  ≥</w:t>
      </w:r>
      <w:r>
        <w:rPr>
          <w:rFonts w:hint="default"/>
          <w:b w:val="0"/>
          <w:bCs w:val="0"/>
          <w:highlight w:val="none"/>
          <w:lang w:val="en-US"/>
        </w:rPr>
        <w:t xml:space="preserve"> </w:t>
      </w:r>
      <w:r>
        <w:rPr>
          <w:b w:val="0"/>
          <w:bCs w:val="0"/>
          <w:highlight w:val="none"/>
        </w:rPr>
        <w:t>0.80</w:t>
      </w:r>
      <w:r>
        <w:rPr>
          <w:highlight w:val="none"/>
        </w:rPr>
        <w:t>)</w:t>
      </w:r>
      <w:r>
        <w:t xml:space="preserve"> to evaluate primary multivariable associations.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70"/>
        <w:gridCol w:w="2074"/>
        <w:gridCol w:w="2062"/>
        <w:gridCol w:w="1898"/>
        <w:gridCol w:w="1906"/>
      </w:tblGrid>
      <w:tr w14:paraId="327CD46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B9F9699">
            <w:r>
              <w:rPr>
                <w:b/>
                <w:bCs/>
              </w:rPr>
              <w:t>Exposure Variable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501FD0">
            <w:r>
              <w:rPr>
                <w:b/>
                <w:bCs/>
              </w:rPr>
              <w:t>HBsAg (+) Group Prevalence (n=134)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614CBED">
            <w:r>
              <w:rPr>
                <w:b/>
                <w:bCs/>
              </w:rPr>
              <w:t>HBsAg (-) Group Prevalence (n=186)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FE516A8">
            <w:r>
              <w:rPr>
                <w:b/>
                <w:bCs/>
              </w:rPr>
              <w:t>Calculated Adjusted Effect Size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49615C8">
            <w:r>
              <w:rPr>
                <w:b/>
                <w:bCs/>
              </w:rPr>
              <w:t>Achieved Statistical Power (1−β)</w:t>
            </w:r>
          </w:p>
        </w:tc>
      </w:tr>
      <w:tr w14:paraId="3F75FE1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348B30">
            <w:r>
              <w:rPr>
                <w:b/>
                <w:bCs/>
              </w:rPr>
              <w:t>HIV Status (Positive)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EBB3194">
            <w:r>
              <w:t>15.7% (21/134)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DEA5068">
            <w:r>
              <w:t>7.0% (13/186)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259769C">
            <w:r>
              <w:t>aPR = 1.68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05FF69">
            <w:r>
              <w:rPr>
                <w:b/>
                <w:bCs/>
              </w:rPr>
              <w:t>86.4%</w:t>
            </w:r>
          </w:p>
        </w:tc>
      </w:tr>
      <w:tr w14:paraId="3E8FCD3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484B0F5">
            <w:r>
              <w:rPr>
                <w:b/>
                <w:bCs/>
              </w:rPr>
              <w:t>Family History of CLD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43D299E">
            <w:r>
              <w:t>13.4% (18/134)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9EC6794">
            <w:r>
              <w:t>4.8% (9/186)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CFDE928">
            <w:r>
              <w:t>aPR = 1.76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F6BC888">
            <w:r>
              <w:rPr>
                <w:b/>
                <w:bCs/>
              </w:rPr>
              <w:t>91.2%</w:t>
            </w:r>
          </w:p>
        </w:tc>
      </w:tr>
      <w:tr w14:paraId="214908C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9ED74D">
            <w:r>
              <w:rPr>
                <w:b/>
                <w:bCs/>
              </w:rPr>
              <w:t>Dental Procedure History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A6BF6DB">
            <w:r>
              <w:t>20.1% (27/134)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83132C1">
            <w:r>
              <w:t>5.9% (11/186)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DC71B3">
            <w:r>
              <w:t>aPR = 1.62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A239380">
            <w:r>
              <w:rPr>
                <w:b/>
                <w:bCs/>
              </w:rPr>
              <w:t>94.8%</w:t>
            </w:r>
          </w:p>
        </w:tc>
      </w:tr>
      <w:tr w14:paraId="2D2B94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0FDB36F">
            <w:r>
              <w:rPr>
                <w:b/>
                <w:bCs/>
              </w:rPr>
              <w:t>Contact with Jaundice Person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9350EA0">
            <w:r>
              <w:t>26.1% (35/134)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0350001">
            <w:r>
              <w:t>10.8% (20/186)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E04B31">
            <w:r>
              <w:t>aPR = 1.48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51BE833">
            <w:r>
              <w:rPr>
                <w:b/>
                <w:bCs/>
              </w:rPr>
              <w:t>88.7%</w:t>
            </w:r>
          </w:p>
        </w:tc>
      </w:tr>
      <w:tr w14:paraId="57CC6A0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C0ABAD4">
            <w:r>
              <w:rPr>
                <w:b/>
                <w:bCs/>
              </w:rPr>
              <w:t>Surgical History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714A12">
            <w:r>
              <w:t>28.4% (38/134)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B9BF5FC">
            <w:r>
              <w:t>15.6% (29/186)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1E17345">
            <w:r>
              <w:t>aPR = 1.39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4F2BCF">
            <w:r>
              <w:rPr>
                <w:b/>
                <w:bCs/>
              </w:rPr>
              <w:t>82.1%</w:t>
            </w:r>
          </w:p>
        </w:tc>
      </w:tr>
    </w:tbl>
    <w:p w14:paraId="61E5F369">
      <w:pPr>
        <w:rPr>
          <w:i/>
          <w:iCs/>
        </w:rPr>
      </w:pPr>
      <w:r>
        <w:rPr>
          <w:i/>
          <w:iCs/>
        </w:rPr>
        <w:t>Conclusion: The analytical sample size of N = 320 provides adequate statistical power (&gt;80</w:t>
      </w:r>
      <w:r>
        <w:rPr>
          <w:rFonts w:hint="default"/>
          <w:i/>
          <w:iCs/>
          <w:lang w:val="en-US"/>
        </w:rPr>
        <w:t xml:space="preserve"> </w:t>
      </w:r>
      <w:r>
        <w:rPr>
          <w:i/>
          <w:iCs/>
        </w:rPr>
        <w:t>%) to evaluate all primary associated factors.</w:t>
      </w:r>
    </w:p>
    <w:p w14:paraId="2B1778C1">
      <w:pPr>
        <w:rPr>
          <w:i/>
          <w:iCs/>
        </w:rPr>
      </w:pPr>
    </w:p>
    <w:p w14:paraId="6CB41262">
      <w:pPr>
        <w:rPr>
          <w:i/>
          <w:iCs/>
        </w:rPr>
      </w:pPr>
    </w:p>
    <w:p w14:paraId="1B88FAB3">
      <w:pPr>
        <w:rPr>
          <w:b/>
          <w:bCs/>
        </w:rPr>
      </w:pPr>
      <w:r>
        <w:rPr>
          <w:b/>
          <w:bCs/>
        </w:rPr>
        <w:t>Table S2.5. Detailed Sub-Strata Distribution for History of Dental Procedures vs. HBsAg Status (N = 320)</w:t>
      </w:r>
    </w:p>
    <w:p w14:paraId="391B55E3">
      <w:r>
        <w:t>Cross-tabulation showing the distribution of HBsAg positivity by exposure to dental procedures across urban and rural residence strata.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51"/>
        <w:gridCol w:w="1582"/>
        <w:gridCol w:w="1585"/>
        <w:gridCol w:w="1676"/>
        <w:gridCol w:w="1042"/>
        <w:gridCol w:w="2274"/>
      </w:tblGrid>
      <w:tr w14:paraId="1422824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141F5B0">
            <w:r>
              <w:rPr>
                <w:b/>
                <w:bCs/>
              </w:rPr>
              <w:t>Strata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E300ACD">
            <w:r>
              <w:rPr>
                <w:b/>
                <w:bCs/>
              </w:rPr>
              <w:t>Dental History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F643116">
            <w:r>
              <w:rPr>
                <w:b/>
                <w:bCs/>
              </w:rPr>
              <w:t>HBsAg Positive (n)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14E8DC">
            <w:r>
              <w:rPr>
                <w:b/>
                <w:bCs/>
              </w:rPr>
              <w:t>HBsAg Negative (n)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8551BE">
            <w:r>
              <w:rPr>
                <w:b/>
                <w:bCs/>
              </w:rPr>
              <w:t>Total (N)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E3B13A1">
            <w:r>
              <w:rPr>
                <w:b/>
                <w:bCs/>
              </w:rPr>
              <w:t>Stratum HBsAg Prevalence (%)</w:t>
            </w:r>
          </w:p>
        </w:tc>
      </w:tr>
      <w:tr w14:paraId="5AECE4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47DB4D2">
            <w:r>
              <w:rPr>
                <w:b/>
                <w:bCs/>
              </w:rPr>
              <w:t>Urban Residence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C20A273">
            <w:r>
              <w:t>Exposed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20D395">
            <w:r>
              <w:t>18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479F17">
            <w:r>
              <w:t>6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D289A0">
            <w:r>
              <w:t>24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902EF21">
            <w:r>
              <w:rPr>
                <w:b/>
                <w:bCs/>
              </w:rPr>
              <w:t>75.0%</w:t>
            </w:r>
          </w:p>
        </w:tc>
      </w:tr>
      <w:tr w14:paraId="1561F47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8775500"/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7479AA">
            <w:r>
              <w:t>Unexposed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4AAE4B">
            <w:r>
              <w:t>43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14C4D36">
            <w:r>
              <w:t>71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6A6E46C">
            <w:r>
              <w:t>114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A42A8EE">
            <w:r>
              <w:t>37.7%</w:t>
            </w:r>
          </w:p>
        </w:tc>
      </w:tr>
      <w:tr w14:paraId="530D3B6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959239">
            <w:r>
              <w:rPr>
                <w:b/>
                <w:bCs/>
              </w:rPr>
              <w:t>Rural Residence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02FC85C">
            <w:r>
              <w:t>Exposed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925C52B">
            <w:r>
              <w:t>9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F6F7FF">
            <w:r>
              <w:t>5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F1FEB6E">
            <w:r>
              <w:t>14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4D84FF">
            <w:r>
              <w:rPr>
                <w:b/>
                <w:bCs/>
              </w:rPr>
              <w:t>64.3%</w:t>
            </w:r>
          </w:p>
        </w:tc>
      </w:tr>
      <w:tr w14:paraId="05DFB97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645127E"/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A7E4435">
            <w:r>
              <w:t>Unexposed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B7B3810">
            <w:r>
              <w:t>64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07B7B60">
            <w:r>
              <w:t>104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EA82B24">
            <w:r>
              <w:t>168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7F6BB7">
            <w:r>
              <w:t>38.1%</w:t>
            </w:r>
          </w:p>
        </w:tc>
      </w:tr>
      <w:tr w14:paraId="562E310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A21B87">
            <w:r>
              <w:rPr>
                <w:b/>
                <w:bCs/>
              </w:rPr>
              <w:t>Total Cohort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0ED876">
            <w:r>
              <w:rPr>
                <w:b/>
                <w:bCs/>
              </w:rPr>
              <w:t>Exposed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8BC880">
            <w:r>
              <w:rPr>
                <w:b/>
                <w:bCs/>
              </w:rPr>
              <w:t>27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5951722">
            <w:r>
              <w:rPr>
                <w:b/>
                <w:bCs/>
              </w:rPr>
              <w:t>11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B61D165">
            <w:r>
              <w:rPr>
                <w:b/>
                <w:bCs/>
              </w:rPr>
              <w:t>38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832ADA6">
            <w:r>
              <w:rPr>
                <w:b/>
                <w:bCs/>
              </w:rPr>
              <w:t>71.1%</w:t>
            </w:r>
          </w:p>
        </w:tc>
      </w:tr>
      <w:tr w14:paraId="51DC053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C4A56BC"/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E23666B">
            <w:r>
              <w:rPr>
                <w:b/>
                <w:bCs/>
              </w:rPr>
              <w:t>Unexposed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C2A72CE">
            <w:r>
              <w:rPr>
                <w:b/>
                <w:bCs/>
              </w:rPr>
              <w:t>107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9DDB7E1">
            <w:r>
              <w:rPr>
                <w:b/>
                <w:bCs/>
              </w:rPr>
              <w:t>175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3E1FC8">
            <w:r>
              <w:rPr>
                <w:b/>
                <w:bCs/>
              </w:rPr>
              <w:t>282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0D0CB2">
            <w:r>
              <w:rPr>
                <w:b/>
                <w:bCs/>
              </w:rPr>
              <w:t>37.9%</w:t>
            </w:r>
          </w:p>
        </w:tc>
      </w:tr>
    </w:tbl>
    <w:p w14:paraId="284413F4">
      <w:r>
        <w:rPr>
          <w:i/>
          <w:iCs/>
        </w:rPr>
        <w:t>Unadjusted Chi-Square chi χ²</w:t>
      </w:r>
      <w:bookmarkStart w:id="0" w:name="_GoBack"/>
      <w:bookmarkEnd w:id="0"/>
      <w:r>
        <w:rPr>
          <w:i/>
          <w:iCs/>
        </w:rPr>
        <w:t>= 16.48, df = 1, p &lt; 0.001. Crude Odds Ratio = 5.03</w:t>
      </w:r>
      <w:r>
        <w:rPr>
          <w:rFonts w:hint="default"/>
          <w:i/>
          <w:iCs/>
          <w:lang w:val="en-US"/>
        </w:rPr>
        <w:t xml:space="preserve">, </w:t>
      </w:r>
      <w:r>
        <w:rPr>
          <w:i/>
          <w:iCs/>
        </w:rPr>
        <w:t>95% CI:  2.41-10.51). Adjusted Odds Ratio (AOR= 4.50</w:t>
      </w:r>
      <w:r>
        <w:rPr>
          <w:rFonts w:hint="default"/>
          <w:i/>
          <w:iCs/>
          <w:lang w:val="en-US"/>
        </w:rPr>
        <w:t xml:space="preserve">, </w:t>
      </w:r>
      <w:r>
        <w:rPr>
          <w:i/>
          <w:iCs/>
        </w:rPr>
        <w:t>95%</w:t>
      </w:r>
      <w:r>
        <w:rPr>
          <w:rFonts w:hint="default"/>
          <w:i/>
          <w:iCs/>
          <w:lang w:val="en-US"/>
        </w:rPr>
        <w:t xml:space="preserve"> </w:t>
      </w:r>
      <w:r>
        <w:rPr>
          <w:i/>
          <w:iCs/>
        </w:rPr>
        <w:t>CI: 1.98-10.22). Adjusted Prevalence Ratio (aPR= 1.62</w:t>
      </w:r>
      <w:r>
        <w:rPr>
          <w:rFonts w:hint="default"/>
          <w:i/>
          <w:iCs/>
          <w:lang w:val="en-US"/>
        </w:rPr>
        <w:t xml:space="preserve">, </w:t>
      </w:r>
      <w:r>
        <w:rPr>
          <w:i/>
          <w:iCs/>
        </w:rPr>
        <w:t>95%</w:t>
      </w:r>
      <w:r>
        <w:rPr>
          <w:rFonts w:hint="default"/>
          <w:i/>
          <w:iCs/>
          <w:lang w:val="en-US"/>
        </w:rPr>
        <w:t xml:space="preserve"> </w:t>
      </w:r>
      <w:r>
        <w:rPr>
          <w:i/>
          <w:iCs/>
        </w:rPr>
        <w:t>CI: 1.21-2.17).</w:t>
      </w:r>
    </w:p>
    <w:p w14:paraId="37E34716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356912"/>
    <w:multiLevelType w:val="multilevel"/>
    <w:tmpl w:val="2E35691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341"/>
    <w:rsid w:val="00423341"/>
    <w:rsid w:val="006C6C1E"/>
    <w:rsid w:val="00AC415C"/>
    <w:rsid w:val="0166575B"/>
    <w:rsid w:val="040027A6"/>
    <w:rsid w:val="086C67E7"/>
    <w:rsid w:val="1DD15E62"/>
    <w:rsid w:val="25B06A7E"/>
    <w:rsid w:val="389B249F"/>
    <w:rsid w:val="41C5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638</Words>
  <Characters>4086</Characters>
  <Lines>33</Lines>
  <Paragraphs>9</Paragraphs>
  <TotalTime>14</TotalTime>
  <ScaleCrop>false</ScaleCrop>
  <LinksUpToDate>false</LinksUpToDate>
  <CharactersWithSpaces>4563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2026-08-01T14:05:00Z</dcterms:created>
  <dc:creator>User</dc:creator>
  <cp:lastModifiedBy>Yihealem Yabebal Ayele</cp:lastModifiedBy>
  <dcterms:modified xsi:type="dcterms:W3CDTF">2026-08-04T13:52:07Z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eyJoZGlkIjoiNTFhZjgzNTZkMjU5NmViNWI1MDdmY2Q1ZWZmN2U3YjUiLCJ1c2VySWQiOiIxNDMxMTU1ODk2MjQyMSJ9</vt:lpwstr>
  </property>
  <property fmtid="{D5CDD505-2E9C-101B-9397-08002B2CF9AE}" pid="3" name="KSOProductBuildVer">
    <vt:lpwstr>1033-12.1.0.28032</vt:lpwstr>
  </property>
  <property fmtid="{D5CDD505-2E9C-101B-9397-08002B2CF9AE}" pid="4" name="ICV">
    <vt:lpwstr>11C491D1CEFD4727827BBC8AF0828068_12</vt:lpwstr>
  </property>
</Properties>
</file>