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1AC15" w14:textId="013727E4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Supplementary Table 3.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Comparison of body temperature over time between ineffective and effective groups (repeated-measures ANOVA).</w:t>
      </w:r>
    </w:p>
    <w:tbl>
      <w:tblPr>
        <w:tblStyle w:val="af2"/>
        <w:tblW w:w="1350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552"/>
        <w:gridCol w:w="2409"/>
        <w:gridCol w:w="1418"/>
        <w:gridCol w:w="1418"/>
        <w:gridCol w:w="1417"/>
        <w:gridCol w:w="1310"/>
      </w:tblGrid>
      <w:tr w14:paraId="4E283A1B" w14:textId="77777777">
        <w:trPr>
          <w:jc w:val="center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398FE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Items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1096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Ineffective (n = 23)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FC1EEE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Effective (n = 244)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DF63EBA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AD12B41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>F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value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75339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value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996B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Partial 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2</w:t>
            </w:r>
          </w:p>
        </w:tc>
      </w:tr>
      <w:tr w14:paraId="340DC917" w14:textId="77777777">
        <w:trPr>
          <w:jc w:val="center"/>
        </w:trPr>
        <w:tc>
          <w:tcPr>
            <w:tcW w:w="2977" w:type="dxa"/>
            <w:vAlign w:val="center"/>
          </w:tcPr>
          <w:p w14:paraId="784A0428" w14:textId="77777777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Body temperature</w:t>
            </w:r>
          </w:p>
        </w:tc>
        <w:tc>
          <w:tcPr>
            <w:tcW w:w="2552" w:type="dxa"/>
            <w:vAlign w:val="center"/>
          </w:tcPr>
          <w:p w14:paraId="4A8E7761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5686A006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5B5F39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04E2FB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28A174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46AB489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5AE8220A" w14:textId="77777777">
        <w:trPr>
          <w:jc w:val="center"/>
        </w:trPr>
        <w:tc>
          <w:tcPr>
            <w:tcW w:w="2977" w:type="dxa"/>
            <w:vAlign w:val="center"/>
          </w:tcPr>
          <w:p w14:paraId="0FE83C38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D0</w:t>
            </w:r>
          </w:p>
        </w:tc>
        <w:tc>
          <w:tcPr>
            <w:tcW w:w="2552" w:type="dxa"/>
          </w:tcPr>
          <w:p w14:paraId="5B5AE10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37.6±0.9</w:t>
            </w:r>
          </w:p>
        </w:tc>
        <w:tc>
          <w:tcPr>
            <w:tcW w:w="2409" w:type="dxa"/>
          </w:tcPr>
          <w:p w14:paraId="487865B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37.7±1.2</w:t>
            </w:r>
          </w:p>
        </w:tc>
        <w:tc>
          <w:tcPr>
            <w:tcW w:w="1418" w:type="dxa"/>
          </w:tcPr>
          <w:p w14:paraId="4DE428C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4FE273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6532AA7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63C36AE1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0306F33B" w14:textId="77777777">
        <w:trPr>
          <w:jc w:val="center"/>
        </w:trPr>
        <w:tc>
          <w:tcPr>
            <w:tcW w:w="2977" w:type="dxa"/>
            <w:vAlign w:val="center"/>
          </w:tcPr>
          <w:p w14:paraId="166EAD7B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D1</w:t>
            </w:r>
          </w:p>
        </w:tc>
        <w:tc>
          <w:tcPr>
            <w:tcW w:w="2552" w:type="dxa"/>
          </w:tcPr>
          <w:p w14:paraId="2F0204FA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37.3±1.1</w:t>
            </w:r>
          </w:p>
        </w:tc>
        <w:tc>
          <w:tcPr>
            <w:tcW w:w="2409" w:type="dxa"/>
          </w:tcPr>
          <w:p w14:paraId="7B85B49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37.1±0.7</w:t>
            </w:r>
          </w:p>
        </w:tc>
        <w:tc>
          <w:tcPr>
            <w:tcW w:w="1418" w:type="dxa"/>
          </w:tcPr>
          <w:p w14:paraId="536F34B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C4735F6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2EE0F8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01D5D2D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667A0506" w14:textId="77777777">
        <w:trPr>
          <w:jc w:val="center"/>
        </w:trPr>
        <w:tc>
          <w:tcPr>
            <w:tcW w:w="2977" w:type="dxa"/>
            <w:vAlign w:val="center"/>
          </w:tcPr>
          <w:p w14:paraId="3CADD67A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D2</w:t>
            </w:r>
          </w:p>
        </w:tc>
        <w:tc>
          <w:tcPr>
            <w:tcW w:w="2552" w:type="dxa"/>
          </w:tcPr>
          <w:p w14:paraId="7409D36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37.2±1.0</w:t>
            </w:r>
          </w:p>
        </w:tc>
        <w:tc>
          <w:tcPr>
            <w:tcW w:w="2409" w:type="dxa"/>
          </w:tcPr>
          <w:p w14:paraId="38014D8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36.8±0.5</w:t>
            </w:r>
          </w:p>
        </w:tc>
        <w:tc>
          <w:tcPr>
            <w:tcW w:w="1418" w:type="dxa"/>
          </w:tcPr>
          <w:p w14:paraId="2506EAD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156CDF1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CB6BDF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59A33D78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5D5DB159" w14:textId="77777777">
        <w:trPr>
          <w:jc w:val="center"/>
        </w:trPr>
        <w:tc>
          <w:tcPr>
            <w:tcW w:w="2977" w:type="dxa"/>
            <w:vAlign w:val="center"/>
          </w:tcPr>
          <w:p w14:paraId="721FAE9D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D3</w:t>
            </w:r>
          </w:p>
        </w:tc>
        <w:tc>
          <w:tcPr>
            <w:tcW w:w="2552" w:type="dxa"/>
          </w:tcPr>
          <w:p w14:paraId="447AAB68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37.1±0.9</w:t>
            </w:r>
          </w:p>
        </w:tc>
        <w:tc>
          <w:tcPr>
            <w:tcW w:w="2409" w:type="dxa"/>
          </w:tcPr>
          <w:p w14:paraId="310E7DB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36.7±0.4</w:t>
            </w:r>
          </w:p>
        </w:tc>
        <w:tc>
          <w:tcPr>
            <w:tcW w:w="1418" w:type="dxa"/>
          </w:tcPr>
          <w:p w14:paraId="13F898AA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43056F6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42906EE1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39FA961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71ABE1FB" w14:textId="77777777">
        <w:trPr>
          <w:jc w:val="center"/>
        </w:trPr>
        <w:tc>
          <w:tcPr>
            <w:tcW w:w="2977" w:type="dxa"/>
            <w:vAlign w:val="center"/>
          </w:tcPr>
          <w:p w14:paraId="6E6982DD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D4</w:t>
            </w:r>
          </w:p>
        </w:tc>
        <w:tc>
          <w:tcPr>
            <w:tcW w:w="2552" w:type="dxa"/>
          </w:tcPr>
          <w:p w14:paraId="60CE48D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37.3±0.9</w:t>
            </w:r>
          </w:p>
        </w:tc>
        <w:tc>
          <w:tcPr>
            <w:tcW w:w="2409" w:type="dxa"/>
          </w:tcPr>
          <w:p w14:paraId="64CCC04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36.5±0.3</w:t>
            </w:r>
          </w:p>
        </w:tc>
        <w:tc>
          <w:tcPr>
            <w:tcW w:w="1418" w:type="dxa"/>
          </w:tcPr>
          <w:p w14:paraId="1DF89C9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659CF771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51CDA409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591ABC0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6A24E563" w14:textId="77777777">
        <w:trPr>
          <w:jc w:val="center"/>
        </w:trPr>
        <w:tc>
          <w:tcPr>
            <w:tcW w:w="2977" w:type="dxa"/>
            <w:vAlign w:val="center"/>
          </w:tcPr>
          <w:p w14:paraId="6A09560A" w14:textId="77777777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Within-subject effects</w:t>
            </w:r>
          </w:p>
        </w:tc>
        <w:tc>
          <w:tcPr>
            <w:tcW w:w="2552" w:type="dxa"/>
            <w:vAlign w:val="center"/>
          </w:tcPr>
          <w:p w14:paraId="0336A137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61D37DD1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14:paraId="098E95A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3E108A5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1B977DC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1DC0024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649A2D79" w14:textId="77777777">
        <w:trPr>
          <w:jc w:val="center"/>
        </w:trPr>
        <w:tc>
          <w:tcPr>
            <w:tcW w:w="2977" w:type="dxa"/>
            <w:vAlign w:val="center"/>
          </w:tcPr>
          <w:p w14:paraId="2481079E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Time point</w:t>
            </w:r>
          </w:p>
        </w:tc>
        <w:tc>
          <w:tcPr>
            <w:tcW w:w="2552" w:type="dxa"/>
            <w:vAlign w:val="center"/>
          </w:tcPr>
          <w:p w14:paraId="050E0D8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072967F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14:paraId="5A86D8A8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16.776</w:t>
            </w:r>
          </w:p>
        </w:tc>
        <w:tc>
          <w:tcPr>
            <w:tcW w:w="1418" w:type="dxa"/>
            <w:vAlign w:val="center"/>
          </w:tcPr>
          <w:p w14:paraId="0232820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24.909</w:t>
            </w:r>
          </w:p>
        </w:tc>
        <w:tc>
          <w:tcPr>
            <w:tcW w:w="1417" w:type="dxa"/>
            <w:vAlign w:val="center"/>
          </w:tcPr>
          <w:p w14:paraId="66B2BD40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  <w:tc>
          <w:tcPr>
            <w:tcW w:w="1310" w:type="dxa"/>
            <w:vAlign w:val="center"/>
          </w:tcPr>
          <w:p w14:paraId="72132C5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0.100</w:t>
            </w:r>
          </w:p>
        </w:tc>
      </w:tr>
      <w:tr w14:paraId="3EC3B622" w14:textId="77777777">
        <w:trPr>
          <w:jc w:val="center"/>
        </w:trPr>
        <w:tc>
          <w:tcPr>
            <w:tcW w:w="2977" w:type="dxa"/>
            <w:vAlign w:val="center"/>
          </w:tcPr>
          <w:p w14:paraId="09CF69A1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Time point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</w:rPr>
              <w:t>◊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Group</w:t>
            </w:r>
          </w:p>
        </w:tc>
        <w:tc>
          <w:tcPr>
            <w:tcW w:w="2552" w:type="dxa"/>
            <w:vAlign w:val="center"/>
          </w:tcPr>
          <w:p w14:paraId="751403D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1BE3BAA7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14:paraId="0A7C5C08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3.042</w:t>
            </w:r>
          </w:p>
        </w:tc>
        <w:tc>
          <w:tcPr>
            <w:tcW w:w="1418" w:type="dxa"/>
            <w:vAlign w:val="center"/>
          </w:tcPr>
          <w:p w14:paraId="5FE35DB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4.517</w:t>
            </w:r>
          </w:p>
        </w:tc>
        <w:tc>
          <w:tcPr>
            <w:tcW w:w="1417" w:type="dxa"/>
            <w:vAlign w:val="center"/>
          </w:tcPr>
          <w:p w14:paraId="308E57B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0.009</w:t>
            </w:r>
          </w:p>
        </w:tc>
        <w:tc>
          <w:tcPr>
            <w:tcW w:w="1310" w:type="dxa"/>
            <w:vAlign w:val="center"/>
          </w:tcPr>
          <w:p w14:paraId="5FC90B4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0.020</w:t>
            </w:r>
          </w:p>
        </w:tc>
      </w:tr>
      <w:tr w14:paraId="6887DB54" w14:textId="77777777">
        <w:trPr>
          <w:jc w:val="center"/>
        </w:trPr>
        <w:tc>
          <w:tcPr>
            <w:tcW w:w="2977" w:type="dxa"/>
            <w:tcBorders>
              <w:bottom w:val="nil"/>
            </w:tcBorders>
            <w:vAlign w:val="center"/>
          </w:tcPr>
          <w:p w14:paraId="752F076C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Error (Time point)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283CA89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bottom w:val="nil"/>
            </w:tcBorders>
            <w:vAlign w:val="center"/>
          </w:tcPr>
          <w:p w14:paraId="3A1D0B37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14:paraId="07440CB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0.674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8A8396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48AFAA84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tcBorders>
              <w:bottom w:val="nil"/>
            </w:tcBorders>
            <w:vAlign w:val="center"/>
          </w:tcPr>
          <w:p w14:paraId="162D725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6F461C7D" w14:textId="77777777">
        <w:trPr>
          <w:jc w:val="center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6050D" w14:textId="77777777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</w:rPr>
              <w:t>Between-subject effects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2C8DE6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CAA03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7231FD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A34FC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F56F9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88DD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14:paraId="52315D91" w14:textId="77777777">
        <w:trPr>
          <w:jc w:val="center"/>
        </w:trPr>
        <w:tc>
          <w:tcPr>
            <w:tcW w:w="2977" w:type="dxa"/>
            <w:tcBorders>
              <w:top w:val="nil"/>
            </w:tcBorders>
            <w:vAlign w:val="center"/>
          </w:tcPr>
          <w:p w14:paraId="6FBFC7C4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Group</w:t>
            </w:r>
          </w:p>
        </w:tc>
        <w:tc>
          <w:tcPr>
            <w:tcW w:w="2552" w:type="dxa"/>
            <w:tcBorders>
              <w:top w:val="nil"/>
            </w:tcBorders>
            <w:vAlign w:val="center"/>
          </w:tcPr>
          <w:p w14:paraId="2B5F9AD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tcBorders>
              <w:top w:val="nil"/>
            </w:tcBorders>
            <w:vAlign w:val="center"/>
          </w:tcPr>
          <w:p w14:paraId="0DC3446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</w:tcPr>
          <w:p w14:paraId="1724F725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12.764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002A0F5A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10.369</w:t>
            </w:r>
          </w:p>
        </w:tc>
        <w:tc>
          <w:tcPr>
            <w:tcW w:w="1417" w:type="dxa"/>
            <w:tcBorders>
              <w:top w:val="nil"/>
            </w:tcBorders>
            <w:vAlign w:val="center"/>
          </w:tcPr>
          <w:p w14:paraId="689B990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&lt;0.001</w:t>
            </w:r>
          </w:p>
        </w:tc>
        <w:tc>
          <w:tcPr>
            <w:tcW w:w="1310" w:type="dxa"/>
            <w:tcBorders>
              <w:top w:val="nil"/>
            </w:tcBorders>
            <w:vAlign w:val="center"/>
          </w:tcPr>
          <w:p w14:paraId="344B921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0.044</w:t>
            </w:r>
          </w:p>
        </w:tc>
      </w:tr>
      <w:tr w14:paraId="76B53C9A" w14:textId="77777777">
        <w:trPr>
          <w:jc w:val="center"/>
        </w:trPr>
        <w:tc>
          <w:tcPr>
            <w:tcW w:w="2977" w:type="dxa"/>
            <w:vAlign w:val="center"/>
          </w:tcPr>
          <w:p w14:paraId="4ADF6741" w14:textId="77777777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Error (Group)</w:t>
            </w:r>
          </w:p>
        </w:tc>
        <w:tc>
          <w:tcPr>
            <w:tcW w:w="2552" w:type="dxa"/>
            <w:vAlign w:val="center"/>
          </w:tcPr>
          <w:p w14:paraId="778911C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607D334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8" w:type="dxa"/>
          </w:tcPr>
          <w:p w14:paraId="3E25E99D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1.231</w:t>
            </w:r>
          </w:p>
        </w:tc>
        <w:tc>
          <w:tcPr>
            <w:tcW w:w="1418" w:type="dxa"/>
            <w:vAlign w:val="center"/>
          </w:tcPr>
          <w:p w14:paraId="4F80014E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7CBEDBEF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41084E6B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14:paraId="21E2E911" w14:textId="77777777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Mauchly’s test of sphericity: W = 0.228, χ² = 330.350, </w:t>
      </w:r>
      <w:r>
        <w:rPr>
          <w:rFonts w:ascii="Times New Roman" w:hAnsi="Times New Roman" w:cs="Times New Roman"/>
          <w:i/>
          <w:iCs/>
          <w:color w:val="000000" w:themeColor="text1"/>
          <w:sz w:val="24"/>
        </w:rPr>
        <w:t>P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&lt; 0.001. Greenhouse-Geisser ε = 0.100 (Greenhouse-Geisser correction applied for within-subject tests).</w:t>
      </w:r>
    </w:p>
    <w:p w14:paraId="4C0AA180" w14:textId="26DE39DE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MS, mean square; partial η², partial eta squared (effect size); D0, at admission; D1, 1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st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day after omadacycline use; D2, 2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nd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after omadacycline use; D3, 3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rd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day after omadacycline use; D4, 4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</w:rPr>
        <w:t>th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day after omadacycline use.</w:t>
      </w:r>
    </w:p>
    <w:sectPr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7CF75" w14:textId="77777777">
      <w:pPr>
        <w:spacing w:after="0" w:line="240" w:lineRule="auto"/>
      </w:pPr>
      <w:r>
        <w:separator/>
      </w:r>
    </w:p>
  </w:endnote>
  <w:endnote w:type="continuationSeparator" w:id="0">
    <w:p w14:paraId="70139BD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A84F3D" w14:textId="77777777">
      <w:pPr>
        <w:spacing w:after="0" w:line="240" w:lineRule="auto"/>
      </w:pPr>
      <w:r>
        <w:separator/>
      </w:r>
    </w:p>
  </w:footnote>
  <w:footnote w:type="continuationSeparator" w:id="0">
    <w:p w14:paraId="43BEBB20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DAC143B-8159-4988-8FF7-3ED1C6C6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styleId="aa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Pr>
      <w:sz w:val="18"/>
      <w:szCs w:val="18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839</Characters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Aijun Ouyang</dc:creator>
  <cp:keywords/>
  <dc:description/>
  <dcterms:created xsi:type="dcterms:W3CDTF">2026-04-13T02:45:00Z</dcterms:created>
  <dcterms:modified xsi:type="dcterms:W3CDTF">2026-08-07T06:04:00Z</dcterms:modified>
</cp:coreProperties>
</file>