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A3041" w14:textId="5EEBB390" w:rsidR="0056258E" w:rsidRPr="005007AF" w:rsidRDefault="0056258E" w:rsidP="0056258E">
      <w:pPr>
        <w:widowControl/>
        <w:spacing w:line="480" w:lineRule="auto"/>
        <w:jc w:val="center"/>
        <w:rPr>
          <w:rFonts w:ascii="Times New Roman" w:eastAsia="신명조" w:hAnsi="Times New Roman" w:cs="Times New Roman"/>
          <w:color w:val="FF0000"/>
          <w:kern w:val="0"/>
          <w:sz w:val="24"/>
          <w:szCs w:val="24"/>
        </w:rPr>
      </w:pPr>
      <w:r w:rsidRPr="0056258E">
        <w:rPr>
          <w:rFonts w:ascii="Times New Roman" w:eastAsia="신명조" w:hAnsi="Times New Roman" w:cs="Times New Roman"/>
          <w:b/>
          <w:color w:val="FF0000"/>
          <w:sz w:val="24"/>
          <w:szCs w:val="24"/>
        </w:rPr>
        <w:t>Additional File</w:t>
      </w:r>
      <w:r w:rsidRPr="005007AF">
        <w:rPr>
          <w:rFonts w:ascii="Times New Roman" w:eastAsia="신명조" w:hAnsi="Times New Roman" w:cs="Times New Roman"/>
          <w:b/>
          <w:color w:val="FF0000"/>
          <w:sz w:val="24"/>
          <w:szCs w:val="24"/>
        </w:rPr>
        <w:t xml:space="preserve"> </w:t>
      </w:r>
      <w:r w:rsidR="004A04AF">
        <w:rPr>
          <w:rFonts w:ascii="Times New Roman" w:eastAsia="신명조" w:hAnsi="Times New Roman" w:cs="Times New Roman"/>
          <w:b/>
          <w:color w:val="FF0000"/>
          <w:sz w:val="24"/>
          <w:szCs w:val="24"/>
        </w:rPr>
        <w:t>2</w:t>
      </w:r>
      <w:r w:rsidRPr="005007AF">
        <w:rPr>
          <w:rFonts w:ascii="Times New Roman" w:eastAsia="신명조" w:hAnsi="Times New Roman" w:cs="Times New Roman"/>
          <w:b/>
          <w:color w:val="FF0000"/>
          <w:sz w:val="24"/>
          <w:szCs w:val="24"/>
        </w:rPr>
        <w:t xml:space="preserve">. </w:t>
      </w:r>
      <w:r w:rsidR="00C93A07">
        <w:rPr>
          <w:rFonts w:ascii="Times New Roman" w:eastAsia="신명조" w:hAnsi="Times New Roman" w:cs="Times New Roman"/>
          <w:b/>
          <w:color w:val="FF0000"/>
          <w:sz w:val="24"/>
          <w:szCs w:val="24"/>
        </w:rPr>
        <w:t>List of references</w:t>
      </w:r>
      <w:r w:rsidR="00C93A07" w:rsidRPr="005007AF">
        <w:rPr>
          <w:rFonts w:ascii="Times New Roman" w:eastAsia="신명조" w:hAnsi="Times New Roman" w:cs="Times New Roman"/>
          <w:b/>
          <w:color w:val="FF0000"/>
          <w:sz w:val="24"/>
          <w:szCs w:val="24"/>
        </w:rPr>
        <w:t xml:space="preserve"> </w:t>
      </w:r>
      <w:r w:rsidRPr="005007AF">
        <w:rPr>
          <w:rFonts w:ascii="Times New Roman" w:eastAsia="신명조" w:hAnsi="Times New Roman" w:cs="Times New Roman"/>
          <w:b/>
          <w:color w:val="FF0000"/>
          <w:sz w:val="24"/>
          <w:szCs w:val="24"/>
        </w:rPr>
        <w:t xml:space="preserve">for </w:t>
      </w:r>
      <w:r w:rsidR="00C93A07">
        <w:rPr>
          <w:rFonts w:ascii="Times New Roman" w:eastAsia="신명조" w:hAnsi="Times New Roman" w:cs="Times New Roman"/>
          <w:b/>
          <w:color w:val="FF0000"/>
          <w:sz w:val="24"/>
          <w:szCs w:val="24"/>
        </w:rPr>
        <w:t>the included s</w:t>
      </w:r>
      <w:r w:rsidRPr="005007AF">
        <w:rPr>
          <w:rFonts w:ascii="Times New Roman" w:eastAsia="신명조" w:hAnsi="Times New Roman" w:cs="Times New Roman"/>
          <w:b/>
          <w:color w:val="FF0000"/>
          <w:sz w:val="24"/>
          <w:szCs w:val="24"/>
        </w:rPr>
        <w:t>tudies</w:t>
      </w:r>
    </w:p>
    <w:p w14:paraId="582A0ABF" w14:textId="546D7D7C" w:rsidR="0056258E" w:rsidRPr="00F06080" w:rsidRDefault="0056258E" w:rsidP="0056258E">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 xml:space="preserve">Antonelli M, De Pascale G, Ranieri VM, Pelaia P, </w:t>
      </w:r>
      <w:r>
        <w:rPr>
          <w:rFonts w:ascii="Times New Roman" w:eastAsia="신명조" w:hAnsi="Times New Roman" w:cs="Times New Roman"/>
          <w:szCs w:val="20"/>
        </w:rPr>
        <w:t>Tufano R, Piazza O, Zangrillo A</w:t>
      </w:r>
      <w:r w:rsidRPr="00F06080">
        <w:rPr>
          <w:rFonts w:ascii="Times New Roman" w:eastAsia="신명조" w:hAnsi="Times New Roman" w:cs="Times New Roman"/>
          <w:szCs w:val="20"/>
        </w:rPr>
        <w:t xml:space="preserve">, et al. Comparison of triple-lumen central venous catheters impregnated with silver nanoparticles (AgTive®) vs conventional catheters in intensive care unit patients. J Hosp Infect. 2012;82(2):101-7. doi: 10.1016/j.jhin.2012.07.010. Epub 2012 Aug 28. </w:t>
      </w:r>
    </w:p>
    <w:p w14:paraId="5FEB391F" w14:textId="0773E933" w:rsidR="0056258E" w:rsidRPr="00F06080" w:rsidRDefault="0056258E" w:rsidP="0056258E">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Arvaniti K, Lathyris D, Clouva-Molyvdas P, Haidich AB, Mouloud</w:t>
      </w:r>
      <w:r>
        <w:rPr>
          <w:rFonts w:ascii="Times New Roman" w:eastAsia="신명조" w:hAnsi="Times New Roman" w:cs="Times New Roman"/>
          <w:szCs w:val="20"/>
        </w:rPr>
        <w:t>i E, Synnefaki E, Koulourida V,</w:t>
      </w:r>
      <w:r w:rsidRPr="00F06080">
        <w:rPr>
          <w:rFonts w:ascii="Times New Roman" w:eastAsia="신명조" w:hAnsi="Times New Roman" w:cs="Times New Roman"/>
          <w:szCs w:val="20"/>
        </w:rPr>
        <w:t xml:space="preserve"> et al. Comparison of Oligon catheters and chlorhexidine-impregnated sponges with standard multilumen central venous catheters for prevention of associated colonization and infections in intensive care unit patients: a multicenter, randomized, controlled study. Crit Care Med. 2012;40(2):420-9. doi: 10.1097/CCM.0b013e31822f0d4b</w:t>
      </w:r>
      <w:r>
        <w:rPr>
          <w:rFonts w:ascii="Times New Roman" w:eastAsia="신명조" w:hAnsi="Times New Roman" w:cs="Times New Roman"/>
          <w:szCs w:val="20"/>
        </w:rPr>
        <w:t>.</w:t>
      </w:r>
    </w:p>
    <w:p w14:paraId="5DFB3E24" w14:textId="04C5F344" w:rsidR="0056258E" w:rsidRPr="00F06080" w:rsidRDefault="0056258E" w:rsidP="0056258E">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 xml:space="preserve">Boonyasiri A, Thaisiam P, Permpikul C, Judaeng T, Suiwongsa B, Apiradeewajeset N, Fakthongphan T,  et al. Effectiveness of Chlorhexidine Wipes for the Prevention of Multidrug-Resistant Bacterial Colonization and Hospital-Acquired Infections in Intensive Care Unit Patients: A Randomized Trial in Thailand. Infect Control Hosp Epidemiol. 2016;37(3):245-53. doi: 10.1017/ice.2015.285. </w:t>
      </w:r>
    </w:p>
    <w:p w14:paraId="0A8BC9CB" w14:textId="391231D9" w:rsidR="0056258E" w:rsidRPr="00F06080" w:rsidRDefault="0056258E" w:rsidP="0056258E">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Bouza E, Muñoz P, López-Rodríguez J, Jesús Pérez M, Rincón C, Martín Rabadán P, Sánchez C</w:t>
      </w:r>
      <w:r>
        <w:rPr>
          <w:rFonts w:ascii="Times New Roman" w:eastAsia="신명조" w:hAnsi="Times New Roman" w:cs="Times New Roman"/>
          <w:szCs w:val="20"/>
        </w:rPr>
        <w:t xml:space="preserve">, </w:t>
      </w:r>
      <w:r w:rsidRPr="00F06080">
        <w:rPr>
          <w:rFonts w:ascii="Times New Roman" w:eastAsia="신명조" w:hAnsi="Times New Roman" w:cs="Times New Roman"/>
          <w:szCs w:val="20"/>
        </w:rPr>
        <w:t>et al. A needleless closed system device (CLAVE) protects from intravascular catheter tip and hub colonization: a prospective randomized study. J Hosp Infect. 2003;54(4):279-87. doi: 10.1016/s0195-6701(03)00136-1.</w:t>
      </w:r>
    </w:p>
    <w:p w14:paraId="2FC914A3" w14:textId="0A0F29E0" w:rsidR="0056258E" w:rsidRPr="00F06080" w:rsidRDefault="0056258E" w:rsidP="0056258E">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Brun-Buisson C, Doyon F, Sollet JP, Cochard JF, Cohen Y, Nitenberg G. Prevention of intravascular catheter-related infection with newer chlorhexidine-silver sulfadiazine-coated catheters: a randomized controlled trial. Intensive Care Med. 2004;30(5):837-43. doi: 10.1007/s001</w:t>
      </w:r>
      <w:r>
        <w:rPr>
          <w:rFonts w:ascii="Times New Roman" w:eastAsia="신명조" w:hAnsi="Times New Roman" w:cs="Times New Roman"/>
          <w:szCs w:val="20"/>
        </w:rPr>
        <w:t xml:space="preserve">34-004-2221-9. </w:t>
      </w:r>
    </w:p>
    <w:p w14:paraId="64D1095E" w14:textId="02C63A44" w:rsidR="0056258E" w:rsidRPr="00F06080" w:rsidRDefault="0056258E" w:rsidP="0056258E">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 xml:space="preserve">Camargo LF, Marra AR, Büchele GL, Sogayar AM, Cal RG, de Sousa JM, Silva E, </w:t>
      </w:r>
      <w:r>
        <w:rPr>
          <w:rFonts w:ascii="Times New Roman" w:eastAsia="신명조" w:hAnsi="Times New Roman" w:cs="Times New Roman"/>
          <w:szCs w:val="20"/>
        </w:rPr>
        <w:t>et al</w:t>
      </w:r>
      <w:r w:rsidRPr="00F06080">
        <w:rPr>
          <w:rFonts w:ascii="Times New Roman" w:eastAsia="신명조" w:hAnsi="Times New Roman" w:cs="Times New Roman"/>
          <w:szCs w:val="20"/>
        </w:rPr>
        <w:t xml:space="preserve">. Double-lumen central venous catheters impregnated with chlorhexidine and silver sulfadiazine to prevent catheter colonisation in the intensive care unit setting: a prospective randomised study. J Hosp Infect. 2009;72(3):227-33. doi: 10.1016/j.jhin.2009.03.018. </w:t>
      </w:r>
    </w:p>
    <w:p w14:paraId="3A771C64" w14:textId="09B5E58C"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Carrasco MN, Bueno A, de las Cuevas C, Jimenez S, Salinas I, Sartorius A, Recio T,</w:t>
      </w:r>
      <w:r>
        <w:rPr>
          <w:rFonts w:ascii="Times New Roman" w:eastAsia="신명조" w:hAnsi="Times New Roman" w:cs="Times New Roman"/>
          <w:szCs w:val="20"/>
        </w:rPr>
        <w:t xml:space="preserve"> et al</w:t>
      </w:r>
      <w:r w:rsidRPr="00F06080">
        <w:rPr>
          <w:rFonts w:ascii="Times New Roman" w:eastAsia="신명조" w:hAnsi="Times New Roman" w:cs="Times New Roman"/>
          <w:szCs w:val="20"/>
        </w:rPr>
        <w:t xml:space="preserve">. Evaluation of a triple-lumen central venous heparin-coated catheter versus a catheter coated with chlorhexidine </w:t>
      </w:r>
      <w:r w:rsidRPr="00F06080">
        <w:rPr>
          <w:rFonts w:ascii="Times New Roman" w:eastAsia="신명조" w:hAnsi="Times New Roman" w:cs="Times New Roman"/>
          <w:szCs w:val="20"/>
        </w:rPr>
        <w:lastRenderedPageBreak/>
        <w:t xml:space="preserve">and silver sulfadiazine in critically ill patients. Intensive Care Med. 2004;30(4):633-8. doi: 10.1007/s00134-003-2093-4. </w:t>
      </w:r>
    </w:p>
    <w:p w14:paraId="4F9AD0DB" w14:textId="2233F119"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Denkel LA, Schwab F, Clausmeyer J, Behnke M, Golembus J, Wolke S, Gastmeier P</w:t>
      </w:r>
      <w:r>
        <w:rPr>
          <w:rFonts w:ascii="Times New Roman" w:eastAsia="신명조" w:hAnsi="Times New Roman" w:cs="Times New Roman"/>
          <w:szCs w:val="20"/>
        </w:rPr>
        <w:t>, et al</w:t>
      </w:r>
      <w:r w:rsidRPr="00F06080">
        <w:rPr>
          <w:rFonts w:ascii="Times New Roman" w:eastAsia="신명조" w:hAnsi="Times New Roman" w:cs="Times New Roman"/>
          <w:szCs w:val="20"/>
        </w:rPr>
        <w:t xml:space="preserve">. Effect of antiseptic bathing with chlorhexidine or octenidine on central line-associated bloodstream infections in intensive care patients: a cluster-randomized controlled trial. Clin Microbiol Infect. 2022;28(6):825-831. doi: 10.1016/j.cmi.2021.12.023. </w:t>
      </w:r>
    </w:p>
    <w:p w14:paraId="10B2F8F9" w14:textId="3DB51042"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Fraenkel D, Rickard C, Thomas P, Faoagali J, George N, Ware R. A prospective, randomized trial of rifampicin-minocycline-coated and silver-platinum-carbon-impregnated central venous catheters. Crit Care Med. 2006;34(3):668-75. doi: 10.1097/01.</w:t>
      </w:r>
    </w:p>
    <w:p w14:paraId="79FD2A6A" w14:textId="663D89CE"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Humar A, Ostromecki A, Direnfeld J, Marshall JC, Lazar N, Houston PC, Boiteau P, Conly JM. Prospective randomized trial of 10% povidone-iodine versus 0.5% tincture of chlorhexidine as cutaneous antisepsis for prevention of central venous catheter infection. Clin Infect Dis. 2000;31(4):1001-7. doi: 10.1086/318145.</w:t>
      </w:r>
    </w:p>
    <w:p w14:paraId="5DF1181A" w14:textId="61DC937A"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 xml:space="preserve"> Kalfon P, de Vaumas C, Samba D, Boulet E, Lefrant JY, Eyraud D, Lherm T, </w:t>
      </w:r>
      <w:r>
        <w:rPr>
          <w:rFonts w:ascii="Times New Roman" w:eastAsia="신명조" w:hAnsi="Times New Roman" w:cs="Times New Roman"/>
          <w:szCs w:val="20"/>
        </w:rPr>
        <w:t>et al</w:t>
      </w:r>
      <w:r w:rsidRPr="00F06080">
        <w:rPr>
          <w:rFonts w:ascii="Times New Roman" w:eastAsia="신명조" w:hAnsi="Times New Roman" w:cs="Times New Roman"/>
          <w:szCs w:val="20"/>
        </w:rPr>
        <w:t xml:space="preserve">. Comparison of silver-impregnated with standard multi-lumen central venous catheters in critically ill patients. Crit Care Med. 2007;35(4):1032-9. doi: 10.1097/01.CCM.0000259378.53166.1B. </w:t>
      </w:r>
    </w:p>
    <w:p w14:paraId="7BABA505" w14:textId="6612A1E2"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 xml:space="preserve">Koeppen M, Weinert F, Oehlschlaeger S, Koerner A, Rosenberger P, Haeberle HA. Needle-free connectors catheter-related bloodstream infections: a prospective randomized controlled trial. Intensive Care Med Exp. 2019;7(1):63. doi: 10.1186/s40635-019-0277-7. </w:t>
      </w:r>
    </w:p>
    <w:p w14:paraId="554DB2F2" w14:textId="73D950E3"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León C, Alvarez-Lerma F, Ruiz-Santana S, González V, de la Torre MV, Sierra R, León M</w:t>
      </w:r>
      <w:r>
        <w:rPr>
          <w:rFonts w:ascii="Times New Roman" w:eastAsia="신명조" w:hAnsi="Times New Roman" w:cs="Times New Roman"/>
          <w:szCs w:val="20"/>
        </w:rPr>
        <w:t>, et al</w:t>
      </w:r>
      <w:r w:rsidRPr="00F06080">
        <w:rPr>
          <w:rFonts w:ascii="Times New Roman" w:eastAsia="신명조" w:hAnsi="Times New Roman" w:cs="Times New Roman"/>
          <w:szCs w:val="20"/>
        </w:rPr>
        <w:t>. Antiseptic chamber-containing hub reduces central venous catheter-related infection: a prospective, randomized study. Crit Care Me</w:t>
      </w:r>
      <w:r>
        <w:rPr>
          <w:rFonts w:ascii="Times New Roman" w:eastAsia="신명조" w:hAnsi="Times New Roman" w:cs="Times New Roman"/>
          <w:szCs w:val="20"/>
        </w:rPr>
        <w:t xml:space="preserve">d. 2003;31(5):1318-24. doi: </w:t>
      </w:r>
      <w:r w:rsidRPr="00F06080">
        <w:rPr>
          <w:rFonts w:ascii="Times New Roman" w:eastAsia="신명조" w:hAnsi="Times New Roman" w:cs="Times New Roman"/>
          <w:szCs w:val="20"/>
        </w:rPr>
        <w:t xml:space="preserve">10.1097/01.CCM.0000026327.58305.22. </w:t>
      </w:r>
    </w:p>
    <w:p w14:paraId="20D6D3AB" w14:textId="730102FB"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León C, Ruiz-Santana S, Rello J, de la Torre MV, Vallés J, Alvarez-Lerma F, Sierra R,</w:t>
      </w:r>
      <w:r>
        <w:rPr>
          <w:rFonts w:ascii="Times New Roman" w:eastAsia="신명조" w:hAnsi="Times New Roman" w:cs="Times New Roman"/>
          <w:szCs w:val="20"/>
        </w:rPr>
        <w:t xml:space="preserve"> et al</w:t>
      </w:r>
      <w:r w:rsidRPr="00F06080">
        <w:rPr>
          <w:rFonts w:ascii="Times New Roman" w:eastAsia="신명조" w:hAnsi="Times New Roman" w:cs="Times New Roman"/>
          <w:szCs w:val="20"/>
        </w:rPr>
        <w:t>. Benefits of minocycline and rifampin-impregnated central venous catheters. A prospective, randomized, double-blind, controlled, multicenter trial. Intensive Care Med. 2004;30(10):1891-9. doi: 10.1007/s00134-004-2378-2. Epub 2004 Jul 20..</w:t>
      </w:r>
    </w:p>
    <w:p w14:paraId="34B77421" w14:textId="08DC5464"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lastRenderedPageBreak/>
        <w:t>Margatho AS, Ciol MA, Hoffman JM, Dos Reis PED, Furuya RK, Lima DAFS, Basile-Filho A, Silveira RCCP. Chlorhexidine-impregnated gel dressing compared with transparent polyurethane dressing in the prevention of catheter-related infections in critically ill adult patients: A pilot randomised controlled trial. Aust Crit Care. 2019;32(6):471-478. doi: 10.1016/j.aucc.2018.11.001. Epub 2018 Dec 15. PMID: 30558968.</w:t>
      </w:r>
    </w:p>
    <w:p w14:paraId="14C42EDD" w14:textId="079E47E3"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Mimoz O, Lucet JC, Kerforne T, Pascal J, Souweine B, Goudet V, Mercat A, Bouadma L, Lasocki S, Alfandari S, Friggeri A, Wallet F, Allou N, Ruckly S, Balayn D, Lepape A, Timsit JF; CLEAN trial investigators. Skin antisepsis with chlorhexidine-alcohol versus povidone iodine-alcohol, with and without skin scrubbing, for prevention of intravascular-catheter-related infection (CLEAN): an open-label, multicentre, randomised, controlled, two-by-two factorial trial. Lancet. 201521;386(10008):2069-2077. doi: 10.1016/S0140-6736(15)00244-5. Epub 2015 Sep 18. PMID: 26388532.</w:t>
      </w:r>
    </w:p>
    <w:p w14:paraId="3AF15F9A" w14:textId="5E3894D9"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Noto MJ, Domenico HJ, Byrne DW, Talbot T, Rice TW, Bernard GR, Wheeler AP. Chlorhexidine bathing and health care-associated infections: a randomized clinical trial. JAMA. 2015 27;313(4):369-78. doi: 10.1001/jama.2014.18400. PMID: 25602496; PMCID: PMC4383133.</w:t>
      </w:r>
    </w:p>
    <w:p w14:paraId="1D342687" w14:textId="3BB32A50"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Ta</w:t>
      </w:r>
      <w:r w:rsidRPr="00F06080">
        <w:rPr>
          <w:rFonts w:ascii="Times New Roman" w:eastAsia="신명조" w:hAnsi="Times New Roman" w:cs="Times New Roman" w:hint="cs"/>
          <w:szCs w:val="20"/>
        </w:rPr>
        <w:t>ş</w:t>
      </w:r>
      <w:r w:rsidRPr="00F06080">
        <w:rPr>
          <w:rFonts w:ascii="Times New Roman" w:eastAsia="신명조" w:hAnsi="Times New Roman" w:cs="Times New Roman"/>
          <w:szCs w:val="20"/>
        </w:rPr>
        <w:t>delen Ö</w:t>
      </w:r>
      <w:r w:rsidRPr="00F06080">
        <w:rPr>
          <w:rFonts w:ascii="Times New Roman" w:eastAsia="신명조" w:hAnsi="Times New Roman" w:cs="Times New Roman" w:hint="cs"/>
          <w:szCs w:val="20"/>
        </w:rPr>
        <w:t>ğ</w:t>
      </w:r>
      <w:r w:rsidRPr="00F06080">
        <w:rPr>
          <w:rFonts w:ascii="Times New Roman" w:eastAsia="신명조" w:hAnsi="Times New Roman" w:cs="Times New Roman" w:hint="eastAsia"/>
          <w:szCs w:val="20"/>
        </w:rPr>
        <w:t>ü</w:t>
      </w:r>
      <w:r w:rsidRPr="00F06080">
        <w:rPr>
          <w:rFonts w:ascii="Times New Roman" w:eastAsia="신명조" w:hAnsi="Times New Roman" w:cs="Times New Roman"/>
          <w:szCs w:val="20"/>
        </w:rPr>
        <w:t>lmen D, Ate</w:t>
      </w:r>
      <w:r w:rsidRPr="00F06080">
        <w:rPr>
          <w:rFonts w:ascii="Times New Roman" w:eastAsia="신명조" w:hAnsi="Times New Roman" w:cs="Times New Roman" w:hint="cs"/>
          <w:szCs w:val="20"/>
        </w:rPr>
        <w:t>ş</w:t>
      </w:r>
      <w:r w:rsidRPr="00F06080">
        <w:rPr>
          <w:rFonts w:ascii="Times New Roman" w:eastAsia="신명조" w:hAnsi="Times New Roman" w:cs="Times New Roman"/>
          <w:szCs w:val="20"/>
        </w:rPr>
        <w:t xml:space="preserve"> S. Use of alcohol containing caps for preventing bloodstream infections: A randomized controlled trial. J Vasc Access. 2021;22(6):920-925. doi: 10.1177/1129729820952961. Epub 2020 Aug 27. PMID: 32854563.</w:t>
      </w:r>
    </w:p>
    <w:p w14:paraId="1EDA9DAB" w14:textId="636B24F7"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Osma S, Kahveci SF, Kaya FN, Akalin H, Ozakin C, Yilmaz E, Kutlay O. Efficacy of antiseptic-impregnated catheters on catheter colonization and catheter-related bloodstream infections in patients in an intensive care unit. J Hosp Infect. 2006;62(2):156-62. doi: 10.1016/j.jhin.2005.06.030. Epub 2005 Nov 22. PMID: 16307824.</w:t>
      </w:r>
    </w:p>
    <w:p w14:paraId="052C30CF" w14:textId="2075F2C5" w:rsidR="009B22EA" w:rsidRPr="00F06080"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Pallotto C, Fiorio M, De Angelis V, Ripoli A, Franciosini E, Quondam Girolamo L, Volpi F</w:t>
      </w:r>
      <w:r>
        <w:rPr>
          <w:rFonts w:ascii="Times New Roman" w:eastAsia="신명조" w:hAnsi="Times New Roman" w:cs="Times New Roman"/>
          <w:szCs w:val="20"/>
        </w:rPr>
        <w:t>, et al</w:t>
      </w:r>
      <w:r w:rsidRPr="00F06080">
        <w:rPr>
          <w:rFonts w:ascii="Times New Roman" w:eastAsia="신명조" w:hAnsi="Times New Roman" w:cs="Times New Roman"/>
          <w:szCs w:val="20"/>
        </w:rPr>
        <w:t xml:space="preserve">. Daily bathing with 4% chlorhexidine gluconate in intensive care settings: a randomized controlled trial. Clin Microbiol Infect. 2019;25(6):705-710. doi: 10.1016/j.cmi.2018.09.012. </w:t>
      </w:r>
    </w:p>
    <w:p w14:paraId="15B0E497" w14:textId="67EF3DA4"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 xml:space="preserve">Pearse I, Marsh N, Rickard CM, Ullman AJ, Larsen E, Pelecanos A, McGuinness N, Irvine L, Rapchuk IL, Ziegenfuss M, Corley A. Polyhexamethylene biguanide discs versus unmedicated dressings for </w:t>
      </w:r>
      <w:r w:rsidRPr="00F06080">
        <w:rPr>
          <w:rFonts w:ascii="Times New Roman" w:eastAsia="신명조" w:hAnsi="Times New Roman" w:cs="Times New Roman"/>
          <w:szCs w:val="20"/>
        </w:rPr>
        <w:lastRenderedPageBreak/>
        <w:t>prevention of central venous catheter-associated infection in the intensive care unit: A pilot randomised controlled trial to assess protocol safety and feasibility. Aust Crit Care. 2022;35(5):512-519. doi: 10.1016/j.aucc.2021.05.015. Epub 2021 Jul 25. PMID: 34321181.</w:t>
      </w:r>
    </w:p>
    <w:p w14:paraId="1416A19E" w14:textId="601CA0C1"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Timsit JF, Schwebel C, Bouadma L, Geffroy A, Garrouste-Orgeas M, Pease S, Herault MC, Haouache H, Calvino-Gunther S, Gestin B, Armand-Lefevre L, Leflon V, Chaplain C, Benali A, Francais A, Adrie C, Zahar JR, Thuong M, Arrault X, Croize J, Lucet JC; Dressing Study Group. Chlorhexidine-impregnated sponges and less frequent dressing changes for prevention of catheter-related infections in critically ill adults: a randomized controlled trial. JAMA. 2009;301(12):1231-41. doi: 10.1001/jama.2009.376. PMID: 19318651.</w:t>
      </w:r>
    </w:p>
    <w:p w14:paraId="4342EEF5" w14:textId="455006B2" w:rsidR="009B22EA" w:rsidRDefault="009B22EA" w:rsidP="009B22EA">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Timsit JF, Mimoz O, Mourvillier B, Souweine B, Garrouste-Orgeas M, Alfandari S, Plantefeve G, Bronchard R, Troche G, Gauzit R, Antona M, Canet E, Bohe J, Lepape A, Vesin A, Arrault X, Schwebel C, Adrie C, Zahar JR, Ruckly S, Tournegros C, Lucet JC. Randomized controlled trial of chlorhexidine dressing and highly adhesive dressing for preventing catheter-related infections in critically ill adults. Am J Respir Crit Care Med. 2012;186(12):1272-8. doi: 10.1164/rccm.201206-1038OC. Epub 2012 Oct 4. PMID: 23043083.</w:t>
      </w:r>
    </w:p>
    <w:p w14:paraId="64301426" w14:textId="2A1DBACC" w:rsidR="001B619B" w:rsidRDefault="001B619B" w:rsidP="001B619B">
      <w:pPr>
        <w:pStyle w:val="ListParagraph"/>
        <w:numPr>
          <w:ilvl w:val="0"/>
          <w:numId w:val="1"/>
        </w:numPr>
        <w:spacing w:line="480" w:lineRule="auto"/>
        <w:jc w:val="left"/>
        <w:rPr>
          <w:rFonts w:ascii="Times New Roman" w:eastAsia="신명조" w:hAnsi="Times New Roman" w:cs="Times New Roman"/>
          <w:szCs w:val="20"/>
        </w:rPr>
      </w:pPr>
      <w:r w:rsidRPr="001B619B">
        <w:rPr>
          <w:rFonts w:ascii="Times New Roman" w:eastAsia="신명조" w:hAnsi="Times New Roman" w:cs="Times New Roman"/>
          <w:szCs w:val="20"/>
        </w:rPr>
        <w:t>van der Kooi T, Sax H, Pittet D, van Dissel J, van Benthem B, Walder B</w:t>
      </w:r>
      <w:r>
        <w:rPr>
          <w:rFonts w:ascii="Times New Roman" w:eastAsia="신명조" w:hAnsi="Times New Roman" w:cs="Times New Roman"/>
          <w:szCs w:val="20"/>
        </w:rPr>
        <w:t>, Cartier V, et al.</w:t>
      </w:r>
      <w:r w:rsidRPr="001B619B">
        <w:rPr>
          <w:rFonts w:ascii="Times New Roman" w:eastAsia="신명조" w:hAnsi="Times New Roman" w:cs="Times New Roman"/>
          <w:szCs w:val="20"/>
        </w:rPr>
        <w:t xml:space="preserve"> Prevention of hospital infections by intervention and training (PROHIBIT): results of a pan-European cluster-randomized multicentre study to reduce central venous catheter-related bloodstream infections. Intensive Care Med. 2018;44(1):48-60. doi: 10.1007/s00134-017-5007-6. Epub 2017 Dec 16. PMID: 29248964.</w:t>
      </w:r>
    </w:p>
    <w:p w14:paraId="021CD49B" w14:textId="5193FFAC" w:rsidR="009B22EA" w:rsidRDefault="009B22EA" w:rsidP="001B619B">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 xml:space="preserve">von Dehn F, Mutters NT, Eichel VM, Merle U, Brenner T, Nafe M, Sander A, </w:t>
      </w:r>
      <w:r>
        <w:rPr>
          <w:rFonts w:ascii="Times New Roman" w:eastAsia="신명조" w:hAnsi="Times New Roman" w:cs="Times New Roman"/>
          <w:szCs w:val="20"/>
        </w:rPr>
        <w:t xml:space="preserve">et al. </w:t>
      </w:r>
      <w:r w:rsidRPr="00F06080">
        <w:rPr>
          <w:rFonts w:ascii="Times New Roman" w:eastAsia="신명조" w:hAnsi="Times New Roman" w:cs="Times New Roman"/>
          <w:szCs w:val="20"/>
        </w:rPr>
        <w:t xml:space="preserve">Effect of didecyl dimethyl ammonium chloride-impregnated washcloth wipe whole-body bathing on catheter-related blood stream infections and central venous line-associated infections in adult intensive care units. Clin Microbiol Infect. 2022;28(4):564-569. doi: 10.1016/j.cmi.2021.07.029. </w:t>
      </w:r>
    </w:p>
    <w:p w14:paraId="7B687CDA" w14:textId="35C441FA" w:rsidR="00BD0068" w:rsidRDefault="00BD0068" w:rsidP="00BD0068">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t>Walz JM, Avelar RL, Longtine KJ, Carter KL, Mermel LA, Heard SO; 5-FU Catheter Study Group. Anti-infective external coating of central venous catheters: a randomized, noninferiority trial comparing 5-fluorouracil with chlorhexidine/silver sulfadiazine in preventing catheter colonization. Crit Care Med. 2010;38(11):2095-102. doi: 10.1097/CCM.0b013e3181f265ba. PMID: 20711070.</w:t>
      </w:r>
    </w:p>
    <w:p w14:paraId="4E4FFB33" w14:textId="4523DB27" w:rsidR="00BD0068" w:rsidRDefault="00BD0068" w:rsidP="00BD0068">
      <w:pPr>
        <w:pStyle w:val="ListParagraph"/>
        <w:numPr>
          <w:ilvl w:val="0"/>
          <w:numId w:val="1"/>
        </w:numPr>
        <w:spacing w:line="480" w:lineRule="auto"/>
        <w:jc w:val="left"/>
        <w:rPr>
          <w:rFonts w:ascii="Times New Roman" w:eastAsia="신명조" w:hAnsi="Times New Roman" w:cs="Times New Roman"/>
          <w:szCs w:val="20"/>
        </w:rPr>
      </w:pPr>
      <w:r w:rsidRPr="00F06080">
        <w:rPr>
          <w:rFonts w:ascii="Times New Roman" w:eastAsia="신명조" w:hAnsi="Times New Roman" w:cs="Times New Roman"/>
          <w:szCs w:val="20"/>
        </w:rPr>
        <w:lastRenderedPageBreak/>
        <w:t>Yébenes JC, Vidaur L, Serra-Prat M, Sirvent JM, Batlle J, Motje M, Bonet A, Palomar M. Prevention of catheter-related bloodstream infection in critically ill patients using a disinfectable, needle-free connector: a randomized controlled trial. Am J Infect Control. 2004;32(5):291-5. doi: 10.1016/j.ajic.2003.12.004. PMID: 15292895.</w:t>
      </w:r>
    </w:p>
    <w:p w14:paraId="44852F79" w14:textId="0B9B3E03" w:rsidR="0056258E" w:rsidRPr="00BD0068" w:rsidRDefault="0056258E" w:rsidP="00BD0068">
      <w:pPr>
        <w:pStyle w:val="ListParagraph"/>
        <w:numPr>
          <w:ilvl w:val="0"/>
          <w:numId w:val="1"/>
        </w:numPr>
        <w:spacing w:line="480" w:lineRule="auto"/>
        <w:jc w:val="left"/>
        <w:rPr>
          <w:rFonts w:ascii="Times New Roman" w:eastAsia="신명조" w:hAnsi="Times New Roman" w:cs="Times New Roman"/>
          <w:szCs w:val="20"/>
        </w:rPr>
      </w:pPr>
      <w:r w:rsidRPr="00BD0068">
        <w:rPr>
          <w:rFonts w:ascii="Times New Roman" w:eastAsia="신명조" w:hAnsi="Times New Roman" w:cs="Times New Roman"/>
          <w:szCs w:val="20"/>
        </w:rPr>
        <w:t>Yu K, Lu M, Meng Y, Zhao Y, Li Z. Chlorhexidine gluconate transparent dressing does not decrease central line-associated bloodstream infection in critically ill patients: A randomized controlled trial. Int J Nurs Pract. 2019;25(6):e12776. doi: 10.1111/ijn.12776. Epub 2019 Oct 20. PMID: 31631496; PMCID: PMC9285536.</w:t>
      </w:r>
    </w:p>
    <w:p w14:paraId="447B17F0" w14:textId="77777777" w:rsidR="00D72C45" w:rsidRDefault="00D72C45"/>
    <w:sectPr w:rsidR="00D72C4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F941" w14:textId="77777777" w:rsidR="0010242E" w:rsidRDefault="0010242E" w:rsidP="001C2B4A">
      <w:pPr>
        <w:spacing w:after="0" w:line="240" w:lineRule="auto"/>
      </w:pPr>
      <w:r>
        <w:separator/>
      </w:r>
    </w:p>
  </w:endnote>
  <w:endnote w:type="continuationSeparator" w:id="0">
    <w:p w14:paraId="49D6B72F" w14:textId="77777777" w:rsidR="0010242E" w:rsidRDefault="0010242E" w:rsidP="001C2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신명조">
    <w:altName w:val="Batang"/>
    <w:panose1 w:val="00000000000000000000"/>
    <w:charset w:val="81"/>
    <w:family w:val="roman"/>
    <w:notTrueType/>
    <w:pitch w:val="default"/>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B677A" w14:textId="77777777" w:rsidR="0010242E" w:rsidRDefault="0010242E" w:rsidP="001C2B4A">
      <w:pPr>
        <w:spacing w:after="0" w:line="240" w:lineRule="auto"/>
      </w:pPr>
      <w:r>
        <w:separator/>
      </w:r>
    </w:p>
  </w:footnote>
  <w:footnote w:type="continuationSeparator" w:id="0">
    <w:p w14:paraId="7BF3CD1B" w14:textId="77777777" w:rsidR="0010242E" w:rsidRDefault="0010242E" w:rsidP="001C2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25F27"/>
    <w:multiLevelType w:val="hybridMultilevel"/>
    <w:tmpl w:val="6C683086"/>
    <w:lvl w:ilvl="0" w:tplc="E83014E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423301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58E"/>
    <w:rsid w:val="0010242E"/>
    <w:rsid w:val="00167779"/>
    <w:rsid w:val="001B619B"/>
    <w:rsid w:val="001C2B4A"/>
    <w:rsid w:val="002D172E"/>
    <w:rsid w:val="00361599"/>
    <w:rsid w:val="00432D82"/>
    <w:rsid w:val="004A04AF"/>
    <w:rsid w:val="004A1573"/>
    <w:rsid w:val="0056258E"/>
    <w:rsid w:val="00621F57"/>
    <w:rsid w:val="006C3CC5"/>
    <w:rsid w:val="007332E5"/>
    <w:rsid w:val="00733D56"/>
    <w:rsid w:val="008825B7"/>
    <w:rsid w:val="00977C9B"/>
    <w:rsid w:val="009B22EA"/>
    <w:rsid w:val="00A15FE4"/>
    <w:rsid w:val="00B10311"/>
    <w:rsid w:val="00B41E66"/>
    <w:rsid w:val="00BD0068"/>
    <w:rsid w:val="00C243B7"/>
    <w:rsid w:val="00C57720"/>
    <w:rsid w:val="00C93A07"/>
    <w:rsid w:val="00CD5B06"/>
    <w:rsid w:val="00D72C45"/>
    <w:rsid w:val="00ED477B"/>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E9417"/>
  <w15:chartTrackingRefBased/>
  <w15:docId w15:val="{DEE23CD0-79C7-4A30-A0F9-EE07838F3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58E"/>
    <w:pPr>
      <w:widowControl w:val="0"/>
      <w:suppressAutoHyphens/>
      <w:spacing w:after="200" w:line="276" w:lineRule="auto"/>
    </w:pPr>
    <w:rPr>
      <w:rFonts w:ascii="Malgun Gothic" w:eastAsia="Malgun Gothic" w:hAnsi="Malgun Gothic"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nhideWhenUsed/>
    <w:qFormat/>
    <w:rsid w:val="0056258E"/>
    <w:rPr>
      <w:sz w:val="18"/>
      <w:szCs w:val="18"/>
    </w:rPr>
  </w:style>
  <w:style w:type="paragraph" w:styleId="CommentText">
    <w:name w:val="annotation text"/>
    <w:basedOn w:val="Normal"/>
    <w:link w:val="CommentTextChar"/>
    <w:unhideWhenUsed/>
    <w:qFormat/>
    <w:rsid w:val="0056258E"/>
    <w:pPr>
      <w:jc w:val="left"/>
    </w:pPr>
  </w:style>
  <w:style w:type="character" w:customStyle="1" w:styleId="Char">
    <w:name w:val="메모 텍스트 Char"/>
    <w:basedOn w:val="DefaultParagraphFont"/>
    <w:uiPriority w:val="99"/>
    <w:semiHidden/>
    <w:rsid w:val="0056258E"/>
    <w:rPr>
      <w:rFonts w:ascii="Malgun Gothic" w:eastAsia="Malgun Gothic" w:hAnsi="Malgun Gothic" w:cs="Arial"/>
      <w:lang w:val="en-GB"/>
    </w:rPr>
  </w:style>
  <w:style w:type="paragraph" w:styleId="ListParagraph">
    <w:name w:val="List Paragraph"/>
    <w:basedOn w:val="Normal"/>
    <w:qFormat/>
    <w:rsid w:val="0056258E"/>
    <w:pPr>
      <w:ind w:left="800"/>
    </w:pPr>
  </w:style>
  <w:style w:type="character" w:customStyle="1" w:styleId="CommentTextChar">
    <w:name w:val="Comment Text Char"/>
    <w:basedOn w:val="DefaultParagraphFont"/>
    <w:link w:val="CommentText"/>
    <w:rsid w:val="0056258E"/>
    <w:rPr>
      <w:rFonts w:ascii="Malgun Gothic" w:eastAsia="Malgun Gothic" w:hAnsi="Malgun Gothic" w:cs="Arial"/>
      <w:lang w:val="en-GB"/>
    </w:rPr>
  </w:style>
  <w:style w:type="paragraph" w:styleId="BalloonText">
    <w:name w:val="Balloon Text"/>
    <w:basedOn w:val="Normal"/>
    <w:link w:val="BalloonTextChar"/>
    <w:uiPriority w:val="99"/>
    <w:semiHidden/>
    <w:unhideWhenUsed/>
    <w:rsid w:val="0056258E"/>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6258E"/>
    <w:rPr>
      <w:rFonts w:asciiTheme="majorHAnsi" w:eastAsiaTheme="majorEastAsia" w:hAnsiTheme="majorHAnsi" w:cstheme="majorBidi"/>
      <w:sz w:val="18"/>
      <w:szCs w:val="18"/>
      <w:lang w:val="en-GB"/>
    </w:rPr>
  </w:style>
  <w:style w:type="paragraph" w:styleId="Header">
    <w:name w:val="header"/>
    <w:basedOn w:val="Normal"/>
    <w:link w:val="HeaderChar"/>
    <w:uiPriority w:val="99"/>
    <w:unhideWhenUsed/>
    <w:rsid w:val="001C2B4A"/>
    <w:pPr>
      <w:tabs>
        <w:tab w:val="center" w:pos="4513"/>
        <w:tab w:val="right" w:pos="9026"/>
      </w:tabs>
      <w:snapToGrid w:val="0"/>
    </w:pPr>
  </w:style>
  <w:style w:type="character" w:customStyle="1" w:styleId="HeaderChar">
    <w:name w:val="Header Char"/>
    <w:basedOn w:val="DefaultParagraphFont"/>
    <w:link w:val="Header"/>
    <w:uiPriority w:val="99"/>
    <w:rsid w:val="001C2B4A"/>
    <w:rPr>
      <w:rFonts w:ascii="Malgun Gothic" w:eastAsia="Malgun Gothic" w:hAnsi="Malgun Gothic" w:cs="Arial"/>
      <w:lang w:val="en-GB"/>
    </w:rPr>
  </w:style>
  <w:style w:type="paragraph" w:styleId="Footer">
    <w:name w:val="footer"/>
    <w:basedOn w:val="Normal"/>
    <w:link w:val="FooterChar"/>
    <w:uiPriority w:val="99"/>
    <w:unhideWhenUsed/>
    <w:rsid w:val="001C2B4A"/>
    <w:pPr>
      <w:tabs>
        <w:tab w:val="center" w:pos="4513"/>
        <w:tab w:val="right" w:pos="9026"/>
      </w:tabs>
      <w:snapToGrid w:val="0"/>
    </w:pPr>
  </w:style>
  <w:style w:type="character" w:customStyle="1" w:styleId="FooterChar">
    <w:name w:val="Footer Char"/>
    <w:basedOn w:val="DefaultParagraphFont"/>
    <w:link w:val="Footer"/>
    <w:uiPriority w:val="99"/>
    <w:rsid w:val="001C2B4A"/>
    <w:rPr>
      <w:rFonts w:ascii="Malgun Gothic" w:eastAsia="Malgun Gothic" w:hAnsi="Malgun Gothic" w:cs="Arial"/>
      <w:lang w:val="en-GB"/>
    </w:rPr>
  </w:style>
  <w:style w:type="paragraph" w:styleId="Revision">
    <w:name w:val="Revision"/>
    <w:hidden/>
    <w:uiPriority w:val="99"/>
    <w:semiHidden/>
    <w:rsid w:val="00C93A07"/>
    <w:pPr>
      <w:spacing w:after="0" w:line="240" w:lineRule="auto"/>
      <w:jc w:val="left"/>
    </w:pPr>
    <w:rPr>
      <w:rFonts w:ascii="Malgun Gothic" w:eastAsia="Malgun Gothic" w:hAnsi="Malgun Gothic" w:cs="Arial"/>
      <w:lang w:val="en-GB"/>
    </w:rPr>
  </w:style>
  <w:style w:type="paragraph" w:styleId="CommentSubject">
    <w:name w:val="annotation subject"/>
    <w:basedOn w:val="CommentText"/>
    <w:next w:val="CommentText"/>
    <w:link w:val="CommentSubjectChar"/>
    <w:uiPriority w:val="99"/>
    <w:semiHidden/>
    <w:unhideWhenUsed/>
    <w:rsid w:val="00C93A07"/>
    <w:pPr>
      <w:spacing w:line="240" w:lineRule="auto"/>
      <w:jc w:val="both"/>
    </w:pPr>
    <w:rPr>
      <w:b/>
      <w:bCs/>
      <w:szCs w:val="20"/>
    </w:rPr>
  </w:style>
  <w:style w:type="character" w:customStyle="1" w:styleId="CommentSubjectChar">
    <w:name w:val="Comment Subject Char"/>
    <w:basedOn w:val="CommentTextChar"/>
    <w:link w:val="CommentSubject"/>
    <w:uiPriority w:val="99"/>
    <w:semiHidden/>
    <w:rsid w:val="00C93A07"/>
    <w:rPr>
      <w:rFonts w:ascii="Malgun Gothic" w:eastAsia="Malgun Gothic" w:hAnsi="Malgun Gothic" w:cs="Arial"/>
      <w:b/>
      <w:bC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1472</Words>
  <Characters>8395</Characters>
  <Application>Microsoft Office Word</Application>
  <DocSecurity>0</DocSecurity>
  <Lines>69</Lines>
  <Paragraphs>19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Kim</dc:creator>
  <cp:keywords/>
  <dc:description/>
  <cp:lastModifiedBy>Author</cp:lastModifiedBy>
  <cp:revision>3</cp:revision>
  <dcterms:created xsi:type="dcterms:W3CDTF">2026-07-13T02:21:00Z</dcterms:created>
  <dcterms:modified xsi:type="dcterms:W3CDTF">2026-07-16T07:26:00Z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7021495b-725e-4176-8462-7a0e753fde5d</vt:lpwstr>
  </property>
</Properties>
</file>