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7EB91D">
      <w:pPr>
        <w:spacing w:after="120" w:line="276" w:lineRule="auto"/>
        <w:rPr>
          <w:sz w:val="20"/>
          <w:szCs w:val="20"/>
          <w:highlight w:val="none"/>
        </w:rPr>
      </w:pPr>
    </w:p>
    <w:p w14:paraId="620A58B5">
      <w:pPr>
        <w:spacing w:after="120" w:line="276" w:lineRule="auto"/>
        <w:jc w:val="center"/>
        <w:rPr>
          <w:highlight w:val="none"/>
        </w:rPr>
      </w:pPr>
      <w:r>
        <w:rPr>
          <w:rFonts w:hint="eastAsia" w:eastAsiaTheme="minorEastAsia"/>
          <w:highlight w:val="none"/>
          <w:lang w:eastAsia="zh-CN"/>
        </w:rPr>
        <w:drawing>
          <wp:inline distT="0" distB="0" distL="114300" distR="114300">
            <wp:extent cx="4752975" cy="5478780"/>
            <wp:effectExtent l="0" t="0" r="22225" b="7620"/>
            <wp:docPr id="6" name="图片 6" descr="Figure S1 Participant flow BMC Infectious Diseas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ure S1 Participant flow BMC Infectious Diseases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547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1AE3E">
      <w:pPr>
        <w:spacing w:after="120" w:line="276" w:lineRule="auto"/>
        <w:rPr>
          <w:rFonts w:hint="eastAsia"/>
          <w:highlight w:val="none"/>
        </w:rPr>
      </w:pPr>
      <w:bookmarkStart w:id="0" w:name="_GoBack"/>
      <w:r>
        <w:rPr>
          <w:highlight w:val="none"/>
        </w:rPr>
        <w:t>Figure S1</w:t>
      </w:r>
      <w:bookmarkEnd w:id="0"/>
      <w:r>
        <w:rPr>
          <w:highlight w:val="none"/>
        </w:rPr>
        <w:t>. Participant flow diagram. A total of 1,250 children with suspected influenza A were screened. Five hundred children were not enrolled because screening identified at least one non-inclusion reason; mutually exclusive category-specific exclusion counts and baseline covariates for non-enrolled children were not retained in the operational screening log. The final primary-outcome analytic cohort comprised 750 children, with 375 in the baloxavir marboxil group and 375 in the oseltamivir group. Treatment was selected by guardians rather than randomized. The 1:1 group size reflected the prespecified parallel enrollment cap, and no enrolled participant was removed by propensity score matching.</w:t>
      </w:r>
    </w:p>
    <w:p w14:paraId="4EECC22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E6B7941"/>
    <w:rsid w:val="BE6B7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1"/>
      <w:szCs w:val="24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2026-07-09T00:01:00Z</dcterms:created>
  <dc:creator>L！μ</dc:creator>
  <cp:lastModifiedBy>L！μ</cp:lastModifiedBy>
  <dcterms:modified xsi:type="dcterms:W3CDTF">2026-07-09T00:02:23Z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A73E156A66EA4F3A64744E6A8F776154_41</vt:lpwstr>
  </property>
</Properties>
</file>