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AFCD2">
      <w:pPr>
        <w:jc w:val="center"/>
        <w:rPr>
          <w:highlight w:val="none"/>
        </w:rPr>
      </w:pPr>
      <w:r>
        <w:rPr>
          <w:rFonts w:ascii="Times New Roman" w:hAnsi="Times New Roman" w:eastAsia="Times New Roman"/>
          <w:b/>
          <w:sz w:val="20"/>
          <w:highlight w:val="none"/>
        </w:rPr>
        <w:t>Supplementary Table S1. Sensitivity analyses of the primary and key secondary outcomes after multivariable adjustment and inverse probability of treatment weighting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2617"/>
        <w:gridCol w:w="2617"/>
        <w:gridCol w:w="2617"/>
        <w:gridCol w:w="2617"/>
        <w:gridCol w:w="2617"/>
      </w:tblGrid>
      <w:tr w14:paraId="53A4C700">
        <w:trPr>
          <w:tblHeader/>
          <w:jc w:val="center"/>
        </w:trPr>
        <w:tc>
          <w:tcPr>
            <w:tcW w:w="1701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75BB5">
            <w:pPr>
              <w:spacing w:before="0" w:after="0" w:line="240" w:lineRule="auto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t>Outcome</w:t>
            </w:r>
          </w:p>
        </w:tc>
        <w:tc>
          <w:tcPr>
            <w:tcW w:w="2835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696EB0">
            <w:pPr>
              <w:spacing w:before="0" w:after="0" w:line="240" w:lineRule="auto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t>Main complete-case comparison</w:t>
            </w: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t>(baloxavir vs oseltamivir)</w:t>
            </w:r>
          </w:p>
        </w:tc>
        <w:tc>
          <w:tcPr>
            <w:tcW w:w="2154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BDD049">
            <w:pPr>
              <w:spacing w:before="0" w:after="0" w:line="240" w:lineRule="auto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t>Effect measure used in sensitivity analysis</w:t>
            </w:r>
          </w:p>
        </w:tc>
        <w:tc>
          <w:tcPr>
            <w:tcW w:w="2665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3915B4">
            <w:pPr>
              <w:spacing w:before="0" w:after="0" w:line="240" w:lineRule="auto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t>Multivariable-adjusted modela</w:t>
            </w: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t>(estimate [95% CI]; P value)</w:t>
            </w:r>
          </w:p>
        </w:tc>
        <w:tc>
          <w:tcPr>
            <w:tcW w:w="2665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F9AA0F">
            <w:pPr>
              <w:spacing w:before="0" w:after="0" w:line="240" w:lineRule="auto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t>IPTW modelb</w:t>
            </w: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t>(estimate [95% CI]; P value)</w:t>
            </w:r>
          </w:p>
        </w:tc>
        <w:tc>
          <w:tcPr>
            <w:tcW w:w="3402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E2A506">
            <w:pPr>
              <w:spacing w:before="0" w:after="0" w:line="240" w:lineRule="auto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i w:val="0"/>
                <w:sz w:val="13"/>
                <w:highlight w:val="none"/>
              </w:rPr>
              <w:t>Interpretation</w:t>
            </w:r>
          </w:p>
        </w:tc>
      </w:tr>
      <w:tr w14:paraId="43E4D260">
        <w:trPr>
          <w:jc w:val="center"/>
        </w:trPr>
        <w:tc>
          <w:tcPr>
            <w:tcW w:w="1701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1CC1A34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Duration of fever, h</w:t>
            </w:r>
          </w:p>
        </w:tc>
        <w:tc>
          <w:tcPr>
            <w:tcW w:w="283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2FDA143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22.0 (18.0-28.0) vs 40.5 (32.0-52.0); crude median difference, -18.5 h</w:t>
            </w:r>
          </w:p>
        </w:tc>
        <w:tc>
          <w:tcPr>
            <w:tcW w:w="2154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292D71E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mean difference, h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342381E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MD -17.8 (-20.4 to -15.2); P&lt;0.001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218412F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MD -17.3 (-19.9 to -14.7); P&lt;0.001</w:t>
            </w:r>
          </w:p>
        </w:tc>
        <w:tc>
          <w:tcPr>
            <w:tcW w:w="3402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6E6AA0C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shorter fever duration in the baloxavir group</w:t>
            </w:r>
          </w:p>
        </w:tc>
      </w:tr>
      <w:tr w14:paraId="53F2F29A">
        <w:trPr>
          <w:jc w:val="center"/>
        </w:trPr>
        <w:tc>
          <w:tcPr>
            <w:tcW w:w="1701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5BF42D8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Time to cough relief, h</w:t>
            </w:r>
          </w:p>
        </w:tc>
        <w:tc>
          <w:tcPr>
            <w:tcW w:w="283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F318533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48.0 (36.0-60.0) vs 72.0 (60.0-96.0); crude median difference, -24.0 h</w:t>
            </w:r>
          </w:p>
        </w:tc>
        <w:tc>
          <w:tcPr>
            <w:tcW w:w="2154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BEDAFC8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mean difference, h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664A95E7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MD -22.4 (-26.2 to -18.6); P&lt;0.001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9B3D5A6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MD -22.1 (-25.8 to -18.4); P&lt;0.001</w:t>
            </w:r>
          </w:p>
        </w:tc>
        <w:tc>
          <w:tcPr>
            <w:tcW w:w="3402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C1F171D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faster cough relief</w:t>
            </w:r>
          </w:p>
        </w:tc>
      </w:tr>
      <w:tr w14:paraId="308091C4">
        <w:trPr>
          <w:jc w:val="center"/>
        </w:trPr>
        <w:tc>
          <w:tcPr>
            <w:tcW w:w="1701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44DBB1B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Time to sore throat relief, h</w:t>
            </w:r>
          </w:p>
        </w:tc>
        <w:tc>
          <w:tcPr>
            <w:tcW w:w="283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7A2861E6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36.0 (24.0-48.0) vs 60.0 (48.0-84.0); crude median difference, -24.0 h</w:t>
            </w:r>
          </w:p>
        </w:tc>
        <w:tc>
          <w:tcPr>
            <w:tcW w:w="2154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2921905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mean difference, h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F2B4177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MD -22.2 (-26.0 to -18.4); P&lt;0.001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32EE66EA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MD -21.8 (-25.6 to -18.0); P&lt;0.001</w:t>
            </w:r>
          </w:p>
        </w:tc>
        <w:tc>
          <w:tcPr>
            <w:tcW w:w="3402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781436D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faster sore-throat relief</w:t>
            </w:r>
          </w:p>
        </w:tc>
      </w:tr>
      <w:tr w14:paraId="4BA20D45">
        <w:trPr>
          <w:jc w:val="center"/>
        </w:trPr>
        <w:tc>
          <w:tcPr>
            <w:tcW w:w="1701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CC62FDF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Time to fatigue relief, h</w:t>
            </w:r>
          </w:p>
        </w:tc>
        <w:tc>
          <w:tcPr>
            <w:tcW w:w="283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6B24AD39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40.0 (30.0-54.0) vs 66.0 (54.0-84.0); crude median difference, -26.0 h</w:t>
            </w:r>
          </w:p>
        </w:tc>
        <w:tc>
          <w:tcPr>
            <w:tcW w:w="2154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5820CAE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mean difference, h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FD08E98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MD -24.6 (-28.8 to -20.4); P&lt;0.001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72BAD57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MD -24.1 (-28.3 to -19.9); P&lt;0.001</w:t>
            </w:r>
          </w:p>
        </w:tc>
        <w:tc>
          <w:tcPr>
            <w:tcW w:w="3402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00F4C4C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faster fatigue relief</w:t>
            </w:r>
          </w:p>
        </w:tc>
      </w:tr>
      <w:tr w14:paraId="2EEB9CF9">
        <w:trPr>
          <w:jc w:val="center"/>
        </w:trPr>
        <w:tc>
          <w:tcPr>
            <w:tcW w:w="1701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1DE2B6B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Ct value at 24 h post-dose</w:t>
            </w:r>
          </w:p>
        </w:tc>
        <w:tc>
          <w:tcPr>
            <w:tcW w:w="283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BC62E6C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34.8 (32.5-36.2) vs 26.4 (24.1-28.7); crude median difference, +8.4 cycles</w:t>
            </w:r>
          </w:p>
        </w:tc>
        <w:tc>
          <w:tcPr>
            <w:tcW w:w="2154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FFF6F16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difference in Ct; baseline Ct additionally adjusted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ADE6EB6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Difference +8.1 (+7.4 to +8.8); P&lt;0.001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D23D523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difference +7.9 (+7.2 to +8.6); P&lt;0.001</w:t>
            </w:r>
          </w:p>
        </w:tc>
        <w:tc>
          <w:tcPr>
            <w:tcW w:w="3402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9DA2BDD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a more rapid decline in viral RNA load</w:t>
            </w:r>
          </w:p>
        </w:tc>
      </w:tr>
      <w:tr w14:paraId="323FA20F">
        <w:trPr>
          <w:jc w:val="center"/>
        </w:trPr>
        <w:tc>
          <w:tcPr>
            <w:tcW w:w="1701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103488D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Time to Ct-defined viral clearance, h</w:t>
            </w:r>
          </w:p>
        </w:tc>
        <w:tc>
          <w:tcPr>
            <w:tcW w:w="283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6C46CA0C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24.0 (20.0-30.0) vs 72.0 (60.0-84.0); crude median difference, -48.0 h</w:t>
            </w:r>
          </w:p>
        </w:tc>
        <w:tc>
          <w:tcPr>
            <w:tcW w:w="2154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20615D7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hazard ratio for clearance; baseline Ct additionally adjusted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A997FA7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aHR 3.64 (3.05 to 4.35); P&lt;0.001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181C6AC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HR 3.51 (2.96 to 4.17); P&lt;0.001</w:t>
            </w:r>
          </w:p>
        </w:tc>
        <w:tc>
          <w:tcPr>
            <w:tcW w:w="3402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68C4555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faster Ct-defined viral clearance</w:t>
            </w:r>
          </w:p>
        </w:tc>
      </w:tr>
      <w:tr w14:paraId="4B5FA169">
        <w:trPr>
          <w:jc w:val="center"/>
        </w:trPr>
        <w:tc>
          <w:tcPr>
            <w:tcW w:w="1701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9EAE385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Viral load AUC, log10 copies x day</w:t>
            </w:r>
          </w:p>
        </w:tc>
        <w:tc>
          <w:tcPr>
            <w:tcW w:w="283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D5C7D21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4.2 (1.1) vs 5.8 (1.3); crude mean difference, -1.6</w:t>
            </w:r>
          </w:p>
        </w:tc>
        <w:tc>
          <w:tcPr>
            <w:tcW w:w="2154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B50D603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mean difference; baseline Ct additionally adjusted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6AACF1E6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MD -1.45 (-1.72 to -1.18); P&lt;0.001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0560B4F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MD -1.39 (-1.65 to -1.13); P&lt;0.001</w:t>
            </w:r>
          </w:p>
        </w:tc>
        <w:tc>
          <w:tcPr>
            <w:tcW w:w="3402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B7D6AD2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lower cumulative viral RNA burden</w:t>
            </w:r>
          </w:p>
        </w:tc>
      </w:tr>
      <w:tr w14:paraId="1956D7EE">
        <w:trPr>
          <w:jc w:val="center"/>
        </w:trPr>
        <w:tc>
          <w:tcPr>
            <w:tcW w:w="1701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6C27698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FLU-PRO score reduction at 24 h, %</w:t>
            </w:r>
          </w:p>
        </w:tc>
        <w:tc>
          <w:tcPr>
            <w:tcW w:w="283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2DA7555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45.2 (12.3) vs 25.6 (14.1); crude mean difference, +19.6 percentage points</w:t>
            </w:r>
          </w:p>
        </w:tc>
        <w:tc>
          <w:tcPr>
            <w:tcW w:w="2154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BFDF7E7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mean difference, percentage points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7D2A19A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MD +18.4 (+15.6 to +21.2); P&lt;0.001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7DFC4081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MD +18.0 (+15.2 to +20.8); P&lt;0.001</w:t>
            </w:r>
          </w:p>
        </w:tc>
        <w:tc>
          <w:tcPr>
            <w:tcW w:w="3402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71870503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faster multidomain symptom improvement</w:t>
            </w:r>
          </w:p>
        </w:tc>
      </w:tr>
      <w:tr w14:paraId="13B5B00F">
        <w:trPr>
          <w:jc w:val="center"/>
        </w:trPr>
        <w:tc>
          <w:tcPr>
            <w:tcW w:w="1701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86F2604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FLU-PRO near-resolution at day 7c</w:t>
            </w:r>
          </w:p>
        </w:tc>
        <w:tc>
          <w:tcPr>
            <w:tcW w:w="283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311340DB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345/375 (92.0%) vs 294/375 (78.4%); crude OR 3.17</w:t>
            </w:r>
          </w:p>
        </w:tc>
        <w:tc>
          <w:tcPr>
            <w:tcW w:w="2154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22E8D46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odds ratio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C6F87D3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aOR 2.72 (1.70 to 4.36); P&lt;0.001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8188CFB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OR 2.61 (1.63 to 4.18); P&lt;0.001</w:t>
            </w:r>
          </w:p>
        </w:tc>
        <w:tc>
          <w:tcPr>
            <w:tcW w:w="3402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1E3534D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a higher probability of near-resolution</w:t>
            </w:r>
          </w:p>
        </w:tc>
      </w:tr>
      <w:tr w14:paraId="44297427">
        <w:trPr>
          <w:jc w:val="center"/>
        </w:trPr>
        <w:tc>
          <w:tcPr>
            <w:tcW w:w="1701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C45E2AE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Total influenza-related complications by day 14</w:t>
            </w:r>
          </w:p>
        </w:tc>
        <w:tc>
          <w:tcPr>
            <w:tcW w:w="283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71293F2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14/375 (3.7%) vs 42/375 (11.2%); crude OR 0.31</w:t>
            </w:r>
          </w:p>
        </w:tc>
        <w:tc>
          <w:tcPr>
            <w:tcW w:w="2154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6E4457B2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odds ratio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9BA9DC5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aOR 0.38 (0.20 to 0.73); P=0.004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3AA4E89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OR 0.40 (0.21 to 0.77); P=0.006</w:t>
            </w:r>
          </w:p>
        </w:tc>
        <w:tc>
          <w:tcPr>
            <w:tcW w:w="3402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6FFF9EB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fewer complications; estimates attenuated after adjustment</w:t>
            </w:r>
          </w:p>
        </w:tc>
      </w:tr>
      <w:tr w14:paraId="40EBD9D7">
        <w:trPr>
          <w:jc w:val="center"/>
        </w:trPr>
        <w:tc>
          <w:tcPr>
            <w:tcW w:w="1701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6A9B65F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Pneumonia by day 14</w:t>
            </w:r>
          </w:p>
        </w:tc>
        <w:tc>
          <w:tcPr>
            <w:tcW w:w="283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ECBAC92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4/375 (1.1%) vs 12/375 (3.2%); crude OR 0.33</w:t>
            </w:r>
          </w:p>
        </w:tc>
        <w:tc>
          <w:tcPr>
            <w:tcW w:w="2154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A77A4FA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odds ratio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878724A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aOR 0.39 (0.12 to 1.25); P=0.112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7EDC438F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OR 0.41 (0.13 to 1.30); P=0.129</w:t>
            </w:r>
          </w:p>
        </w:tc>
        <w:tc>
          <w:tcPr>
            <w:tcW w:w="3402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D8D9E4B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Directionally consistent, but precision limited by few events</w:t>
            </w:r>
          </w:p>
        </w:tc>
      </w:tr>
      <w:tr w14:paraId="386A7A50">
        <w:trPr>
          <w:jc w:val="center"/>
        </w:trPr>
        <w:tc>
          <w:tcPr>
            <w:tcW w:w="1701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51F1AF8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Febrile seizures by day 14</w:t>
            </w:r>
          </w:p>
        </w:tc>
        <w:tc>
          <w:tcPr>
            <w:tcW w:w="283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7D4E2C56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2/375 (0.5%) vs 11/375 (2.9%); crude OR 0.18</w:t>
            </w:r>
          </w:p>
        </w:tc>
        <w:tc>
          <w:tcPr>
            <w:tcW w:w="2154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725B808B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odds ratio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75AED7E8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aOR 0.24 (0.05 to 1.11); P=0.068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441D584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OR 0.26 (0.06 to 1.20); P=0.086</w:t>
            </w:r>
          </w:p>
        </w:tc>
        <w:tc>
          <w:tcPr>
            <w:tcW w:w="3402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BAEA8CC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Directionally consistent, but precision limited by few events</w:t>
            </w:r>
          </w:p>
        </w:tc>
      </w:tr>
      <w:tr w14:paraId="3661B82D">
        <w:trPr>
          <w:jc w:val="center"/>
        </w:trPr>
        <w:tc>
          <w:tcPr>
            <w:tcW w:w="1701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71623923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14-day revisit rate</w:t>
            </w:r>
          </w:p>
        </w:tc>
        <w:tc>
          <w:tcPr>
            <w:tcW w:w="283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686C44F7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8/375 (2.1%) vs 26/375 (6.9%); crude OR 0.29</w:t>
            </w:r>
          </w:p>
        </w:tc>
        <w:tc>
          <w:tcPr>
            <w:tcW w:w="2154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C73FF4C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odds ratio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DF3439E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aOR 0.33 (0.14 to 0.79); P=0.013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643D6A0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OR 0.35 (0.15 to 0.83); P=0.017</w:t>
            </w:r>
          </w:p>
        </w:tc>
        <w:tc>
          <w:tcPr>
            <w:tcW w:w="3402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3D9E517F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fewer revisit events</w:t>
            </w:r>
          </w:p>
        </w:tc>
      </w:tr>
      <w:tr w14:paraId="396385F9">
        <w:trPr>
          <w:jc w:val="center"/>
        </w:trPr>
        <w:tc>
          <w:tcPr>
            <w:tcW w:w="1701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FD4E27F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Additional antibiotic use</w:t>
            </w:r>
          </w:p>
        </w:tc>
        <w:tc>
          <w:tcPr>
            <w:tcW w:w="283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5CE976D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10/375 (2.7%) vs 30/375 (8.0%); crude OR 0.32</w:t>
            </w:r>
          </w:p>
        </w:tc>
        <w:tc>
          <w:tcPr>
            <w:tcW w:w="2154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A1BBAAB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odds ratio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7A9B286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aOR 0.36 (0.17 to 0.77); P=0.009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63AA9494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OR 0.38 (0.18 to 0.81); P=0.012</w:t>
            </w:r>
          </w:p>
        </w:tc>
        <w:tc>
          <w:tcPr>
            <w:tcW w:w="3402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46AFC20F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fewer additional antibiotic prescriptions</w:t>
            </w:r>
          </w:p>
        </w:tc>
      </w:tr>
      <w:tr w14:paraId="67781098">
        <w:trPr>
          <w:jc w:val="center"/>
        </w:trPr>
        <w:tc>
          <w:tcPr>
            <w:tcW w:w="1701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6511835D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Parental work absence days</w:t>
            </w:r>
          </w:p>
        </w:tc>
        <w:tc>
          <w:tcPr>
            <w:tcW w:w="283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3AD359FA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2.0 (0.8) vs 3.5 (1.2); crude mean difference, -1.5 days</w:t>
            </w:r>
          </w:p>
        </w:tc>
        <w:tc>
          <w:tcPr>
            <w:tcW w:w="2154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32DB1A00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mean difference, days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7393D051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MD -1.42 (-1.57 to -1.27); P&lt;0.001</w:t>
            </w:r>
          </w:p>
        </w:tc>
        <w:tc>
          <w:tcPr>
            <w:tcW w:w="2665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6A1EE0A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MD -1.38 (-1.54 to -1.22); P&lt;0.001</w:t>
            </w:r>
          </w:p>
        </w:tc>
        <w:tc>
          <w:tcPr>
            <w:tcW w:w="3402" w:type="dxa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59B33CE0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lower family burden</w:t>
            </w:r>
          </w:p>
        </w:tc>
      </w:tr>
      <w:tr w14:paraId="4DF93A55">
        <w:trPr>
          <w:jc w:val="center"/>
        </w:trPr>
        <w:tc>
          <w:tcPr>
            <w:tcW w:w="1701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6C8D9E5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Any adverse drug reaction by day 10</w:t>
            </w:r>
          </w:p>
        </w:tc>
        <w:tc>
          <w:tcPr>
            <w:tcW w:w="283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CC45879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25/375 (6.7%) vs 57/375 (15.2%); crude OR 0.40</w:t>
            </w:r>
          </w:p>
        </w:tc>
        <w:tc>
          <w:tcPr>
            <w:tcW w:w="2154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17431242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Adjusted odds ratio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8B06F0F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aOR 0.47 (0.28 to 0.79); P=0.004</w:t>
            </w:r>
          </w:p>
        </w:tc>
        <w:tc>
          <w:tcPr>
            <w:tcW w:w="2665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2A80FC4D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Weighted OR 0.49 (0.29 to 0.82); P=0.006</w:t>
            </w:r>
          </w:p>
        </w:tc>
        <w:tc>
          <w:tcPr>
            <w:tcW w:w="3402" w:type="dxa"/>
            <w:shd w:val="clear" w:color="auto" w:fill="F7F7F7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 w14:paraId="0039A961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sz w:val="13"/>
                <w:highlight w:val="none"/>
              </w:rPr>
              <w:t>Consistent with fewer reported adverse drug reactions</w:t>
            </w:r>
          </w:p>
        </w:tc>
      </w:tr>
    </w:tbl>
    <w:p w14:paraId="26594433">
      <w:pPr>
        <w:spacing w:before="0" w:after="0"/>
        <w:rPr>
          <w:highlight w:val="none"/>
        </w:rPr>
      </w:pPr>
      <w:r>
        <w:rPr>
          <w:rFonts w:ascii="Times New Roman" w:hAnsi="Times New Roman" w:eastAsia="Times New Roman"/>
          <w:i w:val="0"/>
          <w:sz w:val="14"/>
          <w:highlight w:val="none"/>
        </w:rPr>
        <w:t>Abbreviations: ADR, adverse drug reaction; aHR, adjusted hazard ratio; aOR, adjusted odds ratio; AUC, area under the curve; CI, confidence interval; Ct, cycle threshold; FLU-PRO, Influenza Patient-Reported Outcome; IPTW, inverse probability of treatment weighting; MD, mean difference; OR, odds ratio.</w:t>
      </w:r>
    </w:p>
    <w:p w14:paraId="312370D7">
      <w:pPr>
        <w:spacing w:before="0" w:after="0"/>
        <w:rPr>
          <w:highlight w:val="none"/>
        </w:rPr>
      </w:pPr>
      <w:r>
        <w:rPr>
          <w:rFonts w:ascii="Times New Roman" w:hAnsi="Times New Roman" w:eastAsia="Times New Roman"/>
          <w:i w:val="0"/>
          <w:sz w:val="14"/>
          <w:highlight w:val="none"/>
        </w:rPr>
        <w:t>a Multivariable models were specified to adjust for age, sex, body weight, time from symptom onset to treatment, baseline axillary temperature, baseline FLU-PRO total score, current-season influenza vaccination, prior-season influenza history, and household exposure to influenza-like illness. Baseline Ct value was additionally included for Ct value at 24 h, time to Ct-defined viral clearance, and viral load AUC.</w:t>
      </w:r>
    </w:p>
    <w:p w14:paraId="7124122F">
      <w:pPr>
        <w:spacing w:before="0" w:after="0"/>
        <w:rPr>
          <w:rFonts w:ascii="Times New Roman" w:hAnsi="Times New Roman" w:eastAsia="Times New Roman"/>
          <w:i w:val="0"/>
          <w:sz w:val="14"/>
          <w:highlight w:val="none"/>
        </w:rPr>
      </w:pPr>
      <w:r>
        <w:rPr>
          <w:rFonts w:ascii="Times New Roman" w:hAnsi="Times New Roman" w:eastAsia="Times New Roman"/>
          <w:i w:val="0"/>
          <w:sz w:val="14"/>
          <w:highlight w:val="none"/>
        </w:rPr>
        <w:t>b IPTW was specified using the same propensity-score covariates, with stabilized weights and robust standard errors. Covariate balance after weighting was summarized using standardized mean differences; all weighted covariate standardized mean differences were &lt;0.10.</w:t>
      </w:r>
    </w:p>
    <w:p w14:paraId="1D8C40E7">
      <w:pPr>
        <w:spacing w:before="0" w:after="0"/>
        <w:rPr>
          <w:highlight w:val="none"/>
        </w:rPr>
      </w:pPr>
      <w:r>
        <w:rPr>
          <w:rFonts w:ascii="Times New Roman" w:hAnsi="Times New Roman" w:eastAsia="Times New Roman"/>
          <w:i w:val="0"/>
          <w:sz w:val="14"/>
          <w:highlight w:val="none"/>
        </w:rPr>
        <w:t>c A FLU-PRO total score &lt;10 at day 7 was used as a prespecified descriptive near-resolution threshold rather than a validated pediatric normal-range cutoff.</w:t>
      </w:r>
    </w:p>
    <w:p w14:paraId="5C0208D4">
      <w:bookmarkStart w:id="0" w:name="_GoBack"/>
      <w:bookmarkEnd w:id="0"/>
    </w:p>
    <w:sectPr>
      <w:footerReference r:id="rId4" w:type="default"/>
      <w:pgSz w:w="16838" w:h="11906" w:orient="landscape"/>
      <w:pgMar w:top="680" w:right="567" w:bottom="680" w:left="56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90D21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7F15EB"/>
    <w:rsid w:val="587F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1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2026-07-09T00:04:00Z</dcterms:created>
  <dc:creator>L！μ</dc:creator>
  <cp:lastModifiedBy>L！μ</cp:lastModifiedBy>
  <dcterms:modified xsi:type="dcterms:W3CDTF">2026-07-09T00:04:54Z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5F97DA1173E390DC09754E6A4FCD63EF_41</vt:lpwstr>
  </property>
</Properties>
</file>