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73DC6" w14:textId="5A2BB97A" w:rsidR="00B05A97" w:rsidRPr="00C43FE3" w:rsidRDefault="00C43FE3" w:rsidP="006200DB">
      <w:pPr>
        <w:keepNext/>
        <w:spacing w:before="100" w:beforeAutospacing="1" w:after="100" w:afterAutospacing="1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Additional F</w:t>
      </w:r>
      <w:bookmarkStart w:id="0" w:name="_GoBack"/>
      <w:bookmarkEnd w:id="0"/>
      <w:r w:rsidRPr="00C43FE3">
        <w:rPr>
          <w:rFonts w:asciiTheme="majorBidi" w:hAnsiTheme="majorBidi" w:cstheme="majorBidi"/>
          <w:b/>
          <w:sz w:val="24"/>
          <w:szCs w:val="24"/>
        </w:rPr>
        <w:t>ile 2. Supplementary Tables S1–S3</w:t>
      </w:r>
    </w:p>
    <w:p w14:paraId="6EE9978A" w14:textId="77777777" w:rsidR="00FD7B2D" w:rsidRPr="006200DB" w:rsidRDefault="00C43FE3" w:rsidP="006200DB">
      <w:pPr>
        <w:keepNext/>
        <w:spacing w:before="100" w:beforeAutospacing="1" w:after="100" w:afterAutospacing="1" w:line="360" w:lineRule="auto"/>
        <w:rPr>
          <w:rFonts w:asciiTheme="majorBidi" w:hAnsiTheme="majorBidi" w:cstheme="majorBidi"/>
          <w:sz w:val="22"/>
        </w:rPr>
      </w:pPr>
      <w:r w:rsidRPr="006200DB">
        <w:rPr>
          <w:rFonts w:asciiTheme="majorBidi" w:hAnsiTheme="majorBidi" w:cstheme="majorBidi"/>
          <w:b/>
          <w:sz w:val="22"/>
        </w:rPr>
        <w:t>Table S1. Detailed characteristics of included studies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12"/>
        <w:gridCol w:w="1546"/>
        <w:gridCol w:w="1481"/>
        <w:gridCol w:w="2152"/>
        <w:gridCol w:w="3043"/>
        <w:gridCol w:w="1896"/>
        <w:gridCol w:w="2318"/>
      </w:tblGrid>
      <w:tr w:rsidR="00AC4198" w:rsidRPr="006200DB" w14:paraId="7776A0FD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1267755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Study, country</w:t>
            </w:r>
          </w:p>
        </w:tc>
        <w:tc>
          <w:tcPr>
            <w:tcW w:w="554" w:type="pct"/>
            <w:vAlign w:val="center"/>
          </w:tcPr>
          <w:p w14:paraId="260CFC7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Design and setting</w:t>
            </w:r>
          </w:p>
        </w:tc>
        <w:tc>
          <w:tcPr>
            <w:tcW w:w="531" w:type="pct"/>
            <w:vAlign w:val="center"/>
          </w:tcPr>
          <w:p w14:paraId="5B3D6E9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Sample size, n</w:t>
            </w:r>
          </w:p>
        </w:tc>
        <w:tc>
          <w:tcPr>
            <w:tcW w:w="771" w:type="pct"/>
            <w:vAlign w:val="center"/>
          </w:tcPr>
          <w:p w14:paraId="5EC8742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Population and demographics</w:t>
            </w:r>
          </w:p>
        </w:tc>
        <w:tc>
          <w:tcPr>
            <w:tcW w:w="1091" w:type="pct"/>
            <w:vAlign w:val="center"/>
          </w:tcPr>
          <w:p w14:paraId="4B1C686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Catheter and infection scope</w:t>
            </w:r>
          </w:p>
        </w:tc>
        <w:tc>
          <w:tcPr>
            <w:tcW w:w="680" w:type="pct"/>
            <w:vAlign w:val="center"/>
          </w:tcPr>
          <w:p w14:paraId="1BDD799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Pathogens</w:t>
            </w:r>
          </w:p>
        </w:tc>
        <w:tc>
          <w:tcPr>
            <w:tcW w:w="831" w:type="pct"/>
            <w:vAlign w:val="center"/>
          </w:tcPr>
          <w:p w14:paraId="1A8EE86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Eligibility/scope note</w:t>
            </w:r>
          </w:p>
        </w:tc>
      </w:tr>
      <w:tr w:rsidR="00B05A97" w:rsidRPr="006200DB" w14:paraId="4B2B30BC" w14:textId="77777777" w:rsidTr="006200DB">
        <w:trPr>
          <w:trHeight w:val="576"/>
        </w:trPr>
        <w:tc>
          <w:tcPr>
            <w:tcW w:w="5000" w:type="pct"/>
            <w:gridSpan w:val="7"/>
            <w:vAlign w:val="center"/>
          </w:tcPr>
          <w:p w14:paraId="1D0B077E" w14:textId="77777777" w:rsidR="00B05A97" w:rsidRPr="006200DB" w:rsidRDefault="00C43FE3" w:rsidP="006200DB">
            <w:pPr>
              <w:keepNext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 xml:space="preserve">Randomized </w:t>
            </w:r>
            <w:r w:rsidRPr="006200DB">
              <w:rPr>
                <w:rFonts w:asciiTheme="majorBidi" w:hAnsiTheme="majorBidi" w:cstheme="majorBidi"/>
                <w:b/>
                <w:sz w:val="22"/>
              </w:rPr>
              <w:t>controlled trials</w:t>
            </w:r>
          </w:p>
        </w:tc>
      </w:tr>
      <w:tr w:rsidR="00AC4198" w:rsidRPr="006200DB" w14:paraId="7D758831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52F96C7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Lesens, 2024 (ETHALOCK)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France</w:t>
            </w:r>
          </w:p>
        </w:tc>
        <w:tc>
          <w:tcPr>
            <w:tcW w:w="554" w:type="pct"/>
            <w:vAlign w:val="center"/>
          </w:tcPr>
          <w:p w14:paraId="45C31F1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Double-blind active-controlled RCT; multicenter</w:t>
            </w:r>
          </w:p>
        </w:tc>
        <w:tc>
          <w:tcPr>
            <w:tcW w:w="531" w:type="pct"/>
            <w:vAlign w:val="center"/>
          </w:tcPr>
          <w:p w14:paraId="698BC97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61 (ELT/VLT: 31/30)</w:t>
            </w:r>
          </w:p>
        </w:tc>
        <w:tc>
          <w:tcPr>
            <w:tcW w:w="771" w:type="pct"/>
            <w:vAlign w:val="center"/>
          </w:tcPr>
          <w:p w14:paraId="32BC782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48 (78.7%); HM, 9 (14.8%); other, 4 (6.6%); neutropenia within 7 days of infection, 7 (11.5%)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63.9 ± 1.4 (range 32–84)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</w:r>
            <w:r w:rsidRPr="006200DB">
              <w:rPr>
                <w:rFonts w:asciiTheme="majorBidi" w:eastAsia="Arial" w:hAnsiTheme="majorBidi" w:cstheme="majorBidi"/>
                <w:sz w:val="22"/>
              </w:rPr>
              <w:t>Female: 23 (37.7%)</w:t>
            </w:r>
          </w:p>
        </w:tc>
        <w:tc>
          <w:tcPr>
            <w:tcW w:w="1091" w:type="pct"/>
            <w:vAlign w:val="center"/>
          </w:tcPr>
          <w:p w14:paraId="03594FA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CRBSI, 41 (67.2%); CLABSI, 20 (32.8%). Complicated/local/colonization infections excluded.</w:t>
            </w:r>
          </w:p>
        </w:tc>
        <w:tc>
          <w:tcPr>
            <w:tcW w:w="680" w:type="pct"/>
            <w:vAlign w:val="center"/>
          </w:tcPr>
          <w:p w14:paraId="1452507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GP: CoNS, 61 (100%); oxacillin-resistant CoNS, 52.5%. S. lugdunensis was excluded</w:t>
            </w:r>
          </w:p>
        </w:tc>
        <w:tc>
          <w:tcPr>
            <w:tcW w:w="831" w:type="pct"/>
            <w:vAlign w:val="center"/>
          </w:tcPr>
          <w:p w14:paraId="34E62DB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Catheter colonization was excluded. No additional infecti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on-scope issue identified.</w:t>
            </w:r>
          </w:p>
        </w:tc>
      </w:tr>
      <w:tr w:rsidR="00AC4198" w:rsidRPr="006200DB" w14:paraId="4A518AF4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20F6CC8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Rijnders, 2005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Belgium</w:t>
            </w:r>
          </w:p>
        </w:tc>
        <w:tc>
          <w:tcPr>
            <w:tcW w:w="554" w:type="pct"/>
            <w:vAlign w:val="center"/>
          </w:tcPr>
          <w:p w14:paraId="3710C29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Double-blind placebo-controlled RCT; multicenter</w:t>
            </w:r>
          </w:p>
        </w:tc>
        <w:tc>
          <w:tcPr>
            <w:tcW w:w="531" w:type="pct"/>
            <w:vAlign w:val="center"/>
          </w:tcPr>
          <w:p w14:paraId="1905DE2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46 enrolled; 44 modified intention-to-treat (ALT/placebo, 21/23)</w:t>
            </w:r>
          </w:p>
        </w:tc>
        <w:tc>
          <w:tcPr>
            <w:tcW w:w="771" w:type="pct"/>
            <w:vAlign w:val="center"/>
          </w:tcPr>
          <w:p w14:paraId="1127E94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Mixed cohort: haemato-oncology 34/46 (73.9%); other 12/46 (26.1%). Age: 49 vs 47 years. Two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pediatric participants were included.</w:t>
            </w:r>
          </w:p>
        </w:tc>
        <w:tc>
          <w:tcPr>
            <w:tcW w:w="1091" w:type="pct"/>
            <w:vAlign w:val="center"/>
          </w:tcPr>
          <w:p w14:paraId="432C958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TIVAD, 40; tunneled long-term intravascular device, 6; CRBSI; pocket/tunnel infection and yeast/mixed Gram-positive/Gram-negative infections excluded by protocol</w:t>
            </w:r>
          </w:p>
        </w:tc>
        <w:tc>
          <w:tcPr>
            <w:tcW w:w="680" w:type="pct"/>
            <w:vAlign w:val="center"/>
          </w:tcPr>
          <w:p w14:paraId="2071C60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34 (77.3%); GN, 10 (22.7%). Main: CoNS, 27 (61.4%)</w:t>
            </w:r>
          </w:p>
        </w:tc>
        <w:tc>
          <w:tcPr>
            <w:tcW w:w="831" w:type="pct"/>
            <w:vAlign w:val="center"/>
          </w:tcPr>
          <w:p w14:paraId="47C777F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Primary full text verified. Baseline table reports haemato-oncology/other = 16/6 in the ALT arm and 18/6 in placebo (34/46, 73.9% haemato-oncology overall). Retained under the review's approximately ≥70% target-population rule. Outcomes remain overall mixe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d-cohort RCT data; 46 were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randomized and 44 entered modified intention-to-treat analysis.</w:t>
            </w:r>
          </w:p>
        </w:tc>
      </w:tr>
      <w:tr w:rsidR="00B05A97" w:rsidRPr="006200DB" w14:paraId="5781DC27" w14:textId="77777777" w:rsidTr="006200DB">
        <w:trPr>
          <w:trHeight w:val="576"/>
        </w:trPr>
        <w:tc>
          <w:tcPr>
            <w:tcW w:w="5000" w:type="pct"/>
            <w:gridSpan w:val="7"/>
            <w:vAlign w:val="center"/>
          </w:tcPr>
          <w:p w14:paraId="354C9F23" w14:textId="77777777" w:rsidR="00B05A97" w:rsidRPr="006200DB" w:rsidRDefault="00C43FE3" w:rsidP="006200DB">
            <w:pPr>
              <w:keepNext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lastRenderedPageBreak/>
              <w:t>Nonrandomized comparative studies</w:t>
            </w:r>
          </w:p>
        </w:tc>
      </w:tr>
      <w:tr w:rsidR="00AC4198" w:rsidRPr="006200DB" w14:paraId="513AD71C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2BE7A73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Zhang, 2025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China</w:t>
            </w:r>
          </w:p>
        </w:tc>
        <w:tc>
          <w:tcPr>
            <w:tcW w:w="554" w:type="pct"/>
            <w:vAlign w:val="center"/>
          </w:tcPr>
          <w:p w14:paraId="7107147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comparative cohort; single-center</w:t>
            </w:r>
          </w:p>
        </w:tc>
        <w:tc>
          <w:tcPr>
            <w:tcW w:w="531" w:type="pct"/>
            <w:vAlign w:val="center"/>
          </w:tcPr>
          <w:p w14:paraId="37A9F6F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67 (34/33)</w:t>
            </w:r>
          </w:p>
        </w:tc>
        <w:tc>
          <w:tcPr>
            <w:tcW w:w="771" w:type="pct"/>
            <w:vAlign w:val="center"/>
          </w:tcPr>
          <w:p w14:paraId="0E756A9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HM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58 (IQR 39–67)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27 (40.3%)</w:t>
            </w:r>
          </w:p>
        </w:tc>
        <w:tc>
          <w:tcPr>
            <w:tcW w:w="1091" w:type="pct"/>
            <w:vAlign w:val="center"/>
          </w:tcPr>
          <w:p w14:paraId="498696B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PICC; CRBSI, 49 (73.1%); CLABSI, 18 (26.9%). Removal recommended for complicated infection.</w:t>
            </w:r>
          </w:p>
        </w:tc>
        <w:tc>
          <w:tcPr>
            <w:tcW w:w="680" w:type="pct"/>
            <w:vAlign w:val="center"/>
          </w:tcPr>
          <w:p w14:paraId="4B50DA5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GN, 33 (49.3%); GP cocci, 24 (35.8%); fungi, 8 (11.9%); GP bacilli, 2 (3.0%). Main: CoNS, 16; E. coli, 11; K. pneumoniae/P. aeruginosa/C. tropicalis, 6 each. MDR, 2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8 (41.8%).</w:t>
            </w:r>
          </w:p>
        </w:tc>
        <w:tc>
          <w:tcPr>
            <w:tcW w:w="831" w:type="pct"/>
            <w:vAlign w:val="center"/>
          </w:tcPr>
          <w:p w14:paraId="77D5697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 additional scope issue identified from the current extraction table.</w:t>
            </w:r>
          </w:p>
        </w:tc>
      </w:tr>
      <w:tr w:rsidR="00AC4198" w:rsidRPr="006200DB" w14:paraId="69DB4AF0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595B3CE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Ranganath, 2025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United States</w:t>
            </w:r>
          </w:p>
        </w:tc>
        <w:tc>
          <w:tcPr>
            <w:tcW w:w="554" w:type="pct"/>
            <w:vAlign w:val="center"/>
          </w:tcPr>
          <w:p w14:paraId="1C3BCA0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comparative cohort; single-center</w:t>
            </w:r>
          </w:p>
        </w:tc>
        <w:tc>
          <w:tcPr>
            <w:tcW w:w="531" w:type="pct"/>
            <w:vAlign w:val="center"/>
          </w:tcPr>
          <w:p w14:paraId="3CC12D4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287 (106/181)</w:t>
            </w:r>
          </w:p>
        </w:tc>
        <w:tc>
          <w:tcPr>
            <w:tcW w:w="771" w:type="pct"/>
            <w:vAlign w:val="center"/>
          </w:tcPr>
          <w:p w14:paraId="59F3D1D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HCT, 121 (42.2%); HM without HCT, 60 (20.9%); ST, 18 (6.3%); other, 88 (30.7%)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</w:r>
            <w:r w:rsidRPr="006200DB">
              <w:rPr>
                <w:rFonts w:asciiTheme="majorBidi" w:eastAsia="Arial" w:hAnsiTheme="majorBidi" w:cstheme="majorBidi"/>
                <w:sz w:val="22"/>
              </w:rPr>
              <w:t>Age: Median 59 (IQR 49–66)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99 (34.5%)</w:t>
            </w:r>
          </w:p>
        </w:tc>
        <w:tc>
          <w:tcPr>
            <w:tcW w:w="1091" w:type="pct"/>
            <w:vAlign w:val="center"/>
          </w:tcPr>
          <w:p w14:paraId="79C704E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Tunneled CVC, 138 (48.1%); TIVAD, 30 (10.5%); non-tunneled CVC, 14 (4.9%); dialysis catheter, 29 (10.1%); PICC, 68 (23.7%); other, 8 (2.8%); CRBSI, 193 (67.2%); catheter colonization, 94 (32.8%)</w:t>
            </w:r>
          </w:p>
        </w:tc>
        <w:tc>
          <w:tcPr>
            <w:tcW w:w="680" w:type="pct"/>
            <w:vAlign w:val="center"/>
          </w:tcPr>
          <w:p w14:paraId="6313977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ALT vs removal: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GP, 83.0% vs 66.9%; GN, 22.6% vs 35.4%; fungi, 0% vs 5.0%. CoNS, 63.2% vs 32.6%; S. aureus, 1.9% vs 14.4%.</w:t>
            </w:r>
          </w:p>
        </w:tc>
        <w:tc>
          <w:tcPr>
            <w:tcW w:w="831" w:type="pct"/>
            <w:vAlign w:val="center"/>
          </w:tcPr>
          <w:p w14:paraId="01A674C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Mixed cohort; cancer/HCT groups comprised 199/287 (69.3%). Retained under the review’s approximately 70% target-population rule. Outcomes are overal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l-cohort data and are not separately extractable for the cancer/HCT subset. Includes catheter colonization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and dialysis catheters.</w:t>
            </w:r>
          </w:p>
        </w:tc>
      </w:tr>
      <w:tr w:rsidR="00AC4198" w:rsidRPr="006200DB" w14:paraId="24407015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1CD6C61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Ranch-Lundin, 2021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Sweden</w:t>
            </w:r>
          </w:p>
        </w:tc>
        <w:tc>
          <w:tcPr>
            <w:tcW w:w="554" w:type="pct"/>
            <w:vAlign w:val="center"/>
          </w:tcPr>
          <w:p w14:paraId="76790FD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comparative observational cohort; single-center</w:t>
            </w:r>
          </w:p>
        </w:tc>
        <w:tc>
          <w:tcPr>
            <w:tcW w:w="531" w:type="pct"/>
            <w:vAlign w:val="center"/>
          </w:tcPr>
          <w:p w14:paraId="1D6124D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25 (LD/HD VLT: 12/13)</w:t>
            </w:r>
          </w:p>
        </w:tc>
        <w:tc>
          <w:tcPr>
            <w:tcW w:w="771" w:type="pct"/>
            <w:vAlign w:val="center"/>
          </w:tcPr>
          <w:p w14:paraId="32CE0F8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Cancer, 22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(88.0%); other, 3 (12.0%); palliative care setting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69 vs 63 (range 21–82)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15 (60.0%)</w:t>
            </w:r>
          </w:p>
        </w:tc>
        <w:tc>
          <w:tcPr>
            <w:tcW w:w="1091" w:type="pct"/>
            <w:vAlign w:val="center"/>
          </w:tcPr>
          <w:p w14:paraId="2635E72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NR; CRBSI</w:t>
            </w:r>
          </w:p>
        </w:tc>
        <w:tc>
          <w:tcPr>
            <w:tcW w:w="680" w:type="pct"/>
            <w:vAlign w:val="center"/>
          </w:tcPr>
          <w:p w14:paraId="7CF1F02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</w:t>
            </w:r>
          </w:p>
        </w:tc>
        <w:tc>
          <w:tcPr>
            <w:tcW w:w="831" w:type="pct"/>
            <w:vAlign w:val="center"/>
          </w:tcPr>
          <w:p w14:paraId="6897D7D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Mixed oncologic/non-oncologic population or subgroup reporting.</w:t>
            </w:r>
          </w:p>
        </w:tc>
      </w:tr>
      <w:tr w:rsidR="00AC4198" w:rsidRPr="006200DB" w14:paraId="139C6359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57189DB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Zanwar, 2019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India</w:t>
            </w:r>
          </w:p>
        </w:tc>
        <w:tc>
          <w:tcPr>
            <w:tcW w:w="554" w:type="pct"/>
            <w:vAlign w:val="center"/>
          </w:tcPr>
          <w:p w14:paraId="66671EE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1D19E20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46 (22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colonization + 15 CRBSI/ 9 CRBSI)</w:t>
            </w:r>
          </w:p>
        </w:tc>
        <w:tc>
          <w:tcPr>
            <w:tcW w:w="771" w:type="pct"/>
            <w:vAlign w:val="center"/>
          </w:tcPr>
          <w:p w14:paraId="050028E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HCT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29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11 (24.4%)</w:t>
            </w:r>
          </w:p>
        </w:tc>
        <w:tc>
          <w:tcPr>
            <w:tcW w:w="1091" w:type="pct"/>
            <w:vAlign w:val="center"/>
          </w:tcPr>
          <w:p w14:paraId="722D753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Tunneled CVC; CRBSI, 24 (52.2%); catheter colonization, 22 (47.8%). Hemodynamically unstable patients were excluded.</w:t>
            </w:r>
          </w:p>
        </w:tc>
        <w:tc>
          <w:tcPr>
            <w:tcW w:w="680" w:type="pct"/>
            <w:vAlign w:val="center"/>
          </w:tcPr>
          <w:p w14:paraId="54F6964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CRBSI: GN, 20/24 (83.3%); GP, 4/24 (16.7%). Main: P. aeruginosa, 6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; E. coli/A. baumannii, 4 each; K. pneumoniae, 3. Colonization: CoNS, 10; GN, 10; polymicrobial, 2.</w:t>
            </w:r>
          </w:p>
        </w:tc>
        <w:tc>
          <w:tcPr>
            <w:tcW w:w="831" w:type="pct"/>
            <w:vAlign w:val="center"/>
          </w:tcPr>
          <w:p w14:paraId="12EFC67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Includes catheter colonization; CRBSI-specific separability should be retained in analyses.</w:t>
            </w:r>
          </w:p>
        </w:tc>
      </w:tr>
      <w:tr w:rsidR="00AC4198" w:rsidRPr="006200DB" w14:paraId="25159B44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719C0AB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Freire, 2018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Brazil</w:t>
            </w:r>
          </w:p>
        </w:tc>
        <w:tc>
          <w:tcPr>
            <w:tcW w:w="554" w:type="pct"/>
            <w:vAlign w:val="center"/>
          </w:tcPr>
          <w:p w14:paraId="0A5345C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Observational cohort with prospective surve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illance; single-center</w:t>
            </w:r>
          </w:p>
        </w:tc>
        <w:tc>
          <w:tcPr>
            <w:tcW w:w="531" w:type="pct"/>
            <w:vAlign w:val="center"/>
          </w:tcPr>
          <w:p w14:paraId="37A99C1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212 (57/155)</w:t>
            </w:r>
          </w:p>
        </w:tc>
        <w:tc>
          <w:tcPr>
            <w:tcW w:w="771" w:type="pct"/>
            <w:vAlign w:val="center"/>
          </w:tcPr>
          <w:p w14:paraId="00D7122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132 (62.3%); HM, 80 (37.7%); neutropenia, 90 (42.5%)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52 (range 16–90)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91 (42.9%)</w:t>
            </w:r>
          </w:p>
        </w:tc>
        <w:tc>
          <w:tcPr>
            <w:tcW w:w="1091" w:type="pct"/>
            <w:vAlign w:val="center"/>
          </w:tcPr>
          <w:p w14:paraId="55E0212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TIVD, 182; tunneled CVC, 30 (n=212); CLABSI. Complicated/local infections excluded.</w:t>
            </w:r>
          </w:p>
        </w:tc>
        <w:tc>
          <w:tcPr>
            <w:tcW w:w="680" w:type="pct"/>
            <w:vAlign w:val="center"/>
          </w:tcPr>
          <w:p w14:paraId="1265D8B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Isolates: GN, 57.4%; GP, 36.1%;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fungi, 6.0%. Main: S. aureus, 18.5%; E. coli, 15.3%; K. pneumoniae, 9.7%; S. epidermidis, 8.1%. Polymicrobial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episodes, 15.6%; MDR isolates, 18.1%.</w:t>
            </w:r>
          </w:p>
        </w:tc>
        <w:tc>
          <w:tcPr>
            <w:tcW w:w="831" w:type="pct"/>
            <w:vAlign w:val="center"/>
          </w:tcPr>
          <w:p w14:paraId="68371B0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Mixed-age cohort/range includes participants &lt;18 years; adult-specific extractability requires confirmation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.</w:t>
            </w:r>
          </w:p>
        </w:tc>
      </w:tr>
      <w:tr w:rsidR="00AC4198" w:rsidRPr="006200DB" w14:paraId="1F7F82CC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48F2358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Hachem, 2018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Lebanon, Brazil, and Japan</w:t>
            </w:r>
          </w:p>
        </w:tc>
        <w:tc>
          <w:tcPr>
            <w:tcW w:w="554" w:type="pct"/>
            <w:vAlign w:val="center"/>
          </w:tcPr>
          <w:p w14:paraId="0EFB596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Prospective, nonrandomized phase II study with matched retrospective controls; multicenter</w:t>
            </w:r>
          </w:p>
        </w:tc>
        <w:tc>
          <w:tcPr>
            <w:tcW w:w="531" w:type="pct"/>
            <w:vAlign w:val="center"/>
          </w:tcPr>
          <w:p w14:paraId="5BA0849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44 (20/24)</w:t>
            </w:r>
          </w:p>
        </w:tc>
        <w:tc>
          <w:tcPr>
            <w:tcW w:w="771" w:type="pct"/>
            <w:vAlign w:val="center"/>
          </w:tcPr>
          <w:p w14:paraId="380BE1C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5 (11.4%); HM, 30 (68.2%); other, 9 (20.5%); neutropenia, 14 (31.8%). Cancer was present in 90% of ALT reci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pients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54 vs 59 (range 21–96)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13 (29.5%)</w:t>
            </w:r>
          </w:p>
        </w:tc>
        <w:tc>
          <w:tcPr>
            <w:tcW w:w="1091" w:type="pct"/>
            <w:vAlign w:val="center"/>
          </w:tcPr>
          <w:p w14:paraId="3AE1AD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PICC, 14 (31.8%); non-tunneled CVC, 13 (29.5%); tunneled CVC, 8 (18.2%); dialysis catheter, 8 (18.2%); CRBSI, 13 (29.5%); CLABSI, 31 (70.5%). Complicated/local infections excluded.</w:t>
            </w:r>
          </w:p>
        </w:tc>
        <w:tc>
          <w:tcPr>
            <w:tcW w:w="680" w:type="pct"/>
            <w:vAlign w:val="center"/>
          </w:tcPr>
          <w:p w14:paraId="7ED138B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25 (56.8%)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; GN, 18 (40.9%); polymicrobial, 1 (2.3%). Main: CoNS, 14; Klebsiella spp., 7; streptococci, 5; Enterococcus spp., 4.</w:t>
            </w:r>
          </w:p>
        </w:tc>
        <w:tc>
          <w:tcPr>
            <w:tcW w:w="831" w:type="pct"/>
            <w:vAlign w:val="center"/>
          </w:tcPr>
          <w:p w14:paraId="3B78AC8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Mixed oncologic/non-oncologic population or subgroup reporting. Dialysis catheters were represented in the cohort.</w:t>
            </w:r>
          </w:p>
        </w:tc>
      </w:tr>
      <w:tr w:rsidR="00AC4198" w:rsidRPr="006200DB" w14:paraId="0043137A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79C9981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Raad, 2016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United Stat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es</w:t>
            </w:r>
          </w:p>
        </w:tc>
        <w:tc>
          <w:tcPr>
            <w:tcW w:w="554" w:type="pct"/>
            <w:vAlign w:val="center"/>
          </w:tcPr>
          <w:p w14:paraId="45DC64E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Prospective, nonrandomized phase II study with matched retrospective controls (1:2); single-center</w:t>
            </w:r>
          </w:p>
        </w:tc>
        <w:tc>
          <w:tcPr>
            <w:tcW w:w="531" w:type="pct"/>
            <w:vAlign w:val="center"/>
          </w:tcPr>
          <w:p w14:paraId="3316B9F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90 (30/60)</w:t>
            </w:r>
          </w:p>
        </w:tc>
        <w:tc>
          <w:tcPr>
            <w:tcW w:w="771" w:type="pct"/>
            <w:vAlign w:val="center"/>
          </w:tcPr>
          <w:p w14:paraId="09E93BB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21 (23.3%); HM, 69 (76.7%); neutropenia, 57 (63.3%)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54 vs 56 (range 21–83)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43 (47.8%)</w:t>
            </w:r>
          </w:p>
        </w:tc>
        <w:tc>
          <w:tcPr>
            <w:tcW w:w="1091" w:type="pct"/>
            <w:vAlign w:val="center"/>
          </w:tcPr>
          <w:p w14:paraId="53A455B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TIVAD, 18 (20.0%); tunneled CVC,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3 (3.3%); non-tunneled CVC, 27 (30.0%); PICC, 41 (45.6%); dialysis catheter, 1 (1.1%); CRBSI/CLABSI. Complicated/local infections excluded.</w:t>
            </w:r>
          </w:p>
        </w:tc>
        <w:tc>
          <w:tcPr>
            <w:tcW w:w="680" w:type="pct"/>
            <w:vAlign w:val="center"/>
          </w:tcPr>
          <w:p w14:paraId="6279017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48 (53.3%); GN, 41 (45.6%); polymicrobial, 1. Main: E. coli, 20; CoNS, 17; S. aureus, 15; streptococci, 12; P. a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eruginosa, 9.</w:t>
            </w:r>
          </w:p>
        </w:tc>
        <w:tc>
          <w:tcPr>
            <w:tcW w:w="831" w:type="pct"/>
            <w:vAlign w:val="center"/>
          </w:tcPr>
          <w:p w14:paraId="573AA7C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Dialysis catheters were represented in the cohort.</w:t>
            </w:r>
          </w:p>
        </w:tc>
      </w:tr>
      <w:tr w:rsidR="00AC4198" w:rsidRPr="006200DB" w14:paraId="365FB2C6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284ED9C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Vidal, 2016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France</w:t>
            </w:r>
          </w:p>
        </w:tc>
        <w:tc>
          <w:tcPr>
            <w:tcW w:w="554" w:type="pct"/>
            <w:vAlign w:val="center"/>
          </w:tcPr>
          <w:p w14:paraId="74068D4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 observational cohort; multicenter</w:t>
            </w:r>
          </w:p>
        </w:tc>
        <w:tc>
          <w:tcPr>
            <w:tcW w:w="531" w:type="pct"/>
            <w:vAlign w:val="center"/>
          </w:tcPr>
          <w:p w14:paraId="3A67A68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97 (22/75)</w:t>
            </w:r>
          </w:p>
        </w:tc>
        <w:tc>
          <w:tcPr>
            <w:tcW w:w="771" w:type="pct"/>
            <w:vAlign w:val="center"/>
          </w:tcPr>
          <w:p w14:paraId="356D587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97 (100%); metastatic disease, 72 (74.2%)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63 (range 39–89)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37 (38.2%)</w:t>
            </w:r>
          </w:p>
        </w:tc>
        <w:tc>
          <w:tcPr>
            <w:tcW w:w="1091" w:type="pct"/>
            <w:vAlign w:val="center"/>
          </w:tcPr>
          <w:p w14:paraId="3EE8E1D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TIVAD, 97 (100%); CR</w:t>
            </w:r>
            <w:r w:rsidRPr="006200DB">
              <w:rPr>
                <w:rFonts w:asciiTheme="majorBidi" w:hAnsiTheme="majorBidi" w:cstheme="majorBidi"/>
                <w:sz w:val="22"/>
              </w:rPr>
              <w:t>BSI, 82/97 (84.5%); CLABSI, 15/97 (15.5%). Local port-pocket/tunnel infection was an overlapping criterion in 32/97.</w:t>
            </w:r>
          </w:p>
        </w:tc>
        <w:tc>
          <w:tcPr>
            <w:tcW w:w="680" w:type="pct"/>
            <w:vAlign w:val="center"/>
          </w:tcPr>
          <w:p w14:paraId="072CEFE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ALT subgroup: CoNS, 14/22; Enterobacteriaceae, 7/22; other, NR. Overall cohort: 103 microorganisms; GP cocci 59/103 (57.3%), GN bacilli 42/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103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(40.8%), C. albicans 2/103 (1.9%).</w:t>
            </w:r>
          </w:p>
        </w:tc>
        <w:tc>
          <w:tcPr>
            <w:tcW w:w="831" w:type="pct"/>
            <w:vAlign w:val="center"/>
          </w:tcPr>
          <w:p w14:paraId="61FCB2A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Confirmed TIVAP-related infection was harmonized as CRBSI and probable TIVAP-related infection as CLABSI; local infection criteria could overlap with confirmed infection.</w:t>
            </w:r>
          </w:p>
        </w:tc>
      </w:tr>
      <w:tr w:rsidR="00AC4198" w:rsidRPr="006200DB" w14:paraId="24F2F2BE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105A2F8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Wintenberger, 2012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France</w:t>
            </w:r>
          </w:p>
        </w:tc>
        <w:tc>
          <w:tcPr>
            <w:tcW w:w="554" w:type="pct"/>
            <w:vAlign w:val="center"/>
          </w:tcPr>
          <w:p w14:paraId="6EDECAA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Retrospective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comparative observational cohort; single-center</w:t>
            </w:r>
          </w:p>
        </w:tc>
        <w:tc>
          <w:tcPr>
            <w:tcW w:w="531" w:type="pct"/>
            <w:vAlign w:val="center"/>
          </w:tcPr>
          <w:p w14:paraId="741041E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51 (31/20)</w:t>
            </w:r>
          </w:p>
        </w:tc>
        <w:tc>
          <w:tcPr>
            <w:tcW w:w="771" w:type="pct"/>
            <w:vAlign w:val="center"/>
          </w:tcPr>
          <w:p w14:paraId="2EBC21F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 for analytic cohort (overall cohort: malignancy, 70.3%; other, 29.7%; median age 59; female 42%)</w:t>
            </w:r>
          </w:p>
        </w:tc>
        <w:tc>
          <w:tcPr>
            <w:tcW w:w="1091" w:type="pct"/>
            <w:vAlign w:val="center"/>
          </w:tcPr>
          <w:p w14:paraId="0270CB3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 for analytic cohort (overall cohort: TIVAD, 56.0%; other CVCs, 42.9%); uncomplicated CLABSI</w:t>
            </w:r>
          </w:p>
        </w:tc>
        <w:tc>
          <w:tcPr>
            <w:tcW w:w="680" w:type="pct"/>
            <w:vAlign w:val="center"/>
          </w:tcPr>
          <w:p w14:paraId="3C31C55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for analytic cohort</w:t>
            </w:r>
          </w:p>
        </w:tc>
        <w:tc>
          <w:tcPr>
            <w:tcW w:w="831" w:type="pct"/>
            <w:vAlign w:val="center"/>
          </w:tcPr>
          <w:p w14:paraId="5C6B8C5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Mixed cohort; malignancy 70.3% in the overall cohort. Retained under the review’s approximately &gt;=70% target-population rule. Cancer-specific outcomes were not separately extractable; report outcomes as overall mixed-cohort results.</w:t>
            </w:r>
          </w:p>
        </w:tc>
      </w:tr>
      <w:tr w:rsidR="00AC4198" w:rsidRPr="006200DB" w14:paraId="23AECC8D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17572B6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Joo, 2011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South Korea</w:t>
            </w:r>
          </w:p>
        </w:tc>
        <w:tc>
          <w:tcPr>
            <w:tcW w:w="554" w:type="pct"/>
            <w:vAlign w:val="center"/>
          </w:tcPr>
          <w:p w14:paraId="0628FA1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6D0F1ED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38 (11/27)</w:t>
            </w:r>
          </w:p>
        </w:tc>
        <w:tc>
          <w:tcPr>
            <w:tcW w:w="771" w:type="pct"/>
            <w:vAlign w:val="center"/>
          </w:tcPr>
          <w:p w14:paraId="782014A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14 (36.8%); HM, 24 (63.2%); all patients were neutropenic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50 ± 15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18 (47.4%)</w:t>
            </w:r>
          </w:p>
        </w:tc>
        <w:tc>
          <w:tcPr>
            <w:tcW w:w="1091" w:type="pct"/>
            <w:vAlign w:val="center"/>
          </w:tcPr>
          <w:p w14:paraId="01C5E53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Tunneled CVC, 37 (97.4%); PICC, 1 (2.6%). Infection type for analytic n=38</w:t>
            </w:r>
            <w:r w:rsidRPr="006200DB">
              <w:rPr>
                <w:rFonts w:asciiTheme="majorBidi" w:hAnsiTheme="majorBidi" w:cstheme="majorBidi"/>
                <w:sz w:val="22"/>
              </w:rPr>
              <w:t>: NR. Overall cohort (n=51): CRBSI, 6; CLABSI, 31; local infection, 14.</w:t>
            </w:r>
          </w:p>
        </w:tc>
        <w:tc>
          <w:tcPr>
            <w:tcW w:w="680" w:type="pct"/>
            <w:vAlign w:val="center"/>
          </w:tcPr>
          <w:p w14:paraId="1FF7945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28/38 (73.7%); GN, 10/38 (26.3%). Main: CoNS, 18; S. aureus, 6; P. aeruginosa, 3; E. coli, 2.</w:t>
            </w:r>
          </w:p>
        </w:tc>
        <w:tc>
          <w:tcPr>
            <w:tcW w:w="831" w:type="pct"/>
            <w:vAlign w:val="center"/>
          </w:tcPr>
          <w:p w14:paraId="7802EF9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Analytic salvage cohort n=38; infection-type breakdown was not separately reported for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this subgroup. Overall-cohort infection categories should not be assigned to the analytic cohort.</w:t>
            </w:r>
          </w:p>
        </w:tc>
      </w:tr>
      <w:tr w:rsidR="00AC4198" w:rsidRPr="006200DB" w14:paraId="0DBBF323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03E9FC6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Del Pozo, 2009a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Spain</w:t>
            </w:r>
          </w:p>
        </w:tc>
        <w:tc>
          <w:tcPr>
            <w:tcW w:w="554" w:type="pct"/>
            <w:vAlign w:val="center"/>
          </w:tcPr>
          <w:p w14:paraId="4284408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Prospective, nonrandomized case series with sequential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treatment periods; single-center</w:t>
            </w:r>
          </w:p>
        </w:tc>
        <w:tc>
          <w:tcPr>
            <w:tcW w:w="531" w:type="pct"/>
            <w:vAlign w:val="center"/>
          </w:tcPr>
          <w:p w14:paraId="66AC375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44 (17/27)</w:t>
            </w:r>
          </w:p>
        </w:tc>
        <w:tc>
          <w:tcPr>
            <w:tcW w:w="771" w:type="pct"/>
            <w:vAlign w:val="center"/>
          </w:tcPr>
          <w:p w14:paraId="77D4A6B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37 (84.1%); HM, 7 (15.9%); neut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ropenia, 10 (22.7%)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 xml:space="preserve">Age: Mean 56.7 ±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13.1 vs 44.4 ± 18.6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24 (54.5%)</w:t>
            </w:r>
          </w:p>
        </w:tc>
        <w:tc>
          <w:tcPr>
            <w:tcW w:w="1091" w:type="pct"/>
            <w:vAlign w:val="center"/>
          </w:tcPr>
          <w:p w14:paraId="340D136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TIVAD; CRBSI Complicated/local/polymicrobial infections excluded.</w:t>
            </w:r>
          </w:p>
        </w:tc>
        <w:tc>
          <w:tcPr>
            <w:tcW w:w="680" w:type="pct"/>
            <w:vAlign w:val="center"/>
          </w:tcPr>
          <w:p w14:paraId="74AE043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GP: CoNS, 44 (100%)</w:t>
            </w:r>
          </w:p>
        </w:tc>
        <w:tc>
          <w:tcPr>
            <w:tcW w:w="831" w:type="pct"/>
            <w:vAlign w:val="center"/>
          </w:tcPr>
          <w:p w14:paraId="52E3F1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 additional scope issue identified from the current extraction table.</w:t>
            </w:r>
          </w:p>
        </w:tc>
      </w:tr>
      <w:tr w:rsidR="00AC4198" w:rsidRPr="006200DB" w14:paraId="5AE7121C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7E6B456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Fortún, 2006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Spain</w:t>
            </w:r>
          </w:p>
        </w:tc>
        <w:tc>
          <w:tcPr>
            <w:tcW w:w="554" w:type="pct"/>
            <w:vAlign w:val="center"/>
          </w:tcPr>
          <w:p w14:paraId="7452696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trospective cohort with historical controls; single-center</w:t>
            </w:r>
          </w:p>
        </w:tc>
        <w:tc>
          <w:tcPr>
            <w:tcW w:w="531" w:type="pct"/>
            <w:vAlign w:val="center"/>
          </w:tcPr>
          <w:p w14:paraId="18A20D9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48 (19/29)</w:t>
            </w:r>
          </w:p>
        </w:tc>
        <w:tc>
          <w:tcPr>
            <w:tcW w:w="771" w:type="pct"/>
            <w:vAlign w:val="center"/>
          </w:tcPr>
          <w:p w14:paraId="1BF0928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Mixed cohort: ST, 14; HM, 21; other, 13 (oncology/hematology 35/48, 72.9%). Age: median 52 vs 58 years. Female: 60.4% overall.</w:t>
            </w:r>
          </w:p>
        </w:tc>
        <w:tc>
          <w:tcPr>
            <w:tcW w:w="1091" w:type="pct"/>
            <w:vAlign w:val="center"/>
          </w:tcPr>
          <w:p w14:paraId="7733219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TIVAD, 28 (58.3%); tunneled CVC, 20 (41.7%); CRBSI.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Complicated/local infections excluded.</w:t>
            </w:r>
          </w:p>
        </w:tc>
        <w:tc>
          <w:tcPr>
            <w:tcW w:w="680" w:type="pct"/>
            <w:vAlign w:val="center"/>
          </w:tcPr>
          <w:p w14:paraId="7F9D373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ALT vs control: CoNS, 73.7% vs 65.5%; S. aureus, 15.8% vs 13.8%; GN bacilli, 10.5% vs 20.7%.</w:t>
            </w:r>
          </w:p>
        </w:tc>
        <w:tc>
          <w:tcPr>
            <w:tcW w:w="831" w:type="pct"/>
            <w:vAlign w:val="center"/>
          </w:tcPr>
          <w:p w14:paraId="4D5BEED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Mixed cohort retained under the review's approximately ≥70% target-population rule; cancer-specific outcomes were not separa</w:t>
            </w:r>
            <w:r w:rsidRPr="006200DB">
              <w:rPr>
                <w:rFonts w:asciiTheme="majorBidi" w:hAnsiTheme="majorBidi" w:cstheme="majorBidi"/>
                <w:sz w:val="22"/>
              </w:rPr>
              <w:t>tely extractable. Report comparative outcomes as overall mixed-cohort data.</w:t>
            </w:r>
          </w:p>
        </w:tc>
      </w:tr>
      <w:tr w:rsidR="00B05A97" w:rsidRPr="006200DB" w14:paraId="61F3B243" w14:textId="77777777" w:rsidTr="006200DB">
        <w:trPr>
          <w:trHeight w:val="576"/>
        </w:trPr>
        <w:tc>
          <w:tcPr>
            <w:tcW w:w="5000" w:type="pct"/>
            <w:gridSpan w:val="7"/>
            <w:vAlign w:val="center"/>
          </w:tcPr>
          <w:p w14:paraId="6DAEB21B" w14:textId="77777777" w:rsidR="00B05A97" w:rsidRPr="006200DB" w:rsidRDefault="00C43FE3" w:rsidP="006200DB">
            <w:pPr>
              <w:keepNext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Prospective single-arm interventional studies</w:t>
            </w:r>
          </w:p>
        </w:tc>
      </w:tr>
      <w:tr w:rsidR="00AC4198" w:rsidRPr="006200DB" w14:paraId="5D7966B6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5D0AA94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Lebeaux, 2025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France</w:t>
            </w:r>
          </w:p>
        </w:tc>
        <w:tc>
          <w:tcPr>
            <w:tcW w:w="554" w:type="pct"/>
            <w:vAlign w:val="center"/>
          </w:tcPr>
          <w:p w14:paraId="7D0DDD9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 phase I/II pilot trial; multicenter</w:t>
            </w:r>
          </w:p>
        </w:tc>
        <w:tc>
          <w:tcPr>
            <w:tcW w:w="531" w:type="pct"/>
            <w:vAlign w:val="center"/>
          </w:tcPr>
          <w:p w14:paraId="17F9E16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6 evaluable cancer patients (single-arm)</w:t>
            </w:r>
          </w:p>
        </w:tc>
        <w:tc>
          <w:tcPr>
            <w:tcW w:w="771" w:type="pct"/>
            <w:vAlign w:val="center"/>
          </w:tcPr>
          <w:p w14:paraId="68495BF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Cancer. Demographics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for the 6-patient evaluable subset: NR (overall cancer cohort n=7: median age 69 years [range 48–83]; female 4/7).</w:t>
            </w:r>
          </w:p>
        </w:tc>
        <w:tc>
          <w:tcPr>
            <w:tcW w:w="1091" w:type="pct"/>
            <w:vAlign w:val="center"/>
          </w:tcPr>
          <w:p w14:paraId="615A4FB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CRBSI. Complicated/local infections excluded.</w:t>
            </w:r>
          </w:p>
        </w:tc>
        <w:tc>
          <w:tcPr>
            <w:tcW w:w="680" w:type="pct"/>
            <w:vAlign w:val="center"/>
          </w:tcPr>
          <w:p w14:paraId="60B0639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Eligible n=6: P. aeruginosa, 2/6 (33.3%); CoNS, 3/6 (50.0%; S. epidermidis, S. hominis, </w:t>
            </w:r>
            <w:r w:rsidRPr="006200DB">
              <w:rPr>
                <w:rFonts w:asciiTheme="majorBidi" w:hAnsiTheme="majorBidi" w:cstheme="majorBidi"/>
                <w:sz w:val="22"/>
              </w:rPr>
              <w:t>S. haemolyticus); Enterobacterales, 1/6 (16.7%; E. coli).</w:t>
            </w:r>
          </w:p>
        </w:tc>
        <w:tc>
          <w:tcPr>
            <w:tcW w:w="831" w:type="pct"/>
            <w:vAlign w:val="center"/>
          </w:tcPr>
          <w:p w14:paraId="69EA52D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Review sample restricted to 6 evaluable cancer patients; broader cancer-cohort characteristics are labelled separately.</w:t>
            </w:r>
          </w:p>
        </w:tc>
      </w:tr>
      <w:tr w:rsidR="00AC4198" w:rsidRPr="006200DB" w14:paraId="35D1B933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1566351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Broom, 2008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Australia and New Zealand</w:t>
            </w:r>
          </w:p>
        </w:tc>
        <w:tc>
          <w:tcPr>
            <w:tcW w:w="554" w:type="pct"/>
            <w:vAlign w:val="center"/>
          </w:tcPr>
          <w:p w14:paraId="0D0EF56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 pilot study; multicenter</w:t>
            </w:r>
          </w:p>
        </w:tc>
        <w:tc>
          <w:tcPr>
            <w:tcW w:w="531" w:type="pct"/>
            <w:vAlign w:val="center"/>
          </w:tcPr>
          <w:p w14:paraId="11E8CED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19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enrolled; 17 evaluable for outcome assessment</w:t>
            </w:r>
          </w:p>
        </w:tc>
        <w:tc>
          <w:tcPr>
            <w:tcW w:w="771" w:type="pct"/>
            <w:vAlign w:val="center"/>
          </w:tcPr>
          <w:p w14:paraId="2B544CA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HM, 18 (94.7%); other, 1 (5.3%); neutropenia, 12 (63.2%)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 xml:space="preserve">Age: Median 47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(range 15–73)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8 (42.1%)</w:t>
            </w:r>
          </w:p>
        </w:tc>
        <w:tc>
          <w:tcPr>
            <w:tcW w:w="1091" w:type="pct"/>
            <w:vAlign w:val="center"/>
          </w:tcPr>
          <w:p w14:paraId="5C0D52C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Tunneled CVC, 17 (89.5%); TIVAD, 2 (10.5%); CLABSI. Complicated/local infections excluded.</w:t>
            </w:r>
          </w:p>
        </w:tc>
        <w:tc>
          <w:tcPr>
            <w:tcW w:w="680" w:type="pct"/>
            <w:vAlign w:val="center"/>
          </w:tcPr>
          <w:p w14:paraId="062D40F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4 (21.1%);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GN, 8 (42.1%); polymicrobial, 7 (36.8%). Main: CoNS, 5; P.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aeruginosa/E. coli/A. baumannii, 2 each.</w:t>
            </w:r>
          </w:p>
        </w:tc>
        <w:tc>
          <w:tcPr>
            <w:tcW w:w="831" w:type="pct"/>
            <w:vAlign w:val="center"/>
          </w:tcPr>
          <w:p w14:paraId="1120E3D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Predominantly HM cohort. Two enrolled patients were not evaluable for the reported efficacy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outcomes; efficacy denominators use n=17.</w:t>
            </w:r>
          </w:p>
        </w:tc>
      </w:tr>
      <w:tr w:rsidR="00AC4198" w:rsidRPr="006200DB" w14:paraId="46322A6C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49BAAA4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Koldehoff &amp; Zakrzews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ki, 2004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Germany</w:t>
            </w:r>
          </w:p>
        </w:tc>
        <w:tc>
          <w:tcPr>
            <w:tcW w:w="554" w:type="pct"/>
            <w:vAlign w:val="center"/>
          </w:tcPr>
          <w:p w14:paraId="19241E7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 pilot study; single-center</w:t>
            </w:r>
          </w:p>
        </w:tc>
        <w:tc>
          <w:tcPr>
            <w:tcW w:w="531" w:type="pct"/>
            <w:vAlign w:val="center"/>
          </w:tcPr>
          <w:p w14:paraId="19B1BAE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11 (single-arm)</w:t>
            </w:r>
          </w:p>
        </w:tc>
        <w:tc>
          <w:tcPr>
            <w:tcW w:w="771" w:type="pct"/>
            <w:vAlign w:val="center"/>
          </w:tcPr>
          <w:p w14:paraId="525C43E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8 (72.7%); HM, 3 (27.3%)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64.5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8 (72.7%)</w:t>
            </w:r>
          </w:p>
        </w:tc>
        <w:tc>
          <w:tcPr>
            <w:tcW w:w="1091" w:type="pct"/>
            <w:vAlign w:val="center"/>
          </w:tcPr>
          <w:p w14:paraId="38A5C4C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CRBSI unresponsive to 48–72 h of intravenous antimicrobial therapy. Local/fungal infections excluded.</w:t>
            </w:r>
          </w:p>
        </w:tc>
        <w:tc>
          <w:tcPr>
            <w:tcW w:w="680" w:type="pct"/>
            <w:vAlign w:val="center"/>
          </w:tcPr>
          <w:p w14:paraId="4A7B6B5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GP, 5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(45.5%); GN, 6 (54.5%). Main: CoNS, 4 (36.4%); Acinetobacter baumannii, 2 (18.2%)</w:t>
            </w:r>
          </w:p>
        </w:tc>
        <w:tc>
          <w:tcPr>
            <w:tcW w:w="831" w:type="pct"/>
            <w:vAlign w:val="center"/>
          </w:tcPr>
          <w:p w14:paraId="7BD219B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 additional scope issue identified from the current extraction table.</w:t>
            </w:r>
          </w:p>
        </w:tc>
      </w:tr>
      <w:tr w:rsidR="00AC4198" w:rsidRPr="006200DB" w14:paraId="3BB5291E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0D92451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Viale, 2003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Italy</w:t>
            </w:r>
          </w:p>
        </w:tc>
        <w:tc>
          <w:tcPr>
            <w:tcW w:w="554" w:type="pct"/>
            <w:vAlign w:val="center"/>
          </w:tcPr>
          <w:p w14:paraId="3F70F3E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Prospective, open-label, uncontrolled pilot study; multicenter</w:t>
            </w:r>
          </w:p>
        </w:tc>
        <w:tc>
          <w:tcPr>
            <w:tcW w:w="531" w:type="pct"/>
            <w:vAlign w:val="center"/>
          </w:tcPr>
          <w:p w14:paraId="6B4A6E8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 (single-arm)</w:t>
            </w:r>
          </w:p>
        </w:tc>
        <w:tc>
          <w:tcPr>
            <w:tcW w:w="771" w:type="pct"/>
            <w:vAlign w:val="center"/>
          </w:tcPr>
          <w:p w14:paraId="217F7AC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2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(22.2%); HM, 7 (77.8%)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54.7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</w:t>
            </w:r>
          </w:p>
        </w:tc>
        <w:tc>
          <w:tcPr>
            <w:tcW w:w="1091" w:type="pct"/>
            <w:vAlign w:val="center"/>
          </w:tcPr>
          <w:p w14:paraId="3294F0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TIVAD, 2 (22.2%); tunneled CVC, 6 (66.7%); non-tunneled CVC, 1 (11.1%); CRBSI Complicated/local/fungal infections excluded.</w:t>
            </w:r>
          </w:p>
        </w:tc>
        <w:tc>
          <w:tcPr>
            <w:tcW w:w="680" w:type="pct"/>
            <w:vAlign w:val="center"/>
          </w:tcPr>
          <w:p w14:paraId="16E2811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7 (77.8%): MRSE, 6 (66.7%); MRSA, 1 (11.1%). GN, 2 (22.2%): A. baumannii, 1 (1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1.1%); Aeromonas spp., 1 (11.1%)</w:t>
            </w:r>
          </w:p>
        </w:tc>
        <w:tc>
          <w:tcPr>
            <w:tcW w:w="831" w:type="pct"/>
            <w:vAlign w:val="center"/>
          </w:tcPr>
          <w:p w14:paraId="0A7EC0C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 additional scope issue identified from the current extraction table.</w:t>
            </w:r>
          </w:p>
        </w:tc>
      </w:tr>
      <w:tr w:rsidR="00B05A97" w:rsidRPr="006200DB" w14:paraId="39815EEC" w14:textId="77777777" w:rsidTr="006200DB">
        <w:trPr>
          <w:trHeight w:val="576"/>
        </w:trPr>
        <w:tc>
          <w:tcPr>
            <w:tcW w:w="5000" w:type="pct"/>
            <w:gridSpan w:val="7"/>
            <w:vAlign w:val="center"/>
          </w:tcPr>
          <w:p w14:paraId="2FF7338C" w14:textId="77777777" w:rsidR="00B05A97" w:rsidRPr="006200DB" w:rsidRDefault="00C43FE3" w:rsidP="006200DB">
            <w:pPr>
              <w:keepNext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Uncontrolled observational studies or case series</w:t>
            </w:r>
          </w:p>
        </w:tc>
      </w:tr>
      <w:tr w:rsidR="00AC4198" w:rsidRPr="006200DB" w14:paraId="6A3AE8AC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33234E2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Bayoudh, 2024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Belgium</w:t>
            </w:r>
          </w:p>
        </w:tc>
        <w:tc>
          <w:tcPr>
            <w:tcW w:w="554" w:type="pct"/>
            <w:vAlign w:val="center"/>
          </w:tcPr>
          <w:p w14:paraId="6C797CB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case series; single-center</w:t>
            </w:r>
          </w:p>
        </w:tc>
        <w:tc>
          <w:tcPr>
            <w:tcW w:w="531" w:type="pct"/>
            <w:vAlign w:val="center"/>
          </w:tcPr>
          <w:p w14:paraId="0BB256D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17 (single-arm)</w:t>
            </w:r>
          </w:p>
        </w:tc>
        <w:tc>
          <w:tcPr>
            <w:tcW w:w="771" w:type="pct"/>
            <w:vAlign w:val="center"/>
          </w:tcPr>
          <w:p w14:paraId="53B95DC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HCT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NR (overall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cohort: median 52 years [range 17–72])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 (overall cohort: 29%)</w:t>
            </w:r>
          </w:p>
        </w:tc>
        <w:tc>
          <w:tcPr>
            <w:tcW w:w="1091" w:type="pct"/>
            <w:vAlign w:val="center"/>
          </w:tcPr>
          <w:p w14:paraId="094F6A9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Uncomplicated CRBSI</w:t>
            </w:r>
          </w:p>
        </w:tc>
        <w:tc>
          <w:tcPr>
            <w:tcW w:w="680" w:type="pct"/>
            <w:vAlign w:val="center"/>
          </w:tcPr>
          <w:p w14:paraId="46B81D4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GP: CoNS, 17 (100%)</w:t>
            </w:r>
          </w:p>
        </w:tc>
        <w:tc>
          <w:tcPr>
            <w:tcW w:w="831" w:type="pct"/>
            <w:vAlign w:val="center"/>
          </w:tcPr>
          <w:p w14:paraId="20474BF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Some characteristics were available only for the broader overall cohort. Mixed-age cohort/range includes participants &lt;18 years; adult-s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pecific extractability requires confirmation.</w:t>
            </w:r>
          </w:p>
        </w:tc>
      </w:tr>
      <w:tr w:rsidR="00AC4198" w:rsidRPr="006200DB" w14:paraId="6657606F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70FCFE6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Vassallo, 2024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France</w:t>
            </w:r>
          </w:p>
        </w:tc>
        <w:tc>
          <w:tcPr>
            <w:tcW w:w="554" w:type="pct"/>
            <w:vAlign w:val="center"/>
          </w:tcPr>
          <w:p w14:paraId="34B983A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multicenter</w:t>
            </w:r>
          </w:p>
        </w:tc>
        <w:tc>
          <w:tcPr>
            <w:tcW w:w="531" w:type="pct"/>
            <w:vAlign w:val="center"/>
          </w:tcPr>
          <w:p w14:paraId="4BFD42D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22 (single-arm)</w:t>
            </w:r>
          </w:p>
        </w:tc>
        <w:tc>
          <w:tcPr>
            <w:tcW w:w="771" w:type="pct"/>
            <w:vAlign w:val="center"/>
          </w:tcPr>
          <w:p w14:paraId="4DFAE8E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19 (86.4%); HM, 2 (9.1%); other, 1 (4.5%)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64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9 (40.9%)</w:t>
            </w:r>
          </w:p>
        </w:tc>
        <w:tc>
          <w:tcPr>
            <w:tcW w:w="1091" w:type="pct"/>
            <w:vAlign w:val="center"/>
          </w:tcPr>
          <w:p w14:paraId="2DC5F73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CRBSI</w:t>
            </w:r>
          </w:p>
        </w:tc>
        <w:tc>
          <w:tcPr>
            <w:tcW w:w="680" w:type="pct"/>
            <w:vAlign w:val="center"/>
          </w:tcPr>
          <w:p w14:paraId="1EA9677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GP: CoNS, 22 (100%)</w:t>
            </w:r>
          </w:p>
        </w:tc>
        <w:tc>
          <w:tcPr>
            <w:tcW w:w="831" w:type="pct"/>
            <w:vAlign w:val="center"/>
          </w:tcPr>
          <w:p w14:paraId="63F26D4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Mixed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oncologic/non-oncologic population or subgroup reporting.</w:t>
            </w:r>
          </w:p>
        </w:tc>
      </w:tr>
      <w:tr w:rsidR="00AC4198" w:rsidRPr="006200DB" w14:paraId="7FAADF2A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411B772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Lafaurie, 2023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France</w:t>
            </w:r>
          </w:p>
        </w:tc>
        <w:tc>
          <w:tcPr>
            <w:tcW w:w="554" w:type="pct"/>
            <w:vAlign w:val="center"/>
          </w:tcPr>
          <w:p w14:paraId="55B65A5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 observational cohort; multicenter</w:t>
            </w:r>
          </w:p>
        </w:tc>
        <w:tc>
          <w:tcPr>
            <w:tcW w:w="531" w:type="pct"/>
            <w:vAlign w:val="center"/>
          </w:tcPr>
          <w:p w14:paraId="4FB5D47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100 (single-arm)</w:t>
            </w:r>
          </w:p>
        </w:tc>
        <w:tc>
          <w:tcPr>
            <w:tcW w:w="771" w:type="pct"/>
            <w:vAlign w:val="center"/>
          </w:tcPr>
          <w:p w14:paraId="0DA5A16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75 (75.0%); HM, 21 (21.0%); cancer type missing, 4 (4.0%); neutropenia, 8 (8.0%)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63 (IQR 53–72)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</w:r>
            <w:r w:rsidRPr="006200DB">
              <w:rPr>
                <w:rFonts w:asciiTheme="majorBidi" w:eastAsia="Arial" w:hAnsiTheme="majorBidi" w:cstheme="majorBidi"/>
                <w:sz w:val="22"/>
              </w:rPr>
              <w:t>Female: 47 (47.0%)</w:t>
            </w:r>
          </w:p>
        </w:tc>
        <w:tc>
          <w:tcPr>
            <w:tcW w:w="1091" w:type="pct"/>
            <w:vAlign w:val="center"/>
          </w:tcPr>
          <w:p w14:paraId="262E4FD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CRBSI, 80 (80.0%); CLABSI, 20 (20.0%). Complicated/local infections excluded.</w:t>
            </w:r>
          </w:p>
        </w:tc>
        <w:tc>
          <w:tcPr>
            <w:tcW w:w="680" w:type="pct"/>
            <w:vAlign w:val="center"/>
          </w:tcPr>
          <w:p w14:paraId="59B9363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GP: CoNS, 96 (100%). Methicillin-susceptible CoNS, 33 (35%); gentamicin-susceptible CoNS, 49 (56%)</w:t>
            </w:r>
          </w:p>
        </w:tc>
        <w:tc>
          <w:tcPr>
            <w:tcW w:w="831" w:type="pct"/>
            <w:vAlign w:val="center"/>
          </w:tcPr>
          <w:p w14:paraId="31615FF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 additional scope issue identified from the current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extraction table.</w:t>
            </w:r>
          </w:p>
        </w:tc>
      </w:tr>
      <w:tr w:rsidR="00AC4198" w:rsidRPr="006200DB" w14:paraId="3372338D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5940520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Brescia, 2023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Italy</w:t>
            </w:r>
          </w:p>
        </w:tc>
        <w:tc>
          <w:tcPr>
            <w:tcW w:w="554" w:type="pct"/>
            <w:vAlign w:val="center"/>
          </w:tcPr>
          <w:p w14:paraId="1398D06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6880002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26 (single-arm)</w:t>
            </w:r>
          </w:p>
        </w:tc>
        <w:tc>
          <w:tcPr>
            <w:tcW w:w="771" w:type="pct"/>
            <w:vAlign w:val="center"/>
          </w:tcPr>
          <w:p w14:paraId="1192678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18 (69.2%); HM, 8 (30.8%)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NR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12 (46.2%)</w:t>
            </w:r>
          </w:p>
        </w:tc>
        <w:tc>
          <w:tcPr>
            <w:tcW w:w="1091" w:type="pct"/>
            <w:vAlign w:val="center"/>
          </w:tcPr>
          <w:p w14:paraId="389A88F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TIVAD; CRBSI, 24 (92.3%); catheter colonization, 2 (7.7%). local, and fungal infections were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excluded.</w:t>
            </w:r>
          </w:p>
        </w:tc>
        <w:tc>
          <w:tcPr>
            <w:tcW w:w="680" w:type="pct"/>
            <w:vAlign w:val="center"/>
          </w:tcPr>
          <w:p w14:paraId="1B84A32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CRBSI: GN, 13/24 (54.2%); GP, 10/24 (41.7%); polymicrobial, 1/24. Main: E. coli, 10; S. epidermidis, 6; S. aureus, 2. Colonization: S. epidermidis, 1; P. aeruginosa, 1.</w:t>
            </w:r>
          </w:p>
        </w:tc>
        <w:tc>
          <w:tcPr>
            <w:tcW w:w="831" w:type="pct"/>
            <w:vAlign w:val="center"/>
          </w:tcPr>
          <w:p w14:paraId="4A72DC1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Includes catheter colonization; CRBSI-specific separability should be retaine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d in analyses.</w:t>
            </w:r>
          </w:p>
        </w:tc>
      </w:tr>
      <w:tr w:rsidR="00AC4198" w:rsidRPr="006200DB" w14:paraId="5C78F49B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3F306FD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Krümpelmann, 2021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Germany</w:t>
            </w:r>
          </w:p>
        </w:tc>
        <w:tc>
          <w:tcPr>
            <w:tcW w:w="554" w:type="pct"/>
            <w:vAlign w:val="center"/>
          </w:tcPr>
          <w:p w14:paraId="403FF0E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multicenter</w:t>
            </w:r>
          </w:p>
        </w:tc>
        <w:tc>
          <w:tcPr>
            <w:tcW w:w="531" w:type="pct"/>
            <w:vAlign w:val="center"/>
          </w:tcPr>
          <w:p w14:paraId="7009F80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52 eligible adults (single-arm); 4 non-target patients excluded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from the 56-patient conservative-treatment cohort</w:t>
            </w:r>
          </w:p>
        </w:tc>
        <w:tc>
          <w:tcPr>
            <w:tcW w:w="771" w:type="pct"/>
            <w:vAlign w:val="center"/>
          </w:tcPr>
          <w:p w14:paraId="497C24A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 xml:space="preserve">ST, 33 (63.5%); HM, 19 (36.5%) / Age: NR for 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eligible n=52 (overall conservative-treatment cohort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n=56: mean 58.8 years) / Female: NR for eligible n=52 (overall cohort n=56: 25 [44.6%])</w:t>
            </w:r>
          </w:p>
        </w:tc>
        <w:tc>
          <w:tcPr>
            <w:tcW w:w="1091" w:type="pct"/>
            <w:vAlign w:val="center"/>
          </w:tcPr>
          <w:p w14:paraId="3A967F2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TIVAD; CRBSI/CLABSI</w:t>
            </w:r>
          </w:p>
        </w:tc>
        <w:tc>
          <w:tcPr>
            <w:tcW w:w="680" w:type="pct"/>
            <w:vAlign w:val="center"/>
          </w:tcPr>
          <w:p w14:paraId="3A997B6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Eligible n=52: NR. Overall cohort: GP 62.2%; GN 20.9%; yeast 17.0%; main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organisms included CoN</w:t>
            </w:r>
            <w:r w:rsidRPr="006200DB">
              <w:rPr>
                <w:rFonts w:asciiTheme="majorBidi" w:hAnsiTheme="majorBidi" w:cstheme="majorBidi"/>
                <w:sz w:val="22"/>
              </w:rPr>
              <w:t>S 30.0%, S. aureus 23.0%, C. albicans 7.4%, and P. aeruginosa 6.1%.</w:t>
            </w:r>
          </w:p>
        </w:tc>
        <w:tc>
          <w:tcPr>
            <w:tcW w:w="831" w:type="pct"/>
            <w:vAlign w:val="center"/>
          </w:tcPr>
          <w:p w14:paraId="2D20C02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 xml:space="preserve">Review-specific population restricted to 52 oncology patients; four non-target patients excluded.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Characteristics not separately reported for the eligible subset are labelled as overall-co</w:t>
            </w:r>
            <w:r w:rsidRPr="006200DB">
              <w:rPr>
                <w:rFonts w:asciiTheme="majorBidi" w:hAnsiTheme="majorBidi" w:cstheme="majorBidi"/>
                <w:sz w:val="22"/>
              </w:rPr>
              <w:t>hort data.</w:t>
            </w:r>
          </w:p>
        </w:tc>
      </w:tr>
      <w:tr w:rsidR="00AC4198" w:rsidRPr="006200DB" w14:paraId="772EC14B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274CC6F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Alonso, 2020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Spain</w:t>
            </w:r>
          </w:p>
        </w:tc>
        <w:tc>
          <w:tcPr>
            <w:tcW w:w="554" w:type="pct"/>
            <w:vAlign w:val="center"/>
          </w:tcPr>
          <w:p w14:paraId="477A81D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41D5171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76 (single-arm)</w:t>
            </w:r>
          </w:p>
        </w:tc>
        <w:tc>
          <w:tcPr>
            <w:tcW w:w="771" w:type="pct"/>
            <w:vAlign w:val="center"/>
          </w:tcPr>
          <w:p w14:paraId="26E28C7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39 (51.3%); HM, 34 (44.7%); other, 3 (3.9%)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58 (IQR 48–69)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35 (46.1%)</w:t>
            </w:r>
          </w:p>
        </w:tc>
        <w:tc>
          <w:tcPr>
            <w:tcW w:w="1091" w:type="pct"/>
            <w:vAlign w:val="center"/>
          </w:tcPr>
          <w:p w14:paraId="5C3482C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TIVAD, 44 (57.9%); tunneled CVC, 29 (38.2%); dialysis catheter, 3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(3.9%); CRBSI</w:t>
            </w:r>
          </w:p>
        </w:tc>
        <w:tc>
          <w:tcPr>
            <w:tcW w:w="680" w:type="pct"/>
            <w:vAlign w:val="center"/>
          </w:tcPr>
          <w:p w14:paraId="658A17A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76 (100%): CoNS, 65 (85.5%); S. aureus, 11 (14.5%)</w:t>
            </w:r>
          </w:p>
        </w:tc>
        <w:tc>
          <w:tcPr>
            <w:tcW w:w="831" w:type="pct"/>
            <w:vAlign w:val="center"/>
          </w:tcPr>
          <w:p w14:paraId="7DBA828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Mixed oncologic/non-oncologic population or subgroup reporting. Dialysis catheters were represented in the cohort. Accessible primary-source summary supports median age 58 (IQR 48–69); p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rior “mixed adult–pediatric” limitation was not retained without full-text confirmation.</w:t>
            </w:r>
          </w:p>
        </w:tc>
      </w:tr>
      <w:tr w:rsidR="00AC4198" w:rsidRPr="006200DB" w14:paraId="25EA300C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57BA607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Ahmad, 2019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Denmark</w:t>
            </w:r>
          </w:p>
        </w:tc>
        <w:tc>
          <w:tcPr>
            <w:tcW w:w="554" w:type="pct"/>
            <w:vAlign w:val="center"/>
          </w:tcPr>
          <w:p w14:paraId="2412B52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7CBD6F4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71 (single-arm)</w:t>
            </w:r>
          </w:p>
        </w:tc>
        <w:tc>
          <w:tcPr>
            <w:tcW w:w="771" w:type="pct"/>
            <w:vAlign w:val="center"/>
          </w:tcPr>
          <w:p w14:paraId="0A6351F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HM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49.9 ± 18.0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</w:t>
            </w:r>
          </w:p>
        </w:tc>
        <w:tc>
          <w:tcPr>
            <w:tcW w:w="1091" w:type="pct"/>
            <w:vAlign w:val="center"/>
          </w:tcPr>
          <w:p w14:paraId="1F4C096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Tunneled CVC; CLABSI</w:t>
            </w:r>
          </w:p>
        </w:tc>
        <w:tc>
          <w:tcPr>
            <w:tcW w:w="680" w:type="pct"/>
            <w:vAlign w:val="center"/>
          </w:tcPr>
          <w:p w14:paraId="4310C53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GP, 51 (71.8%); GN, 18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(25.4%). Main: CoNS, 24 (33.8%); Enterococcus spp., 10 (14.1%); E. coli, 10 (14.1%); Fusarium spp., 1.</w:t>
            </w:r>
          </w:p>
        </w:tc>
        <w:tc>
          <w:tcPr>
            <w:tcW w:w="831" w:type="pct"/>
            <w:vAlign w:val="center"/>
          </w:tcPr>
          <w:p w14:paraId="756B06A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 additional scope issue identified from the current extraction table.</w:t>
            </w:r>
          </w:p>
        </w:tc>
      </w:tr>
      <w:tr w:rsidR="00AC4198" w:rsidRPr="006200DB" w14:paraId="6D08D046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2442030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Vassallo, 2017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France</w:t>
            </w:r>
          </w:p>
        </w:tc>
        <w:tc>
          <w:tcPr>
            <w:tcW w:w="554" w:type="pct"/>
            <w:vAlign w:val="center"/>
          </w:tcPr>
          <w:p w14:paraId="137A954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Retrospective observational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cohort; single-center</w:t>
            </w:r>
          </w:p>
        </w:tc>
        <w:tc>
          <w:tcPr>
            <w:tcW w:w="531" w:type="pct"/>
            <w:vAlign w:val="center"/>
          </w:tcPr>
          <w:p w14:paraId="60BEBDE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21 CRBSI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episodes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among 20 patients (single-arm)</w:t>
            </w:r>
          </w:p>
        </w:tc>
        <w:tc>
          <w:tcPr>
            <w:tcW w:w="771" w:type="pct"/>
            <w:vAlign w:val="center"/>
          </w:tcPr>
          <w:p w14:paraId="10884E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Metastatic ST, 9/20 (45.0%);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nonmetastatic ST, 9/20 (45.0%); other neoplasia, 2/20 (10.0%)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67 (range 45–84)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8/20 (40.0%)</w:t>
            </w:r>
          </w:p>
        </w:tc>
        <w:tc>
          <w:tcPr>
            <w:tcW w:w="1091" w:type="pct"/>
            <w:vAlign w:val="center"/>
          </w:tcPr>
          <w:p w14:paraId="583F94D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TIVAD; CRBSI</w:t>
            </w:r>
          </w:p>
        </w:tc>
        <w:tc>
          <w:tcPr>
            <w:tcW w:w="680" w:type="pct"/>
            <w:vAlign w:val="center"/>
          </w:tcPr>
          <w:p w14:paraId="1A3F0E2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GP: CoNS, 21 (100%)</w:t>
            </w:r>
          </w:p>
        </w:tc>
        <w:tc>
          <w:tcPr>
            <w:tcW w:w="831" w:type="pct"/>
            <w:vAlign w:val="center"/>
          </w:tcPr>
          <w:p w14:paraId="000F7BB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Mixed oncologic/non-oncologic population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or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subgroup reporting. Primary report describes 21 episodes in 20 cancer patients; episode and patient denominators should remain distinct.</w:t>
            </w:r>
          </w:p>
        </w:tc>
      </w:tr>
      <w:tr w:rsidR="00AC4198" w:rsidRPr="006200DB" w14:paraId="686AC5D2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062AF64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Santarpia, 2016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Italy</w:t>
            </w:r>
          </w:p>
        </w:tc>
        <w:tc>
          <w:tcPr>
            <w:tcW w:w="554" w:type="pct"/>
            <w:vAlign w:val="center"/>
          </w:tcPr>
          <w:p w14:paraId="3936079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68CDD58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33 (single-arm)</w:t>
            </w:r>
          </w:p>
        </w:tc>
        <w:tc>
          <w:tcPr>
            <w:tcW w:w="771" w:type="pct"/>
            <w:vAlign w:val="center"/>
          </w:tcPr>
          <w:p w14:paraId="3B85027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NR (overall cohort: ST,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73.8%; other, 26.2%)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NR (overall cohort: mean 62.0 ± 13.5; range 16–88)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 (overall cohort: 47%)</w:t>
            </w:r>
          </w:p>
        </w:tc>
        <w:tc>
          <w:tcPr>
            <w:tcW w:w="1091" w:type="pct"/>
            <w:vAlign w:val="center"/>
          </w:tcPr>
          <w:p w14:paraId="78BD77E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 (overall catheter dataset: TIVAD, 52.5%; tunneled CVC, 15.5%; non-tunneled CVC, 20.6%; PICC, 11.3%); CRBSI/CLABSI</w:t>
            </w:r>
          </w:p>
        </w:tc>
        <w:tc>
          <w:tcPr>
            <w:tcW w:w="680" w:type="pct"/>
            <w:vAlign w:val="center"/>
          </w:tcPr>
          <w:p w14:paraId="17AEF5B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Cancer subgroup NR. Overall C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RBSIs: GP, 78.6%; GN, 30.0%; polymicrobial, 21.4%. Main: CoNS, 34.3%; S. aureus, 10.0%; Klebsiella spp., 11.4%.</w:t>
            </w:r>
          </w:p>
        </w:tc>
        <w:tc>
          <w:tcPr>
            <w:tcW w:w="831" w:type="pct"/>
            <w:vAlign w:val="center"/>
          </w:tcPr>
          <w:p w14:paraId="2E14A0D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Mixed cohort. Retained under the review’s approximately ≥70% target-population rule; characteristics/outcomes not separately extractable for the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cancer subgroup are labelled as overall-cohort data.</w:t>
            </w:r>
          </w:p>
        </w:tc>
      </w:tr>
      <w:tr w:rsidR="00AC4198" w:rsidRPr="006200DB" w14:paraId="63180F6D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6333FD3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Tatarelli, 2015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Italy</w:t>
            </w:r>
          </w:p>
        </w:tc>
        <w:tc>
          <w:tcPr>
            <w:tcW w:w="554" w:type="pct"/>
            <w:vAlign w:val="center"/>
          </w:tcPr>
          <w:p w14:paraId="5C858DA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case series; single-center</w:t>
            </w:r>
          </w:p>
        </w:tc>
        <w:tc>
          <w:tcPr>
            <w:tcW w:w="531" w:type="pct"/>
            <w:vAlign w:val="center"/>
          </w:tcPr>
          <w:p w14:paraId="0A9830B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8 (single-arm)</w:t>
            </w:r>
          </w:p>
        </w:tc>
        <w:tc>
          <w:tcPr>
            <w:tcW w:w="771" w:type="pct"/>
            <w:vAlign w:val="center"/>
          </w:tcPr>
          <w:p w14:paraId="0B9279D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6 (75.0%); HM, 1 (12.5%); other, 1 (12.5%)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61.5 (range 35–75)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4 (50.0%)</w:t>
            </w:r>
          </w:p>
        </w:tc>
        <w:tc>
          <w:tcPr>
            <w:tcW w:w="1091" w:type="pct"/>
            <w:vAlign w:val="center"/>
          </w:tcPr>
          <w:p w14:paraId="0D57C80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TIVAD, 6 (75.0%); tunneled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CVC, 2 (25.0%); CRBSI; all cases had failed prior standard therapy.</w:t>
            </w:r>
          </w:p>
        </w:tc>
        <w:tc>
          <w:tcPr>
            <w:tcW w:w="680" w:type="pct"/>
            <w:vAlign w:val="center"/>
          </w:tcPr>
          <w:p w14:paraId="7BA269F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8 (100%): MRSE, 5 (62.5%)</w:t>
            </w:r>
          </w:p>
        </w:tc>
        <w:tc>
          <w:tcPr>
            <w:tcW w:w="831" w:type="pct"/>
            <w:vAlign w:val="center"/>
          </w:tcPr>
          <w:p w14:paraId="20C93C3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Overall mixed cohort: 7/8 oncology/hematology and 1/8 short-bowel syndrome; oncology-specific outcomes were not separately extractable.</w:t>
            </w:r>
          </w:p>
        </w:tc>
      </w:tr>
      <w:tr w:rsidR="00AC4198" w:rsidRPr="006200DB" w14:paraId="6D7EA9D4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2D14B5B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Kubiak, 2014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 xml:space="preserve">United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States</w:t>
            </w:r>
          </w:p>
        </w:tc>
        <w:tc>
          <w:tcPr>
            <w:tcW w:w="554" w:type="pct"/>
            <w:vAlign w:val="center"/>
          </w:tcPr>
          <w:p w14:paraId="0E8B332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0D3514B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45 (single-arm)</w:t>
            </w:r>
          </w:p>
        </w:tc>
        <w:tc>
          <w:tcPr>
            <w:tcW w:w="771" w:type="pct"/>
            <w:vAlign w:val="center"/>
          </w:tcPr>
          <w:p w14:paraId="48686BE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Cancer, 34 (75.6%); other, 11 (24.4%)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Median 53 (range 21–90)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Female: 23 (51.1%)</w:t>
            </w:r>
          </w:p>
        </w:tc>
        <w:tc>
          <w:tcPr>
            <w:tcW w:w="1091" w:type="pct"/>
            <w:vAlign w:val="center"/>
          </w:tcPr>
          <w:p w14:paraId="690031F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Tunneled CVC, 30 (66.7%); TIVAD, 10 (22.2%); PICC, 4 (8.9%); concurrent TIVAD and PICC, 1 (2.2%);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CLABSI.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Removal recommended for S. aureus/Candida or persistent cultures after 5 days.</w:t>
            </w:r>
          </w:p>
        </w:tc>
        <w:tc>
          <w:tcPr>
            <w:tcW w:w="680" w:type="pct"/>
            <w:vAlign w:val="center"/>
          </w:tcPr>
          <w:p w14:paraId="4789C1A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GP, 27 (60.0%); GN, 10 (22.2%); polymicrobial, 6 (13.3%); fungi, 2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(4.4%). Main: CoNS, 20 (44.4%); E. faecium/E. coli, 3 each.</w:t>
            </w:r>
          </w:p>
        </w:tc>
        <w:tc>
          <w:tcPr>
            <w:tcW w:w="831" w:type="pct"/>
            <w:vAlign w:val="center"/>
          </w:tcPr>
          <w:p w14:paraId="0AD6CCE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Mixed cohort; cancer 34/45 (75.6%). Retai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ned under the review’s approximately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≥70% target-population rule. Cancer-specific outcomes were not separately extractable; report outcomes as overall mixed-cohort results.</w:t>
            </w:r>
          </w:p>
        </w:tc>
      </w:tr>
      <w:tr w:rsidR="00AC4198" w:rsidRPr="006200DB" w14:paraId="2F79EC9D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2F461EE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Haag, 2011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Germany</w:t>
            </w:r>
          </w:p>
        </w:tc>
        <w:tc>
          <w:tcPr>
            <w:tcW w:w="554" w:type="pct"/>
            <w:vAlign w:val="center"/>
          </w:tcPr>
          <w:p w14:paraId="301C6B8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case series; single-center</w:t>
            </w:r>
          </w:p>
        </w:tc>
        <w:tc>
          <w:tcPr>
            <w:tcW w:w="531" w:type="pct"/>
            <w:vAlign w:val="center"/>
          </w:tcPr>
          <w:p w14:paraId="4D56955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 CRBSI episodes in 2</w:t>
            </w:r>
            <w:r w:rsidRPr="006200DB">
              <w:rPr>
                <w:rFonts w:asciiTheme="majorBidi" w:hAnsiTheme="majorBidi" w:cstheme="majorBidi"/>
                <w:sz w:val="22"/>
              </w:rPr>
              <w:t>3 patients (single-arm)</w:t>
            </w:r>
          </w:p>
        </w:tc>
        <w:tc>
          <w:tcPr>
            <w:tcW w:w="771" w:type="pct"/>
            <w:vAlign w:val="center"/>
          </w:tcPr>
          <w:p w14:paraId="0DAC801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Solid tumors; 23 cancer patients</w:t>
            </w:r>
            <w:r w:rsidRPr="006200DB">
              <w:rPr>
                <w:rFonts w:asciiTheme="majorBidi" w:hAnsiTheme="majorBidi" w:cstheme="majorBidi"/>
                <w:sz w:val="22"/>
              </w:rPr>
              <w:br/>
              <w:t>Age: Median 58 (range 36–75)</w:t>
            </w:r>
            <w:r w:rsidRPr="006200DB">
              <w:rPr>
                <w:rFonts w:asciiTheme="majorBidi" w:hAnsiTheme="majorBidi" w:cstheme="majorBidi"/>
                <w:sz w:val="22"/>
              </w:rPr>
              <w:br/>
              <w:t>Female: NR</w:t>
            </w:r>
          </w:p>
        </w:tc>
        <w:tc>
          <w:tcPr>
            <w:tcW w:w="1091" w:type="pct"/>
            <w:vAlign w:val="center"/>
          </w:tcPr>
          <w:p w14:paraId="2DBA45B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 or tunneled CVC; CRBSI</w:t>
            </w:r>
          </w:p>
        </w:tc>
        <w:tc>
          <w:tcPr>
            <w:tcW w:w="680" w:type="pct"/>
            <w:vAlign w:val="center"/>
          </w:tcPr>
          <w:p w14:paraId="5E10B3F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GP, 20 (83.3%); GN, 4 (16.7%). Main: CoNS, 18 (75.0%)</w:t>
            </w:r>
          </w:p>
        </w:tc>
        <w:tc>
          <w:tcPr>
            <w:tcW w:w="831" w:type="pct"/>
            <w:vAlign w:val="center"/>
          </w:tcPr>
          <w:p w14:paraId="41D5506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Episode-based reporting: 24 CRBSI episodes in 23 cancer patients.</w:t>
            </w:r>
          </w:p>
        </w:tc>
      </w:tr>
      <w:tr w:rsidR="00AC4198" w:rsidRPr="006200DB" w14:paraId="557742FC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7377062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Tejwani &amp;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Parry, 2011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United States</w:t>
            </w:r>
          </w:p>
        </w:tc>
        <w:tc>
          <w:tcPr>
            <w:tcW w:w="554" w:type="pct"/>
            <w:vAlign w:val="center"/>
          </w:tcPr>
          <w:p w14:paraId="3834963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547443F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32 (single-arm)</w:t>
            </w:r>
          </w:p>
        </w:tc>
        <w:tc>
          <w:tcPr>
            <w:tcW w:w="771" w:type="pct"/>
            <w:vAlign w:val="center"/>
          </w:tcPr>
          <w:p w14:paraId="0B5FBE6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16 (50.0%); HM, 16 (50.0%)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NR (overall cohort: mean 63.3 years)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 (overall cohort: 67.2%)</w:t>
            </w:r>
          </w:p>
        </w:tc>
        <w:tc>
          <w:tcPr>
            <w:tcW w:w="1091" w:type="pct"/>
            <w:vAlign w:val="center"/>
          </w:tcPr>
          <w:p w14:paraId="731882A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 (overall catheter dataset: dialysis catheter, 69.0%;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tunneled CVC, 15.5%; TIVAD, 8.6%; other, 6.9%).; CLABSI. Exit-site/tunnel infections excluded.</w:t>
            </w:r>
          </w:p>
        </w:tc>
        <w:tc>
          <w:tcPr>
            <w:tcW w:w="680" w:type="pct"/>
            <w:vAlign w:val="center"/>
          </w:tcPr>
          <w:p w14:paraId="0E594FE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Overall cohort: CoNS, approximately 52%; S. aureus, 18.1%; GN bacilli, 16.4%; Enterococcus spp., 13.8%; PM, 13.8%)</w:t>
            </w:r>
          </w:p>
        </w:tc>
        <w:tc>
          <w:tcPr>
            <w:tcW w:w="831" w:type="pct"/>
            <w:vAlign w:val="center"/>
          </w:tcPr>
          <w:p w14:paraId="135C42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Review sample n=32 cancer patients. Age, sex,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catheter type, and pathogen distribution were not separately reported for the eligible subgroup and are shown only when explicitly labelled as overall-cohort data.</w:t>
            </w:r>
          </w:p>
        </w:tc>
      </w:tr>
      <w:tr w:rsidR="00AC4198" w:rsidRPr="006200DB" w14:paraId="2C8B759D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5B51B0B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Bookstaver, 2010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United States</w:t>
            </w:r>
          </w:p>
        </w:tc>
        <w:tc>
          <w:tcPr>
            <w:tcW w:w="554" w:type="pct"/>
            <w:vAlign w:val="center"/>
          </w:tcPr>
          <w:p w14:paraId="67F516E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case series; single-center</w:t>
            </w:r>
          </w:p>
        </w:tc>
        <w:tc>
          <w:tcPr>
            <w:tcW w:w="531" w:type="pct"/>
            <w:vAlign w:val="center"/>
          </w:tcPr>
          <w:p w14:paraId="407D4FA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6 (single-arm)</w:t>
            </w:r>
          </w:p>
        </w:tc>
        <w:tc>
          <w:tcPr>
            <w:tcW w:w="771" w:type="pct"/>
            <w:vAlign w:val="center"/>
          </w:tcPr>
          <w:p w14:paraId="22656D1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Cancer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66.8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</w:t>
            </w:r>
          </w:p>
        </w:tc>
        <w:tc>
          <w:tcPr>
            <w:tcW w:w="1091" w:type="pct"/>
            <w:vAlign w:val="center"/>
          </w:tcPr>
          <w:p w14:paraId="2816163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Long-term CVC; CRBSI</w:t>
            </w:r>
          </w:p>
        </w:tc>
        <w:tc>
          <w:tcPr>
            <w:tcW w:w="680" w:type="pct"/>
            <w:vAlign w:val="center"/>
          </w:tcPr>
          <w:p w14:paraId="7260260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GP: CoNS, 3 (50.0%); MRSA, 1 (16.7%); Enterococcus faecalis, 1 (16.7%); alpha-hemolytic streptococcus, 1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(16.7%)</w:t>
            </w:r>
          </w:p>
        </w:tc>
        <w:tc>
          <w:tcPr>
            <w:tcW w:w="831" w:type="pct"/>
            <w:vAlign w:val="center"/>
          </w:tcPr>
          <w:p w14:paraId="6D9FF51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No additional scope issue identified from the current extraction table.</w:t>
            </w:r>
          </w:p>
        </w:tc>
      </w:tr>
      <w:tr w:rsidR="00AC4198" w:rsidRPr="006200DB" w14:paraId="6166E823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7D2BC94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Santarpia, 2010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</w:r>
            <w:r w:rsidRPr="006200DB">
              <w:rPr>
                <w:rFonts w:asciiTheme="majorBidi" w:eastAsia="Arial" w:hAnsiTheme="majorBidi" w:cstheme="majorBidi"/>
                <w:sz w:val="22"/>
              </w:rPr>
              <w:t>Italy</w:t>
            </w:r>
          </w:p>
        </w:tc>
        <w:tc>
          <w:tcPr>
            <w:tcW w:w="554" w:type="pct"/>
            <w:vAlign w:val="center"/>
          </w:tcPr>
          <w:p w14:paraId="13D64A7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Retrospective observational cohort; single-center</w:t>
            </w:r>
          </w:p>
        </w:tc>
        <w:tc>
          <w:tcPr>
            <w:tcW w:w="531" w:type="pct"/>
            <w:vAlign w:val="center"/>
          </w:tcPr>
          <w:p w14:paraId="1EF399C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139 (single-arm)</w:t>
            </w:r>
          </w:p>
        </w:tc>
        <w:tc>
          <w:tcPr>
            <w:tcW w:w="771" w:type="pct"/>
            <w:vAlign w:val="center"/>
          </w:tcPr>
          <w:p w14:paraId="025EA23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 (overall cohort: ST, 84.1%; other, 15.9%)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NR (overall cohort: mean 58.2 ± 13.5; range 20–89)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 (overall cohort: 55.5%)</w:t>
            </w:r>
          </w:p>
        </w:tc>
        <w:tc>
          <w:tcPr>
            <w:tcW w:w="1091" w:type="pct"/>
            <w:vAlign w:val="center"/>
          </w:tcPr>
          <w:p w14:paraId="0381B95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 (overall cohort: TIVAD, 52.2%; tunneled CVC,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47.8%); CLABSI. Immediate removal recommended for polymicrobial/fungal or complicated S. aureus/GN infection.</w:t>
            </w:r>
          </w:p>
        </w:tc>
        <w:tc>
          <w:tcPr>
            <w:tcW w:w="680" w:type="pct"/>
            <w:vAlign w:val="center"/>
          </w:tcPr>
          <w:p w14:paraId="22AF787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Eligible ALT-treated subgroup: NR. Overall cohort microbiology: GP 75.1%, GN 16.0%, polymicrobial 5.9%; fungal isolates are not included in the r</w:t>
            </w:r>
            <w:r w:rsidRPr="006200DB">
              <w:rPr>
                <w:rFonts w:asciiTheme="majorBidi" w:hAnsiTheme="majorBidi" w:cstheme="majorBidi"/>
                <w:sz w:val="22"/>
              </w:rPr>
              <w:t>eview pathogen summary.</w:t>
            </w:r>
          </w:p>
        </w:tc>
        <w:tc>
          <w:tcPr>
            <w:tcW w:w="831" w:type="pct"/>
            <w:vAlign w:val="center"/>
          </w:tcPr>
          <w:p w14:paraId="40ADAA3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Mixed cohort. Retained under the review’s approximately ≥70% target-population rule; characteristics/outcomes not separately extractable for the cancer subgroup are labelled as overall-cohort data.</w:t>
            </w:r>
          </w:p>
        </w:tc>
      </w:tr>
      <w:tr w:rsidR="00AC4198" w:rsidRPr="006200DB" w14:paraId="78B471C9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43E4701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Del Pozo, 2009b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Spain</w:t>
            </w:r>
          </w:p>
        </w:tc>
        <w:tc>
          <w:tcPr>
            <w:tcW w:w="554" w:type="pct"/>
            <w:vAlign w:val="center"/>
          </w:tcPr>
          <w:p w14:paraId="2DABFE7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observational cohort; single-center</w:t>
            </w:r>
          </w:p>
        </w:tc>
        <w:tc>
          <w:tcPr>
            <w:tcW w:w="531" w:type="pct"/>
            <w:vAlign w:val="center"/>
          </w:tcPr>
          <w:p w14:paraId="3A4ED1B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17 (single-arm)</w:t>
            </w:r>
          </w:p>
        </w:tc>
        <w:tc>
          <w:tcPr>
            <w:tcW w:w="771" w:type="pct"/>
            <w:vAlign w:val="center"/>
          </w:tcPr>
          <w:p w14:paraId="7CD0E85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ST, 17 (100%); neutropenia, 3 (17.6%)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Mean 58 (range 29–78)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9 (52.9%)</w:t>
            </w:r>
          </w:p>
        </w:tc>
        <w:tc>
          <w:tcPr>
            <w:tcW w:w="1091" w:type="pct"/>
            <w:vAlign w:val="center"/>
          </w:tcPr>
          <w:p w14:paraId="756E6A0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CRBSI Complicated/local infections excluded.</w:t>
            </w:r>
          </w:p>
        </w:tc>
        <w:tc>
          <w:tcPr>
            <w:tcW w:w="680" w:type="pct"/>
            <w:vAlign w:val="center"/>
          </w:tcPr>
          <w:p w14:paraId="27E5BA4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GN, 6 (35.3%): E. coli/E. cloacae, 2 each. GP, 11 (64.7%): Corynebac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terium spp., 5; E. faecium, 4; P. acnes, 2. Polymicrobial, 2 (11.8%).</w:t>
            </w:r>
          </w:p>
        </w:tc>
        <w:tc>
          <w:tcPr>
            <w:tcW w:w="831" w:type="pct"/>
            <w:vAlign w:val="center"/>
          </w:tcPr>
          <w:p w14:paraId="3326F5E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 additional scope issue identified from the current extraction table.</w:t>
            </w:r>
          </w:p>
        </w:tc>
      </w:tr>
      <w:tr w:rsidR="00AC4198" w:rsidRPr="006200DB" w14:paraId="14C27F2C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3D7E282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Fernández-Hidalgo, 2006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Spain</w:t>
            </w:r>
          </w:p>
        </w:tc>
        <w:tc>
          <w:tcPr>
            <w:tcW w:w="554" w:type="pct"/>
            <w:vAlign w:val="center"/>
          </w:tcPr>
          <w:p w14:paraId="2BD81F7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Mixed retrospective-prospective cohort; single-center</w:t>
            </w:r>
          </w:p>
        </w:tc>
        <w:tc>
          <w:tcPr>
            <w:tcW w:w="531" w:type="pct"/>
            <w:vAlign w:val="center"/>
          </w:tcPr>
          <w:p w14:paraId="1D3AE46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54 (single-arm)</w:t>
            </w:r>
          </w:p>
        </w:tc>
        <w:tc>
          <w:tcPr>
            <w:tcW w:w="771" w:type="pct"/>
            <w:vAlign w:val="center"/>
          </w:tcPr>
          <w:p w14:paraId="77591FA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Cancer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N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 (overall cohort: median 55 years [range, 20–92])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 (overall cohort:  40.8%)</w:t>
            </w:r>
          </w:p>
        </w:tc>
        <w:tc>
          <w:tcPr>
            <w:tcW w:w="1091" w:type="pct"/>
            <w:vAlign w:val="center"/>
          </w:tcPr>
          <w:p w14:paraId="31203A8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Cancer subset: NR. Overall cohort: tunneled CVC 73.04%; non-tunneled CVC 10.43%; TIVD 16.52%. CRBSI; complicated/local infections and candidemia excluded.</w:t>
            </w:r>
          </w:p>
        </w:tc>
        <w:tc>
          <w:tcPr>
            <w:tcW w:w="680" w:type="pct"/>
            <w:vAlign w:val="center"/>
          </w:tcPr>
          <w:p w14:paraId="3C717C5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Cancer subset: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NR. Overall cohort: GP 70%; GN 23%; polymicrobial 7%; main isolates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CoNS 56%, S. aureus 20%, E. coli 11%, P. aeruginosa 5%.</w:t>
            </w:r>
          </w:p>
        </w:tc>
        <w:tc>
          <w:tcPr>
            <w:tcW w:w="831" w:type="pct"/>
            <w:vAlign w:val="center"/>
          </w:tcPr>
          <w:p w14:paraId="68BC241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Only the cancer/chemotherapy subset (n=54) is counted in the review. Characteristics not reported separately for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this subset are sh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own only as labelled overall-cohort data.</w:t>
            </w:r>
          </w:p>
        </w:tc>
      </w:tr>
      <w:tr w:rsidR="00AC4198" w:rsidRPr="006200DB" w14:paraId="2F4C204B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0495808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Sánchez-Muñoz, 2005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Spain</w:t>
            </w:r>
          </w:p>
        </w:tc>
        <w:tc>
          <w:tcPr>
            <w:tcW w:w="554" w:type="pct"/>
            <w:vAlign w:val="center"/>
          </w:tcPr>
          <w:p w14:paraId="7670375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 observational cohort; single-center</w:t>
            </w:r>
          </w:p>
        </w:tc>
        <w:tc>
          <w:tcPr>
            <w:tcW w:w="531" w:type="pct"/>
            <w:vAlign w:val="center"/>
          </w:tcPr>
          <w:p w14:paraId="4A09152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13 eligible adults (single-arm)</w:t>
            </w:r>
          </w:p>
        </w:tc>
        <w:tc>
          <w:tcPr>
            <w:tcW w:w="771" w:type="pct"/>
            <w:vAlign w:val="center"/>
          </w:tcPr>
          <w:p w14:paraId="597E14E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Age: range 35–64 years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Female: NR for the 13 eligible adults</w:t>
            </w:r>
          </w:p>
        </w:tc>
        <w:tc>
          <w:tcPr>
            <w:tcW w:w="1091" w:type="pct"/>
            <w:vAlign w:val="center"/>
          </w:tcPr>
          <w:p w14:paraId="54F576B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CRBSI</w:t>
            </w:r>
          </w:p>
        </w:tc>
        <w:tc>
          <w:tcPr>
            <w:tcW w:w="680" w:type="pct"/>
            <w:vAlign w:val="center"/>
          </w:tcPr>
          <w:p w14:paraId="67D7B07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Eligible-adult pathogen distri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bution: NR. Overall cohort n=14: CoNS 12 (85.7%); GN 1 (7.1%); polymicrobial 1 (7.1%).</w:t>
            </w:r>
          </w:p>
        </w:tc>
        <w:tc>
          <w:tcPr>
            <w:tcW w:w="831" w:type="pct"/>
            <w:vAlign w:val="center"/>
          </w:tcPr>
          <w:p w14:paraId="589A376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One pediatric participant was excluded from the review-specific extraction; adult review sample n=13.</w:t>
            </w:r>
          </w:p>
        </w:tc>
      </w:tr>
      <w:tr w:rsidR="00AC4198" w:rsidRPr="006200DB" w14:paraId="4FCD7F68" w14:textId="77777777" w:rsidTr="006200DB">
        <w:trPr>
          <w:trHeight w:val="576"/>
        </w:trPr>
        <w:tc>
          <w:tcPr>
            <w:tcW w:w="542" w:type="pct"/>
            <w:vAlign w:val="center"/>
          </w:tcPr>
          <w:p w14:paraId="167FA7B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Longuet, 2001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br/>
              <w:t>France</w:t>
            </w:r>
          </w:p>
        </w:tc>
        <w:tc>
          <w:tcPr>
            <w:tcW w:w="554" w:type="pct"/>
            <w:vAlign w:val="center"/>
          </w:tcPr>
          <w:p w14:paraId="3A52532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Prospective observational cohort; multicenter</w:t>
            </w:r>
          </w:p>
        </w:tc>
        <w:tc>
          <w:tcPr>
            <w:tcW w:w="531" w:type="pct"/>
            <w:vAlign w:val="center"/>
          </w:tcPr>
          <w:p w14:paraId="034DBF9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6 (single-arm)</w:t>
            </w:r>
          </w:p>
        </w:tc>
        <w:tc>
          <w:tcPr>
            <w:tcW w:w="771" w:type="pct"/>
            <w:vAlign w:val="center"/>
          </w:tcPr>
          <w:p w14:paraId="58BAC57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ST, 4 (66.7%); HM, 2 (33.3%) / Age: NR / Female: NR</w:t>
            </w:r>
          </w:p>
        </w:tc>
        <w:tc>
          <w:tcPr>
            <w:tcW w:w="1091" w:type="pct"/>
            <w:vAlign w:val="center"/>
          </w:tcPr>
          <w:p w14:paraId="10362B0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TIVAD; CRBSI</w:t>
            </w:r>
          </w:p>
        </w:tc>
        <w:tc>
          <w:tcPr>
            <w:tcW w:w="680" w:type="pct"/>
            <w:vAlign w:val="center"/>
          </w:tcPr>
          <w:p w14:paraId="091D1F8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 for eligible subgroup (overall ALT cohort: Staphylococcus spp. 8/16 [50%]; Gram-negative bacilli 8/16 [50%])</w:t>
            </w:r>
          </w:p>
        </w:tc>
        <w:tc>
          <w:tcPr>
            <w:tcW w:w="831" w:type="pct"/>
            <w:vAlign w:val="center"/>
          </w:tcPr>
          <w:p w14:paraId="3D50620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Primary article verified. Review subgroup n=6 follows Table 2 </w:t>
            </w:r>
            <w:r w:rsidRPr="006200DB">
              <w:rPr>
                <w:rFonts w:asciiTheme="majorBidi" w:hAnsiTheme="majorBidi" w:cstheme="majorBidi"/>
                <w:sz w:val="22"/>
              </w:rPr>
              <w:t>(5 patients with cancer plus 1 patient with aplasia in the ALT-treated cohort). Subgroup age, sex, and pathogen distribution were not separately reported; overall ALT-cohort data are labelled explicitly.</w:t>
            </w:r>
          </w:p>
        </w:tc>
      </w:tr>
      <w:tr w:rsidR="006200DB" w:rsidRPr="006200DB" w14:paraId="46D514BA" w14:textId="77777777" w:rsidTr="006200DB">
        <w:trPr>
          <w:trHeight w:val="576"/>
        </w:trPr>
        <w:tc>
          <w:tcPr>
            <w:tcW w:w="5000" w:type="pct"/>
            <w:gridSpan w:val="7"/>
            <w:vAlign w:val="center"/>
          </w:tcPr>
          <w:p w14:paraId="0263B9A1" w14:textId="7B34ED58" w:rsidR="006200DB" w:rsidRPr="006200DB" w:rsidRDefault="006200DB" w:rsidP="006200DB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6200DB">
              <w:rPr>
                <w:rFonts w:asciiTheme="majorBidi" w:hAnsiTheme="majorBidi" w:cstheme="majorBidi"/>
                <w:sz w:val="18"/>
                <w:szCs w:val="18"/>
              </w:rPr>
              <w:t xml:space="preserve">Note. Data are reproduced and standardized from the current extraction table; no unreported values were imputed. “Overall cohort” denotes characteristics unavailable specifically for the review-eligible cancer subgroup. Eligibility/scope notes identify mixed populations, mixed-age cohorts, dialysis-catheter representation, colonization/local infection, or denominator issues that require transparent handling in the manuscript. Pathogen counts may be patient-, episode-, or isolate-based and may overlap in polymicrobial infections. Abbreviations: ALT, antimicrobial lock therapy; CLABSI, central line-associated bloodstream infection; CoNS, coagulase-negative staphylococci; CRBSI, catheter-related bloodstream infection; CVC, central venous catheter; </w:t>
            </w:r>
            <w:r w:rsidRPr="006200DB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GN, Gram-negative; GP, Gram-positive; HCT, hematopoietic cell transplantation; HM, hematologic malignancy; IQR, interquartile range; MDR, multidrug-resistant; NR, not reported; PICC, peripherally inserted central catheter; ST, solid tumor; TIVAD, totally implantable venous access device.</w:t>
            </w:r>
          </w:p>
        </w:tc>
      </w:tr>
    </w:tbl>
    <w:p w14:paraId="74281535" w14:textId="77777777" w:rsidR="006200DB" w:rsidRDefault="006200DB" w:rsidP="006200DB">
      <w:pPr>
        <w:spacing w:before="100" w:beforeAutospacing="1" w:after="100" w:afterAutospacing="1" w:line="360" w:lineRule="auto"/>
        <w:rPr>
          <w:rFonts w:asciiTheme="majorBidi" w:hAnsiTheme="majorBidi" w:cstheme="majorBidi"/>
          <w:sz w:val="22"/>
        </w:rPr>
      </w:pPr>
      <w:r>
        <w:rPr>
          <w:rFonts w:asciiTheme="majorBidi" w:hAnsiTheme="majorBidi" w:cstheme="majorBidi"/>
          <w:sz w:val="22"/>
        </w:rPr>
        <w:lastRenderedPageBreak/>
        <w:br w:type="page"/>
      </w:r>
    </w:p>
    <w:p w14:paraId="2F633AE1" w14:textId="52E9F350" w:rsidR="00FD7B2D" w:rsidRPr="006200DB" w:rsidRDefault="00C43FE3" w:rsidP="006200DB">
      <w:pPr>
        <w:spacing w:before="100" w:beforeAutospacing="1" w:after="100" w:afterAutospacing="1" w:line="360" w:lineRule="auto"/>
        <w:rPr>
          <w:rFonts w:asciiTheme="majorBidi" w:hAnsiTheme="majorBidi" w:cstheme="majorBidi"/>
          <w:sz w:val="22"/>
        </w:rPr>
      </w:pPr>
      <w:r w:rsidRPr="006200DB">
        <w:rPr>
          <w:rFonts w:asciiTheme="majorBidi" w:hAnsiTheme="majorBidi" w:cstheme="majorBidi"/>
          <w:b/>
          <w:sz w:val="22"/>
        </w:rPr>
        <w:lastRenderedPageBreak/>
        <w:t>Table S2. Detailed antimicrob</w:t>
      </w:r>
      <w:r w:rsidRPr="006200DB">
        <w:rPr>
          <w:rFonts w:asciiTheme="majorBidi" w:hAnsiTheme="majorBidi" w:cstheme="majorBidi"/>
          <w:b/>
          <w:sz w:val="22"/>
        </w:rPr>
        <w:t>ial lock treatment and reported outcomes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20"/>
        <w:gridCol w:w="3236"/>
        <w:gridCol w:w="2709"/>
        <w:gridCol w:w="2519"/>
        <w:gridCol w:w="3864"/>
      </w:tblGrid>
      <w:tr w:rsidR="008C3407" w:rsidRPr="006200DB" w14:paraId="773FB237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0CD69CE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Study</w:t>
            </w:r>
          </w:p>
        </w:tc>
        <w:tc>
          <w:tcPr>
            <w:tcW w:w="1160" w:type="pct"/>
            <w:vAlign w:val="center"/>
          </w:tcPr>
          <w:p w14:paraId="204E61F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ALT regimen</w:t>
            </w:r>
          </w:p>
        </w:tc>
        <w:tc>
          <w:tcPr>
            <w:tcW w:w="971" w:type="pct"/>
            <w:vAlign w:val="center"/>
          </w:tcPr>
          <w:p w14:paraId="7A106FC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Comparator/control</w:t>
            </w:r>
          </w:p>
        </w:tc>
        <w:tc>
          <w:tcPr>
            <w:tcW w:w="903" w:type="pct"/>
            <w:vAlign w:val="center"/>
          </w:tcPr>
          <w:p w14:paraId="639E2B7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Follow-up</w:t>
            </w:r>
          </w:p>
        </w:tc>
        <w:tc>
          <w:tcPr>
            <w:tcW w:w="1385" w:type="pct"/>
            <w:vAlign w:val="center"/>
          </w:tcPr>
          <w:p w14:paraId="45F586C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Reported effectiveness and safety outcomes</w:t>
            </w:r>
          </w:p>
        </w:tc>
      </w:tr>
      <w:tr w:rsidR="00B05A97" w:rsidRPr="006200DB" w14:paraId="0CDF76AC" w14:textId="77777777" w:rsidTr="006200DB">
        <w:trPr>
          <w:trHeight w:val="576"/>
        </w:trPr>
        <w:tc>
          <w:tcPr>
            <w:tcW w:w="5000" w:type="pct"/>
            <w:gridSpan w:val="5"/>
            <w:vAlign w:val="center"/>
          </w:tcPr>
          <w:p w14:paraId="61A4DDD7" w14:textId="77777777" w:rsidR="00B05A97" w:rsidRPr="006200DB" w:rsidRDefault="00C43FE3" w:rsidP="006200DB">
            <w:pPr>
              <w:keepNext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Randomized controlled trials</w:t>
            </w:r>
          </w:p>
        </w:tc>
      </w:tr>
      <w:tr w:rsidR="008C3407" w:rsidRPr="006200DB" w14:paraId="668B933A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73D857B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Lesens, 2024 (ETHALOCK)</w:t>
            </w:r>
          </w:p>
        </w:tc>
        <w:tc>
          <w:tcPr>
            <w:tcW w:w="1160" w:type="pct"/>
            <w:vAlign w:val="center"/>
          </w:tcPr>
          <w:p w14:paraId="4DAAAA6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ELT: ethanol 40% v/v + enoxaparin 400 IU/mL; 4 mL; 24-h dwell;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aspirated and renewed once daily; 10 days.</w:t>
            </w:r>
          </w:p>
        </w:tc>
        <w:tc>
          <w:tcPr>
            <w:tcW w:w="971" w:type="pct"/>
            <w:vAlign w:val="center"/>
          </w:tcPr>
          <w:p w14:paraId="2758FD6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VLT: vancomycin 5 mg/mL + heparin 2,500 IU/mL; 4 mL; 24-h dwell; aspirated and renewed once daily; 10 days.</w:t>
            </w:r>
          </w:p>
        </w:tc>
        <w:tc>
          <w:tcPr>
            <w:tcW w:w="903" w:type="pct"/>
            <w:vAlign w:val="center"/>
          </w:tcPr>
          <w:p w14:paraId="1BFF12A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98 days or until death</w:t>
            </w:r>
          </w:p>
        </w:tc>
        <w:tc>
          <w:tcPr>
            <w:tcW w:w="1385" w:type="pct"/>
            <w:vAlign w:val="center"/>
          </w:tcPr>
          <w:p w14:paraId="237BFC5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Treatment success at ~3 months: 18/31 (58.1%) with ethanol vs 14/30 (46.7%) with v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ancomycin, P=0.37. HR for failure 0.70 (95% CI 0.34–1.46). Removal for sepsis: 8 vs 9; superinfection: 7 vs 6. Catheter malfunction: 11 vs 2, P=0.01. Nonmechanical adverse events: 9/31 vs 6/30, P=0.41. No infection-attributable deaths.</w:t>
            </w:r>
          </w:p>
        </w:tc>
      </w:tr>
      <w:tr w:rsidR="008C3407" w:rsidRPr="006200DB" w14:paraId="0116846F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139C162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Rijnders, 2005</w:t>
            </w:r>
          </w:p>
        </w:tc>
        <w:tc>
          <w:tcPr>
            <w:tcW w:w="1160" w:type="pct"/>
            <w:vAlign w:val="center"/>
          </w:tcPr>
          <w:p w14:paraId="660B8AB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GP i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nfections: vancomycin 0.5 mg/mL; GN infections: ceftazidime 0.5 mg/mL; both with heparin 100 IU/mL; 20-h dwell/day; median duration 11 days (range 7–14).</w:t>
            </w:r>
          </w:p>
        </w:tc>
        <w:tc>
          <w:tcPr>
            <w:tcW w:w="971" w:type="pct"/>
            <w:vAlign w:val="center"/>
          </w:tcPr>
          <w:p w14:paraId="63D5B4E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Heparin 100 IU/mL with an identical dwell schedule.</w:t>
            </w:r>
          </w:p>
        </w:tc>
        <w:tc>
          <w:tcPr>
            <w:tcW w:w="903" w:type="pct"/>
            <w:vAlign w:val="center"/>
          </w:tcPr>
          <w:p w14:paraId="18899F4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Up to 168 days</w:t>
            </w:r>
          </w:p>
        </w:tc>
        <w:tc>
          <w:tcPr>
            <w:tcW w:w="1385" w:type="pct"/>
            <w:vAlign w:val="center"/>
          </w:tcPr>
          <w:p w14:paraId="72B0BB8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Treatment failure: 7/21 (33.3%) vs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13/23 (56.5%; HR 0.55, P = 0.10). Relapse: 14.3% vs 39.1%, P = 0.06. No catheter occlusion was reported.</w:t>
            </w:r>
          </w:p>
        </w:tc>
      </w:tr>
      <w:tr w:rsidR="00B05A97" w:rsidRPr="006200DB" w14:paraId="448A9B0B" w14:textId="77777777" w:rsidTr="006200DB">
        <w:trPr>
          <w:trHeight w:val="576"/>
        </w:trPr>
        <w:tc>
          <w:tcPr>
            <w:tcW w:w="5000" w:type="pct"/>
            <w:gridSpan w:val="5"/>
            <w:vAlign w:val="center"/>
          </w:tcPr>
          <w:p w14:paraId="57E342E8" w14:textId="77777777" w:rsidR="00B05A97" w:rsidRPr="006200DB" w:rsidRDefault="00C43FE3" w:rsidP="006200DB">
            <w:pPr>
              <w:keepNext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Nonrandomized comparative studies</w:t>
            </w:r>
          </w:p>
        </w:tc>
      </w:tr>
      <w:tr w:rsidR="008C3407" w:rsidRPr="006200DB" w14:paraId="3A5755FC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146AD55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Zhang, 2025</w:t>
            </w:r>
          </w:p>
        </w:tc>
        <w:tc>
          <w:tcPr>
            <w:tcW w:w="1160" w:type="pct"/>
            <w:vAlign w:val="center"/>
          </w:tcPr>
          <w:p w14:paraId="6187CE2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Susceptibility-directed ALT + heparin 50 IU/mL; vancomycin 10, amikacin 10, piperacillin-tazobactam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56.25, cefuroxime 150, cefoperazone-sulbactam 100, meropenem 50, biapenem 30, or micafungin 5 mg/mL; dwell 24-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48 h; median 7 days (IQR 5-9).</w:t>
            </w:r>
          </w:p>
        </w:tc>
        <w:tc>
          <w:tcPr>
            <w:tcW w:w="971" w:type="pct"/>
            <w:vAlign w:val="center"/>
          </w:tcPr>
          <w:p w14:paraId="31FCED6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Systemic antimicrobial therapy alone.</w:t>
            </w:r>
          </w:p>
        </w:tc>
        <w:tc>
          <w:tcPr>
            <w:tcW w:w="903" w:type="pct"/>
            <w:vAlign w:val="center"/>
          </w:tcPr>
          <w:p w14:paraId="4F2BB76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90 days</w:t>
            </w:r>
          </w:p>
        </w:tc>
        <w:tc>
          <w:tcPr>
            <w:tcW w:w="1385" w:type="pct"/>
            <w:vAlign w:val="center"/>
          </w:tcPr>
          <w:p w14:paraId="5B28768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PICC retention: 26/34 (76.5%) vs 17/33 (51.5%), P = 0.033. Recurrence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among retained PICCs: 7.7% vs 5.9%; attributable mortality: 8.8% vs 12.1%. ALT independently reduced catheter removal (adjusted OR 0.28, 95% CI 0.08-0.93). Noninfectious complications: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8.8% vs 6.1%, p&gt;0.99.</w:t>
            </w:r>
          </w:p>
        </w:tc>
      </w:tr>
      <w:tr w:rsidR="008C3407" w:rsidRPr="006200DB" w14:paraId="57727CC1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438A689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Ranganath, 2025</w:t>
            </w:r>
          </w:p>
        </w:tc>
        <w:tc>
          <w:tcPr>
            <w:tcW w:w="1160" w:type="pct"/>
            <w:vAlign w:val="center"/>
          </w:tcPr>
          <w:p w14:paraId="2FDAF34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Susceptibility-directed,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lumen-filling ALT; &lt;=24-h dwell, replaced daily; median 11 days (IQR 6-14). Agents: vancomycin, gentamicin, cefazolin, vancomycin-gentamicin, ethanol-citrate, linezolid, cefepime, or trimethoprim-sulfamethoxazole.</w:t>
            </w:r>
          </w:p>
        </w:tc>
        <w:tc>
          <w:tcPr>
            <w:tcW w:w="971" w:type="pct"/>
            <w:vAlign w:val="center"/>
          </w:tcPr>
          <w:p w14:paraId="7DB3816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Catheter removal.</w:t>
            </w:r>
          </w:p>
        </w:tc>
        <w:tc>
          <w:tcPr>
            <w:tcW w:w="903" w:type="pct"/>
            <w:vAlign w:val="center"/>
          </w:tcPr>
          <w:p w14:paraId="6A78E08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90 days</w:t>
            </w:r>
          </w:p>
        </w:tc>
        <w:tc>
          <w:tcPr>
            <w:tcW w:w="1385" w:type="pct"/>
            <w:vAlign w:val="center"/>
          </w:tcPr>
          <w:p w14:paraId="3A4A823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Relapse or recur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rent BSI at 90 days: 30.2% vs 16.0% (IPTW-adjusted OR 1.65, P = 0.11); microbiological relapse: 19.8% vs 6.6% (adjusted OR 3.93, P = 0.002). Median post-ALT retention: 28 days. attributable mortality: 0.9% vs 2.2%; systemic therapy 11 vs 14 days and hospit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al stay 4 vs 10 days (both P &lt; 0.001). CVC associated complication: 1.8% vs 2.2%.</w:t>
            </w:r>
          </w:p>
        </w:tc>
      </w:tr>
      <w:tr w:rsidR="008C3407" w:rsidRPr="006200DB" w14:paraId="7003BE41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5E28CCD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Ranch-Lundin, 2021</w:t>
            </w:r>
          </w:p>
        </w:tc>
        <w:tc>
          <w:tcPr>
            <w:tcW w:w="1160" w:type="pct"/>
            <w:vAlign w:val="center"/>
          </w:tcPr>
          <w:p w14:paraId="5E47D81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LD VLT: vancomycin 0.5 mg/mL in a heparin-containing lock solution; median duration 13 days (range 7–17).</w:t>
            </w:r>
          </w:p>
        </w:tc>
        <w:tc>
          <w:tcPr>
            <w:tcW w:w="971" w:type="pct"/>
            <w:vAlign w:val="center"/>
          </w:tcPr>
          <w:p w14:paraId="053A68E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HD VLT: vancomycin 5 mg/mL in normal saline;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median duration 12 days (range 7–16).</w:t>
            </w:r>
          </w:p>
        </w:tc>
        <w:tc>
          <w:tcPr>
            <w:tcW w:w="903" w:type="pct"/>
            <w:vAlign w:val="center"/>
          </w:tcPr>
          <w:p w14:paraId="2CD6A79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90 days</w:t>
            </w:r>
          </w:p>
        </w:tc>
        <w:tc>
          <w:tcPr>
            <w:tcW w:w="1385" w:type="pct"/>
            <w:vAlign w:val="center"/>
          </w:tcPr>
          <w:p w14:paraId="41E7ADC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Infection resolution: 6/12 (50.0%) with low-dose vs 10/13 (76.9%) with high-dose VLT, P = 0.23. Catheter removal: 50.0% vs 30.8%, P = 0.43. Two possible treatment-related events occurred in the high-dose group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(renal impairment and catheter occlusion/thrombosis).</w:t>
            </w:r>
          </w:p>
        </w:tc>
      </w:tr>
      <w:tr w:rsidR="008C3407" w:rsidRPr="006200DB" w14:paraId="2545456A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5AA6BE9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Zanwar, 2019</w:t>
            </w:r>
          </w:p>
        </w:tc>
        <w:tc>
          <w:tcPr>
            <w:tcW w:w="1160" w:type="pct"/>
            <w:vAlign w:val="center"/>
          </w:tcPr>
          <w:p w14:paraId="49E9C3B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Susceptibility-directed ALT; 24-h dwell. Agents (mg/mL): cefoperazone-sulbactam 100, amikacin 50, gentamicin 40, teicoplanin 80, meropenem 100, imipenem-cilastatin 50, colistin 15, amphote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ricin B 5, or voriconazole 40.</w:t>
            </w:r>
          </w:p>
        </w:tc>
        <w:tc>
          <w:tcPr>
            <w:tcW w:w="971" w:type="pct"/>
            <w:vAlign w:val="center"/>
          </w:tcPr>
          <w:p w14:paraId="2806847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Systemic antimicrobial therapy alone for CRBSI.</w:t>
            </w:r>
          </w:p>
        </w:tc>
        <w:tc>
          <w:tcPr>
            <w:tcW w:w="903" w:type="pct"/>
            <w:vAlign w:val="center"/>
          </w:tcPr>
          <w:p w14:paraId="1D15D26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</w:t>
            </w:r>
          </w:p>
        </w:tc>
        <w:tc>
          <w:tcPr>
            <w:tcW w:w="1385" w:type="pct"/>
            <w:vAlign w:val="center"/>
          </w:tcPr>
          <w:p w14:paraId="6934AFB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CRBSI resolution with catheter retention: 13/15 (86.7%) vs 5/9 (55.6%), P = 0.06. Colonization clearance: 20/21 (95.2%). Systemic therapy duration: 21 vs 17 days, P = 0.10.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No CRBSI-attributable deaths or subsequent resistant isolates.</w:t>
            </w:r>
          </w:p>
        </w:tc>
      </w:tr>
      <w:tr w:rsidR="008C3407" w:rsidRPr="006200DB" w14:paraId="411C808F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6D84AFB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Freire, 2018</w:t>
            </w:r>
          </w:p>
        </w:tc>
        <w:tc>
          <w:tcPr>
            <w:tcW w:w="1160" w:type="pct"/>
            <w:vAlign w:val="center"/>
          </w:tcPr>
          <w:p w14:paraId="1657341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Susceptibility-directed ALT; lock renewed every 24 h and catheter unused for 7-10 days. Preferred: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vancomycin 5 or amikacin 2 mg/mL; other agents included fluoroquinolones, gentam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icin, linezolid, ceftazidime, and cefazolin.</w:t>
            </w:r>
          </w:p>
        </w:tc>
        <w:tc>
          <w:tcPr>
            <w:tcW w:w="971" w:type="pct"/>
            <w:vAlign w:val="center"/>
          </w:tcPr>
          <w:p w14:paraId="2A761A0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Systemic antimicrobial therapy without ALT, with catheter removal when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clinically indicated.</w:t>
            </w:r>
          </w:p>
        </w:tc>
        <w:tc>
          <w:tcPr>
            <w:tcW w:w="903" w:type="pct"/>
            <w:vAlign w:val="center"/>
          </w:tcPr>
          <w:p w14:paraId="0FD0E61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&gt;=30 days</w:t>
            </w:r>
          </w:p>
        </w:tc>
        <w:tc>
          <w:tcPr>
            <w:tcW w:w="1385" w:type="pct"/>
            <w:vAlign w:val="center"/>
          </w:tcPr>
          <w:p w14:paraId="5C18DE7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Absence of failure or recurrence at 30 days: 46/57 (80.7%) with ALT vs 91/155 (58.7%) without ALT; adjusted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OR for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failure 0.44 (95% CI 0.21-0.94), P = 0.03. Thirty-day mortality: 5.3% vs 30.3%; adjusted HR 0.29 (95% CI 0.09-0.94), P = 0.04.</w:t>
            </w:r>
          </w:p>
        </w:tc>
      </w:tr>
      <w:tr w:rsidR="008C3407" w:rsidRPr="006200DB" w14:paraId="008BC0C7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7D7CC04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Hachem, 2018</w:t>
            </w:r>
          </w:p>
        </w:tc>
        <w:tc>
          <w:tcPr>
            <w:tcW w:w="1160" w:type="pct"/>
            <w:vAlign w:val="center"/>
          </w:tcPr>
          <w:p w14:paraId="35E9EEF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Minocycline 1 mg/mL + EDTA 30 mg/mL + ethanol 25% v/v; 0.8–1 mL/lumen; 2-h dwell; once daily; 7 doses.</w:t>
            </w:r>
          </w:p>
        </w:tc>
        <w:tc>
          <w:tcPr>
            <w:tcW w:w="971" w:type="pct"/>
            <w:vAlign w:val="center"/>
          </w:tcPr>
          <w:p w14:paraId="6A822F8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Cathe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ter removal and new CVC insertion at a different site.</w:t>
            </w:r>
          </w:p>
        </w:tc>
        <w:tc>
          <w:tcPr>
            <w:tcW w:w="903" w:type="pct"/>
            <w:vAlign w:val="center"/>
          </w:tcPr>
          <w:p w14:paraId="1F675E0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30 days after the final lock dose or catheter removal</w:t>
            </w:r>
          </w:p>
        </w:tc>
        <w:tc>
          <w:tcPr>
            <w:tcW w:w="1385" w:type="pct"/>
            <w:vAlign w:val="center"/>
          </w:tcPr>
          <w:p w14:paraId="5B8E637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Microbiological eradication within 96 h: 95.0% vs 83.3%, P = 0.36; fever resolution: 93.8% vs 100%, P = 0.48. Median time to catheter removal: 21 v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s 2 days, P = 0.0001. Systemic antimicrobial duration: 14 vs 15 days, P = 0.25.</w:t>
            </w:r>
          </w:p>
        </w:tc>
      </w:tr>
      <w:tr w:rsidR="008C3407" w:rsidRPr="006200DB" w14:paraId="3ABD6DD5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0C6F4A4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Raad, 2016</w:t>
            </w:r>
          </w:p>
        </w:tc>
        <w:tc>
          <w:tcPr>
            <w:tcW w:w="1160" w:type="pct"/>
            <w:vAlign w:val="center"/>
          </w:tcPr>
          <w:p w14:paraId="2480E07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Minocycline 1 mg/mL + EDTA 30 mg/mL + ethanol 25% v/v; 0.8–1 mL/lumen; 2-h dwell; once daily; 7 doses.</w:t>
            </w:r>
          </w:p>
        </w:tc>
        <w:tc>
          <w:tcPr>
            <w:tcW w:w="971" w:type="pct"/>
            <w:vAlign w:val="center"/>
          </w:tcPr>
          <w:p w14:paraId="7F30A27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Catheter removal and new CVC insertion at a different site.</w:t>
            </w:r>
          </w:p>
        </w:tc>
        <w:tc>
          <w:tcPr>
            <w:tcW w:w="903" w:type="pct"/>
            <w:vAlign w:val="center"/>
          </w:tcPr>
          <w:p w14:paraId="07D688C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&gt;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=30 days after the final lock dose or catheter removal</w:t>
            </w:r>
          </w:p>
        </w:tc>
        <w:tc>
          <w:tcPr>
            <w:tcW w:w="1385" w:type="pct"/>
            <w:vAlign w:val="center"/>
          </w:tcPr>
          <w:p w14:paraId="4C497FE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Median days from starting intervention to fever resolution: 3 (1–4) vs 2 (1–13), P=0.28. Median days from bacteremia to microbiological eradication: 3 (1–10) vs 3 (1–7), P=0.61. Systemic antibiotic dur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ation: 11 (4–24) vs 16 (5–89) days, P=0.0001. Infectious complications: 0 vs 7 patients (8 episodes: septic thrombophlebitis 3, deep-seated infection 2, relapse 3), P=0.09. Death within 6 weeks after bacteremia: 3 vs 5; deaths were not attributed to infect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ion. Adverse/procedure-related events: one transient alcohol taste after the first ALT dose vs failed insertion 3 and misplacement 4 in controls.</w:t>
            </w:r>
          </w:p>
        </w:tc>
      </w:tr>
      <w:tr w:rsidR="008C3407" w:rsidRPr="006200DB" w14:paraId="041C384D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102B49D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Vidal, 2016</w:t>
            </w:r>
          </w:p>
        </w:tc>
        <w:tc>
          <w:tcPr>
            <w:tcW w:w="1160" w:type="pct"/>
            <w:vAlign w:val="center"/>
          </w:tcPr>
          <w:p w14:paraId="67BC7F3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Pathogen-directed ALT: vancomycin, 11/22 (50.0%); amikacin, 5/22 (22.7%); ethanol,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5/22 (22.7%);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ceftazidime, 2/22 (9.1%). Lock solution was renewed every 24 h; median duration 7 days (range 1–14).</w:t>
            </w:r>
          </w:p>
        </w:tc>
        <w:tc>
          <w:tcPr>
            <w:tcW w:w="971" w:type="pct"/>
            <w:vAlign w:val="center"/>
          </w:tcPr>
          <w:p w14:paraId="45685C9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 xml:space="preserve">No lock therapy (observational comparison; TIVAP removal occurred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according to clinical management).</w:t>
            </w:r>
          </w:p>
        </w:tc>
        <w:tc>
          <w:tcPr>
            <w:tcW w:w="903" w:type="pct"/>
            <w:vAlign w:val="center"/>
          </w:tcPr>
          <w:p w14:paraId="4FB49B8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12 weeks</w:t>
            </w:r>
          </w:p>
        </w:tc>
        <w:tc>
          <w:tcPr>
            <w:tcW w:w="1385" w:type="pct"/>
            <w:vAlign w:val="center"/>
          </w:tcPr>
          <w:p w14:paraId="5EBFEE0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ALT subgroup complications: 5/22 (22.7%), com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prising 4 relapses and 1 infection-related death. Derived no-lock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counts: relapse 1/75 and infection-related death 3/75. Overall 12-week mortality: 52/97 (54%); one patient was lost to follow-up.</w:t>
            </w:r>
          </w:p>
        </w:tc>
      </w:tr>
      <w:tr w:rsidR="008C3407" w:rsidRPr="006200DB" w14:paraId="7F5FB325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49A891B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Wintenberger, 2012</w:t>
            </w:r>
          </w:p>
        </w:tc>
        <w:tc>
          <w:tcPr>
            <w:tcW w:w="1160" w:type="pct"/>
            <w:vAlign w:val="center"/>
          </w:tcPr>
          <w:p w14:paraId="62EA74E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Vancomycin 5 mg/mL in sodium chloride 0.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9%, with urokinase.</w:t>
            </w:r>
          </w:p>
        </w:tc>
        <w:tc>
          <w:tcPr>
            <w:tcW w:w="971" w:type="pct"/>
            <w:vAlign w:val="center"/>
          </w:tcPr>
          <w:p w14:paraId="57941CA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Systemic antimicrobial therapy alone.</w:t>
            </w:r>
          </w:p>
        </w:tc>
        <w:tc>
          <w:tcPr>
            <w:tcW w:w="903" w:type="pct"/>
            <w:vAlign w:val="center"/>
          </w:tcPr>
          <w:p w14:paraId="681B54B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1385" w:type="pct"/>
            <w:vAlign w:val="center"/>
          </w:tcPr>
          <w:p w14:paraId="7B8D862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Overall mixed-cohort outcomes (malignancy 70.3%; cancer-specific outcomes not separately extractable): cure 22/31 (71.0%) vs 10/20 (50.0%); catheter preservation 14/31 (45.2%) vs 10/20 (50.0%); c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ure with catheter preservation 8/31 (25.8%) vs 10/20 (50.0%); relapse 4/31 (12.9%) vs 2/20 (10.0%); deaths due to CRB 1/31 (3.2%) vs 3/20 (15.0%); overall mortality 6/31 (19.4%) vs 8/20 (40.0%). Within ALT-treated episodes, cure with catheter preservation </w:t>
            </w:r>
            <w:r w:rsidRPr="006200DB">
              <w:rPr>
                <w:rFonts w:asciiTheme="majorBidi" w:hAnsiTheme="majorBidi" w:cstheme="majorBidi"/>
                <w:sz w:val="22"/>
              </w:rPr>
              <w:t>was associated with guideline-compliant indication (P=0.01); cure was associated with guideline compliance (P=0.03) and adaptation of systemic antimicrobial therapy (P&lt;0.01).</w:t>
            </w:r>
          </w:p>
        </w:tc>
      </w:tr>
      <w:tr w:rsidR="008C3407" w:rsidRPr="006200DB" w14:paraId="3DE93B7A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156888C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Joo, 2011</w:t>
            </w:r>
          </w:p>
        </w:tc>
        <w:tc>
          <w:tcPr>
            <w:tcW w:w="1160" w:type="pct"/>
            <w:vAlign w:val="center"/>
          </w:tcPr>
          <w:p w14:paraId="665326C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Antibiotic lock therapy.</w:t>
            </w:r>
          </w:p>
        </w:tc>
        <w:tc>
          <w:tcPr>
            <w:tcW w:w="971" w:type="pct"/>
            <w:vAlign w:val="center"/>
          </w:tcPr>
          <w:p w14:paraId="1F02C7B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Systemic antimicrobial therapy alone.</w:t>
            </w:r>
          </w:p>
        </w:tc>
        <w:tc>
          <w:tcPr>
            <w:tcW w:w="903" w:type="pct"/>
            <w:vAlign w:val="center"/>
          </w:tcPr>
          <w:p w14:paraId="48B50FF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Until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hospital discharge</w:t>
            </w:r>
          </w:p>
        </w:tc>
        <w:tc>
          <w:tcPr>
            <w:tcW w:w="1385" w:type="pct"/>
            <w:vAlign w:val="center"/>
          </w:tcPr>
          <w:p w14:paraId="6531ADE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Catheter salvage to discharge: 9/11 (81.8%) with ALT vs 11/27 (40.7%) without ALT. Gram-negative infection independently predicted salvage failure (adjusted OR 6.73, 95% CI 1.00–45.37; P = 0.05).</w:t>
            </w:r>
          </w:p>
        </w:tc>
      </w:tr>
      <w:tr w:rsidR="008C3407" w:rsidRPr="006200DB" w14:paraId="4AFE5F53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379B98E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Del Pozo, 2009a</w:t>
            </w:r>
          </w:p>
        </w:tc>
        <w:tc>
          <w:tcPr>
            <w:tcW w:w="1160" w:type="pct"/>
            <w:vAlign w:val="center"/>
          </w:tcPr>
          <w:p w14:paraId="6744B63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Teicoplanin 10 mg/mL + h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eparin 100 IU/mL; renewed once daily; port kept locked whenever not in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use, generally ≥8 h/day; mean dwell time 17.8 ± 7.0 h/day; mean duration 10 days (IQR 10–14).</w:t>
            </w:r>
          </w:p>
        </w:tc>
        <w:tc>
          <w:tcPr>
            <w:tcW w:w="971" w:type="pct"/>
            <w:vAlign w:val="center"/>
          </w:tcPr>
          <w:p w14:paraId="521065C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Vancomycin 2 mg/mL + heparin 100 IU/mL; identical administration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schedule; mean dwell time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14.7 ± 5.7 h/day; mean duration 10 days (IQR 10–14).</w:t>
            </w:r>
          </w:p>
        </w:tc>
        <w:tc>
          <w:tcPr>
            <w:tcW w:w="903" w:type="pct"/>
            <w:vAlign w:val="center"/>
          </w:tcPr>
          <w:p w14:paraId="5A1E5E4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Teicoplanin group: median 239 days (range 30–244); vancomycin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group: median 180 days (range 0–1204)</w:t>
            </w:r>
          </w:p>
        </w:tc>
        <w:tc>
          <w:tcPr>
            <w:tcW w:w="1385" w:type="pct"/>
            <w:vAlign w:val="center"/>
          </w:tcPr>
          <w:p w14:paraId="5A13F72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 xml:space="preserve">Composite treatment success (clinical resolution without persistent fever beyond 72 h, no relapse, and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catheter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retention): 39/44 (88.6%); teicoplanin 17/17 (100%) vs vancomycin 22/27 (81.5%), P = 0.13. Port survival: 100% vs 77%, P = 0.06; relapse: 0% vs 7.4%. Fever beyond 48 h predicted failure (P = 0.02).</w:t>
            </w:r>
          </w:p>
        </w:tc>
      </w:tr>
      <w:tr w:rsidR="008C3407" w:rsidRPr="006200DB" w14:paraId="7D51C0F4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1B9BD52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Fortún, 2006</w:t>
            </w:r>
          </w:p>
        </w:tc>
        <w:tc>
          <w:tcPr>
            <w:tcW w:w="1160" w:type="pct"/>
            <w:vAlign w:val="center"/>
          </w:tcPr>
          <w:p w14:paraId="444D4FD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GP infections: vancomycin 2 mg/mL;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GN infections: gentamicin or ciprofloxacin 2 mg/mL; 8–12-h dwell/day; 5–14 days.</w:t>
            </w:r>
          </w:p>
        </w:tc>
        <w:tc>
          <w:tcPr>
            <w:tcW w:w="971" w:type="pct"/>
            <w:vAlign w:val="center"/>
          </w:tcPr>
          <w:p w14:paraId="64FD1C6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Systemic antimicrobial therapy alone.</w:t>
            </w:r>
          </w:p>
        </w:tc>
        <w:tc>
          <w:tcPr>
            <w:tcW w:w="903" w:type="pct"/>
            <w:vAlign w:val="center"/>
          </w:tcPr>
          <w:p w14:paraId="5D36D2A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30 days after completion of therapy</w:t>
            </w:r>
          </w:p>
        </w:tc>
        <w:tc>
          <w:tcPr>
            <w:tcW w:w="1385" w:type="pct"/>
            <w:vAlign w:val="center"/>
          </w:tcPr>
          <w:p w14:paraId="1B3C8F4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Overall mixed-cohort outcomes: treatment success 16/19 (84.2%) with ALT vs 19/29 (65.5%) with </w:t>
            </w:r>
            <w:r w:rsidRPr="006200DB">
              <w:rPr>
                <w:rFonts w:asciiTheme="majorBidi" w:hAnsiTheme="majorBidi" w:cstheme="majorBidi"/>
                <w:sz w:val="22"/>
              </w:rPr>
              <w:t>systemic antibiotics alone (P = 0.27); catheter removal during therapy 1/19 (5.3%) vs 7/29 (24.1%); relapse 2/19 (10.5%) vs 3/29 (10.3%); CRBSI-attributable mortality 1/19 (5.3%) vs 2/29 (6.9%). Cancer-specific outcomes were not separately extractable.</w:t>
            </w:r>
          </w:p>
        </w:tc>
      </w:tr>
      <w:tr w:rsidR="00B05A97" w:rsidRPr="006200DB" w14:paraId="54A70102" w14:textId="77777777" w:rsidTr="006200DB">
        <w:trPr>
          <w:trHeight w:val="576"/>
        </w:trPr>
        <w:tc>
          <w:tcPr>
            <w:tcW w:w="5000" w:type="pct"/>
            <w:gridSpan w:val="5"/>
            <w:vAlign w:val="center"/>
          </w:tcPr>
          <w:p w14:paraId="44643DE3" w14:textId="77777777" w:rsidR="00B05A97" w:rsidRPr="006200DB" w:rsidRDefault="00C43FE3" w:rsidP="006200DB">
            <w:pPr>
              <w:keepNext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Pr</w:t>
            </w:r>
            <w:r w:rsidRPr="006200DB">
              <w:rPr>
                <w:rFonts w:asciiTheme="majorBidi" w:hAnsiTheme="majorBidi" w:cstheme="majorBidi"/>
                <w:b/>
                <w:sz w:val="22"/>
              </w:rPr>
              <w:t>ospective single-arm interventional studies</w:t>
            </w:r>
          </w:p>
        </w:tc>
      </w:tr>
      <w:tr w:rsidR="008C3407" w:rsidRPr="006200DB" w14:paraId="36C911E4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25DE97E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Lebeaux, 2025</w:t>
            </w:r>
          </w:p>
        </w:tc>
        <w:tc>
          <w:tcPr>
            <w:tcW w:w="1160" w:type="pct"/>
            <w:vAlign w:val="center"/>
          </w:tcPr>
          <w:p w14:paraId="6775204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Gentamicin 5 mg/mL + disodium EDTA 30 mg/mL; lumen volume + 0.5 mL; usually 24-h dwell (12-h renewal permitted after 48 h); 7-10 days.</w:t>
            </w:r>
          </w:p>
        </w:tc>
        <w:tc>
          <w:tcPr>
            <w:tcW w:w="971" w:type="pct"/>
            <w:vAlign w:val="center"/>
          </w:tcPr>
          <w:p w14:paraId="1364FF1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249AFC6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40 ± 7 days; extended 100 ± 7 days</w:t>
            </w:r>
          </w:p>
        </w:tc>
        <w:tc>
          <w:tcPr>
            <w:tcW w:w="1385" w:type="pct"/>
            <w:vAlign w:val="center"/>
          </w:tcPr>
          <w:p w14:paraId="68D10C1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Clinical </w:t>
            </w:r>
            <w:r w:rsidRPr="006200DB">
              <w:rPr>
                <w:rFonts w:asciiTheme="majorBidi" w:hAnsiTheme="majorBidi" w:cstheme="majorBidi"/>
                <w:sz w:val="22"/>
              </w:rPr>
              <w:t>and microbiological cure at days 40/100: 5/6 (83.3%) among the evaluable cancer patients. Adverse events: 2/6; none were attributed to the gentamicin–EDTA-Na2 intracatheter lock.</w:t>
            </w:r>
          </w:p>
        </w:tc>
      </w:tr>
      <w:tr w:rsidR="008C3407" w:rsidRPr="006200DB" w14:paraId="238D5F4A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5AC01B4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Broom, 2008</w:t>
            </w:r>
          </w:p>
        </w:tc>
        <w:tc>
          <w:tcPr>
            <w:tcW w:w="1160" w:type="pct"/>
            <w:vAlign w:val="center"/>
          </w:tcPr>
          <w:p w14:paraId="16E2C57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Ethanol 70% v/v; approximately 2 mL/lumen; 4-h dwell once daily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for 5 days; aspirated after each dwell, followed by heparin lock.</w:t>
            </w:r>
          </w:p>
        </w:tc>
        <w:tc>
          <w:tcPr>
            <w:tcW w:w="971" w:type="pct"/>
            <w:vAlign w:val="center"/>
          </w:tcPr>
          <w:p w14:paraId="14BE1DD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5C8B1F5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Median 36 days</w:t>
            </w:r>
          </w:p>
        </w:tc>
        <w:tc>
          <w:tcPr>
            <w:tcW w:w="1385" w:type="pct"/>
            <w:vAlign w:val="center"/>
          </w:tcPr>
          <w:p w14:paraId="603D1CF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Initial microbiological clearance at day 6: 17/17 (100%). Study-defined catheter salvage: 12/17 (70.6%) among those completing ethanol locks, defined as cath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eter retention &gt;14 days with no subsequent isolation of the original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organism. Recurrence: 2/17 (11.8%); median catheter retention 36 days; no significant treatment-related adverse events.</w:t>
            </w:r>
          </w:p>
        </w:tc>
      </w:tr>
      <w:tr w:rsidR="008C3407" w:rsidRPr="006200DB" w14:paraId="312CC66C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018D63C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Koldehoff &amp; Zakrzewski, 2004</w:t>
            </w:r>
          </w:p>
        </w:tc>
        <w:tc>
          <w:tcPr>
            <w:tcW w:w="1160" w:type="pct"/>
            <w:vAlign w:val="center"/>
          </w:tcPr>
          <w:p w14:paraId="28390D6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Taurolidine–Ringer 0.5%; 3 mL; 24-h d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well; subsequently flushed with 10 mL sodium chloride 0.9%. Six patients received 1 dose, 2 received 2 doses 24 h apart, and 3 received 3 doses at 0, 24, and 48 h.</w:t>
            </w:r>
          </w:p>
        </w:tc>
        <w:tc>
          <w:tcPr>
            <w:tcW w:w="971" w:type="pct"/>
            <w:vAlign w:val="center"/>
          </w:tcPr>
          <w:p w14:paraId="2FC4E36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2F55568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NR; recurrent episodes were reported at approximately 2–4 months</w:t>
            </w:r>
          </w:p>
        </w:tc>
        <w:tc>
          <w:tcPr>
            <w:tcW w:w="1385" w:type="pct"/>
            <w:vAlign w:val="center"/>
          </w:tcPr>
          <w:p w14:paraId="77E5424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Initial C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RBSI resolution without device removal: 11/11 (100%). Recurrence: 3/11 (27.3%); all recurrences responded to repeat taurolidine lock. No reported hypersensitivity, hematologic toxicity, or organ toxicity.</w:t>
            </w:r>
          </w:p>
        </w:tc>
      </w:tr>
      <w:tr w:rsidR="008C3407" w:rsidRPr="006200DB" w14:paraId="51DCFDD6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1DC4DBA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Viale, 2003</w:t>
            </w:r>
          </w:p>
        </w:tc>
        <w:tc>
          <w:tcPr>
            <w:tcW w:w="1160" w:type="pct"/>
            <w:vAlign w:val="center"/>
          </w:tcPr>
          <w:p w14:paraId="242B54E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Daily susceptibility-directed ALT for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14 days; dwell ≥12 h/day. Glycopeptide locks, 20 mg/mL; amikacin, 10 mg/mL; other agents at ≥100× MIC. Cancer subgroup regimens: vancomycin, 3; teicoplanin, 4; amikacin, 1; imipenem, 1.</w:t>
            </w:r>
          </w:p>
        </w:tc>
        <w:tc>
          <w:tcPr>
            <w:tcW w:w="971" w:type="pct"/>
            <w:vAlign w:val="center"/>
          </w:tcPr>
          <w:p w14:paraId="2D652DC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1D9B3CC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90 days</w:t>
            </w:r>
          </w:p>
        </w:tc>
        <w:tc>
          <w:tcPr>
            <w:tcW w:w="1385" w:type="pct"/>
            <w:vAlign w:val="center"/>
          </w:tcPr>
          <w:p w14:paraId="6776C12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Infection resolution with sustained negative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cultures: 9/9 (100%). No deaths during treatment or follow-up.</w:t>
            </w:r>
          </w:p>
        </w:tc>
      </w:tr>
      <w:tr w:rsidR="00B05A97" w:rsidRPr="006200DB" w14:paraId="576E151C" w14:textId="77777777" w:rsidTr="006200DB">
        <w:trPr>
          <w:trHeight w:val="576"/>
        </w:trPr>
        <w:tc>
          <w:tcPr>
            <w:tcW w:w="5000" w:type="pct"/>
            <w:gridSpan w:val="5"/>
            <w:vAlign w:val="center"/>
          </w:tcPr>
          <w:p w14:paraId="2602E092" w14:textId="77777777" w:rsidR="00B05A97" w:rsidRPr="006200DB" w:rsidRDefault="00C43FE3" w:rsidP="006200DB">
            <w:pPr>
              <w:keepNext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Uncontrolled observational studies or case series</w:t>
            </w:r>
          </w:p>
        </w:tc>
      </w:tr>
      <w:tr w:rsidR="008C3407" w:rsidRPr="006200DB" w14:paraId="6911AC53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352CA55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Bayoudh, 2024</w:t>
            </w:r>
          </w:p>
        </w:tc>
        <w:tc>
          <w:tcPr>
            <w:tcW w:w="1160" w:type="pct"/>
            <w:vAlign w:val="center"/>
          </w:tcPr>
          <w:p w14:paraId="0CD0EAF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vancomycin, 15/17 (88.2%), or gentamicin, 2/17 (11.8%); no anticoagulant; administered at least 3 times/week for 14 days.</w:t>
            </w:r>
          </w:p>
        </w:tc>
        <w:tc>
          <w:tcPr>
            <w:tcW w:w="971" w:type="pct"/>
            <w:vAlign w:val="center"/>
          </w:tcPr>
          <w:p w14:paraId="45D26A6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(single-arm)</w:t>
            </w:r>
          </w:p>
        </w:tc>
        <w:tc>
          <w:tcPr>
            <w:tcW w:w="903" w:type="pct"/>
            <w:vAlign w:val="center"/>
          </w:tcPr>
          <w:p w14:paraId="3447FFF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Up to 90 days</w:t>
            </w:r>
          </w:p>
        </w:tc>
        <w:tc>
          <w:tcPr>
            <w:tcW w:w="1385" w:type="pct"/>
            <w:vAlign w:val="center"/>
          </w:tcPr>
          <w:p w14:paraId="4933F38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Initial infection resolution: 16/17 (94.1%). Catheter preservation at 90 days: 10/17 (58.8%; 95% CI 36%-78%). No BSI-attributable deaths.</w:t>
            </w:r>
          </w:p>
        </w:tc>
      </w:tr>
      <w:tr w:rsidR="008C3407" w:rsidRPr="006200DB" w14:paraId="32C4F76D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660CCDC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Vassallo, 2024</w:t>
            </w:r>
          </w:p>
        </w:tc>
        <w:tc>
          <w:tcPr>
            <w:tcW w:w="1160" w:type="pct"/>
            <w:vAlign w:val="center"/>
          </w:tcPr>
          <w:p w14:paraId="143F658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Stepwise protocol: daptomycin 5 mg/mL in 5 mL Ringer solution,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heparin-free, 18 h/day for 3 days; then taurolidine-citrate 5 mL daily on days 4-14, dwell &gt;=2 h.</w:t>
            </w:r>
          </w:p>
        </w:tc>
        <w:tc>
          <w:tcPr>
            <w:tcW w:w="971" w:type="pct"/>
            <w:vAlign w:val="center"/>
          </w:tcPr>
          <w:p w14:paraId="5F258BE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3E761EA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&gt;=30 days after discontinuation of systemic antimicrobial therapy</w:t>
            </w:r>
          </w:p>
        </w:tc>
        <w:tc>
          <w:tcPr>
            <w:tcW w:w="1385" w:type="pct"/>
            <w:vAlign w:val="center"/>
          </w:tcPr>
          <w:p w14:paraId="5482A37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Catheter salvage at 30 days: 21/22 (95.5%). One failure due to persistent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positive cultures after 3 days of daptomycin lock. No clinically relevant toxicity or lock-related adverse events.</w:t>
            </w:r>
          </w:p>
        </w:tc>
      </w:tr>
      <w:tr w:rsidR="008C3407" w:rsidRPr="006200DB" w14:paraId="7E44740E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4954CE1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Lafaurie, 2023</w:t>
            </w:r>
          </w:p>
        </w:tc>
        <w:tc>
          <w:tcPr>
            <w:tcW w:w="1160" w:type="pct"/>
            <w:vAlign w:val="center"/>
          </w:tcPr>
          <w:p w14:paraId="55740D3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Vancomycin 2.5-12.5 mg/mL (mostly 2.5 or 5); volume 1-10 mL (mostly 2-5); continuous 24-h lock in 91% or intermittent &gt;=12 h/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day; median 12 days (IQR 9-14).</w:t>
            </w:r>
          </w:p>
        </w:tc>
        <w:tc>
          <w:tcPr>
            <w:tcW w:w="971" w:type="pct"/>
            <w:vAlign w:val="center"/>
          </w:tcPr>
          <w:p w14:paraId="602CF42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379EE32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90 days</w:t>
            </w:r>
          </w:p>
        </w:tc>
        <w:tc>
          <w:tcPr>
            <w:tcW w:w="1385" w:type="pct"/>
            <w:vAlign w:val="center"/>
          </w:tcPr>
          <w:p w14:paraId="657CC2A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Efficacy was assessed in 77 evaluable patients: treatment success (no removal or recurrence by 90 days) 44/77 (57.1%); treatment failure 33/77 (42.9%); recurrence 22/77 (28.6%; 15 relapses, 7 reinfe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ctions). Initial cohort n=100. Continuous VLT was associated with lower catheter-specific relapse risk (HR 0.27, 95% CI 0.07–1.01, P=0.05).</w:t>
            </w:r>
          </w:p>
        </w:tc>
      </w:tr>
      <w:tr w:rsidR="008C3407" w:rsidRPr="006200DB" w14:paraId="20D84AFB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232532C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Brescia, 2023</w:t>
            </w:r>
          </w:p>
        </w:tc>
        <w:tc>
          <w:tcPr>
            <w:tcW w:w="1160" w:type="pct"/>
            <w:vAlign w:val="center"/>
          </w:tcPr>
          <w:p w14:paraId="651AA3B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Taurolidine 2%; 3 mL; 24-h dwell; aspirated and renewed once daily; 5 consecutive days.</w:t>
            </w:r>
          </w:p>
        </w:tc>
        <w:tc>
          <w:tcPr>
            <w:tcW w:w="971" w:type="pct"/>
            <w:vAlign w:val="center"/>
          </w:tcPr>
          <w:p w14:paraId="4A08452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None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(single-arm)</w:t>
            </w:r>
          </w:p>
        </w:tc>
        <w:tc>
          <w:tcPr>
            <w:tcW w:w="903" w:type="pct"/>
            <w:vAlign w:val="center"/>
          </w:tcPr>
          <w:p w14:paraId="3A51CB8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Paired cultures assessed by day 7; recurrence noted at day 25</w:t>
            </w:r>
          </w:p>
        </w:tc>
        <w:tc>
          <w:tcPr>
            <w:tcW w:w="1385" w:type="pct"/>
            <w:vAlign w:val="center"/>
          </w:tcPr>
          <w:p w14:paraId="6EFAA6A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CRBSI resolution by day 7: 24/24 (100%). Catheter-colonization resolution: 2/2 (100%). All TIVADs were preserved. One E. coli recurrence occurred at day 25 and responded to repeat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taurolidine lock.</w:t>
            </w:r>
          </w:p>
        </w:tc>
      </w:tr>
      <w:tr w:rsidR="008C3407" w:rsidRPr="006200DB" w14:paraId="4376B08B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24C151D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Krümpelmann, 2021</w:t>
            </w:r>
          </w:p>
        </w:tc>
        <w:tc>
          <w:tcPr>
            <w:tcW w:w="1160" w:type="pct"/>
            <w:vAlign w:val="center"/>
          </w:tcPr>
          <w:p w14:paraId="276D194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Pathogen-directed antibiotic solution infused once daily through the TIVAD; residual solution left to dwell for 24 h; treatment duration 10–14 days from the first negative blood culture.</w:t>
            </w:r>
          </w:p>
        </w:tc>
        <w:tc>
          <w:tcPr>
            <w:tcW w:w="971" w:type="pct"/>
            <w:vAlign w:val="center"/>
          </w:tcPr>
          <w:p w14:paraId="1F6F2B1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06D4954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Primary microb</w:t>
            </w:r>
            <w:r w:rsidRPr="006200DB">
              <w:rPr>
                <w:rFonts w:asciiTheme="majorBidi" w:hAnsiTheme="majorBidi" w:cstheme="majorBidi"/>
                <w:sz w:val="22"/>
              </w:rPr>
              <w:t>iological assessment within 72 h after antibiotic initiation; two relapses were observed later at 3 weeks and 4 months.</w:t>
            </w:r>
          </w:p>
        </w:tc>
        <w:tc>
          <w:tcPr>
            <w:tcW w:w="1385" w:type="pct"/>
            <w:vAlign w:val="center"/>
          </w:tcPr>
          <w:p w14:paraId="246EA32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Early microbiological success, defined as no growth of the pathogen in blood cultures obtained within 72 h after initiation of antibioti</w:t>
            </w:r>
            <w:r w:rsidRPr="006200DB">
              <w:rPr>
                <w:rFonts w:asciiTheme="majorBidi" w:hAnsiTheme="majorBidi" w:cstheme="majorBidi"/>
                <w:sz w:val="22"/>
              </w:rPr>
              <w:t>c therapy: 24/52 (46.2%). Relapse: 2 cases.</w:t>
            </w:r>
          </w:p>
        </w:tc>
      </w:tr>
      <w:tr w:rsidR="008C3407" w:rsidRPr="006200DB" w14:paraId="0A8D44C4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3B5F8B0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Alonso, 2020</w:t>
            </w:r>
          </w:p>
        </w:tc>
        <w:tc>
          <w:tcPr>
            <w:tcW w:w="1160" w:type="pct"/>
            <w:vAlign w:val="center"/>
          </w:tcPr>
          <w:p w14:paraId="5B647C4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Vancomycin 5 mg/mL + heparin 60 IU in a total lock volume of 2 mL; 8–24-h dwell; once daily; 7–14 days.</w:t>
            </w:r>
          </w:p>
        </w:tc>
        <w:tc>
          <w:tcPr>
            <w:tcW w:w="971" w:type="pct"/>
            <w:vAlign w:val="center"/>
          </w:tcPr>
          <w:p w14:paraId="3900A49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68B7AEF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90 days</w:t>
            </w:r>
          </w:p>
        </w:tc>
        <w:tc>
          <w:tcPr>
            <w:tcW w:w="1385" w:type="pct"/>
            <w:vAlign w:val="center"/>
          </w:tcPr>
          <w:p w14:paraId="69C01FB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Catheter retention for &gt;=90 days: 32/76 (42.1%); retention until com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pletion of use or planned replacement: 54/76 (71.1%). Infection-attributable mortality: 1/76 (1.3%). Median hospital stay: 25 days (IQR 15.0-48.8).</w:t>
            </w:r>
          </w:p>
        </w:tc>
      </w:tr>
      <w:tr w:rsidR="008C3407" w:rsidRPr="006200DB" w14:paraId="77A743ED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6893B6C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Ahmad, 2019</w:t>
            </w:r>
          </w:p>
        </w:tc>
        <w:tc>
          <w:tcPr>
            <w:tcW w:w="1160" w:type="pct"/>
            <w:vAlign w:val="center"/>
          </w:tcPr>
          <w:p w14:paraId="05D86E4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Hydrochloric acid 2.5 mmol/mL in lumen-filling volume; 10-min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dwell, aspirated and repeated twi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ce (3 instillations/session).</w:t>
            </w:r>
          </w:p>
        </w:tc>
        <w:tc>
          <w:tcPr>
            <w:tcW w:w="971" w:type="pct"/>
            <w:vAlign w:val="center"/>
          </w:tcPr>
          <w:p w14:paraId="5B0C50A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None (single-arm)</w:t>
            </w:r>
          </w:p>
        </w:tc>
        <w:tc>
          <w:tcPr>
            <w:tcW w:w="903" w:type="pct"/>
            <w:vAlign w:val="center"/>
          </w:tcPr>
          <w:p w14:paraId="027FA20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</w:t>
            </w:r>
          </w:p>
        </w:tc>
        <w:tc>
          <w:tcPr>
            <w:tcW w:w="1385" w:type="pct"/>
            <w:vAlign w:val="center"/>
          </w:tcPr>
          <w:p w14:paraId="75772A8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Catheter salvage (catheter not removed because of infection): 49/71 (69.0%).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Median time from lock therapy to catheter removal among those removed: 58 days. No serious procedure-related adverse events.</w:t>
            </w:r>
          </w:p>
        </w:tc>
      </w:tr>
      <w:tr w:rsidR="008C3407" w:rsidRPr="006200DB" w14:paraId="0B5393F2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66E5C59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Vassallo, 2017</w:t>
            </w:r>
          </w:p>
        </w:tc>
        <w:tc>
          <w:tcPr>
            <w:tcW w:w="1160" w:type="pct"/>
            <w:vAlign w:val="center"/>
          </w:tcPr>
          <w:p w14:paraId="17D9503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Daptomycin 5 mg/mL in 5 mL Ringer solution (25 mg total); heparin-free; 18-h dwell/day; usually 3 consecutive days.</w:t>
            </w:r>
          </w:p>
        </w:tc>
        <w:tc>
          <w:tcPr>
            <w:tcW w:w="971" w:type="pct"/>
            <w:vAlign w:val="center"/>
          </w:tcPr>
          <w:p w14:paraId="06E780E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7A493B3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30 days after discontinuation of systemic antimicrobial therapy and ALT</w:t>
            </w:r>
          </w:p>
        </w:tc>
        <w:tc>
          <w:tcPr>
            <w:tcW w:w="1385" w:type="pct"/>
            <w:vAlign w:val="center"/>
          </w:tcPr>
          <w:p w14:paraId="6670AAC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Complete clinical resolution: 21/21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 (100%). Catheter salvage at 30 days: 16/21 (76.2%); removals were due to culture-confirmed relapse (n = 3) or recurrent fever (n = 2).</w:t>
            </w:r>
          </w:p>
        </w:tc>
      </w:tr>
      <w:tr w:rsidR="008C3407" w:rsidRPr="006200DB" w14:paraId="242DA7F0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205F589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Santarpia, 2016</w:t>
            </w:r>
          </w:p>
        </w:tc>
        <w:tc>
          <w:tcPr>
            <w:tcW w:w="1160" w:type="pct"/>
            <w:vAlign w:val="center"/>
          </w:tcPr>
          <w:p w14:paraId="04D79DF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Pathogen-directed ALT: teicoplanin, 20/33 (60.6%); daptomycin, 9/33 (27.3%); meropenem, 4/33 (12.1%).</w:t>
            </w:r>
          </w:p>
        </w:tc>
        <w:tc>
          <w:tcPr>
            <w:tcW w:w="971" w:type="pct"/>
            <w:vAlign w:val="center"/>
          </w:tcPr>
          <w:p w14:paraId="5ED3A3C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one (single-arm)</w:t>
            </w:r>
          </w:p>
        </w:tc>
        <w:tc>
          <w:tcPr>
            <w:tcW w:w="903" w:type="pct"/>
            <w:vAlign w:val="center"/>
          </w:tcPr>
          <w:p w14:paraId="784013F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</w:t>
            </w:r>
          </w:p>
        </w:tc>
        <w:tc>
          <w:tcPr>
            <w:tcW w:w="1385" w:type="pct"/>
            <w:vAlign w:val="center"/>
          </w:tcPr>
          <w:p w14:paraId="4D49D2E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Catheter salvage: 22/33 (66.7%).</w:t>
            </w:r>
          </w:p>
        </w:tc>
      </w:tr>
      <w:tr w:rsidR="008C3407" w:rsidRPr="006200DB" w14:paraId="4C6B6ED5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069073D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Tatarelli, 2015</w:t>
            </w:r>
          </w:p>
        </w:tc>
        <w:tc>
          <w:tcPr>
            <w:tcW w:w="1160" w:type="pct"/>
            <w:vAlign w:val="center"/>
          </w:tcPr>
          <w:p w14:paraId="6EB9984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Daptomycin lock reconstituted in 5 mL lactated Ringer solution; no heparin; 12-h dwell; mean duration 13 days (range 7–16).</w:t>
            </w:r>
          </w:p>
        </w:tc>
        <w:tc>
          <w:tcPr>
            <w:tcW w:w="971" w:type="pct"/>
            <w:vAlign w:val="center"/>
          </w:tcPr>
          <w:p w14:paraId="6115034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7E2BF9A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 months</w:t>
            </w:r>
          </w:p>
        </w:tc>
        <w:tc>
          <w:tcPr>
            <w:tcW w:w="1385" w:type="pct"/>
            <w:vAlign w:val="center"/>
          </w:tcPr>
          <w:p w14:paraId="7814AE3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Clinical and microbiological cure </w:t>
            </w:r>
            <w:r w:rsidRPr="006200DB">
              <w:rPr>
                <w:rFonts w:asciiTheme="majorBidi" w:hAnsiTheme="majorBidi" w:cstheme="majorBidi"/>
                <w:sz w:val="22"/>
              </w:rPr>
              <w:t>with catheter retention at 3 months: 6/8 (75.0%). Mean time to negative blood cultures: 2 days (range 1–6).</w:t>
            </w:r>
          </w:p>
        </w:tc>
      </w:tr>
      <w:tr w:rsidR="008C3407" w:rsidRPr="006200DB" w14:paraId="5EE7B8FE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5087C3E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Kubiak, 2014</w:t>
            </w:r>
          </w:p>
        </w:tc>
        <w:tc>
          <w:tcPr>
            <w:tcW w:w="1160" w:type="pct"/>
            <w:vAlign w:val="center"/>
          </w:tcPr>
          <w:p w14:paraId="0373960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Ethanol 70% v/v; up to 2 mL to fill the catheter lumen; 4–12-h dwell/day; aspirated or flushed with saline; median duration 5 days (IQ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 3–6; range 1–21).</w:t>
            </w:r>
          </w:p>
        </w:tc>
        <w:tc>
          <w:tcPr>
            <w:tcW w:w="971" w:type="pct"/>
            <w:vAlign w:val="center"/>
          </w:tcPr>
          <w:p w14:paraId="044EDF2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60D3FB3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NR; median catheter retention after ELT, 71 days (IQR 34–162; range 11–569)</w:t>
            </w:r>
          </w:p>
        </w:tc>
        <w:tc>
          <w:tcPr>
            <w:tcW w:w="1385" w:type="pct"/>
            <w:vAlign w:val="center"/>
          </w:tcPr>
          <w:p w14:paraId="3F59463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Overall mixed-cohort outcomes (cancer-specific outcomes not separately extractable): long-term catheter salvage 28/45 (62.2%); median post-loc</w:t>
            </w:r>
            <w:r w:rsidRPr="006200DB">
              <w:rPr>
                <w:rFonts w:asciiTheme="majorBidi" w:hAnsiTheme="majorBidi" w:cstheme="majorBidi"/>
                <w:sz w:val="22"/>
              </w:rPr>
              <w:t>k retention 71 days (IQR 34–162; range 11–569). CVC removal within 7 days: 16/45 (persistent bacteremia 3; no longer clinically necessary 7; malfunction 3; clinician preference despite no persistent CLABSI 3). Persistent/recurrent bacteremia triggering rem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oval: 5/45 (3 persistent, 2 late recurrent). One death from underlying malignancy occurred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without persistent CLABSI. No documented ELT-related adverse events.</w:t>
            </w:r>
          </w:p>
        </w:tc>
      </w:tr>
      <w:tr w:rsidR="008C3407" w:rsidRPr="006200DB" w14:paraId="39E6E424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7AB0E2A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Haag, 2011</w:t>
            </w:r>
          </w:p>
        </w:tc>
        <w:tc>
          <w:tcPr>
            <w:tcW w:w="1160" w:type="pct"/>
            <w:vAlign w:val="center"/>
          </w:tcPr>
          <w:p w14:paraId="6EF32C1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TauroLock HEP100: cyclo-taurolidine 1.4% + citrate 0.4% + heparin 100 IU/mL; cathete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r lumen filled and locked for 3–4 consecutive days.</w:t>
            </w:r>
          </w:p>
        </w:tc>
        <w:tc>
          <w:tcPr>
            <w:tcW w:w="971" w:type="pct"/>
            <w:vAlign w:val="center"/>
          </w:tcPr>
          <w:p w14:paraId="01EEE33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448EA63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NR; one new/reinfection CRBSI reported at 11.9 weeks (not a formal follow-up duration)</w:t>
            </w:r>
          </w:p>
        </w:tc>
        <w:tc>
          <w:tcPr>
            <w:tcW w:w="1385" w:type="pct"/>
            <w:vAlign w:val="center"/>
          </w:tcPr>
          <w:p w14:paraId="2F8C716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Successful conservative treatment/catheter salvage: 16/24 (66.7%); catheter explantation: 8/24 </w:t>
            </w:r>
            <w:r w:rsidRPr="006200DB">
              <w:rPr>
                <w:rFonts w:asciiTheme="majorBidi" w:hAnsiTheme="majorBidi" w:cstheme="majorBidi"/>
                <w:sz w:val="22"/>
              </w:rPr>
              <w:t>(33.3%) (second positive blood culture, n=3; recurrent fever, n=1; persistent fever with early interruption, n=4). One new/reinfection CRBSI with a different pathogen occurred at 11.9 weeks. No septic complications, infection-related deaths, all-cause deat</w:t>
            </w:r>
            <w:r w:rsidRPr="006200DB">
              <w:rPr>
                <w:rFonts w:asciiTheme="majorBidi" w:hAnsiTheme="majorBidi" w:cstheme="majorBidi"/>
                <w:sz w:val="22"/>
              </w:rPr>
              <w:t>hs during treatment, or taurolidine-related adverse events were reported.</w:t>
            </w:r>
          </w:p>
        </w:tc>
      </w:tr>
      <w:tr w:rsidR="008C3407" w:rsidRPr="006200DB" w14:paraId="7556E973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69CB189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Tejwani &amp; Parry, 2011</w:t>
            </w:r>
          </w:p>
        </w:tc>
        <w:tc>
          <w:tcPr>
            <w:tcW w:w="1160" w:type="pct"/>
            <w:vAlign w:val="center"/>
          </w:tcPr>
          <w:p w14:paraId="2F7C093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Susceptibility-directed ALT; mean duration 12.9 days (range 2–59). Agents included vancomycin, cefepime, gentamicin, ampicillin, cefotaxime, ciprofloxacin,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minocycline, oxacillin, and ceftazidime.</w:t>
            </w:r>
          </w:p>
        </w:tc>
        <w:tc>
          <w:tcPr>
            <w:tcW w:w="971" w:type="pct"/>
            <w:vAlign w:val="center"/>
          </w:tcPr>
          <w:p w14:paraId="447A561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2445019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&gt;=14 days after completion of therapy</w:t>
            </w:r>
          </w:p>
        </w:tc>
        <w:tc>
          <w:tcPr>
            <w:tcW w:w="1385" w:type="pct"/>
            <w:vAlign w:val="center"/>
          </w:tcPr>
          <w:p w14:paraId="065B3D9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Treatment success (sustained symptom resolution with negative cultures): 26/32 (81.3%); catheter removal for infection: 6/32 (18.8%). S. aureus infection was a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ssociated with lower salvage (P = 0.001).</w:t>
            </w:r>
          </w:p>
        </w:tc>
      </w:tr>
      <w:tr w:rsidR="008C3407" w:rsidRPr="006200DB" w14:paraId="0CDB4BCD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2246DCF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Bookstaver, 2010</w:t>
            </w:r>
          </w:p>
        </w:tc>
        <w:tc>
          <w:tcPr>
            <w:tcW w:w="1160" w:type="pct"/>
            <w:vAlign w:val="center"/>
          </w:tcPr>
          <w:p w14:paraId="139695E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Daptomycin 1 mg/mL + heparin 100 IU/mL (4/6) or vancomycin 5 mg/mL + heparin 5,000 IU/mL (1/6); mean dwell approximately 14 h/day; median ALT duration 7 days (range 5–14).</w:t>
            </w:r>
          </w:p>
        </w:tc>
        <w:tc>
          <w:tcPr>
            <w:tcW w:w="971" w:type="pct"/>
            <w:vAlign w:val="center"/>
          </w:tcPr>
          <w:p w14:paraId="13020AB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5062377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30 day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s after completion of ALT and systemic antimicrobial therapy</w:t>
            </w:r>
          </w:p>
        </w:tc>
        <w:tc>
          <w:tcPr>
            <w:tcW w:w="1385" w:type="pct"/>
            <w:vAlign w:val="center"/>
          </w:tcPr>
          <w:p w14:paraId="62F5DAE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Blood-culture sterilization at 30 days: 5/6 (83.3%); catheter salvage/retention: 4/6 (66.7%). Late recurrence: 1/6 at approximately 2 months (outside the study-defined ≤30-day relapse window; des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criptive only). Overall cohort only: agent-specific sterilization rates and OR 1.367 per additional ALT day above the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mean (P = 0.077; nonsignificant).</w:t>
            </w:r>
          </w:p>
        </w:tc>
      </w:tr>
      <w:tr w:rsidR="008C3407" w:rsidRPr="006200DB" w14:paraId="4958FA80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53F7AB5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Santarpia, 2010</w:t>
            </w:r>
          </w:p>
        </w:tc>
        <w:tc>
          <w:tcPr>
            <w:tcW w:w="1160" w:type="pct"/>
            <w:vAlign w:val="center"/>
          </w:tcPr>
          <w:p w14:paraId="5F745D4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Susceptibility-directed ALT using the lowest-MIC agent; heparinized saline 500 IU/mL; t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otal volume 3 mL (TIVAD) or 5 mL (tunneled CVC); once or twice daily.</w:t>
            </w:r>
          </w:p>
        </w:tc>
        <w:tc>
          <w:tcPr>
            <w:tcW w:w="971" w:type="pct"/>
            <w:vAlign w:val="center"/>
          </w:tcPr>
          <w:p w14:paraId="0E2C3E2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5257FB5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Individual follow-up NR; study period 1995–2006</w:t>
            </w:r>
          </w:p>
        </w:tc>
        <w:tc>
          <w:tcPr>
            <w:tcW w:w="1385" w:type="pct"/>
            <w:vAlign w:val="center"/>
          </w:tcPr>
          <w:p w14:paraId="1452D8E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Overall mixed-cohort outcome (cancer-specific outcome not separately extractable): infection resolution with catheter </w:t>
            </w:r>
            <w:r w:rsidRPr="006200DB">
              <w:rPr>
                <w:rFonts w:asciiTheme="majorBidi" w:hAnsiTheme="majorBidi" w:cstheme="majorBidi"/>
                <w:sz w:val="22"/>
              </w:rPr>
              <w:t>salvage 103/139 (74.1%); treatment failure requiring CVC removal 36/139 (25.9%). Success required disappearance of infection signs/symptoms with negative blood cultures after antibiotic therapy; failure reflected persistent/recurrent fever or positive bloo</w:t>
            </w:r>
            <w:r w:rsidRPr="006200DB">
              <w:rPr>
                <w:rFonts w:asciiTheme="majorBidi" w:hAnsiTheme="majorBidi" w:cstheme="majorBidi"/>
                <w:sz w:val="22"/>
              </w:rPr>
              <w:t>d/catheter cultures requiring removal.</w:t>
            </w:r>
          </w:p>
        </w:tc>
      </w:tr>
      <w:tr w:rsidR="008C3407" w:rsidRPr="006200DB" w14:paraId="0BDD8844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758EEAB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Del Pozo, 2009b</w:t>
            </w:r>
          </w:p>
        </w:tc>
        <w:tc>
          <w:tcPr>
            <w:tcW w:w="1160" w:type="pct"/>
            <w:vAlign w:val="center"/>
          </w:tcPr>
          <w:p w14:paraId="06D090F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Susceptibility-directed ALT + heparin 100 IU/mL (except levofloxacin); vancomycin, teicoplanin, vancomycin-gentamicin, levofloxacin, piperacillin-tazobactam, or trimethoprim-sulfamethoxazole; dwell 12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-24 h/day; 7-14 days.</w:t>
            </w:r>
          </w:p>
        </w:tc>
        <w:tc>
          <w:tcPr>
            <w:tcW w:w="971" w:type="pct"/>
            <w:vAlign w:val="center"/>
          </w:tcPr>
          <w:p w14:paraId="0A55CC5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188BF39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Minimum 180 days or until catheter removal or death</w:t>
            </w:r>
          </w:p>
        </w:tc>
        <w:tc>
          <w:tcPr>
            <w:tcW w:w="1385" w:type="pct"/>
            <w:vAlign w:val="center"/>
          </w:tcPr>
          <w:p w14:paraId="4C0C386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Clinical and microbiological success at 30 days: 15/17 (88.2%); failures: 2/17 (11.8%), comprising one same-organism E. faecium relapse at day 12 and one port-relat</w:t>
            </w:r>
            <w:r w:rsidRPr="006200DB">
              <w:rPr>
                <w:rFonts w:asciiTheme="majorBidi" w:hAnsiTheme="majorBidi" w:cstheme="majorBidi"/>
                <w:sz w:val="22"/>
              </w:rPr>
              <w:t>ed fungemia/superinfection during treatment requiring port removal. A later prosthetic-knee infection with the index C. striatum was reported at day 270 and is retained as a descriptive late complicated infection, not as a 30-day relapse. Mean catheter sur</w:t>
            </w:r>
            <w:r w:rsidRPr="006200DB">
              <w:rPr>
                <w:rFonts w:asciiTheme="majorBidi" w:hAnsiTheme="majorBidi" w:cstheme="majorBidi"/>
                <w:sz w:val="22"/>
              </w:rPr>
              <w:t>vival after bacteremia: 288 days.</w:t>
            </w:r>
          </w:p>
        </w:tc>
      </w:tr>
      <w:tr w:rsidR="008C3407" w:rsidRPr="006200DB" w14:paraId="399483E2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4CC143F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Fernández-Hidalgo, 2006</w:t>
            </w:r>
          </w:p>
        </w:tc>
        <w:tc>
          <w:tcPr>
            <w:tcW w:w="1160" w:type="pct"/>
            <w:vAlign w:val="center"/>
          </w:tcPr>
          <w:p w14:paraId="2D58209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GP infections: vancomycin 2 mg/mL; GN infections: ciprofloxacin 2 mg/mL or amikacin 2 mg/mL; Mixed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infections: vancomycin plus ciprofloxacin; heparin 20 IU/mL; 2 mL/lumen for tunneled or non-tunnel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ed CVCs and 3 mL for TIVADs; median duration 12 days (IQR 8–14).</w:t>
            </w:r>
          </w:p>
        </w:tc>
        <w:tc>
          <w:tcPr>
            <w:tcW w:w="971" w:type="pct"/>
            <w:vAlign w:val="center"/>
          </w:tcPr>
          <w:p w14:paraId="28E7D30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None (single-arm)</w:t>
            </w:r>
          </w:p>
        </w:tc>
        <w:tc>
          <w:tcPr>
            <w:tcW w:w="903" w:type="pct"/>
            <w:vAlign w:val="center"/>
          </w:tcPr>
          <w:p w14:paraId="6097323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Median 168 days (range 7–2740);</w:t>
            </w:r>
          </w:p>
        </w:tc>
        <w:tc>
          <w:tcPr>
            <w:tcW w:w="1385" w:type="pct"/>
            <w:vAlign w:val="center"/>
          </w:tcPr>
          <w:p w14:paraId="236D77A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Negative blood cultures with catheter retention 1 month after therapy: 46/54 (85.2%). Failures were due to persistent fever (n = 3), relapse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(n = 3), tunnel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infection (n = 1), or thrombosis (n = 1). S. aureus was associated with higher failure.</w:t>
            </w:r>
          </w:p>
        </w:tc>
      </w:tr>
      <w:tr w:rsidR="008C3407" w:rsidRPr="006200DB" w14:paraId="41CEBB50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119447C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lastRenderedPageBreak/>
              <w:t>Sánchez-Muñoz, 2005</w:t>
            </w:r>
          </w:p>
        </w:tc>
        <w:tc>
          <w:tcPr>
            <w:tcW w:w="1160" w:type="pct"/>
            <w:vAlign w:val="center"/>
          </w:tcPr>
          <w:p w14:paraId="009151A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 xml:space="preserve">Vancomycin 5 mg/mL + amikacin 5 mg/mL + heparin 5%; 1 mL of each solution, total lock volume 3 mL; continuous 72-h dwell; single 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3-day lock cycle.</w:t>
            </w:r>
          </w:p>
        </w:tc>
        <w:tc>
          <w:tcPr>
            <w:tcW w:w="971" w:type="pct"/>
            <w:vAlign w:val="center"/>
          </w:tcPr>
          <w:p w14:paraId="61F5BF9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2BC3FAD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Mean 257 days (range 120–420); inpatient assessment during the first 72 h after ALT initiation, daily telephone follow-up until 2 weeks after completion of ALT/systemic antibiotics, then monthly for at least 4 months.</w:t>
            </w:r>
          </w:p>
        </w:tc>
        <w:tc>
          <w:tcPr>
            <w:tcW w:w="1385" w:type="pct"/>
            <w:vAlign w:val="center"/>
          </w:tcPr>
          <w:p w14:paraId="187B007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Am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ong 13 eligible adults, infection resolution at 72 h and catheter salvage at 3 months: 11/13 (84.6%). No recurrence after successful salvage and no infection-related deaths.</w:t>
            </w:r>
          </w:p>
        </w:tc>
      </w:tr>
      <w:tr w:rsidR="008C3407" w:rsidRPr="006200DB" w14:paraId="39B0E9F6" w14:textId="77777777" w:rsidTr="006200DB">
        <w:trPr>
          <w:trHeight w:val="576"/>
        </w:trPr>
        <w:tc>
          <w:tcPr>
            <w:tcW w:w="581" w:type="pct"/>
            <w:vAlign w:val="center"/>
          </w:tcPr>
          <w:p w14:paraId="32F4C83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Longuet, 2001</w:t>
            </w:r>
          </w:p>
        </w:tc>
        <w:tc>
          <w:tcPr>
            <w:tcW w:w="1160" w:type="pct"/>
            <w:vAlign w:val="center"/>
          </w:tcPr>
          <w:p w14:paraId="73B21C9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Vancomycin or teicoplanin 5 mg/mL, with or without amikacin; admini</w:t>
            </w:r>
            <w:r w:rsidRPr="006200DB">
              <w:rPr>
                <w:rFonts w:asciiTheme="majorBidi" w:eastAsia="Arial" w:hAnsiTheme="majorBidi" w:cstheme="majorBidi"/>
                <w:sz w:val="22"/>
              </w:rPr>
              <w:t>stered once or twice daily; treatment duration approximately 3–15 days.</w:t>
            </w:r>
          </w:p>
        </w:tc>
        <w:tc>
          <w:tcPr>
            <w:tcW w:w="971" w:type="pct"/>
            <w:vAlign w:val="center"/>
          </w:tcPr>
          <w:p w14:paraId="12FF4CD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eastAsia="Arial" w:hAnsiTheme="majorBidi" w:cstheme="majorBidi"/>
                <w:sz w:val="22"/>
              </w:rPr>
              <w:t>None (single-arm)</w:t>
            </w:r>
          </w:p>
        </w:tc>
        <w:tc>
          <w:tcPr>
            <w:tcW w:w="903" w:type="pct"/>
            <w:vAlign w:val="center"/>
          </w:tcPr>
          <w:p w14:paraId="6734476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&gt;1 month after treatment for study-defined cure</w:t>
            </w:r>
          </w:p>
        </w:tc>
        <w:tc>
          <w:tcPr>
            <w:tcW w:w="1385" w:type="pct"/>
            <w:vAlign w:val="center"/>
          </w:tcPr>
          <w:p w14:paraId="5BA3E5B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Study-defined cure: 3/6 (50.0%); failure: 3/6 (50.0%). Cure required fever/clinical resolution within 48 h, quantitati</w:t>
            </w:r>
            <w:r w:rsidRPr="006200DB">
              <w:rPr>
                <w:rFonts w:asciiTheme="majorBidi" w:hAnsiTheme="majorBidi" w:cstheme="majorBidi"/>
                <w:sz w:val="22"/>
              </w:rPr>
              <w:t>ve catheter blood-culture sterilization within 5 days with sustained negativity through treatment completion, and clinical stability for &gt;1 month after treatment.</w:t>
            </w:r>
          </w:p>
        </w:tc>
      </w:tr>
      <w:tr w:rsidR="006200DB" w:rsidRPr="006200DB" w14:paraId="00810E22" w14:textId="77777777" w:rsidTr="006200DB">
        <w:trPr>
          <w:trHeight w:val="576"/>
        </w:trPr>
        <w:tc>
          <w:tcPr>
            <w:tcW w:w="5000" w:type="pct"/>
            <w:gridSpan w:val="5"/>
            <w:vAlign w:val="center"/>
          </w:tcPr>
          <w:p w14:paraId="59ADED9A" w14:textId="5D7E1361" w:rsidR="006200DB" w:rsidRPr="006200DB" w:rsidRDefault="006200DB" w:rsidP="006200DB">
            <w:pPr>
              <w:spacing w:before="120" w:after="120" w:line="276" w:lineRule="auto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6200DB">
              <w:rPr>
                <w:rFonts w:asciiTheme="majorBidi" w:hAnsiTheme="majorBidi" w:cstheme="majorBidi"/>
                <w:sz w:val="18"/>
                <w:szCs w:val="18"/>
              </w:rPr>
              <w:t>Note. The table preserves study-reported regimen details, comparator definitions, follow-up windows, and reported effectiveness/safety outcomes from the current extraction dataset. Outcomes are study-defined and are not assumed to be clinically equivalent. Exact lock concentration, volume, dwell time, and duration are shown only where reported in the extraction source. Methodological limitations and risk-of-bias judgments should be presented separately in the ROBINS-I/RoB 2 supplementary material rather than duplicated here. Abbreviations: ALT, antimicrobial lock therapy; BSI, bloodstream infection; CI, confidence interval; CoNS, coagulase-negative staphylococci; CRBSI, catheter-related bloodstream infection; CVC, central venous catheter; EDTA, ethylenediaminetetraacetic acid; ELT, ethanol lock therapy; GN, Gram-negative; HR, hazard ratio; IQR, interquartile range; IPTW, inverse probability of treatment weighting; NR, not reported; OR, odds ratio; PICC, peripherally inserted central catheter; TIVAD, totally implantable venous access device; VLT, vancomycin lock therapy.</w:t>
            </w:r>
          </w:p>
        </w:tc>
      </w:tr>
    </w:tbl>
    <w:p w14:paraId="1A7CA2F9" w14:textId="77777777" w:rsidR="00B05A97" w:rsidRPr="006200DB" w:rsidRDefault="00C43FE3" w:rsidP="006200DB">
      <w:pPr>
        <w:spacing w:before="100" w:beforeAutospacing="1" w:after="100" w:afterAutospacing="1" w:line="360" w:lineRule="auto"/>
        <w:rPr>
          <w:rFonts w:asciiTheme="majorBidi" w:hAnsiTheme="majorBidi" w:cstheme="majorBidi"/>
          <w:sz w:val="22"/>
        </w:rPr>
      </w:pPr>
      <w:r w:rsidRPr="006200DB">
        <w:rPr>
          <w:rFonts w:asciiTheme="majorBidi" w:hAnsiTheme="majorBidi" w:cstheme="majorBidi"/>
          <w:sz w:val="22"/>
        </w:rPr>
        <w:br w:type="page"/>
      </w:r>
    </w:p>
    <w:p w14:paraId="3A84F66F" w14:textId="77777777" w:rsidR="00FD7B2D" w:rsidRPr="006200DB" w:rsidRDefault="00C43FE3" w:rsidP="006200DB">
      <w:pPr>
        <w:keepNext/>
        <w:spacing w:before="100" w:beforeAutospacing="1" w:after="100" w:afterAutospacing="1" w:line="360" w:lineRule="auto"/>
        <w:rPr>
          <w:rFonts w:asciiTheme="majorBidi" w:hAnsiTheme="majorBidi" w:cstheme="majorBidi"/>
          <w:sz w:val="22"/>
        </w:rPr>
      </w:pPr>
      <w:r w:rsidRPr="006200DB">
        <w:rPr>
          <w:rFonts w:asciiTheme="majorBidi" w:hAnsiTheme="majorBidi" w:cstheme="majorBidi"/>
          <w:b/>
          <w:sz w:val="22"/>
        </w:rPr>
        <w:lastRenderedPageBreak/>
        <w:t xml:space="preserve">Table S3. Antimicrobial </w:t>
      </w:r>
      <w:r w:rsidRPr="006200DB">
        <w:rPr>
          <w:rFonts w:asciiTheme="majorBidi" w:hAnsiTheme="majorBidi" w:cstheme="majorBidi"/>
          <w:b/>
          <w:sz w:val="22"/>
        </w:rPr>
        <w:t>lock regimens reported across included studies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48"/>
        <w:gridCol w:w="2586"/>
        <w:gridCol w:w="1637"/>
        <w:gridCol w:w="1590"/>
        <w:gridCol w:w="1969"/>
        <w:gridCol w:w="1794"/>
        <w:gridCol w:w="960"/>
        <w:gridCol w:w="1264"/>
      </w:tblGrid>
      <w:tr w:rsidR="00B15CAE" w:rsidRPr="006200DB" w14:paraId="750AAD25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19EEE13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Lock agent/formulation</w:t>
            </w:r>
          </w:p>
        </w:tc>
        <w:tc>
          <w:tcPr>
            <w:tcW w:w="927" w:type="pct"/>
            <w:vAlign w:val="center"/>
          </w:tcPr>
          <w:p w14:paraId="7C4282C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Reported concentration(s)</w:t>
            </w:r>
          </w:p>
        </w:tc>
        <w:tc>
          <w:tcPr>
            <w:tcW w:w="587" w:type="pct"/>
            <w:vAlign w:val="center"/>
          </w:tcPr>
          <w:p w14:paraId="1E9FBB9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Dwell time</w:t>
            </w:r>
          </w:p>
        </w:tc>
        <w:tc>
          <w:tcPr>
            <w:tcW w:w="570" w:type="pct"/>
            <w:vAlign w:val="center"/>
          </w:tcPr>
          <w:p w14:paraId="70EBC18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Treatment duration</w:t>
            </w:r>
          </w:p>
        </w:tc>
        <w:tc>
          <w:tcPr>
            <w:tcW w:w="706" w:type="pct"/>
            <w:vAlign w:val="center"/>
          </w:tcPr>
          <w:p w14:paraId="1F6D458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Additive(s)</w:t>
            </w:r>
          </w:p>
        </w:tc>
        <w:tc>
          <w:tcPr>
            <w:tcW w:w="643" w:type="pct"/>
            <w:vAlign w:val="center"/>
          </w:tcPr>
          <w:p w14:paraId="3E11C12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Lock volume</w:t>
            </w:r>
          </w:p>
        </w:tc>
        <w:tc>
          <w:tcPr>
            <w:tcW w:w="344" w:type="pct"/>
            <w:vAlign w:val="center"/>
          </w:tcPr>
          <w:p w14:paraId="4A2B14C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Studies, n</w:t>
            </w:r>
          </w:p>
        </w:tc>
        <w:tc>
          <w:tcPr>
            <w:tcW w:w="453" w:type="pct"/>
            <w:vAlign w:val="center"/>
          </w:tcPr>
          <w:p w14:paraId="71CA32C5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bCs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bCs/>
                <w:sz w:val="22"/>
              </w:rPr>
              <w:t>References</w:t>
            </w:r>
          </w:p>
        </w:tc>
      </w:tr>
      <w:tr w:rsidR="00B15CAE" w:rsidRPr="006200DB" w14:paraId="08578574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35A14EC4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Glycopeptides (n=21 studies)</w:t>
            </w:r>
          </w:p>
        </w:tc>
      </w:tr>
      <w:tr w:rsidR="00B15CAE" w:rsidRPr="006200DB" w14:paraId="30A07832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20A77B3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Vancomycin</w:t>
            </w:r>
          </w:p>
        </w:tc>
        <w:tc>
          <w:tcPr>
            <w:tcW w:w="927" w:type="pct"/>
            <w:vAlign w:val="center"/>
          </w:tcPr>
          <w:p w14:paraId="542F098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0.5–20 mg/mL (0.5, 2, 2.5, 4, 5, 10, 12.5,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20); NR in 3 studies</w:t>
            </w:r>
          </w:p>
        </w:tc>
        <w:tc>
          <w:tcPr>
            <w:tcW w:w="587" w:type="pct"/>
            <w:vAlign w:val="center"/>
          </w:tcPr>
          <w:p w14:paraId="2B8C84D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8–24 h/day where reported; 24–48-h dwell in 1 study; daily/q24h or NR in others</w:t>
            </w:r>
          </w:p>
        </w:tc>
        <w:tc>
          <w:tcPr>
            <w:tcW w:w="570" w:type="pct"/>
            <w:vAlign w:val="center"/>
          </w:tcPr>
          <w:p w14:paraId="48D1D47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Specific protocols: 3–15 d; cohort-level range: 1–59 d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  <w:r w:rsidRPr="006200DB">
              <w:rPr>
                <w:rFonts w:asciiTheme="majorBidi" w:hAnsiTheme="majorBidi" w:cstheme="majorBidi"/>
                <w:sz w:val="22"/>
              </w:rPr>
              <w:t>; NR in 1 study</w:t>
            </w:r>
          </w:p>
        </w:tc>
        <w:tc>
          <w:tcPr>
            <w:tcW w:w="706" w:type="pct"/>
            <w:vAlign w:val="center"/>
          </w:tcPr>
          <w:p w14:paraId="34D0022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20, 60, 100, 2500, or 5000 IU/mL (or concentration NR); urokinase for ports</w:t>
            </w:r>
            <w:r w:rsidRPr="006200DB">
              <w:rPr>
                <w:rFonts w:asciiTheme="majorBidi" w:hAnsiTheme="majorBidi" w:cstheme="majorBidi"/>
                <w:sz w:val="22"/>
              </w:rPr>
              <w:t>; saline/no anticoagulant; ± other antibiotics</w:t>
            </w:r>
          </w:p>
        </w:tc>
        <w:tc>
          <w:tcPr>
            <w:tcW w:w="643" w:type="pct"/>
            <w:vAlign w:val="center"/>
          </w:tcPr>
          <w:p w14:paraId="2AEFDC8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1–10 mL where reported (usually 2–5 mL); lumen-fill volume in 1 study; NR otherwise</w:t>
            </w:r>
          </w:p>
        </w:tc>
        <w:tc>
          <w:tcPr>
            <w:tcW w:w="344" w:type="pct"/>
            <w:vAlign w:val="center"/>
          </w:tcPr>
          <w:p w14:paraId="4EECD82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19</w:t>
            </w:r>
          </w:p>
        </w:tc>
        <w:tc>
          <w:tcPr>
            <w:tcW w:w="453" w:type="pct"/>
            <w:vAlign w:val="center"/>
          </w:tcPr>
          <w:p w14:paraId="6F2D1C38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[32–36, 38, 39, 43–45, 49–51, 55, 63–67]</w:t>
            </w:r>
          </w:p>
        </w:tc>
      </w:tr>
      <w:tr w:rsidR="00B15CAE" w:rsidRPr="006200DB" w14:paraId="20208765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172FE6B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Teicoplanin</w:t>
            </w:r>
          </w:p>
        </w:tc>
        <w:tc>
          <w:tcPr>
            <w:tcW w:w="927" w:type="pct"/>
            <w:vAlign w:val="center"/>
          </w:tcPr>
          <w:p w14:paraId="23B2B81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5–80 mg/mL (5, 10, 20, 80); NR in 1 study</w:t>
            </w:r>
          </w:p>
        </w:tc>
        <w:tc>
          <w:tcPr>
            <w:tcW w:w="587" w:type="pct"/>
            <w:vAlign w:val="center"/>
          </w:tcPr>
          <w:p w14:paraId="1A4C703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≥12–24 h/day; mean 17.8 </w:t>
            </w:r>
            <w:r w:rsidRPr="006200DB">
              <w:rPr>
                <w:rFonts w:asciiTheme="majorBidi" w:hAnsiTheme="majorBidi" w:cstheme="majorBidi"/>
                <w:sz w:val="22"/>
              </w:rPr>
              <w:t>h/day in 1 study; once/twice daily in 1; NR in 1</w:t>
            </w:r>
          </w:p>
        </w:tc>
        <w:tc>
          <w:tcPr>
            <w:tcW w:w="570" w:type="pct"/>
            <w:vAlign w:val="center"/>
          </w:tcPr>
          <w:p w14:paraId="0179DA7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3–15 d; mean 10 d (IQR 10–14) in 1 study; intended 14 d in 1; NR in 1</w:t>
            </w:r>
          </w:p>
        </w:tc>
        <w:tc>
          <w:tcPr>
            <w:tcW w:w="706" w:type="pct"/>
            <w:vAlign w:val="center"/>
          </w:tcPr>
          <w:p w14:paraId="3ABF54C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100 IU/mL in 2 studies; heparin pre-flush 100 IU/mL in 1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  <w:r w:rsidRPr="006200DB">
              <w:rPr>
                <w:rFonts w:asciiTheme="majorBidi" w:hAnsiTheme="majorBidi" w:cstheme="majorBidi"/>
                <w:sz w:val="22"/>
              </w:rPr>
              <w:t>; ± amikacin in 1; NR in 2</w:t>
            </w:r>
          </w:p>
        </w:tc>
        <w:tc>
          <w:tcPr>
            <w:tcW w:w="643" w:type="pct"/>
            <w:vAlign w:val="center"/>
          </w:tcPr>
          <w:p w14:paraId="5923798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Lumen-fill volume in 1 study; NR in 5</w:t>
            </w:r>
          </w:p>
        </w:tc>
        <w:tc>
          <w:tcPr>
            <w:tcW w:w="344" w:type="pct"/>
            <w:vAlign w:val="center"/>
          </w:tcPr>
          <w:p w14:paraId="40FA40A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6</w:t>
            </w:r>
          </w:p>
        </w:tc>
        <w:tc>
          <w:tcPr>
            <w:tcW w:w="453" w:type="pct"/>
            <w:vAlign w:val="center"/>
          </w:tcPr>
          <w:p w14:paraId="5B8F363C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[37, </w:t>
            </w:r>
            <w:r w:rsidRPr="006200DB">
              <w:rPr>
                <w:rFonts w:asciiTheme="majorBidi" w:hAnsiTheme="majorBidi" w:cstheme="majorBidi"/>
                <w:sz w:val="22"/>
              </w:rPr>
              <w:t>45, 49, 60, 65, 67]</w:t>
            </w:r>
          </w:p>
        </w:tc>
      </w:tr>
      <w:tr w:rsidR="00B15CAE" w:rsidRPr="006200DB" w14:paraId="10F748F2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1AF7013D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Aminoglycosides (n=11 studies)</w:t>
            </w:r>
          </w:p>
        </w:tc>
      </w:tr>
      <w:tr w:rsidR="00B15CAE" w:rsidRPr="006200DB" w14:paraId="3C02451A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79B61FD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Amikacin</w:t>
            </w:r>
          </w:p>
        </w:tc>
        <w:tc>
          <w:tcPr>
            <w:tcW w:w="927" w:type="pct"/>
            <w:vAlign w:val="center"/>
          </w:tcPr>
          <w:p w14:paraId="5AF0503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2–50 mg/mL (2, 10, 50); NR in 2 studies</w:t>
            </w:r>
          </w:p>
        </w:tc>
        <w:tc>
          <w:tcPr>
            <w:tcW w:w="587" w:type="pct"/>
            <w:vAlign w:val="center"/>
          </w:tcPr>
          <w:p w14:paraId="504281B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≥12–24 h/day; 24–48 h in 1 study; once/twice daily or NR in 1 study each</w:t>
            </w:r>
          </w:p>
        </w:tc>
        <w:tc>
          <w:tcPr>
            <w:tcW w:w="570" w:type="pct"/>
            <w:vAlign w:val="center"/>
          </w:tcPr>
          <w:p w14:paraId="2277D9C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Specific protocols: 3–15 d; cohort-level range: 1–15 d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6AEA378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Heparin 20 or 50 IU/mL; </w:t>
            </w:r>
            <w:r w:rsidRPr="006200DB">
              <w:rPr>
                <w:rFonts w:asciiTheme="majorBidi" w:hAnsiTheme="majorBidi" w:cstheme="majorBidi"/>
                <w:sz w:val="22"/>
              </w:rPr>
              <w:t>heparin pre-flush 100 IU/mL in 1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  <w:r w:rsidRPr="006200DB">
              <w:rPr>
                <w:rFonts w:asciiTheme="majorBidi" w:hAnsiTheme="majorBidi" w:cstheme="majorBidi"/>
                <w:sz w:val="22"/>
              </w:rPr>
              <w:t>; ± glycopeptide in 1; NR otherwise</w:t>
            </w:r>
          </w:p>
        </w:tc>
        <w:tc>
          <w:tcPr>
            <w:tcW w:w="643" w:type="pct"/>
            <w:vAlign w:val="center"/>
          </w:tcPr>
          <w:p w14:paraId="3662060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2–3 mL in 1 study; lumen-fill volume in 1; NR otherwise</w:t>
            </w:r>
          </w:p>
        </w:tc>
        <w:tc>
          <w:tcPr>
            <w:tcW w:w="344" w:type="pct"/>
            <w:vAlign w:val="center"/>
          </w:tcPr>
          <w:p w14:paraId="698DD9F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7</w:t>
            </w:r>
          </w:p>
        </w:tc>
        <w:tc>
          <w:tcPr>
            <w:tcW w:w="453" w:type="pct"/>
            <w:vAlign w:val="center"/>
          </w:tcPr>
          <w:p w14:paraId="01EEAA27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[34, 37, 39, 43, 49, 66, 67]</w:t>
            </w:r>
          </w:p>
        </w:tc>
      </w:tr>
      <w:tr w:rsidR="00B15CAE" w:rsidRPr="006200DB" w14:paraId="10A75B39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3E21D35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lastRenderedPageBreak/>
              <w:t>Gentamicin</w:t>
            </w:r>
          </w:p>
        </w:tc>
        <w:tc>
          <w:tcPr>
            <w:tcW w:w="927" w:type="pct"/>
            <w:vAlign w:val="center"/>
          </w:tcPr>
          <w:p w14:paraId="32B643E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2–40 mg/mL (2, 5, 40); NR in 3 studies</w:t>
            </w:r>
          </w:p>
        </w:tc>
        <w:tc>
          <w:tcPr>
            <w:tcW w:w="587" w:type="pct"/>
            <w:vAlign w:val="center"/>
          </w:tcPr>
          <w:p w14:paraId="1557690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8–24 h where reported; q24h replacement in 1</w:t>
            </w:r>
            <w:r w:rsidRPr="006200DB">
              <w:rPr>
                <w:rFonts w:asciiTheme="majorBidi" w:hAnsiTheme="majorBidi" w:cstheme="majorBidi"/>
                <w:sz w:val="22"/>
              </w:rPr>
              <w:t>ᶜ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; </w:t>
            </w:r>
            <w:r w:rsidRPr="006200DB">
              <w:rPr>
                <w:rFonts w:asciiTheme="majorBidi" w:hAnsiTheme="majorBidi" w:cstheme="majorBidi"/>
                <w:sz w:val="22"/>
              </w:rPr>
              <w:t>≥3×/week with dwell NR in 1; NR in 1</w:t>
            </w:r>
          </w:p>
        </w:tc>
        <w:tc>
          <w:tcPr>
            <w:tcW w:w="570" w:type="pct"/>
            <w:vAlign w:val="center"/>
          </w:tcPr>
          <w:p w14:paraId="556429C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Specific protocols: 5–14 d; overall ALT cohort: mean 12.9 d (2–59)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7EA365A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20 IU/mL in 1; no anticoagulant in 1; heparin pre-flush 100 IU/mL in 1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  <w:r w:rsidRPr="006200DB">
              <w:rPr>
                <w:rFonts w:asciiTheme="majorBidi" w:hAnsiTheme="majorBidi" w:cstheme="majorBidi"/>
                <w:sz w:val="22"/>
              </w:rPr>
              <w:t>; NR in 3</w:t>
            </w:r>
          </w:p>
        </w:tc>
        <w:tc>
          <w:tcPr>
            <w:tcW w:w="643" w:type="pct"/>
            <w:vAlign w:val="center"/>
          </w:tcPr>
          <w:p w14:paraId="5D80620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Lumen-fill volume in 2 studies; NR in 4</w:t>
            </w:r>
          </w:p>
        </w:tc>
        <w:tc>
          <w:tcPr>
            <w:tcW w:w="344" w:type="pct"/>
            <w:vAlign w:val="center"/>
          </w:tcPr>
          <w:p w14:paraId="213DB22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6</w:t>
            </w:r>
          </w:p>
        </w:tc>
        <w:tc>
          <w:tcPr>
            <w:tcW w:w="453" w:type="pct"/>
            <w:vAlign w:val="center"/>
          </w:tcPr>
          <w:p w14:paraId="56E7AB66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[35, 37, 43, 44, 50,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63]</w:t>
            </w:r>
          </w:p>
        </w:tc>
      </w:tr>
      <w:tr w:rsidR="00B15CAE" w:rsidRPr="006200DB" w14:paraId="20A029B9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7F635426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Non-antibiotic antimicrobial locks (n=10 studies)</w:t>
            </w:r>
          </w:p>
        </w:tc>
      </w:tr>
      <w:tr w:rsidR="00B15CAE" w:rsidRPr="006200DB" w14:paraId="69F40E63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3B6D51A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Ethanol-based formulations</w:t>
            </w:r>
          </w:p>
        </w:tc>
        <w:tc>
          <w:tcPr>
            <w:tcW w:w="927" w:type="pct"/>
            <w:vAlign w:val="center"/>
          </w:tcPr>
          <w:p w14:paraId="6BE3783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30% + sodium citrate 2.8%; 40% v/v; 70%; ethanol concentration NR in 1 study</w:t>
            </w:r>
          </w:p>
        </w:tc>
        <w:tc>
          <w:tcPr>
            <w:tcW w:w="587" w:type="pct"/>
            <w:vAlign w:val="center"/>
          </w:tcPr>
          <w:p w14:paraId="1088E24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4–24 h where reported; q24h replacement in 1 study</w:t>
            </w:r>
            <w:r w:rsidRPr="006200DB">
              <w:rPr>
                <w:rFonts w:asciiTheme="majorBidi" w:hAnsiTheme="majorBidi" w:cstheme="majorBidi"/>
                <w:sz w:val="22"/>
              </w:rPr>
              <w:t>ᶜ</w:t>
            </w:r>
          </w:p>
        </w:tc>
        <w:tc>
          <w:tcPr>
            <w:tcW w:w="570" w:type="pct"/>
            <w:vAlign w:val="center"/>
          </w:tcPr>
          <w:p w14:paraId="6E5D8C1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5 d (2 studies); 10 d; cohort medians 7 d </w:t>
            </w:r>
            <w:r w:rsidRPr="006200DB">
              <w:rPr>
                <w:rFonts w:asciiTheme="majorBidi" w:hAnsiTheme="majorBidi" w:cstheme="majorBidi"/>
                <w:sz w:val="22"/>
              </w:rPr>
              <w:t>(1–14) and 11 d (IQR 6–14)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  <w:r w:rsidRPr="006200DB">
              <w:rPr>
                <w:rFonts w:asciiTheme="majorBidi" w:hAnsiTheme="majorBidi" w:cstheme="majorBidi"/>
                <w:sz w:val="22"/>
              </w:rPr>
              <w:t>; median 5 d (IQR 3–6; range 1–21)</w:t>
            </w:r>
          </w:p>
        </w:tc>
        <w:tc>
          <w:tcPr>
            <w:tcW w:w="706" w:type="pct"/>
            <w:vAlign w:val="center"/>
          </w:tcPr>
          <w:p w14:paraId="15D4477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Enoxaparin 400 IU/mL; sodium citrate 2.8%; heparin given after ethanol in 1 study (not co-formulated); none/NR otherwise</w:t>
            </w:r>
          </w:p>
        </w:tc>
        <w:tc>
          <w:tcPr>
            <w:tcW w:w="643" w:type="pct"/>
            <w:vAlign w:val="center"/>
          </w:tcPr>
          <w:p w14:paraId="0BC581E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≤2 mL in 2 studies; 4 mL in 1; lumen-based volume in 1; NR in 1</w:t>
            </w:r>
          </w:p>
        </w:tc>
        <w:tc>
          <w:tcPr>
            <w:tcW w:w="344" w:type="pct"/>
            <w:vAlign w:val="center"/>
          </w:tcPr>
          <w:p w14:paraId="3315828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</w:t>
            </w:r>
          </w:p>
        </w:tc>
        <w:tc>
          <w:tcPr>
            <w:tcW w:w="453" w:type="pct"/>
            <w:vAlign w:val="center"/>
          </w:tcPr>
          <w:p w14:paraId="5B3DB921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[33, </w:t>
            </w:r>
            <w:r w:rsidRPr="006200DB">
              <w:rPr>
                <w:rFonts w:asciiTheme="majorBidi" w:hAnsiTheme="majorBidi" w:cstheme="majorBidi"/>
                <w:sz w:val="22"/>
              </w:rPr>
              <w:t>35, 39, 47, 57]</w:t>
            </w:r>
          </w:p>
        </w:tc>
      </w:tr>
      <w:tr w:rsidR="00B15CAE" w:rsidRPr="006200DB" w14:paraId="01442E3F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52D8DF4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Taurolidine-based formulations</w:t>
            </w:r>
          </w:p>
        </w:tc>
        <w:tc>
          <w:tcPr>
            <w:tcW w:w="927" w:type="pct"/>
            <w:vAlign w:val="center"/>
          </w:tcPr>
          <w:p w14:paraId="64FA958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0.5%; 2%; 1.4% cyclo-taurolidine + citrate 0.4%; concentration NR in 1 stepwise protocol</w:t>
            </w:r>
          </w:p>
        </w:tc>
        <w:tc>
          <w:tcPr>
            <w:tcW w:w="587" w:type="pct"/>
            <w:vAlign w:val="center"/>
          </w:tcPr>
          <w:p w14:paraId="7C47947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≥2 h or 24 h where reported; NR in 1 study</w:t>
            </w:r>
          </w:p>
        </w:tc>
        <w:tc>
          <w:tcPr>
            <w:tcW w:w="570" w:type="pct"/>
            <w:vAlign w:val="center"/>
          </w:tcPr>
          <w:p w14:paraId="61168D9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1–3 doses over ≤48 h; 3–4 d; 5 d; 11 d (days 4–14)</w:t>
            </w:r>
          </w:p>
        </w:tc>
        <w:tc>
          <w:tcPr>
            <w:tcW w:w="706" w:type="pct"/>
            <w:vAlign w:val="center"/>
          </w:tcPr>
          <w:p w14:paraId="3941B75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Ringer’s solution; </w:t>
            </w:r>
            <w:r w:rsidRPr="006200DB">
              <w:rPr>
                <w:rFonts w:asciiTheme="majorBidi" w:hAnsiTheme="majorBidi" w:cstheme="majorBidi"/>
                <w:sz w:val="22"/>
              </w:rPr>
              <w:t>citrate; heparin 100 IU/mL in 1 study; none/NR otherwise</w:t>
            </w:r>
          </w:p>
        </w:tc>
        <w:tc>
          <w:tcPr>
            <w:tcW w:w="643" w:type="pct"/>
            <w:vAlign w:val="center"/>
          </w:tcPr>
          <w:p w14:paraId="292338E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 mL in 2 studies; 5 mL in 1; NR in 1</w:t>
            </w:r>
          </w:p>
        </w:tc>
        <w:tc>
          <w:tcPr>
            <w:tcW w:w="344" w:type="pct"/>
            <w:vAlign w:val="center"/>
          </w:tcPr>
          <w:p w14:paraId="474AEDE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4</w:t>
            </w:r>
          </w:p>
        </w:tc>
        <w:tc>
          <w:tcPr>
            <w:tcW w:w="453" w:type="pct"/>
            <w:vAlign w:val="center"/>
          </w:tcPr>
          <w:p w14:paraId="2094A329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[46, 52, 54, 62]</w:t>
            </w:r>
          </w:p>
        </w:tc>
      </w:tr>
      <w:tr w:rsidR="00B15CAE" w:rsidRPr="006200DB" w14:paraId="788C16EC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2FAECBE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Hydrochloric acid</w:t>
            </w:r>
          </w:p>
        </w:tc>
        <w:tc>
          <w:tcPr>
            <w:tcW w:w="927" w:type="pct"/>
            <w:vAlign w:val="center"/>
          </w:tcPr>
          <w:p w14:paraId="5FD12C6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2.5 mmol/mL</w:t>
            </w:r>
          </w:p>
        </w:tc>
        <w:tc>
          <w:tcPr>
            <w:tcW w:w="587" w:type="pct"/>
            <w:vAlign w:val="center"/>
          </w:tcPr>
          <w:p w14:paraId="76A1DF7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10 min/exposure; 3 sequential exposures</w:t>
            </w:r>
          </w:p>
        </w:tc>
        <w:tc>
          <w:tcPr>
            <w:tcW w:w="570" w:type="pct"/>
            <w:vAlign w:val="center"/>
          </w:tcPr>
          <w:p w14:paraId="3B07EC6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Single treatment session</w:t>
            </w:r>
          </w:p>
        </w:tc>
        <w:tc>
          <w:tcPr>
            <w:tcW w:w="706" w:type="pct"/>
            <w:vAlign w:val="center"/>
          </w:tcPr>
          <w:p w14:paraId="3A04AFD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None (saline flushes before, between, and </w:t>
            </w:r>
            <w:r w:rsidRPr="006200DB">
              <w:rPr>
                <w:rFonts w:asciiTheme="majorBidi" w:hAnsiTheme="majorBidi" w:cstheme="majorBidi"/>
                <w:sz w:val="22"/>
              </w:rPr>
              <w:t>after exposures)</w:t>
            </w:r>
          </w:p>
        </w:tc>
        <w:tc>
          <w:tcPr>
            <w:tcW w:w="643" w:type="pct"/>
            <w:vAlign w:val="center"/>
          </w:tcPr>
          <w:p w14:paraId="60DA9A1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Catheter lumen volume</w:t>
            </w:r>
          </w:p>
        </w:tc>
        <w:tc>
          <w:tcPr>
            <w:tcW w:w="344" w:type="pct"/>
            <w:vAlign w:val="center"/>
          </w:tcPr>
          <w:p w14:paraId="3D55DC5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21F2BEBD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[58]</w:t>
            </w:r>
          </w:p>
        </w:tc>
      </w:tr>
      <w:tr w:rsidR="00B15CAE" w:rsidRPr="006200DB" w14:paraId="25787BC3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315859C4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β-Lactams (n=10 studies)</w:t>
            </w:r>
          </w:p>
        </w:tc>
      </w:tr>
      <w:tr w:rsidR="00B15CAE" w:rsidRPr="006200DB" w14:paraId="64D2BDEF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1A30AD3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Ceftazidime</w:t>
            </w:r>
          </w:p>
        </w:tc>
        <w:tc>
          <w:tcPr>
            <w:tcW w:w="927" w:type="pct"/>
            <w:vAlign w:val="center"/>
          </w:tcPr>
          <w:p w14:paraId="5872453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0.5 mg/mL in 1 study; NR in 3</w:t>
            </w:r>
          </w:p>
        </w:tc>
        <w:tc>
          <w:tcPr>
            <w:tcW w:w="587" w:type="pct"/>
            <w:vAlign w:val="center"/>
          </w:tcPr>
          <w:p w14:paraId="32D5285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20 h/day in 1 study; q24h replacement in 2</w:t>
            </w:r>
            <w:r w:rsidRPr="006200DB">
              <w:rPr>
                <w:rFonts w:asciiTheme="majorBidi" w:hAnsiTheme="majorBidi" w:cstheme="majorBidi"/>
                <w:sz w:val="22"/>
              </w:rPr>
              <w:t>ᶜ</w:t>
            </w:r>
            <w:r w:rsidRPr="006200DB">
              <w:rPr>
                <w:rFonts w:asciiTheme="majorBidi" w:hAnsiTheme="majorBidi" w:cstheme="majorBidi"/>
                <w:sz w:val="22"/>
              </w:rPr>
              <w:t>; NR in 1</w:t>
            </w:r>
          </w:p>
        </w:tc>
        <w:tc>
          <w:tcPr>
            <w:tcW w:w="570" w:type="pct"/>
            <w:vAlign w:val="center"/>
          </w:tcPr>
          <w:p w14:paraId="36796CA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Median 11 d (7–14); median 7 d (1–14)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; 7–10 d; overall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ALT mean 12.9 d (2–59)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6B49C40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 xml:space="preserve">Heparin </w:t>
            </w:r>
            <w:r w:rsidRPr="006200DB">
              <w:rPr>
                <w:rFonts w:asciiTheme="majorBidi" w:hAnsiTheme="majorBidi" w:cstheme="majorBidi"/>
                <w:sz w:val="22"/>
              </w:rPr>
              <w:t>100 IU/mL in 1 study; NR in 3</w:t>
            </w:r>
          </w:p>
        </w:tc>
        <w:tc>
          <w:tcPr>
            <w:tcW w:w="643" w:type="pct"/>
            <w:vAlign w:val="center"/>
          </w:tcPr>
          <w:p w14:paraId="07F1B1A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5E38682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4</w:t>
            </w:r>
          </w:p>
        </w:tc>
        <w:tc>
          <w:tcPr>
            <w:tcW w:w="453" w:type="pct"/>
            <w:vAlign w:val="center"/>
          </w:tcPr>
          <w:p w14:paraId="35003A8B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[32, 39, 43, 63]</w:t>
            </w:r>
          </w:p>
        </w:tc>
      </w:tr>
      <w:tr w:rsidR="00B15CAE" w:rsidRPr="006200DB" w14:paraId="28382959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03CD790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lastRenderedPageBreak/>
              <w:t>Cefazolin</w:t>
            </w:r>
          </w:p>
        </w:tc>
        <w:tc>
          <w:tcPr>
            <w:tcW w:w="927" w:type="pct"/>
            <w:vAlign w:val="center"/>
          </w:tcPr>
          <w:p w14:paraId="7CA9D1E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 mg/mL in 1 study; NR in 2</w:t>
            </w:r>
          </w:p>
        </w:tc>
        <w:tc>
          <w:tcPr>
            <w:tcW w:w="587" w:type="pct"/>
            <w:vAlign w:val="center"/>
          </w:tcPr>
          <w:p w14:paraId="19E626C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Maximum 24 h/q24h replacement in 2 studies</w:t>
            </w:r>
            <w:r w:rsidRPr="006200DB">
              <w:rPr>
                <w:rFonts w:asciiTheme="majorBidi" w:hAnsiTheme="majorBidi" w:cstheme="majorBidi"/>
                <w:sz w:val="22"/>
              </w:rPr>
              <w:t>ᶜ</w:t>
            </w:r>
            <w:r w:rsidRPr="006200DB">
              <w:rPr>
                <w:rFonts w:asciiTheme="majorBidi" w:hAnsiTheme="majorBidi" w:cstheme="majorBidi"/>
                <w:sz w:val="22"/>
              </w:rPr>
              <w:t>; NR in 1</w:t>
            </w:r>
          </w:p>
        </w:tc>
        <w:tc>
          <w:tcPr>
            <w:tcW w:w="570" w:type="pct"/>
            <w:vAlign w:val="center"/>
          </w:tcPr>
          <w:p w14:paraId="2D6B031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7–10 d; overall ALT median 11 d (IQR 6–14) and mean 12.9 d (2–59)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7D62CF9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643" w:type="pct"/>
            <w:vAlign w:val="center"/>
          </w:tcPr>
          <w:p w14:paraId="52C3ABB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Lumen-based volume in 1 study; NR in 2</w:t>
            </w:r>
          </w:p>
        </w:tc>
        <w:tc>
          <w:tcPr>
            <w:tcW w:w="344" w:type="pct"/>
            <w:vAlign w:val="center"/>
          </w:tcPr>
          <w:p w14:paraId="379EE0F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</w:t>
            </w:r>
          </w:p>
        </w:tc>
        <w:tc>
          <w:tcPr>
            <w:tcW w:w="453" w:type="pct"/>
            <w:vAlign w:val="center"/>
          </w:tcPr>
          <w:p w14:paraId="652A70D9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[35, 43, 63]</w:t>
            </w:r>
          </w:p>
        </w:tc>
      </w:tr>
      <w:tr w:rsidR="00B15CAE" w:rsidRPr="006200DB" w14:paraId="663FF7E8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0D97001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Meropenem</w:t>
            </w:r>
          </w:p>
        </w:tc>
        <w:tc>
          <w:tcPr>
            <w:tcW w:w="927" w:type="pct"/>
            <w:vAlign w:val="center"/>
          </w:tcPr>
          <w:p w14:paraId="74EC4EF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50 or 100 mg/mL; NR in 1 study</w:t>
            </w:r>
          </w:p>
        </w:tc>
        <w:tc>
          <w:tcPr>
            <w:tcW w:w="587" w:type="pct"/>
            <w:vAlign w:val="center"/>
          </w:tcPr>
          <w:p w14:paraId="289F6D2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 h or 24–48 h; NR in 1 study</w:t>
            </w:r>
          </w:p>
        </w:tc>
        <w:tc>
          <w:tcPr>
            <w:tcW w:w="570" w:type="pct"/>
            <w:vAlign w:val="center"/>
          </w:tcPr>
          <w:p w14:paraId="072AFC7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Median 7 d (IQR 5–9); intended 14 d; NR in 1 study</w:t>
            </w:r>
          </w:p>
        </w:tc>
        <w:tc>
          <w:tcPr>
            <w:tcW w:w="706" w:type="pct"/>
            <w:vAlign w:val="center"/>
          </w:tcPr>
          <w:p w14:paraId="1724E4E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50 IU/mL in 1; heparin pre-flush 100 IU/mL in 1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  <w:r w:rsidRPr="006200DB">
              <w:rPr>
                <w:rFonts w:asciiTheme="majorBidi" w:hAnsiTheme="majorBidi" w:cstheme="majorBidi"/>
                <w:sz w:val="22"/>
              </w:rPr>
              <w:t>; NR in 1</w:t>
            </w:r>
          </w:p>
        </w:tc>
        <w:tc>
          <w:tcPr>
            <w:tcW w:w="643" w:type="pct"/>
            <w:vAlign w:val="center"/>
          </w:tcPr>
          <w:p w14:paraId="7D6F6E0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Lumen-fill volume in 1 study; NR in 2</w:t>
            </w:r>
          </w:p>
        </w:tc>
        <w:tc>
          <w:tcPr>
            <w:tcW w:w="344" w:type="pct"/>
            <w:vAlign w:val="center"/>
          </w:tcPr>
          <w:p w14:paraId="36DCEE2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</w:t>
            </w:r>
          </w:p>
        </w:tc>
        <w:tc>
          <w:tcPr>
            <w:tcW w:w="453" w:type="pct"/>
            <w:vAlign w:val="center"/>
          </w:tcPr>
          <w:p w14:paraId="54A8AE9F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[34, 37, 60]</w:t>
            </w:r>
          </w:p>
        </w:tc>
      </w:tr>
      <w:tr w:rsidR="00B15CAE" w:rsidRPr="006200DB" w14:paraId="453F5BB5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3F16599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Cefepime</w:t>
            </w:r>
          </w:p>
        </w:tc>
        <w:tc>
          <w:tcPr>
            <w:tcW w:w="927" w:type="pct"/>
            <w:vAlign w:val="center"/>
          </w:tcPr>
          <w:p w14:paraId="57770B2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 mg/mL in 1 study; NR in 1</w:t>
            </w:r>
          </w:p>
        </w:tc>
        <w:tc>
          <w:tcPr>
            <w:tcW w:w="587" w:type="pct"/>
            <w:vAlign w:val="center"/>
          </w:tcPr>
          <w:p w14:paraId="0CF3E49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Maximum 24 h in 1 study; NR in 1</w:t>
            </w:r>
          </w:p>
        </w:tc>
        <w:tc>
          <w:tcPr>
            <w:tcW w:w="570" w:type="pct"/>
            <w:vAlign w:val="center"/>
          </w:tcPr>
          <w:p w14:paraId="0394126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Overall ALT: median 11 d (IQR 6–14) and mean 12.9 d (2–59); agent-specific duration NR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6293963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643" w:type="pct"/>
            <w:vAlign w:val="center"/>
          </w:tcPr>
          <w:p w14:paraId="52F6CC2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Lumen-based volume in 1 study; NR in 1</w:t>
            </w:r>
          </w:p>
        </w:tc>
        <w:tc>
          <w:tcPr>
            <w:tcW w:w="344" w:type="pct"/>
            <w:vAlign w:val="center"/>
          </w:tcPr>
          <w:p w14:paraId="61026D3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</w:t>
            </w:r>
          </w:p>
        </w:tc>
        <w:tc>
          <w:tcPr>
            <w:tcW w:w="453" w:type="pct"/>
            <w:vAlign w:val="center"/>
          </w:tcPr>
          <w:p w14:paraId="35241B7D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[35, 63]</w:t>
            </w:r>
          </w:p>
        </w:tc>
      </w:tr>
      <w:tr w:rsidR="00B15CAE" w:rsidRPr="006200DB" w14:paraId="7943BF8A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2AAE0BA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Cefoperazone–sulbactam</w:t>
            </w:r>
          </w:p>
        </w:tc>
        <w:tc>
          <w:tcPr>
            <w:tcW w:w="927" w:type="pct"/>
            <w:vAlign w:val="center"/>
          </w:tcPr>
          <w:p w14:paraId="72025B9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100 mg/mL</w:t>
            </w:r>
          </w:p>
        </w:tc>
        <w:tc>
          <w:tcPr>
            <w:tcW w:w="587" w:type="pct"/>
            <w:vAlign w:val="center"/>
          </w:tcPr>
          <w:p w14:paraId="5F8079B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24 h or </w:t>
            </w:r>
            <w:r w:rsidRPr="006200DB">
              <w:rPr>
                <w:rFonts w:asciiTheme="majorBidi" w:hAnsiTheme="majorBidi" w:cstheme="majorBidi"/>
                <w:sz w:val="22"/>
              </w:rPr>
              <w:t>24–48 h</w:t>
            </w:r>
          </w:p>
        </w:tc>
        <w:tc>
          <w:tcPr>
            <w:tcW w:w="570" w:type="pct"/>
            <w:vAlign w:val="center"/>
          </w:tcPr>
          <w:p w14:paraId="5ECAFF0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Median 7 d (IQR 5–9); intended 14 d</w:t>
            </w:r>
          </w:p>
        </w:tc>
        <w:tc>
          <w:tcPr>
            <w:tcW w:w="706" w:type="pct"/>
            <w:vAlign w:val="center"/>
          </w:tcPr>
          <w:p w14:paraId="2CA6B8A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50 IU/mL in 1; heparin pre-flush 100 IU/mL in 1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</w:p>
        </w:tc>
        <w:tc>
          <w:tcPr>
            <w:tcW w:w="643" w:type="pct"/>
            <w:vAlign w:val="center"/>
          </w:tcPr>
          <w:p w14:paraId="130714A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Lumen-fill volume in 1 study; NR in 1</w:t>
            </w:r>
          </w:p>
        </w:tc>
        <w:tc>
          <w:tcPr>
            <w:tcW w:w="344" w:type="pct"/>
            <w:vAlign w:val="center"/>
          </w:tcPr>
          <w:p w14:paraId="11B0C5D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</w:t>
            </w:r>
          </w:p>
        </w:tc>
        <w:tc>
          <w:tcPr>
            <w:tcW w:w="453" w:type="pct"/>
            <w:vAlign w:val="center"/>
          </w:tcPr>
          <w:p w14:paraId="45A22A76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[34, 37]</w:t>
            </w:r>
          </w:p>
        </w:tc>
      </w:tr>
      <w:tr w:rsidR="00B15CAE" w:rsidRPr="006200DB" w14:paraId="1B3C7125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371806B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Piperacillin–tazobactam</w:t>
            </w:r>
          </w:p>
        </w:tc>
        <w:tc>
          <w:tcPr>
            <w:tcW w:w="927" w:type="pct"/>
            <w:vAlign w:val="center"/>
          </w:tcPr>
          <w:p w14:paraId="2FC5B45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10 or 56.25 mg/mL</w:t>
            </w:r>
          </w:p>
        </w:tc>
        <w:tc>
          <w:tcPr>
            <w:tcW w:w="587" w:type="pct"/>
            <w:vAlign w:val="center"/>
          </w:tcPr>
          <w:p w14:paraId="4EA4CAC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12–24 h or 24–48 h</w:t>
            </w:r>
          </w:p>
        </w:tc>
        <w:tc>
          <w:tcPr>
            <w:tcW w:w="570" w:type="pct"/>
            <w:vAlign w:val="center"/>
          </w:tcPr>
          <w:p w14:paraId="2304AF6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7–14 d; median 7 d (IQR 5–9)</w:t>
            </w:r>
          </w:p>
        </w:tc>
        <w:tc>
          <w:tcPr>
            <w:tcW w:w="706" w:type="pct"/>
            <w:vAlign w:val="center"/>
          </w:tcPr>
          <w:p w14:paraId="05C8E9B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Heparin 100 or </w:t>
            </w:r>
            <w:r w:rsidRPr="006200DB">
              <w:rPr>
                <w:rFonts w:asciiTheme="majorBidi" w:hAnsiTheme="majorBidi" w:cstheme="majorBidi"/>
                <w:sz w:val="22"/>
              </w:rPr>
              <w:t>50 IU/mL</w:t>
            </w:r>
          </w:p>
        </w:tc>
        <w:tc>
          <w:tcPr>
            <w:tcW w:w="643" w:type="pct"/>
            <w:vAlign w:val="center"/>
          </w:tcPr>
          <w:p w14:paraId="07BAE44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27D4469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</w:t>
            </w:r>
          </w:p>
        </w:tc>
        <w:tc>
          <w:tcPr>
            <w:tcW w:w="453" w:type="pct"/>
            <w:vAlign w:val="center"/>
          </w:tcPr>
          <w:p w14:paraId="15A5F88A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[34, 65]</w:t>
            </w:r>
          </w:p>
        </w:tc>
      </w:tr>
      <w:tr w:rsidR="00B15CAE" w:rsidRPr="006200DB" w14:paraId="01EF571D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78CD55F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Ampicillin</w:t>
            </w:r>
          </w:p>
        </w:tc>
        <w:tc>
          <w:tcPr>
            <w:tcW w:w="927" w:type="pct"/>
            <w:vAlign w:val="center"/>
          </w:tcPr>
          <w:p w14:paraId="786776B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87" w:type="pct"/>
            <w:vAlign w:val="center"/>
          </w:tcPr>
          <w:p w14:paraId="344214B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70" w:type="pct"/>
            <w:vAlign w:val="center"/>
          </w:tcPr>
          <w:p w14:paraId="66224A6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Overall ALT: mean 12.9 d (2–59); agent-specific duration NR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4C8E71D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643" w:type="pct"/>
            <w:vAlign w:val="center"/>
          </w:tcPr>
          <w:p w14:paraId="0FB340E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6ACE471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068A47C0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[63]</w:t>
            </w:r>
          </w:p>
        </w:tc>
      </w:tr>
      <w:tr w:rsidR="00B15CAE" w:rsidRPr="006200DB" w14:paraId="667BB497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55ED962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lastRenderedPageBreak/>
              <w:t>Biapenem</w:t>
            </w:r>
          </w:p>
        </w:tc>
        <w:tc>
          <w:tcPr>
            <w:tcW w:w="927" w:type="pct"/>
            <w:vAlign w:val="center"/>
          </w:tcPr>
          <w:p w14:paraId="16A62CD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30 mg/mL</w:t>
            </w:r>
          </w:p>
        </w:tc>
        <w:tc>
          <w:tcPr>
            <w:tcW w:w="587" w:type="pct"/>
            <w:vAlign w:val="center"/>
          </w:tcPr>
          <w:p w14:paraId="0013EAD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24–48 h</w:t>
            </w:r>
          </w:p>
        </w:tc>
        <w:tc>
          <w:tcPr>
            <w:tcW w:w="570" w:type="pct"/>
            <w:vAlign w:val="center"/>
          </w:tcPr>
          <w:p w14:paraId="1724D15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Median 7 d (IQR 5–9)</w:t>
            </w:r>
          </w:p>
        </w:tc>
        <w:tc>
          <w:tcPr>
            <w:tcW w:w="706" w:type="pct"/>
            <w:vAlign w:val="center"/>
          </w:tcPr>
          <w:p w14:paraId="7A7F8F8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50 IU/mL</w:t>
            </w:r>
          </w:p>
        </w:tc>
        <w:tc>
          <w:tcPr>
            <w:tcW w:w="643" w:type="pct"/>
            <w:vAlign w:val="center"/>
          </w:tcPr>
          <w:p w14:paraId="0AB334B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17FB0B8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14F718B6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[34]</w:t>
            </w:r>
          </w:p>
        </w:tc>
      </w:tr>
      <w:tr w:rsidR="00B15CAE" w:rsidRPr="006200DB" w14:paraId="76771647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32CBE0B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Cefotaxime</w:t>
            </w:r>
          </w:p>
        </w:tc>
        <w:tc>
          <w:tcPr>
            <w:tcW w:w="927" w:type="pct"/>
            <w:vAlign w:val="center"/>
          </w:tcPr>
          <w:p w14:paraId="5278C0D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87" w:type="pct"/>
            <w:vAlign w:val="center"/>
          </w:tcPr>
          <w:p w14:paraId="7D8AFBA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70" w:type="pct"/>
            <w:vAlign w:val="center"/>
          </w:tcPr>
          <w:p w14:paraId="57E61A8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Overall ALT: mean 12.9 d (2–59); agent-specific </w:t>
            </w:r>
            <w:r w:rsidRPr="006200DB">
              <w:rPr>
                <w:rFonts w:asciiTheme="majorBidi" w:hAnsiTheme="majorBidi" w:cstheme="majorBidi"/>
                <w:sz w:val="22"/>
              </w:rPr>
              <w:t>duration NR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3195730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643" w:type="pct"/>
            <w:vAlign w:val="center"/>
          </w:tcPr>
          <w:p w14:paraId="4D6BC62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3A9D15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3755ED23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[63]</w:t>
            </w:r>
          </w:p>
        </w:tc>
      </w:tr>
      <w:tr w:rsidR="00B15CAE" w:rsidRPr="006200DB" w14:paraId="4EF073CF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519E955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Cefuroxime</w:t>
            </w:r>
          </w:p>
        </w:tc>
        <w:tc>
          <w:tcPr>
            <w:tcW w:w="927" w:type="pct"/>
            <w:vAlign w:val="center"/>
          </w:tcPr>
          <w:p w14:paraId="4BD3BB5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150 mg/mL</w:t>
            </w:r>
          </w:p>
        </w:tc>
        <w:tc>
          <w:tcPr>
            <w:tcW w:w="587" w:type="pct"/>
            <w:vAlign w:val="center"/>
          </w:tcPr>
          <w:p w14:paraId="14C5D95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24–48 h</w:t>
            </w:r>
          </w:p>
        </w:tc>
        <w:tc>
          <w:tcPr>
            <w:tcW w:w="570" w:type="pct"/>
            <w:vAlign w:val="center"/>
          </w:tcPr>
          <w:p w14:paraId="052E7F1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Median 7 d (IQR 5–9)</w:t>
            </w:r>
          </w:p>
        </w:tc>
        <w:tc>
          <w:tcPr>
            <w:tcW w:w="706" w:type="pct"/>
            <w:vAlign w:val="center"/>
          </w:tcPr>
          <w:p w14:paraId="63CE9BE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50 IU/mL</w:t>
            </w:r>
          </w:p>
        </w:tc>
        <w:tc>
          <w:tcPr>
            <w:tcW w:w="643" w:type="pct"/>
            <w:vAlign w:val="center"/>
          </w:tcPr>
          <w:p w14:paraId="0840B5A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3584B5D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3F4180A1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[34]</w:t>
            </w:r>
          </w:p>
        </w:tc>
      </w:tr>
      <w:tr w:rsidR="00B15CAE" w:rsidRPr="006200DB" w14:paraId="7D41D282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7997A57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Imipenem</w:t>
            </w:r>
          </w:p>
        </w:tc>
        <w:tc>
          <w:tcPr>
            <w:tcW w:w="927" w:type="pct"/>
            <w:vAlign w:val="center"/>
          </w:tcPr>
          <w:p w14:paraId="49B2A05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≥100× organism MIC; exact concentration NR</w:t>
            </w:r>
          </w:p>
        </w:tc>
        <w:tc>
          <w:tcPr>
            <w:tcW w:w="587" w:type="pct"/>
            <w:vAlign w:val="center"/>
          </w:tcPr>
          <w:p w14:paraId="64BDFDB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≥12 h/day</w:t>
            </w:r>
          </w:p>
        </w:tc>
        <w:tc>
          <w:tcPr>
            <w:tcW w:w="570" w:type="pct"/>
            <w:vAlign w:val="center"/>
          </w:tcPr>
          <w:p w14:paraId="67BC87E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14 d</w:t>
            </w:r>
          </w:p>
        </w:tc>
        <w:tc>
          <w:tcPr>
            <w:tcW w:w="706" w:type="pct"/>
            <w:vAlign w:val="center"/>
          </w:tcPr>
          <w:p w14:paraId="46B6FB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643" w:type="pct"/>
            <w:vAlign w:val="center"/>
          </w:tcPr>
          <w:p w14:paraId="74E28D6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32580CB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76ED00BA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[49]</w:t>
            </w:r>
          </w:p>
        </w:tc>
      </w:tr>
      <w:tr w:rsidR="00B15CAE" w:rsidRPr="006200DB" w14:paraId="2CFF0078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6135B7A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Imipenem–cilastatin</w:t>
            </w:r>
          </w:p>
        </w:tc>
        <w:tc>
          <w:tcPr>
            <w:tcW w:w="927" w:type="pct"/>
            <w:vAlign w:val="center"/>
          </w:tcPr>
          <w:p w14:paraId="64D2F68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50 mg/mL</w:t>
            </w:r>
          </w:p>
        </w:tc>
        <w:tc>
          <w:tcPr>
            <w:tcW w:w="587" w:type="pct"/>
            <w:vAlign w:val="center"/>
          </w:tcPr>
          <w:p w14:paraId="0C478A3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 h</w:t>
            </w:r>
          </w:p>
        </w:tc>
        <w:tc>
          <w:tcPr>
            <w:tcW w:w="570" w:type="pct"/>
            <w:vAlign w:val="center"/>
          </w:tcPr>
          <w:p w14:paraId="2F8ECB5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Intended 14 d</w:t>
            </w:r>
          </w:p>
        </w:tc>
        <w:tc>
          <w:tcPr>
            <w:tcW w:w="706" w:type="pct"/>
            <w:vAlign w:val="center"/>
          </w:tcPr>
          <w:p w14:paraId="141B43D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None reported; heparin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pre-flush 100 IU/mL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</w:p>
        </w:tc>
        <w:tc>
          <w:tcPr>
            <w:tcW w:w="643" w:type="pct"/>
            <w:vAlign w:val="center"/>
          </w:tcPr>
          <w:p w14:paraId="7505446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Catheter lumen-fill volume</w:t>
            </w:r>
          </w:p>
        </w:tc>
        <w:tc>
          <w:tcPr>
            <w:tcW w:w="344" w:type="pct"/>
            <w:vAlign w:val="center"/>
          </w:tcPr>
          <w:p w14:paraId="661ED67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4816C7E2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[37]</w:t>
            </w:r>
          </w:p>
        </w:tc>
      </w:tr>
      <w:tr w:rsidR="00B15CAE" w:rsidRPr="006200DB" w14:paraId="6F2A6088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4DC1CD7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Oxacillin</w:t>
            </w:r>
          </w:p>
        </w:tc>
        <w:tc>
          <w:tcPr>
            <w:tcW w:w="927" w:type="pct"/>
            <w:vAlign w:val="center"/>
          </w:tcPr>
          <w:p w14:paraId="1EF522B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87" w:type="pct"/>
            <w:vAlign w:val="center"/>
          </w:tcPr>
          <w:p w14:paraId="3D413B9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70" w:type="pct"/>
            <w:vAlign w:val="center"/>
          </w:tcPr>
          <w:p w14:paraId="0A98E94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Overall ALT: mean 12.9 d (2–59); agent-specific duration NR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273A0A3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643" w:type="pct"/>
            <w:vAlign w:val="center"/>
          </w:tcPr>
          <w:p w14:paraId="78A65CA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213E7FB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75B656BC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[63]</w:t>
            </w:r>
          </w:p>
        </w:tc>
      </w:tr>
      <w:tr w:rsidR="00B15CAE" w:rsidRPr="006200DB" w14:paraId="19B367BC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47C63386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Combination formulations (n=7 studies)</w:t>
            </w:r>
          </w:p>
        </w:tc>
      </w:tr>
      <w:tr w:rsidR="00B15CAE" w:rsidRPr="006200DB" w14:paraId="569A579F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129F58C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Minocycline–EDTA–ethanol</w:t>
            </w:r>
          </w:p>
        </w:tc>
        <w:tc>
          <w:tcPr>
            <w:tcW w:w="927" w:type="pct"/>
            <w:vAlign w:val="center"/>
          </w:tcPr>
          <w:p w14:paraId="061DE76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Minocycline 1 mg/mL + EDTA 30 mg/mL + </w:t>
            </w:r>
            <w:r w:rsidRPr="006200DB">
              <w:rPr>
                <w:rFonts w:asciiTheme="majorBidi" w:hAnsiTheme="majorBidi" w:cstheme="majorBidi"/>
                <w:sz w:val="22"/>
              </w:rPr>
              <w:t>ethanol 25%</w:t>
            </w:r>
          </w:p>
        </w:tc>
        <w:tc>
          <w:tcPr>
            <w:tcW w:w="587" w:type="pct"/>
            <w:vAlign w:val="center"/>
          </w:tcPr>
          <w:p w14:paraId="4443C9E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 h, once daily</w:t>
            </w:r>
          </w:p>
        </w:tc>
        <w:tc>
          <w:tcPr>
            <w:tcW w:w="570" w:type="pct"/>
            <w:vAlign w:val="center"/>
          </w:tcPr>
          <w:p w14:paraId="77A4F76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7 once-daily doses (7 d)</w:t>
            </w:r>
          </w:p>
        </w:tc>
        <w:tc>
          <w:tcPr>
            <w:tcW w:w="706" w:type="pct"/>
            <w:vAlign w:val="center"/>
          </w:tcPr>
          <w:p w14:paraId="0EB3565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EDTA 30 mg/mL; ethanol 25%</w:t>
            </w:r>
          </w:p>
        </w:tc>
        <w:tc>
          <w:tcPr>
            <w:tcW w:w="643" w:type="pct"/>
            <w:vAlign w:val="center"/>
          </w:tcPr>
          <w:p w14:paraId="110475F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0.8–1 mL/lumen</w:t>
            </w:r>
          </w:p>
        </w:tc>
        <w:tc>
          <w:tcPr>
            <w:tcW w:w="344" w:type="pct"/>
            <w:vAlign w:val="center"/>
          </w:tcPr>
          <w:p w14:paraId="732E523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</w:t>
            </w:r>
          </w:p>
        </w:tc>
        <w:tc>
          <w:tcPr>
            <w:tcW w:w="453" w:type="pct"/>
            <w:vAlign w:val="center"/>
          </w:tcPr>
          <w:p w14:paraId="53148E0D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[40, 42]</w:t>
            </w:r>
          </w:p>
        </w:tc>
      </w:tr>
      <w:tr w:rsidR="00B15CAE" w:rsidRPr="006200DB" w14:paraId="61F017BB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7A2052D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Vancomycin + gentamicin</w:t>
            </w:r>
          </w:p>
        </w:tc>
        <w:tc>
          <w:tcPr>
            <w:tcW w:w="927" w:type="pct"/>
            <w:vAlign w:val="center"/>
          </w:tcPr>
          <w:p w14:paraId="4517DBE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Vancomycin/gentamicin: 2/2 or 2.5/1 mg/mL</w:t>
            </w:r>
          </w:p>
        </w:tc>
        <w:tc>
          <w:tcPr>
            <w:tcW w:w="587" w:type="pct"/>
            <w:vAlign w:val="center"/>
          </w:tcPr>
          <w:p w14:paraId="3F5BEAE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12–24 h</w:t>
            </w:r>
          </w:p>
        </w:tc>
        <w:tc>
          <w:tcPr>
            <w:tcW w:w="570" w:type="pct"/>
            <w:vAlign w:val="center"/>
          </w:tcPr>
          <w:p w14:paraId="444EC24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7–14 d; overall ALT median 11 d (IQR 6–14)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1C7F35D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Heparin 100 IU/mL in 1 study; </w:t>
            </w:r>
            <w:r w:rsidRPr="006200DB">
              <w:rPr>
                <w:rFonts w:asciiTheme="majorBidi" w:hAnsiTheme="majorBidi" w:cstheme="majorBidi"/>
                <w:sz w:val="22"/>
              </w:rPr>
              <w:t>NR in 1</w:t>
            </w:r>
          </w:p>
        </w:tc>
        <w:tc>
          <w:tcPr>
            <w:tcW w:w="643" w:type="pct"/>
            <w:vAlign w:val="center"/>
          </w:tcPr>
          <w:p w14:paraId="574261F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Lumen-based volume in 1 study; NR in 1</w:t>
            </w:r>
          </w:p>
        </w:tc>
        <w:tc>
          <w:tcPr>
            <w:tcW w:w="344" w:type="pct"/>
            <w:vAlign w:val="center"/>
          </w:tcPr>
          <w:p w14:paraId="28B4EBD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</w:t>
            </w:r>
          </w:p>
        </w:tc>
        <w:tc>
          <w:tcPr>
            <w:tcW w:w="453" w:type="pct"/>
            <w:vAlign w:val="center"/>
          </w:tcPr>
          <w:p w14:paraId="3FC77569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[35, 65]</w:t>
            </w:r>
          </w:p>
        </w:tc>
      </w:tr>
      <w:tr w:rsidR="00B15CAE" w:rsidRPr="006200DB" w14:paraId="4A692A7A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52CB51E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Gentamicin–EDTA-Na</w:t>
            </w:r>
            <w:r w:rsidRPr="006200DB">
              <w:rPr>
                <w:rFonts w:ascii="Cambria Math" w:hAnsi="Cambria Math" w:cs="Cambria Math"/>
                <w:b/>
                <w:sz w:val="22"/>
              </w:rPr>
              <w:t>₂</w:t>
            </w:r>
          </w:p>
        </w:tc>
        <w:tc>
          <w:tcPr>
            <w:tcW w:w="927" w:type="pct"/>
            <w:vAlign w:val="center"/>
          </w:tcPr>
          <w:p w14:paraId="5D12C7A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Gentamicin 5 mg/mL + EDTA-Na</w:t>
            </w:r>
            <w:r w:rsidRPr="006200DB">
              <w:rPr>
                <w:rFonts w:ascii="Cambria Math" w:hAnsi="Cambria Math" w:cs="Cambria Math"/>
                <w:sz w:val="22"/>
              </w:rPr>
              <w:t>₂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30 mg/mL</w:t>
            </w:r>
          </w:p>
        </w:tc>
        <w:tc>
          <w:tcPr>
            <w:tcW w:w="587" w:type="pct"/>
            <w:vAlign w:val="center"/>
          </w:tcPr>
          <w:p w14:paraId="3481B08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Usually 24 h; may be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changed q12h after the first 48 h</w:t>
            </w:r>
          </w:p>
        </w:tc>
        <w:tc>
          <w:tcPr>
            <w:tcW w:w="570" w:type="pct"/>
            <w:vAlign w:val="center"/>
          </w:tcPr>
          <w:p w14:paraId="6E5EE01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 xml:space="preserve">Gentamicin–EDTA: 7–10 d;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overall local lock treatment: ~9–10 d</w:t>
            </w:r>
          </w:p>
        </w:tc>
        <w:tc>
          <w:tcPr>
            <w:tcW w:w="706" w:type="pct"/>
            <w:vAlign w:val="center"/>
          </w:tcPr>
          <w:p w14:paraId="48C8E95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EDTA-Na</w:t>
            </w:r>
            <w:r w:rsidRPr="006200DB">
              <w:rPr>
                <w:rFonts w:ascii="Cambria Math" w:hAnsi="Cambria Math" w:cs="Cambria Math"/>
                <w:sz w:val="22"/>
              </w:rPr>
              <w:t>₂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30 mg/mL</w:t>
            </w:r>
          </w:p>
        </w:tc>
        <w:tc>
          <w:tcPr>
            <w:tcW w:w="643" w:type="pct"/>
            <w:vAlign w:val="center"/>
          </w:tcPr>
          <w:p w14:paraId="5EAD886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Catheter dead-space volume +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0.5 mL</w:t>
            </w:r>
          </w:p>
        </w:tc>
        <w:tc>
          <w:tcPr>
            <w:tcW w:w="344" w:type="pct"/>
            <w:vAlign w:val="center"/>
          </w:tcPr>
          <w:p w14:paraId="4256954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1</w:t>
            </w:r>
          </w:p>
        </w:tc>
        <w:tc>
          <w:tcPr>
            <w:tcW w:w="453" w:type="pct"/>
            <w:vAlign w:val="center"/>
          </w:tcPr>
          <w:p w14:paraId="0EAAD2E4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[48]</w:t>
            </w:r>
          </w:p>
        </w:tc>
      </w:tr>
      <w:tr w:rsidR="00B15CAE" w:rsidRPr="006200DB" w14:paraId="1F8BBF75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3F8F664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lastRenderedPageBreak/>
              <w:t>Vancomycin + amikacin</w:t>
            </w:r>
          </w:p>
        </w:tc>
        <w:tc>
          <w:tcPr>
            <w:tcW w:w="927" w:type="pct"/>
            <w:vAlign w:val="center"/>
          </w:tcPr>
          <w:p w14:paraId="7B52C6F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Vancomycin 5 mg/mL + amikacin 5 mg/mL</w:t>
            </w:r>
          </w:p>
        </w:tc>
        <w:tc>
          <w:tcPr>
            <w:tcW w:w="587" w:type="pct"/>
            <w:vAlign w:val="center"/>
          </w:tcPr>
          <w:p w14:paraId="31A70B0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72 h</w:t>
            </w:r>
          </w:p>
        </w:tc>
        <w:tc>
          <w:tcPr>
            <w:tcW w:w="570" w:type="pct"/>
            <w:vAlign w:val="center"/>
          </w:tcPr>
          <w:p w14:paraId="705DFE2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Single 72-h sealed lock (3 d)</w:t>
            </w:r>
          </w:p>
        </w:tc>
        <w:tc>
          <w:tcPr>
            <w:tcW w:w="706" w:type="pct"/>
            <w:vAlign w:val="center"/>
          </w:tcPr>
          <w:p w14:paraId="60EC015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5% (1 mL)</w:t>
            </w:r>
          </w:p>
        </w:tc>
        <w:tc>
          <w:tcPr>
            <w:tcW w:w="643" w:type="pct"/>
            <w:vAlign w:val="center"/>
          </w:tcPr>
          <w:p w14:paraId="58FD863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 mL total (1 mL/component)</w:t>
            </w:r>
          </w:p>
        </w:tc>
        <w:tc>
          <w:tcPr>
            <w:tcW w:w="344" w:type="pct"/>
            <w:vAlign w:val="center"/>
          </w:tcPr>
          <w:p w14:paraId="111374C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3273CCFC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[68]</w:t>
            </w:r>
          </w:p>
        </w:tc>
      </w:tr>
      <w:tr w:rsidR="00B15CAE" w:rsidRPr="006200DB" w14:paraId="707A3464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4F3CB22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Vancomycin + ciprofloxacin</w:t>
            </w:r>
          </w:p>
        </w:tc>
        <w:tc>
          <w:tcPr>
            <w:tcW w:w="927" w:type="pct"/>
            <w:vAlign w:val="center"/>
          </w:tcPr>
          <w:p w14:paraId="668BB3B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 mg/mL each</w:t>
            </w:r>
          </w:p>
        </w:tc>
        <w:tc>
          <w:tcPr>
            <w:tcW w:w="587" w:type="pct"/>
            <w:vAlign w:val="center"/>
          </w:tcPr>
          <w:p w14:paraId="187B92F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70" w:type="pct"/>
            <w:vAlign w:val="center"/>
          </w:tcPr>
          <w:p w14:paraId="57C1A26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Minimum 3 d; </w:t>
            </w:r>
            <w:r w:rsidRPr="006200DB">
              <w:rPr>
                <w:rFonts w:asciiTheme="majorBidi" w:hAnsiTheme="majorBidi" w:cstheme="majorBidi"/>
                <w:sz w:val="22"/>
              </w:rPr>
              <w:t>standard 10–14 d; overall ALT median 12 d (IQR 8–14)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3A80751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20 IU/mL</w:t>
            </w:r>
          </w:p>
        </w:tc>
        <w:tc>
          <w:tcPr>
            <w:tcW w:w="643" w:type="pct"/>
            <w:vAlign w:val="center"/>
          </w:tcPr>
          <w:p w14:paraId="6D185F6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 mL/lumen (tunneled/non-tunneled); 3 mL (totally implantable)</w:t>
            </w:r>
          </w:p>
        </w:tc>
        <w:tc>
          <w:tcPr>
            <w:tcW w:w="344" w:type="pct"/>
            <w:vAlign w:val="center"/>
          </w:tcPr>
          <w:p w14:paraId="5B11A64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4F259962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[66]</w:t>
            </w:r>
          </w:p>
        </w:tc>
      </w:tr>
      <w:tr w:rsidR="00B15CAE" w:rsidRPr="006200DB" w14:paraId="701612A2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1B38E0D5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Fluoroquinolones (n=5 studies)</w:t>
            </w:r>
          </w:p>
        </w:tc>
      </w:tr>
      <w:tr w:rsidR="00B15CAE" w:rsidRPr="006200DB" w14:paraId="6D8E2C89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19D5C71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Ciprofloxacin</w:t>
            </w:r>
          </w:p>
        </w:tc>
        <w:tc>
          <w:tcPr>
            <w:tcW w:w="927" w:type="pct"/>
            <w:vAlign w:val="center"/>
          </w:tcPr>
          <w:p w14:paraId="3943891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 mg/mL in 2 studies; NR in 2</w:t>
            </w:r>
          </w:p>
        </w:tc>
        <w:tc>
          <w:tcPr>
            <w:tcW w:w="587" w:type="pct"/>
            <w:vAlign w:val="center"/>
          </w:tcPr>
          <w:p w14:paraId="6EEFC32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8–12 h/day in 1 study; q24h </w:t>
            </w:r>
            <w:r w:rsidRPr="006200DB">
              <w:rPr>
                <w:rFonts w:asciiTheme="majorBidi" w:hAnsiTheme="majorBidi" w:cstheme="majorBidi"/>
                <w:sz w:val="22"/>
              </w:rPr>
              <w:t>replacement in 1</w:t>
            </w:r>
            <w:r w:rsidRPr="006200DB">
              <w:rPr>
                <w:rFonts w:asciiTheme="majorBidi" w:hAnsiTheme="majorBidi" w:cstheme="majorBidi"/>
                <w:sz w:val="22"/>
              </w:rPr>
              <w:t>ᶜ</w:t>
            </w:r>
            <w:r w:rsidRPr="006200DB">
              <w:rPr>
                <w:rFonts w:asciiTheme="majorBidi" w:hAnsiTheme="majorBidi" w:cstheme="majorBidi"/>
                <w:sz w:val="22"/>
              </w:rPr>
              <w:t>; NR in 2</w:t>
            </w:r>
          </w:p>
        </w:tc>
        <w:tc>
          <w:tcPr>
            <w:tcW w:w="570" w:type="pct"/>
            <w:vAlign w:val="center"/>
          </w:tcPr>
          <w:p w14:paraId="7F1E69A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Minimum 3 d/standard 10–14 d; 5–14 d; 7–10 d; cohort summaries: median 12 d (IQR 8–14) and mean 12.9 d (2–59)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4CC9598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20 IU/mL in 2 studies; NR in 2</w:t>
            </w:r>
          </w:p>
        </w:tc>
        <w:tc>
          <w:tcPr>
            <w:tcW w:w="643" w:type="pct"/>
            <w:vAlign w:val="center"/>
          </w:tcPr>
          <w:p w14:paraId="637C931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2–3 mL in 1 study; NR in 3</w:t>
            </w:r>
          </w:p>
        </w:tc>
        <w:tc>
          <w:tcPr>
            <w:tcW w:w="344" w:type="pct"/>
            <w:vAlign w:val="center"/>
          </w:tcPr>
          <w:p w14:paraId="3D23CDA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4</w:t>
            </w:r>
          </w:p>
        </w:tc>
        <w:tc>
          <w:tcPr>
            <w:tcW w:w="453" w:type="pct"/>
            <w:vAlign w:val="center"/>
          </w:tcPr>
          <w:p w14:paraId="21950930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[43, 44, 63, 66]</w:t>
            </w:r>
          </w:p>
        </w:tc>
      </w:tr>
      <w:tr w:rsidR="00B15CAE" w:rsidRPr="006200DB" w14:paraId="653CC805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024F632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Levofloxacin</w:t>
            </w:r>
          </w:p>
        </w:tc>
        <w:tc>
          <w:tcPr>
            <w:tcW w:w="927" w:type="pct"/>
            <w:vAlign w:val="center"/>
          </w:tcPr>
          <w:p w14:paraId="3A9BB1D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 mg/mL in 1 study;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NR in 1</w:t>
            </w:r>
          </w:p>
        </w:tc>
        <w:tc>
          <w:tcPr>
            <w:tcW w:w="587" w:type="pct"/>
            <w:vAlign w:val="center"/>
          </w:tcPr>
          <w:p w14:paraId="0202B42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12–24 h in 1 study; q24h replacement in 1</w:t>
            </w:r>
            <w:r w:rsidRPr="006200DB">
              <w:rPr>
                <w:rFonts w:asciiTheme="majorBidi" w:hAnsiTheme="majorBidi" w:cstheme="majorBidi"/>
                <w:sz w:val="22"/>
              </w:rPr>
              <w:t>ᶜ</w:t>
            </w:r>
          </w:p>
        </w:tc>
        <w:tc>
          <w:tcPr>
            <w:tcW w:w="570" w:type="pct"/>
            <w:vAlign w:val="center"/>
          </w:tcPr>
          <w:p w14:paraId="3CC59F8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7–14 d; 7–10 d</w:t>
            </w:r>
          </w:p>
        </w:tc>
        <w:tc>
          <w:tcPr>
            <w:tcW w:w="706" w:type="pct"/>
            <w:vAlign w:val="center"/>
          </w:tcPr>
          <w:p w14:paraId="048688D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No anticoagulant in 1 study; NR in 1</w:t>
            </w:r>
          </w:p>
        </w:tc>
        <w:tc>
          <w:tcPr>
            <w:tcW w:w="643" w:type="pct"/>
            <w:vAlign w:val="center"/>
          </w:tcPr>
          <w:p w14:paraId="383D704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280A615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</w:t>
            </w:r>
          </w:p>
        </w:tc>
        <w:tc>
          <w:tcPr>
            <w:tcW w:w="453" w:type="pct"/>
            <w:vAlign w:val="center"/>
          </w:tcPr>
          <w:p w14:paraId="3145FE62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[43, 65]</w:t>
            </w:r>
          </w:p>
        </w:tc>
      </w:tr>
      <w:tr w:rsidR="00B15CAE" w:rsidRPr="006200DB" w14:paraId="0CCDE66D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67D26086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Lipopeptides (n=5 studies)</w:t>
            </w:r>
          </w:p>
        </w:tc>
      </w:tr>
      <w:tr w:rsidR="00B15CAE" w:rsidRPr="006200DB" w14:paraId="7F9D098C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520D8CB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Daptomycin</w:t>
            </w:r>
          </w:p>
        </w:tc>
        <w:tc>
          <w:tcPr>
            <w:tcW w:w="927" w:type="pct"/>
            <w:vAlign w:val="center"/>
          </w:tcPr>
          <w:p w14:paraId="6CDCD76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 or 5 mg/mL; NR in 1 study</w:t>
            </w:r>
          </w:p>
        </w:tc>
        <w:tc>
          <w:tcPr>
            <w:tcW w:w="587" w:type="pct"/>
            <w:vAlign w:val="center"/>
          </w:tcPr>
          <w:p w14:paraId="6F411CE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12–18 h where reported (mean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~14 h/day in 1); NR in 1 study</w:t>
            </w:r>
          </w:p>
        </w:tc>
        <w:tc>
          <w:tcPr>
            <w:tcW w:w="570" w:type="pct"/>
            <w:vAlign w:val="center"/>
          </w:tcPr>
          <w:p w14:paraId="2FFDCB1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 xml:space="preserve">3 d in 2 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studies;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median 7 d (5–14); mean 13 d (7–16); NR in 1</w:t>
            </w:r>
          </w:p>
        </w:tc>
        <w:tc>
          <w:tcPr>
            <w:tcW w:w="706" w:type="pct"/>
            <w:vAlign w:val="center"/>
          </w:tcPr>
          <w:p w14:paraId="3664113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 xml:space="preserve">Heparin 100 IU/mL in 1;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Ringer’s/lactated Ringer’s without heparin in 3; NR in 1</w:t>
            </w:r>
          </w:p>
        </w:tc>
        <w:tc>
          <w:tcPr>
            <w:tcW w:w="643" w:type="pct"/>
            <w:vAlign w:val="center"/>
          </w:tcPr>
          <w:p w14:paraId="37F5FE4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5 mL in 3 studies; NR in 2</w:t>
            </w:r>
          </w:p>
        </w:tc>
        <w:tc>
          <w:tcPr>
            <w:tcW w:w="344" w:type="pct"/>
            <w:vAlign w:val="center"/>
          </w:tcPr>
          <w:p w14:paraId="73285DE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</w:t>
            </w:r>
          </w:p>
        </w:tc>
        <w:tc>
          <w:tcPr>
            <w:tcW w:w="453" w:type="pct"/>
            <w:vAlign w:val="center"/>
          </w:tcPr>
          <w:p w14:paraId="6EA65F25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[52, 53, 60, 61, 64]</w:t>
            </w:r>
          </w:p>
        </w:tc>
      </w:tr>
      <w:tr w:rsidR="00B15CAE" w:rsidRPr="006200DB" w14:paraId="575E9CCE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46842A7B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lastRenderedPageBreak/>
              <w:t>Unspecified/pathogen-directed regimens (n=3 studies)</w:t>
            </w:r>
          </w:p>
        </w:tc>
      </w:tr>
      <w:tr w:rsidR="00B15CAE" w:rsidRPr="006200DB" w14:paraId="5130AB68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63B268C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Pathogen-directed/unspecified ALT</w:t>
            </w:r>
          </w:p>
        </w:tc>
        <w:tc>
          <w:tcPr>
            <w:tcW w:w="927" w:type="pct"/>
            <w:vAlign w:val="center"/>
          </w:tcPr>
          <w:p w14:paraId="4E6B2B6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Agent selected by susceptibility in 1 study; agent/concentration otherwise NR</w:t>
            </w:r>
          </w:p>
        </w:tc>
        <w:tc>
          <w:tcPr>
            <w:tcW w:w="587" w:type="pct"/>
            <w:vAlign w:val="center"/>
          </w:tcPr>
          <w:p w14:paraId="006D11B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 h in 1 study; once/twice daily in 1; NR in 1</w:t>
            </w:r>
          </w:p>
        </w:tc>
        <w:tc>
          <w:tcPr>
            <w:tcW w:w="570" w:type="pct"/>
            <w:vAlign w:val="center"/>
          </w:tcPr>
          <w:p w14:paraId="734C962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10–14 d in 1 study; NR in 2</w:t>
            </w:r>
          </w:p>
        </w:tc>
        <w:tc>
          <w:tcPr>
            <w:tcW w:w="706" w:type="pct"/>
            <w:vAlign w:val="center"/>
          </w:tcPr>
          <w:p w14:paraId="5C28603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500 IU/mL in 1 study; NR in 2</w:t>
            </w:r>
          </w:p>
        </w:tc>
        <w:tc>
          <w:tcPr>
            <w:tcW w:w="643" w:type="pct"/>
            <w:vAlign w:val="center"/>
          </w:tcPr>
          <w:p w14:paraId="1400A09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 mL (ports) or 5 mL (tunneled</w:t>
            </w:r>
            <w:r w:rsidRPr="006200DB">
              <w:rPr>
                <w:rFonts w:asciiTheme="majorBidi" w:hAnsiTheme="majorBidi" w:cstheme="majorBidi"/>
                <w:sz w:val="22"/>
              </w:rPr>
              <w:t xml:space="preserve"> catheters) in 1 study; NR in 2</w:t>
            </w:r>
          </w:p>
        </w:tc>
        <w:tc>
          <w:tcPr>
            <w:tcW w:w="344" w:type="pct"/>
            <w:vAlign w:val="center"/>
          </w:tcPr>
          <w:p w14:paraId="771C61B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3</w:t>
            </w:r>
          </w:p>
        </w:tc>
        <w:tc>
          <w:tcPr>
            <w:tcW w:w="453" w:type="pct"/>
            <w:vAlign w:val="center"/>
          </w:tcPr>
          <w:p w14:paraId="16DDAC88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[41, 56, 59]</w:t>
            </w:r>
          </w:p>
        </w:tc>
      </w:tr>
      <w:tr w:rsidR="00B15CAE" w:rsidRPr="006200DB" w14:paraId="6FE9959C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532C91FE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Antifungals (n=2 studies)</w:t>
            </w:r>
          </w:p>
        </w:tc>
      </w:tr>
      <w:tr w:rsidR="00B15CAE" w:rsidRPr="006200DB" w14:paraId="1539C689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6F1D87C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Amphotericin B</w:t>
            </w:r>
          </w:p>
        </w:tc>
        <w:tc>
          <w:tcPr>
            <w:tcW w:w="927" w:type="pct"/>
            <w:vAlign w:val="center"/>
          </w:tcPr>
          <w:p w14:paraId="5AEF55F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 mg/mL</w:t>
            </w:r>
          </w:p>
        </w:tc>
        <w:tc>
          <w:tcPr>
            <w:tcW w:w="587" w:type="pct"/>
            <w:vAlign w:val="center"/>
          </w:tcPr>
          <w:p w14:paraId="2AC252E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 h</w:t>
            </w:r>
          </w:p>
        </w:tc>
        <w:tc>
          <w:tcPr>
            <w:tcW w:w="570" w:type="pct"/>
            <w:vAlign w:val="center"/>
          </w:tcPr>
          <w:p w14:paraId="7BF438A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Intended 14 d</w:t>
            </w:r>
          </w:p>
        </w:tc>
        <w:tc>
          <w:tcPr>
            <w:tcW w:w="706" w:type="pct"/>
            <w:vAlign w:val="center"/>
          </w:tcPr>
          <w:p w14:paraId="632DF70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None reported; heparin pre-flush 100 IU/mL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</w:p>
        </w:tc>
        <w:tc>
          <w:tcPr>
            <w:tcW w:w="643" w:type="pct"/>
            <w:vAlign w:val="center"/>
          </w:tcPr>
          <w:p w14:paraId="756A560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Catheter lumen-fill volume</w:t>
            </w:r>
          </w:p>
        </w:tc>
        <w:tc>
          <w:tcPr>
            <w:tcW w:w="344" w:type="pct"/>
            <w:vAlign w:val="center"/>
          </w:tcPr>
          <w:p w14:paraId="0B72406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391C7ED0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[37]</w:t>
            </w:r>
          </w:p>
        </w:tc>
      </w:tr>
      <w:tr w:rsidR="00B15CAE" w:rsidRPr="006200DB" w14:paraId="31A68FDE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6482287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Micafungin</w:t>
            </w:r>
          </w:p>
        </w:tc>
        <w:tc>
          <w:tcPr>
            <w:tcW w:w="927" w:type="pct"/>
            <w:vAlign w:val="center"/>
          </w:tcPr>
          <w:p w14:paraId="705868D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5 mg/mL</w:t>
            </w:r>
          </w:p>
        </w:tc>
        <w:tc>
          <w:tcPr>
            <w:tcW w:w="587" w:type="pct"/>
            <w:vAlign w:val="center"/>
          </w:tcPr>
          <w:p w14:paraId="0ABB4F70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24–48 h</w:t>
            </w:r>
          </w:p>
        </w:tc>
        <w:tc>
          <w:tcPr>
            <w:tcW w:w="570" w:type="pct"/>
            <w:vAlign w:val="center"/>
          </w:tcPr>
          <w:p w14:paraId="4EE31FE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Median 7 d (IQR 5–9)</w:t>
            </w:r>
          </w:p>
        </w:tc>
        <w:tc>
          <w:tcPr>
            <w:tcW w:w="706" w:type="pct"/>
            <w:vAlign w:val="center"/>
          </w:tcPr>
          <w:p w14:paraId="7A4ACA4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Heparin 50 </w:t>
            </w:r>
            <w:r w:rsidRPr="006200DB">
              <w:rPr>
                <w:rFonts w:asciiTheme="majorBidi" w:hAnsiTheme="majorBidi" w:cstheme="majorBidi"/>
                <w:sz w:val="22"/>
              </w:rPr>
              <w:t>IU/mL</w:t>
            </w:r>
          </w:p>
        </w:tc>
        <w:tc>
          <w:tcPr>
            <w:tcW w:w="643" w:type="pct"/>
            <w:vAlign w:val="center"/>
          </w:tcPr>
          <w:p w14:paraId="22403528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14440E2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11DEF696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[34]</w:t>
            </w:r>
          </w:p>
        </w:tc>
      </w:tr>
      <w:tr w:rsidR="00B15CAE" w:rsidRPr="006200DB" w14:paraId="3C1FDF62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5DE9F40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Voriconazole</w:t>
            </w:r>
          </w:p>
        </w:tc>
        <w:tc>
          <w:tcPr>
            <w:tcW w:w="927" w:type="pct"/>
            <w:vAlign w:val="center"/>
          </w:tcPr>
          <w:p w14:paraId="73440CE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40 mg/mL</w:t>
            </w:r>
          </w:p>
        </w:tc>
        <w:tc>
          <w:tcPr>
            <w:tcW w:w="587" w:type="pct"/>
            <w:vAlign w:val="center"/>
          </w:tcPr>
          <w:p w14:paraId="14B001F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 h</w:t>
            </w:r>
          </w:p>
        </w:tc>
        <w:tc>
          <w:tcPr>
            <w:tcW w:w="570" w:type="pct"/>
            <w:vAlign w:val="center"/>
          </w:tcPr>
          <w:p w14:paraId="3F491B5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Intended 14 d</w:t>
            </w:r>
          </w:p>
        </w:tc>
        <w:tc>
          <w:tcPr>
            <w:tcW w:w="706" w:type="pct"/>
            <w:vAlign w:val="center"/>
          </w:tcPr>
          <w:p w14:paraId="72AB40B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None reported; heparin pre-flush 100 IU/mL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</w:p>
        </w:tc>
        <w:tc>
          <w:tcPr>
            <w:tcW w:w="643" w:type="pct"/>
            <w:vAlign w:val="center"/>
          </w:tcPr>
          <w:p w14:paraId="2EDF3B7F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Catheter lumen-fill volume</w:t>
            </w:r>
          </w:p>
        </w:tc>
        <w:tc>
          <w:tcPr>
            <w:tcW w:w="344" w:type="pct"/>
            <w:vAlign w:val="center"/>
          </w:tcPr>
          <w:p w14:paraId="44FA50D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51FB98C0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[37]</w:t>
            </w:r>
          </w:p>
        </w:tc>
      </w:tr>
      <w:tr w:rsidR="00B15CAE" w:rsidRPr="006200DB" w14:paraId="26435210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2DC98014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Other antibacterial agents (n=2 studies)</w:t>
            </w:r>
          </w:p>
        </w:tc>
      </w:tr>
      <w:tr w:rsidR="00B15CAE" w:rsidRPr="006200DB" w14:paraId="5924029F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7FAFFEA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Trimethoprim–sulfamethoxazole</w:t>
            </w:r>
          </w:p>
        </w:tc>
        <w:tc>
          <w:tcPr>
            <w:tcW w:w="927" w:type="pct"/>
            <w:vAlign w:val="center"/>
          </w:tcPr>
          <w:p w14:paraId="1DC8905A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16/3.2 mg/mL in 1 study; 16 mg TMP/mL (SMX </w:t>
            </w:r>
            <w:r w:rsidRPr="006200DB">
              <w:rPr>
                <w:rFonts w:asciiTheme="majorBidi" w:hAnsiTheme="majorBidi" w:cstheme="majorBidi"/>
                <w:sz w:val="22"/>
              </w:rPr>
              <w:t>concentration NR) in 1</w:t>
            </w:r>
          </w:p>
        </w:tc>
        <w:tc>
          <w:tcPr>
            <w:tcW w:w="587" w:type="pct"/>
            <w:vAlign w:val="center"/>
          </w:tcPr>
          <w:p w14:paraId="32569E25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12–24 h</w:t>
            </w:r>
          </w:p>
        </w:tc>
        <w:tc>
          <w:tcPr>
            <w:tcW w:w="570" w:type="pct"/>
            <w:vAlign w:val="center"/>
          </w:tcPr>
          <w:p w14:paraId="3FFDB5E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7–14 d; overall ALT median 11 d (IQR 6–14)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03391F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Heparin 100 IU/mL in 1 study; NR in 1</w:t>
            </w:r>
          </w:p>
        </w:tc>
        <w:tc>
          <w:tcPr>
            <w:tcW w:w="643" w:type="pct"/>
            <w:vAlign w:val="center"/>
          </w:tcPr>
          <w:p w14:paraId="41816D9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Lumen-based volume in 1 study; NR in 1</w:t>
            </w:r>
          </w:p>
        </w:tc>
        <w:tc>
          <w:tcPr>
            <w:tcW w:w="344" w:type="pct"/>
            <w:vAlign w:val="center"/>
          </w:tcPr>
          <w:p w14:paraId="1D552A3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</w:t>
            </w:r>
          </w:p>
        </w:tc>
        <w:tc>
          <w:tcPr>
            <w:tcW w:w="453" w:type="pct"/>
            <w:vAlign w:val="center"/>
          </w:tcPr>
          <w:p w14:paraId="67418F51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[35, 65]</w:t>
            </w:r>
          </w:p>
        </w:tc>
      </w:tr>
      <w:tr w:rsidR="00B15CAE" w:rsidRPr="006200DB" w14:paraId="7B8DBD79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558572B0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Oxazolidinones (n=2 studies)</w:t>
            </w:r>
          </w:p>
        </w:tc>
      </w:tr>
      <w:tr w:rsidR="00B15CAE" w:rsidRPr="006200DB" w14:paraId="1FE118D6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07AACE9C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Linezolid</w:t>
            </w:r>
          </w:p>
        </w:tc>
        <w:tc>
          <w:tcPr>
            <w:tcW w:w="927" w:type="pct"/>
            <w:vAlign w:val="center"/>
          </w:tcPr>
          <w:p w14:paraId="3EC4EF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 mg/mL in 1 study; NR in 1</w:t>
            </w:r>
          </w:p>
        </w:tc>
        <w:tc>
          <w:tcPr>
            <w:tcW w:w="587" w:type="pct"/>
            <w:vAlign w:val="center"/>
          </w:tcPr>
          <w:p w14:paraId="242C3BE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Maximum 24 h/q24h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replacement</w:t>
            </w:r>
            <w:r w:rsidRPr="006200DB">
              <w:rPr>
                <w:rFonts w:asciiTheme="majorBidi" w:hAnsiTheme="majorBidi" w:cstheme="majorBidi"/>
                <w:sz w:val="22"/>
              </w:rPr>
              <w:t>ᶜ</w:t>
            </w:r>
          </w:p>
        </w:tc>
        <w:tc>
          <w:tcPr>
            <w:tcW w:w="570" w:type="pct"/>
            <w:vAlign w:val="center"/>
          </w:tcPr>
          <w:p w14:paraId="50030E9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 xml:space="preserve">7–10 d; overall ALT median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11 d (IQR 6–14)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2054AD59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NR</w:t>
            </w:r>
          </w:p>
        </w:tc>
        <w:tc>
          <w:tcPr>
            <w:tcW w:w="643" w:type="pct"/>
            <w:vAlign w:val="center"/>
          </w:tcPr>
          <w:p w14:paraId="6B8B0306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 xml:space="preserve">Lumen-based volume in 1 </w:t>
            </w: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study; NR in 1</w:t>
            </w:r>
          </w:p>
        </w:tc>
        <w:tc>
          <w:tcPr>
            <w:tcW w:w="344" w:type="pct"/>
            <w:vAlign w:val="center"/>
          </w:tcPr>
          <w:p w14:paraId="4EFFF94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lastRenderedPageBreak/>
              <w:t>2</w:t>
            </w:r>
          </w:p>
        </w:tc>
        <w:tc>
          <w:tcPr>
            <w:tcW w:w="453" w:type="pct"/>
            <w:vAlign w:val="center"/>
          </w:tcPr>
          <w:p w14:paraId="4D0A5163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[35, 43]</w:t>
            </w:r>
          </w:p>
        </w:tc>
      </w:tr>
      <w:tr w:rsidR="00B15CAE" w:rsidRPr="006200DB" w14:paraId="3EF65469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1982835D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lastRenderedPageBreak/>
              <w:t>Polymyxins (n=1 study)</w:t>
            </w:r>
          </w:p>
        </w:tc>
      </w:tr>
      <w:tr w:rsidR="00B15CAE" w:rsidRPr="006200DB" w14:paraId="1FB75150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0B1120E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Colistin</w:t>
            </w:r>
          </w:p>
        </w:tc>
        <w:tc>
          <w:tcPr>
            <w:tcW w:w="927" w:type="pct"/>
            <w:vAlign w:val="center"/>
          </w:tcPr>
          <w:p w14:paraId="2B271E53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15 mg/mL</w:t>
            </w:r>
          </w:p>
        </w:tc>
        <w:tc>
          <w:tcPr>
            <w:tcW w:w="587" w:type="pct"/>
            <w:vAlign w:val="center"/>
          </w:tcPr>
          <w:p w14:paraId="16C30DA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24 h</w:t>
            </w:r>
          </w:p>
        </w:tc>
        <w:tc>
          <w:tcPr>
            <w:tcW w:w="570" w:type="pct"/>
            <w:vAlign w:val="center"/>
          </w:tcPr>
          <w:p w14:paraId="53F0702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Intended 14 d</w:t>
            </w:r>
          </w:p>
        </w:tc>
        <w:tc>
          <w:tcPr>
            <w:tcW w:w="706" w:type="pct"/>
            <w:vAlign w:val="center"/>
          </w:tcPr>
          <w:p w14:paraId="4A0C4F6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None reported; heparin pre-flush 100 IU/mL</w:t>
            </w:r>
            <w:r w:rsidRPr="006200DB">
              <w:rPr>
                <w:rFonts w:asciiTheme="majorBidi" w:hAnsiTheme="majorBidi" w:cstheme="majorBidi"/>
                <w:sz w:val="22"/>
              </w:rPr>
              <w:t>ᵇ</w:t>
            </w:r>
          </w:p>
        </w:tc>
        <w:tc>
          <w:tcPr>
            <w:tcW w:w="643" w:type="pct"/>
            <w:vAlign w:val="center"/>
          </w:tcPr>
          <w:p w14:paraId="554E1EB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Catheter lumen-fill volume</w:t>
            </w:r>
          </w:p>
        </w:tc>
        <w:tc>
          <w:tcPr>
            <w:tcW w:w="344" w:type="pct"/>
            <w:vAlign w:val="center"/>
          </w:tcPr>
          <w:p w14:paraId="30FC601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5CFE3800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[37]</w:t>
            </w:r>
          </w:p>
        </w:tc>
      </w:tr>
      <w:tr w:rsidR="00B15CAE" w:rsidRPr="006200DB" w14:paraId="4A6523C3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56B72076" w14:textId="77777777" w:rsidR="00FD7B2D" w:rsidRPr="006200DB" w:rsidRDefault="00C43FE3" w:rsidP="006200DB">
            <w:pPr>
              <w:keepNext/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Tetracyclines (n=1 study)</w:t>
            </w:r>
          </w:p>
        </w:tc>
      </w:tr>
      <w:tr w:rsidR="00B15CAE" w:rsidRPr="006200DB" w14:paraId="6026E4B3" w14:textId="77777777" w:rsidTr="006200DB">
        <w:trPr>
          <w:trHeight w:val="576"/>
        </w:trPr>
        <w:tc>
          <w:tcPr>
            <w:tcW w:w="770" w:type="pct"/>
            <w:vAlign w:val="center"/>
          </w:tcPr>
          <w:p w14:paraId="2519C1F7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b/>
                <w:sz w:val="22"/>
              </w:rPr>
              <w:t>Minocycline</w:t>
            </w:r>
          </w:p>
        </w:tc>
        <w:tc>
          <w:tcPr>
            <w:tcW w:w="927" w:type="pct"/>
            <w:vAlign w:val="center"/>
          </w:tcPr>
          <w:p w14:paraId="6832D734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87" w:type="pct"/>
            <w:vAlign w:val="center"/>
          </w:tcPr>
          <w:p w14:paraId="0176C1C2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570" w:type="pct"/>
            <w:vAlign w:val="center"/>
          </w:tcPr>
          <w:p w14:paraId="43F3D71D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Overall ALT: mean 12.9 d (2–59); agent-specific duration NR</w:t>
            </w:r>
            <w:r w:rsidRPr="006200DB">
              <w:rPr>
                <w:rFonts w:asciiTheme="majorBidi" w:hAnsiTheme="majorBidi" w:cstheme="majorBidi"/>
                <w:sz w:val="22"/>
              </w:rPr>
              <w:t>ᵃ</w:t>
            </w:r>
          </w:p>
        </w:tc>
        <w:tc>
          <w:tcPr>
            <w:tcW w:w="706" w:type="pct"/>
            <w:vAlign w:val="center"/>
          </w:tcPr>
          <w:p w14:paraId="7C9050BE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643" w:type="pct"/>
            <w:vAlign w:val="center"/>
          </w:tcPr>
          <w:p w14:paraId="47769331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NR</w:t>
            </w:r>
          </w:p>
        </w:tc>
        <w:tc>
          <w:tcPr>
            <w:tcW w:w="344" w:type="pct"/>
            <w:vAlign w:val="center"/>
          </w:tcPr>
          <w:p w14:paraId="2AF9968B" w14:textId="77777777" w:rsidR="00FD7B2D" w:rsidRPr="006200DB" w:rsidRDefault="00C43FE3" w:rsidP="006200DB">
            <w:pPr>
              <w:widowControl w:val="0"/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1</w:t>
            </w:r>
          </w:p>
        </w:tc>
        <w:tc>
          <w:tcPr>
            <w:tcW w:w="453" w:type="pct"/>
            <w:vAlign w:val="center"/>
          </w:tcPr>
          <w:p w14:paraId="441120DF" w14:textId="77777777" w:rsidR="00B05A97" w:rsidRPr="006200DB" w:rsidRDefault="00C43FE3" w:rsidP="006200DB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sz w:val="22"/>
              </w:rPr>
            </w:pPr>
            <w:r w:rsidRPr="006200DB">
              <w:rPr>
                <w:rFonts w:asciiTheme="majorBidi" w:hAnsiTheme="majorBidi" w:cstheme="majorBidi"/>
                <w:sz w:val="22"/>
              </w:rPr>
              <w:t>[63]</w:t>
            </w:r>
          </w:p>
        </w:tc>
      </w:tr>
      <w:tr w:rsidR="006200DB" w:rsidRPr="006200DB" w14:paraId="7F8EEC39" w14:textId="77777777" w:rsidTr="006200DB">
        <w:trPr>
          <w:trHeight w:val="576"/>
        </w:trPr>
        <w:tc>
          <w:tcPr>
            <w:tcW w:w="5000" w:type="pct"/>
            <w:gridSpan w:val="8"/>
            <w:vAlign w:val="center"/>
          </w:tcPr>
          <w:p w14:paraId="44DD799A" w14:textId="68924C6F" w:rsidR="006200DB" w:rsidRPr="006200DB" w:rsidRDefault="006200DB" w:rsidP="006200DB">
            <w:pPr>
              <w:spacing w:before="120" w:after="120"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6200DB">
              <w:rPr>
                <w:rFonts w:asciiTheme="majorBidi" w:hAnsiTheme="majorBidi" w:cstheme="majorBidi"/>
                <w:sz w:val="18"/>
                <w:szCs w:val="18"/>
              </w:rPr>
              <w:t>ALT, antimicrobial lock therapy; d, days; EDTA, ethylenediaminetetraacetic acid; h, hours; IQR, interquartile range; IU, international units; MIC, minimum inhibitory concentration; NR, not reported; q12h/q24h, every 12/24 hours. ᵃ Duration was reported for the overall mixed-agent ALT cohort and not separately for the named agent/formulation. ᵇ Heparin was used as a pre-lock flush, not as a lock-solution additive. ᶜ A replacement or maximum interval was reported; actual dwell time may have been shorter. Reference numbers correspond to the main manuscript reference list.</w:t>
            </w:r>
          </w:p>
        </w:tc>
      </w:tr>
    </w:tbl>
    <w:p w14:paraId="33227360" w14:textId="77777777" w:rsidR="006200DB" w:rsidRPr="006200DB" w:rsidRDefault="006200DB">
      <w:pPr>
        <w:spacing w:before="100" w:beforeAutospacing="1" w:after="100" w:afterAutospacing="1" w:line="360" w:lineRule="auto"/>
        <w:rPr>
          <w:rFonts w:asciiTheme="majorBidi" w:hAnsiTheme="majorBidi" w:cstheme="majorBidi"/>
          <w:sz w:val="22"/>
        </w:rPr>
      </w:pPr>
    </w:p>
    <w:sectPr w:rsidR="006200DB" w:rsidRPr="006200DB" w:rsidSect="006200DB">
      <w:pgSz w:w="16838" w:h="11906" w:orient="landscape"/>
      <w:pgMar w:top="1440" w:right="1440" w:bottom="1440" w:left="144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00DB"/>
    <w:rsid w:val="008A29F8"/>
    <w:rsid w:val="00AA1D8D"/>
    <w:rsid w:val="00B05A97"/>
    <w:rsid w:val="00B47730"/>
    <w:rsid w:val="00C43FE3"/>
    <w:rsid w:val="00C9321E"/>
    <w:rsid w:val="00CB0664"/>
    <w:rsid w:val="00FC693F"/>
    <w:rsid w:val="00FD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272BF0"/>
  <w14:defaultImageDpi w14:val="300"/>
  <w15:docId w15:val="{88590845-7A5A-47B4-8C31-BFE06500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9F49F0-6389-45D9-9ECD-650DCF71B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7563</Words>
  <Characters>43110</Characters>
  <Application>Microsoft Office Word</Application>
  <DocSecurity>0</DocSecurity>
  <Lines>359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50572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2. Supplementary Tables S1–S3</dc:title>
  <dc:subject>Supplementary material</dc:subject>
  <dc:creator>Cervantes Lisa</dc:creator>
  <cp:keywords/>
  <dc:description>generated by python-docx</dc:description>
  <cp:lastModifiedBy>Bita</cp:lastModifiedBy>
  <cp:revision>4</cp:revision>
  <dcterms:created xsi:type="dcterms:W3CDTF">2026-08-19T00:30:00Z</dcterms:created>
  <dcterms:modified xsi:type="dcterms:W3CDTF">2026-08-20T04:59:00Z</dcterms:modified>
  <cp:category/>
</cp:coreProperties>
</file>