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C19738D" w14:textId="102DF244" w:rsidR="004440E4" w:rsidRPr="001D22A5" w:rsidRDefault="00E02BAE" w:rsidP="001D22A5">
      <w:pPr>
        <w:spacing w:before="100" w:beforeAutospacing="1" w:after="100" w:afterAutospacing="1" w:line="360" w:lineRule="auto"/>
        <w:rPr>
          <w:rFonts w:asciiTheme="majorBidi" w:hAnsiTheme="majorBidi" w:cstheme="majorBidi"/>
          <w:sz w:val="24"/>
          <w:szCs w:val="24"/>
        </w:rPr>
      </w:pPr>
      <w:r w:rsidRPr="001D22A5">
        <w:rPr>
          <w:rFonts w:asciiTheme="majorBidi" w:hAnsiTheme="majorBidi" w:cstheme="majorBidi"/>
          <w:b/>
          <w:sz w:val="24"/>
          <w:szCs w:val="24"/>
        </w:rPr>
        <w:t xml:space="preserve">Additional </w:t>
      </w:r>
      <w:r w:rsidR="001D22A5" w:rsidRPr="001D22A5">
        <w:rPr>
          <w:rFonts w:asciiTheme="majorBidi" w:hAnsiTheme="majorBidi" w:cstheme="majorBidi"/>
          <w:b/>
          <w:sz w:val="24"/>
          <w:szCs w:val="24"/>
        </w:rPr>
        <w:t xml:space="preserve">File 3. </w:t>
      </w:r>
      <w:r w:rsidRPr="001D22A5">
        <w:rPr>
          <w:rFonts w:asciiTheme="majorBidi" w:hAnsiTheme="majorBidi" w:cstheme="majorBidi"/>
          <w:b/>
          <w:sz w:val="24"/>
          <w:szCs w:val="24"/>
        </w:rPr>
        <w:t>Supplementary Table S4</w:t>
      </w:r>
    </w:p>
    <w:p w14:paraId="5772BD44" w14:textId="77777777" w:rsidR="004B7B31" w:rsidRPr="001D22A5" w:rsidRDefault="00AD4E43" w:rsidP="001D22A5">
      <w:pPr>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color w:val="000000"/>
          <w:sz w:val="22"/>
        </w:rPr>
        <w:t>Supplementary Table S4. Risk-of-Bias and Critical Appraisal</w:t>
      </w:r>
    </w:p>
    <w:p w14:paraId="67D3B9C2" w14:textId="77777777" w:rsidR="004B7B31" w:rsidRPr="001D22A5" w:rsidRDefault="00AD4E43" w:rsidP="001D22A5">
      <w:pPr>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i/>
          <w:color w:val="000000"/>
          <w:sz w:val="22"/>
        </w:rPr>
        <w:t>Antimicrobial Lock Therapy systematic review - all 37 included studies</w:t>
      </w:r>
    </w:p>
    <w:tbl>
      <w:tblPr>
        <w:tblStyle w:val="TableGrid"/>
        <w:tblW w:w="5000" w:type="pct"/>
        <w:jc w:val="center"/>
        <w:tblLook w:val="04A0" w:firstRow="1" w:lastRow="0" w:firstColumn="1" w:lastColumn="0" w:noHBand="0" w:noVBand="1"/>
      </w:tblPr>
      <w:tblGrid>
        <w:gridCol w:w="8533"/>
        <w:gridCol w:w="848"/>
        <w:gridCol w:w="4567"/>
      </w:tblGrid>
      <w:tr w:rsidR="004B7B31" w:rsidRPr="001D22A5" w14:paraId="40D4F1EC" w14:textId="77777777" w:rsidTr="001D22A5">
        <w:trPr>
          <w:cantSplit/>
          <w:trHeight w:val="576"/>
          <w:tblHeader/>
          <w:jc w:val="center"/>
        </w:trPr>
        <w:tc>
          <w:tcPr>
            <w:tcW w:w="3059" w:type="pct"/>
            <w:vAlign w:val="center"/>
          </w:tcPr>
          <w:p w14:paraId="132378F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Study-design category</w:t>
            </w:r>
          </w:p>
        </w:tc>
        <w:tc>
          <w:tcPr>
            <w:tcW w:w="304" w:type="pct"/>
            <w:vAlign w:val="center"/>
          </w:tcPr>
          <w:p w14:paraId="52E3562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n</w:t>
            </w:r>
          </w:p>
        </w:tc>
        <w:tc>
          <w:tcPr>
            <w:tcW w:w="1637" w:type="pct"/>
            <w:vAlign w:val="center"/>
          </w:tcPr>
          <w:p w14:paraId="766CA3C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Appraisal tool</w:t>
            </w:r>
          </w:p>
        </w:tc>
      </w:tr>
      <w:tr w:rsidR="004B7B31" w:rsidRPr="001D22A5" w14:paraId="08E02336" w14:textId="77777777" w:rsidTr="001D22A5">
        <w:trPr>
          <w:cantSplit/>
          <w:trHeight w:val="576"/>
          <w:jc w:val="center"/>
        </w:trPr>
        <w:tc>
          <w:tcPr>
            <w:tcW w:w="3059" w:type="pct"/>
            <w:vAlign w:val="center"/>
          </w:tcPr>
          <w:p w14:paraId="4451CDB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Randomized controlled trials</w:t>
            </w:r>
          </w:p>
        </w:tc>
        <w:tc>
          <w:tcPr>
            <w:tcW w:w="304" w:type="pct"/>
            <w:vAlign w:val="center"/>
          </w:tcPr>
          <w:p w14:paraId="114DBD4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2</w:t>
            </w:r>
          </w:p>
        </w:tc>
        <w:tc>
          <w:tcPr>
            <w:tcW w:w="1637" w:type="pct"/>
            <w:vAlign w:val="center"/>
          </w:tcPr>
          <w:p w14:paraId="6E63E1F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Cochrane RoB 2</w:t>
            </w:r>
          </w:p>
        </w:tc>
      </w:tr>
      <w:tr w:rsidR="004B7B31" w:rsidRPr="001D22A5" w14:paraId="50DFB37D" w14:textId="77777777" w:rsidTr="001D22A5">
        <w:trPr>
          <w:cantSplit/>
          <w:trHeight w:val="576"/>
          <w:jc w:val="center"/>
        </w:trPr>
        <w:tc>
          <w:tcPr>
            <w:tcW w:w="3059" w:type="pct"/>
            <w:vAlign w:val="center"/>
          </w:tcPr>
          <w:p w14:paraId="19B392E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Nonrandomized comparative studies</w:t>
            </w:r>
          </w:p>
        </w:tc>
        <w:tc>
          <w:tcPr>
            <w:tcW w:w="304" w:type="pct"/>
            <w:vAlign w:val="center"/>
          </w:tcPr>
          <w:p w14:paraId="1916876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12</w:t>
            </w:r>
          </w:p>
        </w:tc>
        <w:tc>
          <w:tcPr>
            <w:tcW w:w="1637" w:type="pct"/>
            <w:vAlign w:val="center"/>
          </w:tcPr>
          <w:p w14:paraId="1056113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ROBINS-I</w:t>
            </w:r>
          </w:p>
        </w:tc>
      </w:tr>
      <w:tr w:rsidR="004B7B31" w:rsidRPr="001D22A5" w14:paraId="6C869026" w14:textId="77777777" w:rsidTr="001D22A5">
        <w:trPr>
          <w:cantSplit/>
          <w:trHeight w:val="576"/>
          <w:jc w:val="center"/>
        </w:trPr>
        <w:tc>
          <w:tcPr>
            <w:tcW w:w="3059" w:type="pct"/>
            <w:vAlign w:val="center"/>
          </w:tcPr>
          <w:p w14:paraId="30F59EF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single-arm interventional trials</w:t>
            </w:r>
          </w:p>
        </w:tc>
        <w:tc>
          <w:tcPr>
            <w:tcW w:w="304" w:type="pct"/>
            <w:vAlign w:val="center"/>
          </w:tcPr>
          <w:p w14:paraId="59DF904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4</w:t>
            </w:r>
          </w:p>
        </w:tc>
        <w:tc>
          <w:tcPr>
            <w:tcW w:w="1637" w:type="pct"/>
            <w:vAlign w:val="center"/>
          </w:tcPr>
          <w:p w14:paraId="70AE5F2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JBI Quasi-Experimental</w:t>
            </w:r>
          </w:p>
        </w:tc>
      </w:tr>
      <w:tr w:rsidR="004B7B31" w:rsidRPr="001D22A5" w14:paraId="05C88549" w14:textId="77777777" w:rsidTr="001D22A5">
        <w:trPr>
          <w:cantSplit/>
          <w:trHeight w:val="576"/>
          <w:jc w:val="center"/>
        </w:trPr>
        <w:tc>
          <w:tcPr>
            <w:tcW w:w="3059" w:type="pct"/>
            <w:vAlign w:val="center"/>
          </w:tcPr>
          <w:p w14:paraId="0154E83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Uncontrolled observational studies / case series</w:t>
            </w:r>
          </w:p>
        </w:tc>
        <w:tc>
          <w:tcPr>
            <w:tcW w:w="304" w:type="pct"/>
            <w:vAlign w:val="center"/>
          </w:tcPr>
          <w:p w14:paraId="315E04F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19</w:t>
            </w:r>
          </w:p>
        </w:tc>
        <w:tc>
          <w:tcPr>
            <w:tcW w:w="1637" w:type="pct"/>
            <w:vAlign w:val="center"/>
          </w:tcPr>
          <w:p w14:paraId="7EF12FE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JBI Case Series</w:t>
            </w:r>
          </w:p>
        </w:tc>
      </w:tr>
      <w:tr w:rsidR="004B7B31" w:rsidRPr="001D22A5" w14:paraId="60EFF39F" w14:textId="77777777" w:rsidTr="001D22A5">
        <w:trPr>
          <w:cantSplit/>
          <w:trHeight w:val="576"/>
          <w:jc w:val="center"/>
        </w:trPr>
        <w:tc>
          <w:tcPr>
            <w:tcW w:w="3059" w:type="pct"/>
            <w:vAlign w:val="center"/>
          </w:tcPr>
          <w:p w14:paraId="78ADE5D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Total</w:t>
            </w:r>
          </w:p>
        </w:tc>
        <w:tc>
          <w:tcPr>
            <w:tcW w:w="304" w:type="pct"/>
            <w:vAlign w:val="center"/>
          </w:tcPr>
          <w:p w14:paraId="4258066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37</w:t>
            </w:r>
          </w:p>
        </w:tc>
        <w:tc>
          <w:tcPr>
            <w:tcW w:w="1637" w:type="pct"/>
            <w:vAlign w:val="center"/>
          </w:tcPr>
          <w:p w14:paraId="45FB9E2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w:t>
            </w:r>
          </w:p>
        </w:tc>
      </w:tr>
    </w:tbl>
    <w:p w14:paraId="7061FB57" w14:textId="77777777" w:rsidR="004B7B31" w:rsidRPr="001D22A5" w:rsidRDefault="00AD4E43" w:rsidP="001D22A5">
      <w:pPr>
        <w:pStyle w:val="Heading1"/>
        <w:pageBreakBefore/>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lastRenderedPageBreak/>
        <w:t>1. Cochrane RoB 2 - randomized controlled trials (n = 2)</w:t>
      </w:r>
    </w:p>
    <w:tbl>
      <w:tblPr>
        <w:tblStyle w:val="TableGrid"/>
        <w:tblW w:w="0" w:type="auto"/>
        <w:jc w:val="center"/>
        <w:tblLook w:val="04A0" w:firstRow="1" w:lastRow="0" w:firstColumn="1" w:lastColumn="0" w:noHBand="0" w:noVBand="1"/>
      </w:tblPr>
      <w:tblGrid>
        <w:gridCol w:w="2232"/>
        <w:gridCol w:w="5400"/>
        <w:gridCol w:w="936"/>
        <w:gridCol w:w="998"/>
        <w:gridCol w:w="936"/>
        <w:gridCol w:w="936"/>
        <w:gridCol w:w="998"/>
        <w:gridCol w:w="1512"/>
      </w:tblGrid>
      <w:tr w:rsidR="004B7B31" w:rsidRPr="001D22A5" w14:paraId="10F32705" w14:textId="77777777" w:rsidTr="001D22A5">
        <w:trPr>
          <w:cantSplit/>
          <w:trHeight w:val="576"/>
          <w:tblHeader/>
          <w:jc w:val="center"/>
        </w:trPr>
        <w:tc>
          <w:tcPr>
            <w:tcW w:w="2232" w:type="dxa"/>
            <w:vAlign w:val="center"/>
          </w:tcPr>
          <w:p w14:paraId="79F43DF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5400" w:type="dxa"/>
            <w:vAlign w:val="center"/>
          </w:tcPr>
          <w:p w14:paraId="29FA85F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Design</w:t>
            </w:r>
          </w:p>
        </w:tc>
        <w:tc>
          <w:tcPr>
            <w:tcW w:w="936" w:type="dxa"/>
            <w:vAlign w:val="center"/>
          </w:tcPr>
          <w:p w14:paraId="0AF184E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D1</w:t>
            </w:r>
          </w:p>
        </w:tc>
        <w:tc>
          <w:tcPr>
            <w:tcW w:w="936" w:type="dxa"/>
            <w:vAlign w:val="center"/>
          </w:tcPr>
          <w:p w14:paraId="6E858D8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D2</w:t>
            </w:r>
          </w:p>
        </w:tc>
        <w:tc>
          <w:tcPr>
            <w:tcW w:w="936" w:type="dxa"/>
            <w:vAlign w:val="center"/>
          </w:tcPr>
          <w:p w14:paraId="14926F0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D3</w:t>
            </w:r>
          </w:p>
        </w:tc>
        <w:tc>
          <w:tcPr>
            <w:tcW w:w="936" w:type="dxa"/>
            <w:vAlign w:val="center"/>
          </w:tcPr>
          <w:p w14:paraId="50BAE97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D4</w:t>
            </w:r>
          </w:p>
        </w:tc>
        <w:tc>
          <w:tcPr>
            <w:tcW w:w="936" w:type="dxa"/>
            <w:vAlign w:val="center"/>
          </w:tcPr>
          <w:p w14:paraId="2D9B465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D5</w:t>
            </w:r>
          </w:p>
        </w:tc>
        <w:tc>
          <w:tcPr>
            <w:tcW w:w="1512" w:type="dxa"/>
            <w:vAlign w:val="center"/>
          </w:tcPr>
          <w:p w14:paraId="38E6FFE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w:t>
            </w:r>
          </w:p>
        </w:tc>
      </w:tr>
      <w:tr w:rsidR="004B7B31" w:rsidRPr="001D22A5" w14:paraId="270B4EE5" w14:textId="77777777" w:rsidTr="001D22A5">
        <w:trPr>
          <w:cantSplit/>
          <w:trHeight w:val="576"/>
          <w:jc w:val="center"/>
        </w:trPr>
        <w:tc>
          <w:tcPr>
            <w:tcW w:w="2232" w:type="dxa"/>
            <w:vAlign w:val="center"/>
          </w:tcPr>
          <w:p w14:paraId="5B2C9AD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Lesens et al., 2024</w:t>
            </w:r>
          </w:p>
        </w:tc>
        <w:tc>
          <w:tcPr>
            <w:tcW w:w="5400" w:type="dxa"/>
            <w:vAlign w:val="center"/>
          </w:tcPr>
          <w:p w14:paraId="593D3AD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multicentre, double-blind active-controlled randomized clinical trial (ethanol lock vs vancomycin lock)</w:t>
            </w:r>
          </w:p>
        </w:tc>
        <w:tc>
          <w:tcPr>
            <w:tcW w:w="936" w:type="dxa"/>
            <w:vAlign w:val="center"/>
          </w:tcPr>
          <w:p w14:paraId="1D082DC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5DD181B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496B03F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29838EB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3707E67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some concerns</w:t>
            </w:r>
          </w:p>
        </w:tc>
        <w:tc>
          <w:tcPr>
            <w:tcW w:w="1512" w:type="dxa"/>
            <w:vAlign w:val="center"/>
          </w:tcPr>
          <w:p w14:paraId="45213C1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some concerns</w:t>
            </w:r>
          </w:p>
        </w:tc>
      </w:tr>
      <w:tr w:rsidR="004B7B31" w:rsidRPr="001D22A5" w14:paraId="6FA85708" w14:textId="77777777" w:rsidTr="001D22A5">
        <w:trPr>
          <w:cantSplit/>
          <w:trHeight w:val="576"/>
          <w:jc w:val="center"/>
        </w:trPr>
        <w:tc>
          <w:tcPr>
            <w:tcW w:w="2232" w:type="dxa"/>
            <w:vAlign w:val="center"/>
          </w:tcPr>
          <w:p w14:paraId="77DE696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Rijnders et al., 2005</w:t>
            </w:r>
          </w:p>
        </w:tc>
        <w:tc>
          <w:tcPr>
            <w:tcW w:w="5400" w:type="dxa"/>
            <w:vAlign w:val="center"/>
          </w:tcPr>
          <w:p w14:paraId="2A7F6A5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Randomized, multicentre, double-blind, placebo-controlled parallel-group trial (antibiotic lock + systemic therapy vs placebo lock + systemic therapy)</w:t>
            </w:r>
          </w:p>
        </w:tc>
        <w:tc>
          <w:tcPr>
            <w:tcW w:w="936" w:type="dxa"/>
            <w:vAlign w:val="center"/>
          </w:tcPr>
          <w:p w14:paraId="751E78A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2D0830C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some concerns</w:t>
            </w:r>
          </w:p>
        </w:tc>
        <w:tc>
          <w:tcPr>
            <w:tcW w:w="936" w:type="dxa"/>
            <w:vAlign w:val="center"/>
          </w:tcPr>
          <w:p w14:paraId="2E43470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660905D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936" w:type="dxa"/>
            <w:vAlign w:val="center"/>
          </w:tcPr>
          <w:p w14:paraId="03315C8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some concerns</w:t>
            </w:r>
          </w:p>
        </w:tc>
        <w:tc>
          <w:tcPr>
            <w:tcW w:w="1512" w:type="dxa"/>
            <w:vAlign w:val="center"/>
          </w:tcPr>
          <w:p w14:paraId="17B7579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some concerns</w:t>
            </w:r>
          </w:p>
        </w:tc>
      </w:tr>
    </w:tbl>
    <w:p w14:paraId="281FC592" w14:textId="77777777" w:rsidR="004B7B31" w:rsidRPr="001D22A5" w:rsidRDefault="00AD4E43" w:rsidP="001D22A5">
      <w:pPr>
        <w:keepNext/>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sz w:val="22"/>
        </w:rPr>
        <w:t>Domains:</w:t>
      </w:r>
      <w:r w:rsidRPr="001D22A5">
        <w:rPr>
          <w:rFonts w:asciiTheme="majorBidi" w:hAnsiTheme="majorBidi" w:cstheme="majorBidi"/>
          <w:sz w:val="22"/>
        </w:rPr>
        <w:t xml:space="preserve"> D1 = Bias arising from the randomization process; D2 = Bias due to deviations from intended interventions; D3 = Bias due to missing outcome data; D4 = Bias in measurement of the outcome; D5 = Bias in selection of the reported result.</w:t>
      </w:r>
    </w:p>
    <w:p w14:paraId="65EB28A9" w14:textId="77777777" w:rsidR="004B7B31" w:rsidRPr="001D22A5" w:rsidRDefault="00AD4E43" w:rsidP="001D22A5">
      <w:pPr>
        <w:pStyle w:val="Heading2"/>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t>Principal methodological concerns</w:t>
      </w:r>
    </w:p>
    <w:tbl>
      <w:tblPr>
        <w:tblStyle w:val="TableGrid"/>
        <w:tblW w:w="5000" w:type="pct"/>
        <w:jc w:val="center"/>
        <w:tblLook w:val="04A0" w:firstRow="1" w:lastRow="0" w:firstColumn="1" w:lastColumn="0" w:noHBand="0" w:noVBand="1"/>
      </w:tblPr>
      <w:tblGrid>
        <w:gridCol w:w="2315"/>
        <w:gridCol w:w="1903"/>
        <w:gridCol w:w="9730"/>
      </w:tblGrid>
      <w:tr w:rsidR="004B7B31" w:rsidRPr="001D22A5" w14:paraId="5A4960F6" w14:textId="77777777" w:rsidTr="001D22A5">
        <w:trPr>
          <w:cantSplit/>
          <w:tblHeader/>
          <w:jc w:val="center"/>
        </w:trPr>
        <w:tc>
          <w:tcPr>
            <w:tcW w:w="830" w:type="pct"/>
            <w:vAlign w:val="center"/>
          </w:tcPr>
          <w:p w14:paraId="0983C53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Study</w:t>
            </w:r>
          </w:p>
        </w:tc>
        <w:tc>
          <w:tcPr>
            <w:tcW w:w="682" w:type="pct"/>
            <w:vAlign w:val="center"/>
          </w:tcPr>
          <w:p w14:paraId="1F30D4E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Overall risk of bias</w:t>
            </w:r>
          </w:p>
        </w:tc>
        <w:tc>
          <w:tcPr>
            <w:tcW w:w="3488" w:type="pct"/>
            <w:vAlign w:val="center"/>
          </w:tcPr>
          <w:p w14:paraId="2F653FB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Principal concerns</w:t>
            </w:r>
          </w:p>
        </w:tc>
      </w:tr>
      <w:tr w:rsidR="004B7B31" w:rsidRPr="001D22A5" w14:paraId="74B66FF2" w14:textId="77777777" w:rsidTr="001D22A5">
        <w:trPr>
          <w:cantSplit/>
          <w:jc w:val="center"/>
        </w:trPr>
        <w:tc>
          <w:tcPr>
            <w:tcW w:w="830" w:type="pct"/>
            <w:vAlign w:val="center"/>
          </w:tcPr>
          <w:p w14:paraId="4C199A4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Lesens et al., 2024</w:t>
            </w:r>
          </w:p>
        </w:tc>
        <w:tc>
          <w:tcPr>
            <w:tcW w:w="682" w:type="pct"/>
            <w:vAlign w:val="center"/>
          </w:tcPr>
          <w:p w14:paraId="0D4078A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Some concerns</w:t>
            </w:r>
          </w:p>
        </w:tc>
        <w:tc>
          <w:tcPr>
            <w:tcW w:w="3488" w:type="pct"/>
            <w:vAlign w:val="center"/>
          </w:tcPr>
          <w:p w14:paraId="7D605C0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Randomization and concealment were robust (biostatistician-generated permuted variable blocks, stratified by center and CRBSI status, with pharmacy-administered interactive allocation), and the trial was double-blind with intention-to-treat analysis and no post-randomization loss to follow-up. The primary outcome and analysis were clearly described and the trial was registered; nevertheless, no full protocol/statistical analysis plan was available in the article to independently exclude selective choice among eligible analyses, so D5 was conservatively rated as some concerns. The trial stopped after the planned interim analysis with only 61 of 172 planned participants because of high failure/mechanical-obstruction rates and slow recruitment; this primarily increases imprecision.</w:t>
            </w:r>
          </w:p>
        </w:tc>
      </w:tr>
      <w:tr w:rsidR="004B7B31" w:rsidRPr="001D22A5" w14:paraId="0C485BB3" w14:textId="77777777" w:rsidTr="001D22A5">
        <w:trPr>
          <w:cantSplit/>
          <w:jc w:val="center"/>
        </w:trPr>
        <w:tc>
          <w:tcPr>
            <w:tcW w:w="830" w:type="pct"/>
            <w:vAlign w:val="center"/>
          </w:tcPr>
          <w:p w14:paraId="15F1922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Rijnders et al., 2005</w:t>
            </w:r>
          </w:p>
        </w:tc>
        <w:tc>
          <w:tcPr>
            <w:tcW w:w="682" w:type="pct"/>
            <w:vAlign w:val="center"/>
          </w:tcPr>
          <w:p w14:paraId="6F81742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Some concerns</w:t>
            </w:r>
          </w:p>
        </w:tc>
        <w:tc>
          <w:tcPr>
            <w:tcW w:w="3488" w:type="pct"/>
            <w:vAlign w:val="center"/>
          </w:tcPr>
          <w:p w14:paraId="5452EC8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Random sequence generation, allocation concealment and double blinding were robust. However, the primary analysis used a modified intention-to-treat population and excluded 2 of 46 randomized participants after allocation because catheter occlusion prevented any lock from being given. The report did not provide a prospectively accessible protocol/statistical analysis plan to independently verify all outcome-analysis choices, and the primary log-rank analysis used a one-sided test. Recruitment stopped early at 46 of 152 planned participants; this chiefly affects precision rather than constituting an additional RoB 2 domain concern.</w:t>
            </w:r>
          </w:p>
        </w:tc>
      </w:tr>
    </w:tbl>
    <w:p w14:paraId="4EF28A0A" w14:textId="77777777" w:rsidR="004B7B31" w:rsidRPr="001D22A5" w:rsidRDefault="00AD4E43" w:rsidP="001D22A5">
      <w:pPr>
        <w:pStyle w:val="Heading1"/>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t>2. ROBINS-I - nonrandomized comparative studies (n = 12)</w:t>
      </w:r>
    </w:p>
    <w:tbl>
      <w:tblPr>
        <w:tblStyle w:val="TableGrid"/>
        <w:tblW w:w="5000" w:type="pct"/>
        <w:jc w:val="center"/>
        <w:tblLook w:val="04A0" w:firstRow="1" w:lastRow="0" w:firstColumn="1" w:lastColumn="0" w:noHBand="0" w:noVBand="1"/>
      </w:tblPr>
      <w:tblGrid>
        <w:gridCol w:w="1727"/>
        <w:gridCol w:w="3035"/>
        <w:gridCol w:w="1127"/>
        <w:gridCol w:w="1149"/>
        <w:gridCol w:w="1127"/>
        <w:gridCol w:w="1127"/>
        <w:gridCol w:w="1127"/>
        <w:gridCol w:w="1127"/>
        <w:gridCol w:w="1127"/>
        <w:gridCol w:w="1275"/>
      </w:tblGrid>
      <w:tr w:rsidR="004B7B31" w:rsidRPr="001D22A5" w14:paraId="19911875" w14:textId="77777777" w:rsidTr="001D22A5">
        <w:trPr>
          <w:cantSplit/>
          <w:trHeight w:val="576"/>
          <w:tblHeader/>
          <w:jc w:val="center"/>
        </w:trPr>
        <w:tc>
          <w:tcPr>
            <w:tcW w:w="619" w:type="pct"/>
            <w:vAlign w:val="center"/>
          </w:tcPr>
          <w:p w14:paraId="49A67B5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Study</w:t>
            </w:r>
          </w:p>
        </w:tc>
        <w:tc>
          <w:tcPr>
            <w:tcW w:w="1088" w:type="pct"/>
            <w:vAlign w:val="center"/>
          </w:tcPr>
          <w:p w14:paraId="12D5E2E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b/>
                <w:color w:val="000000"/>
                <w:sz w:val="22"/>
              </w:rPr>
              <w:t>Study design</w:t>
            </w:r>
          </w:p>
        </w:tc>
        <w:tc>
          <w:tcPr>
            <w:tcW w:w="404" w:type="pct"/>
            <w:vAlign w:val="center"/>
          </w:tcPr>
          <w:p w14:paraId="326E001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D1</w:t>
            </w:r>
          </w:p>
        </w:tc>
        <w:tc>
          <w:tcPr>
            <w:tcW w:w="412" w:type="pct"/>
            <w:vAlign w:val="center"/>
          </w:tcPr>
          <w:p w14:paraId="41068C8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D2</w:t>
            </w:r>
          </w:p>
        </w:tc>
        <w:tc>
          <w:tcPr>
            <w:tcW w:w="404" w:type="pct"/>
            <w:vAlign w:val="center"/>
          </w:tcPr>
          <w:p w14:paraId="334B1CB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D3</w:t>
            </w:r>
          </w:p>
        </w:tc>
        <w:tc>
          <w:tcPr>
            <w:tcW w:w="404" w:type="pct"/>
            <w:vAlign w:val="center"/>
          </w:tcPr>
          <w:p w14:paraId="639A9A3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D4</w:t>
            </w:r>
          </w:p>
        </w:tc>
        <w:tc>
          <w:tcPr>
            <w:tcW w:w="404" w:type="pct"/>
            <w:vAlign w:val="center"/>
          </w:tcPr>
          <w:p w14:paraId="3D1AE6C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D5</w:t>
            </w:r>
          </w:p>
        </w:tc>
        <w:tc>
          <w:tcPr>
            <w:tcW w:w="404" w:type="pct"/>
            <w:vAlign w:val="center"/>
          </w:tcPr>
          <w:p w14:paraId="4C134B7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D6</w:t>
            </w:r>
          </w:p>
        </w:tc>
        <w:tc>
          <w:tcPr>
            <w:tcW w:w="404" w:type="pct"/>
            <w:vAlign w:val="center"/>
          </w:tcPr>
          <w:p w14:paraId="1B43B7E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D7</w:t>
            </w:r>
          </w:p>
        </w:tc>
        <w:tc>
          <w:tcPr>
            <w:tcW w:w="455" w:type="pct"/>
            <w:vAlign w:val="center"/>
          </w:tcPr>
          <w:p w14:paraId="0FF3DDC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w:t>
            </w:r>
          </w:p>
        </w:tc>
      </w:tr>
      <w:tr w:rsidR="004B7B31" w:rsidRPr="001D22A5" w14:paraId="2B3FA8E1" w14:textId="77777777" w:rsidTr="001D22A5">
        <w:trPr>
          <w:cantSplit/>
          <w:trHeight w:val="576"/>
          <w:jc w:val="center"/>
        </w:trPr>
        <w:tc>
          <w:tcPr>
            <w:tcW w:w="619" w:type="pct"/>
            <w:vAlign w:val="center"/>
          </w:tcPr>
          <w:p w14:paraId="6E63F43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Zhang et al., 2025</w:t>
            </w:r>
          </w:p>
        </w:tc>
        <w:tc>
          <w:tcPr>
            <w:tcW w:w="1088" w:type="pct"/>
            <w:vAlign w:val="center"/>
          </w:tcPr>
          <w:p w14:paraId="0B9C557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comparative cohort (ALT + systemic therapy vs systemic therapy alone)</w:t>
            </w:r>
          </w:p>
        </w:tc>
        <w:tc>
          <w:tcPr>
            <w:tcW w:w="404" w:type="pct"/>
            <w:vAlign w:val="center"/>
          </w:tcPr>
          <w:p w14:paraId="0787A9B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7A85E7F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E216B9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632A41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671AC38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08CC397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1DC428E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0962B82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2F566A83" w14:textId="77777777" w:rsidTr="001D22A5">
        <w:trPr>
          <w:cantSplit/>
          <w:trHeight w:val="576"/>
          <w:jc w:val="center"/>
        </w:trPr>
        <w:tc>
          <w:tcPr>
            <w:tcW w:w="619" w:type="pct"/>
            <w:vAlign w:val="center"/>
          </w:tcPr>
          <w:p w14:paraId="443E8B1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Ranganath et al., 2025</w:t>
            </w:r>
          </w:p>
        </w:tc>
        <w:tc>
          <w:tcPr>
            <w:tcW w:w="1088" w:type="pct"/>
            <w:vAlign w:val="center"/>
          </w:tcPr>
          <w:p w14:paraId="2E6BCD6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comparative cohort (ALT vs catheter removal; IPTW-adjusted)</w:t>
            </w:r>
          </w:p>
        </w:tc>
        <w:tc>
          <w:tcPr>
            <w:tcW w:w="404" w:type="pct"/>
            <w:vAlign w:val="center"/>
          </w:tcPr>
          <w:p w14:paraId="78B3912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1BD5645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6477DE6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659B41F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103DD3C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2EF2649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2409D2E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27EC4D1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049FF0BD" w14:textId="77777777" w:rsidTr="001D22A5">
        <w:trPr>
          <w:cantSplit/>
          <w:trHeight w:val="576"/>
          <w:jc w:val="center"/>
        </w:trPr>
        <w:tc>
          <w:tcPr>
            <w:tcW w:w="619" w:type="pct"/>
            <w:vAlign w:val="center"/>
          </w:tcPr>
          <w:p w14:paraId="2140E06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Ranch-Lundin et al., 2021</w:t>
            </w:r>
          </w:p>
        </w:tc>
        <w:tc>
          <w:tcPr>
            <w:tcW w:w="1088" w:type="pct"/>
            <w:vAlign w:val="center"/>
          </w:tcPr>
          <w:p w14:paraId="50EEC8A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comparative observational cohort (vancomycin lock with vs without heparin; division-based allocation)</w:t>
            </w:r>
          </w:p>
        </w:tc>
        <w:tc>
          <w:tcPr>
            <w:tcW w:w="404" w:type="pct"/>
            <w:vAlign w:val="center"/>
          </w:tcPr>
          <w:p w14:paraId="7395AA8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12" w:type="pct"/>
            <w:vAlign w:val="center"/>
          </w:tcPr>
          <w:p w14:paraId="4FBCE04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1BF4E3C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1CD316E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6923161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0213D06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4D2E6A3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08AD8A5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10F80257" w14:textId="77777777" w:rsidTr="001D22A5">
        <w:trPr>
          <w:cantSplit/>
          <w:trHeight w:val="576"/>
          <w:jc w:val="center"/>
        </w:trPr>
        <w:tc>
          <w:tcPr>
            <w:tcW w:w="619" w:type="pct"/>
            <w:vAlign w:val="center"/>
          </w:tcPr>
          <w:p w14:paraId="06E335B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Zanwar et al., 2019</w:t>
            </w:r>
          </w:p>
        </w:tc>
        <w:tc>
          <w:tcPr>
            <w:tcW w:w="1088" w:type="pct"/>
            <w:vAlign w:val="center"/>
          </w:tcPr>
          <w:p w14:paraId="558F6F2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comparative cohort (ALT + systemic therapy vs systemic therapy alone in HSCT CRBSI)</w:t>
            </w:r>
          </w:p>
        </w:tc>
        <w:tc>
          <w:tcPr>
            <w:tcW w:w="404" w:type="pct"/>
            <w:vAlign w:val="center"/>
          </w:tcPr>
          <w:p w14:paraId="7AA86A0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29F7C11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20B68A3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15E0F5B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23F148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7902FE2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02DCA46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659B46C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40E5DF5D" w14:textId="77777777" w:rsidTr="001D22A5">
        <w:trPr>
          <w:cantSplit/>
          <w:trHeight w:val="576"/>
          <w:jc w:val="center"/>
        </w:trPr>
        <w:tc>
          <w:tcPr>
            <w:tcW w:w="619" w:type="pct"/>
            <w:vAlign w:val="center"/>
          </w:tcPr>
          <w:p w14:paraId="157E824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Freire et al., 2018</w:t>
            </w:r>
          </w:p>
        </w:tc>
        <w:tc>
          <w:tcPr>
            <w:tcW w:w="1088" w:type="pct"/>
            <w:vAlign w:val="center"/>
          </w:tcPr>
          <w:p w14:paraId="31577F0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Observational comparative cohort (ALT-based vs non-ALT management)</w:t>
            </w:r>
          </w:p>
        </w:tc>
        <w:tc>
          <w:tcPr>
            <w:tcW w:w="404" w:type="pct"/>
            <w:vAlign w:val="center"/>
          </w:tcPr>
          <w:p w14:paraId="04B12F1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1C67A53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4F3A53D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0BAE908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42EA905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3BAF12A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466C208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3D27F4C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1E1B9698" w14:textId="77777777" w:rsidTr="001D22A5">
        <w:trPr>
          <w:cantSplit/>
          <w:trHeight w:val="576"/>
          <w:jc w:val="center"/>
        </w:trPr>
        <w:tc>
          <w:tcPr>
            <w:tcW w:w="619" w:type="pct"/>
            <w:vAlign w:val="center"/>
          </w:tcPr>
          <w:p w14:paraId="4DB6DCA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Hachem et al., 2018</w:t>
            </w:r>
          </w:p>
        </w:tc>
        <w:tc>
          <w:tcPr>
            <w:tcW w:w="1088" w:type="pct"/>
            <w:vAlign w:val="center"/>
          </w:tcPr>
          <w:p w14:paraId="7B3C0C1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intervention arm with retrospectively identified matched controls</w:t>
            </w:r>
          </w:p>
        </w:tc>
        <w:tc>
          <w:tcPr>
            <w:tcW w:w="404" w:type="pct"/>
            <w:vAlign w:val="center"/>
          </w:tcPr>
          <w:p w14:paraId="49A9DB1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1447463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0D5CA62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365F3D0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EB3F52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58CFBB7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3456D0C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0193CC9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5DE1A101" w14:textId="77777777" w:rsidTr="001D22A5">
        <w:trPr>
          <w:cantSplit/>
          <w:trHeight w:val="576"/>
          <w:jc w:val="center"/>
        </w:trPr>
        <w:tc>
          <w:tcPr>
            <w:tcW w:w="619" w:type="pct"/>
            <w:vAlign w:val="center"/>
          </w:tcPr>
          <w:p w14:paraId="236CF66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Raad et al., 2016</w:t>
            </w:r>
          </w:p>
        </w:tc>
        <w:tc>
          <w:tcPr>
            <w:tcW w:w="1088" w:type="pct"/>
            <w:vAlign w:val="center"/>
          </w:tcPr>
          <w:p w14:paraId="263485D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open-label Phase II intervention with retrospectively identified matched concurrent controls</w:t>
            </w:r>
          </w:p>
        </w:tc>
        <w:tc>
          <w:tcPr>
            <w:tcW w:w="404" w:type="pct"/>
            <w:vAlign w:val="center"/>
          </w:tcPr>
          <w:p w14:paraId="47FFA42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3549EF0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062F8B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1FED62C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0F2FFF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3553D11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6B888E0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55" w:type="pct"/>
            <w:vAlign w:val="center"/>
          </w:tcPr>
          <w:p w14:paraId="70BEAC3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295BE78D" w14:textId="77777777" w:rsidTr="001D22A5">
        <w:trPr>
          <w:cantSplit/>
          <w:trHeight w:val="576"/>
          <w:jc w:val="center"/>
        </w:trPr>
        <w:tc>
          <w:tcPr>
            <w:tcW w:w="619" w:type="pct"/>
            <w:vAlign w:val="center"/>
          </w:tcPr>
          <w:p w14:paraId="33EA9A4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Vidal et al., 2016</w:t>
            </w:r>
          </w:p>
        </w:tc>
        <w:tc>
          <w:tcPr>
            <w:tcW w:w="1088" w:type="pct"/>
            <w:vAlign w:val="center"/>
          </w:tcPr>
          <w:p w14:paraId="4A2D536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observational comparative cohort (conservative treatment vs catheter removal)</w:t>
            </w:r>
          </w:p>
        </w:tc>
        <w:tc>
          <w:tcPr>
            <w:tcW w:w="404" w:type="pct"/>
            <w:vAlign w:val="center"/>
          </w:tcPr>
          <w:p w14:paraId="47E4BC4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2D17DC4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076ADD5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29B975D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4AEABE4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2A9194D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2E07ABB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77523F8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0756E6DC" w14:textId="77777777" w:rsidTr="001D22A5">
        <w:trPr>
          <w:cantSplit/>
          <w:trHeight w:val="576"/>
          <w:jc w:val="center"/>
        </w:trPr>
        <w:tc>
          <w:tcPr>
            <w:tcW w:w="619" w:type="pct"/>
            <w:vAlign w:val="center"/>
          </w:tcPr>
          <w:p w14:paraId="45CEC70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Wintenberger et al., 2012</w:t>
            </w:r>
          </w:p>
        </w:tc>
        <w:tc>
          <w:tcPr>
            <w:tcW w:w="1088" w:type="pct"/>
            <w:vAlign w:val="center"/>
          </w:tcPr>
          <w:p w14:paraId="28B6BB0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comparative observational cohort</w:t>
            </w:r>
          </w:p>
        </w:tc>
        <w:tc>
          <w:tcPr>
            <w:tcW w:w="404" w:type="pct"/>
            <w:vAlign w:val="center"/>
          </w:tcPr>
          <w:p w14:paraId="0531C0B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60BA85F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6EB246F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485A7E8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52B5BFD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218E568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6C9B542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1DF97DA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43C5C725" w14:textId="77777777" w:rsidTr="001D22A5">
        <w:trPr>
          <w:cantSplit/>
          <w:trHeight w:val="576"/>
          <w:jc w:val="center"/>
        </w:trPr>
        <w:tc>
          <w:tcPr>
            <w:tcW w:w="619" w:type="pct"/>
            <w:vAlign w:val="center"/>
          </w:tcPr>
          <w:p w14:paraId="2BE3425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Joo et al., 2011</w:t>
            </w:r>
          </w:p>
        </w:tc>
        <w:tc>
          <w:tcPr>
            <w:tcW w:w="1088" w:type="pct"/>
            <w:vAlign w:val="center"/>
          </w:tcPr>
          <w:p w14:paraId="4873E05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comparative cohort; review-level post-hoc ALT vs non-ALT contrast within catheter-salvage attempts</w:t>
            </w:r>
          </w:p>
        </w:tc>
        <w:tc>
          <w:tcPr>
            <w:tcW w:w="404" w:type="pct"/>
            <w:vAlign w:val="center"/>
          </w:tcPr>
          <w:p w14:paraId="207224F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critical</w:t>
            </w:r>
          </w:p>
        </w:tc>
        <w:tc>
          <w:tcPr>
            <w:tcW w:w="412" w:type="pct"/>
            <w:vAlign w:val="center"/>
          </w:tcPr>
          <w:p w14:paraId="560052B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657251E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6DBC1A4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6449D59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F93BE9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04" w:type="pct"/>
            <w:vAlign w:val="center"/>
          </w:tcPr>
          <w:p w14:paraId="6204BF8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55" w:type="pct"/>
            <w:vAlign w:val="center"/>
          </w:tcPr>
          <w:p w14:paraId="6B33F83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critical</w:t>
            </w:r>
          </w:p>
        </w:tc>
      </w:tr>
      <w:tr w:rsidR="004B7B31" w:rsidRPr="001D22A5" w14:paraId="7CD146F4" w14:textId="77777777" w:rsidTr="001D22A5">
        <w:trPr>
          <w:cantSplit/>
          <w:trHeight w:val="576"/>
          <w:jc w:val="center"/>
        </w:trPr>
        <w:tc>
          <w:tcPr>
            <w:tcW w:w="619" w:type="pct"/>
            <w:vAlign w:val="center"/>
          </w:tcPr>
          <w:p w14:paraId="1575B1C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Del Pozo et al., 2009a</w:t>
            </w:r>
          </w:p>
        </w:tc>
        <w:tc>
          <w:tcPr>
            <w:tcW w:w="1088" w:type="pct"/>
            <w:vAlign w:val="center"/>
          </w:tcPr>
          <w:p w14:paraId="5F32093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sequential comparative cohort (vancomycin vs teicoplanin lock in successive time periods)</w:t>
            </w:r>
          </w:p>
        </w:tc>
        <w:tc>
          <w:tcPr>
            <w:tcW w:w="404" w:type="pct"/>
            <w:vAlign w:val="center"/>
          </w:tcPr>
          <w:p w14:paraId="1D99633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2080311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70E704D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69B241C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692C28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73D1D8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7EA2299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2E22819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4B7B31" w:rsidRPr="001D22A5" w14:paraId="3FF9FFA3" w14:textId="77777777" w:rsidTr="001D22A5">
        <w:trPr>
          <w:cantSplit/>
          <w:trHeight w:val="576"/>
          <w:jc w:val="center"/>
        </w:trPr>
        <w:tc>
          <w:tcPr>
            <w:tcW w:w="619" w:type="pct"/>
            <w:vAlign w:val="center"/>
          </w:tcPr>
          <w:p w14:paraId="039BF01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Fortún et al., 2006</w:t>
            </w:r>
          </w:p>
        </w:tc>
        <w:tc>
          <w:tcPr>
            <w:tcW w:w="1088" w:type="pct"/>
            <w:vAlign w:val="center"/>
          </w:tcPr>
          <w:p w14:paraId="10562FC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Historical-control cohort (before-after; ALT + systemic therapy vs systemic therapy alone)</w:t>
            </w:r>
          </w:p>
        </w:tc>
        <w:tc>
          <w:tcPr>
            <w:tcW w:w="404" w:type="pct"/>
            <w:vAlign w:val="center"/>
          </w:tcPr>
          <w:p w14:paraId="55735FB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412" w:type="pct"/>
            <w:vAlign w:val="center"/>
          </w:tcPr>
          <w:p w14:paraId="462D11A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4A0B29C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294DB52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04" w:type="pct"/>
            <w:vAlign w:val="center"/>
          </w:tcPr>
          <w:p w14:paraId="252B12B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007A2B9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low</w:t>
            </w:r>
          </w:p>
        </w:tc>
        <w:tc>
          <w:tcPr>
            <w:tcW w:w="404" w:type="pct"/>
            <w:vAlign w:val="center"/>
          </w:tcPr>
          <w:p w14:paraId="69E6CDF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c>
          <w:tcPr>
            <w:tcW w:w="455" w:type="pct"/>
            <w:vAlign w:val="center"/>
          </w:tcPr>
          <w:p w14:paraId="5677761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r>
      <w:tr w:rsidR="001D22A5" w:rsidRPr="001D22A5" w14:paraId="68DA43E4" w14:textId="77777777" w:rsidTr="001D22A5">
        <w:trPr>
          <w:cantSplit/>
          <w:trHeight w:val="576"/>
          <w:jc w:val="center"/>
        </w:trPr>
        <w:tc>
          <w:tcPr>
            <w:tcW w:w="5000" w:type="pct"/>
            <w:gridSpan w:val="10"/>
            <w:vAlign w:val="center"/>
          </w:tcPr>
          <w:p w14:paraId="01BA7894" w14:textId="77777777" w:rsidR="001D22A5" w:rsidRPr="001D22A5" w:rsidRDefault="001D22A5" w:rsidP="001D22A5">
            <w:pPr>
              <w:keepNext/>
              <w:spacing w:before="120" w:after="120" w:line="276" w:lineRule="auto"/>
              <w:jc w:val="both"/>
              <w:rPr>
                <w:rFonts w:asciiTheme="majorBidi" w:hAnsiTheme="majorBidi" w:cstheme="majorBidi"/>
                <w:sz w:val="18"/>
                <w:szCs w:val="18"/>
              </w:rPr>
            </w:pPr>
            <w:r w:rsidRPr="001D22A5">
              <w:rPr>
                <w:rFonts w:asciiTheme="majorBidi" w:hAnsiTheme="majorBidi" w:cstheme="majorBidi"/>
                <w:b/>
                <w:sz w:val="18"/>
                <w:szCs w:val="18"/>
              </w:rPr>
              <w:t>Domains:</w:t>
            </w:r>
            <w:r w:rsidRPr="001D22A5">
              <w:rPr>
                <w:rFonts w:asciiTheme="majorBidi" w:hAnsiTheme="majorBidi" w:cstheme="majorBidi"/>
                <w:sz w:val="18"/>
                <w:szCs w:val="18"/>
              </w:rPr>
              <w:t xml:space="preserve"> D1 = Bias due to confounding; D2 = Bias in selection of participants into the study; D3 = Bias in classification of interventions; D4 = Bias due to deviations from intended interventions; D5 = Bias due to missing data; D6 = Bias in measurement of outcomes; D7 = Bias in selection of the reported result</w:t>
            </w:r>
          </w:p>
          <w:p w14:paraId="6FB0B345" w14:textId="31FFD302" w:rsidR="001D22A5" w:rsidRPr="001D22A5" w:rsidRDefault="001D22A5" w:rsidP="001D22A5">
            <w:pPr>
              <w:keepNext/>
              <w:spacing w:before="120" w:after="120" w:line="276" w:lineRule="auto"/>
              <w:jc w:val="both"/>
              <w:rPr>
                <w:rFonts w:asciiTheme="majorBidi" w:hAnsiTheme="majorBidi" w:cstheme="majorBidi"/>
                <w:sz w:val="22"/>
              </w:rPr>
            </w:pPr>
            <w:r w:rsidRPr="001D22A5">
              <w:rPr>
                <w:rFonts w:asciiTheme="majorBidi" w:hAnsiTheme="majorBidi" w:cstheme="majorBidi"/>
                <w:b/>
                <w:sz w:val="18"/>
                <w:szCs w:val="18"/>
              </w:rPr>
              <w:t xml:space="preserve">Note. </w:t>
            </w:r>
            <w:r w:rsidRPr="001D22A5">
              <w:rPr>
                <w:rFonts w:asciiTheme="majorBidi" w:hAnsiTheme="majorBidi" w:cstheme="majorBidi"/>
                <w:sz w:val="18"/>
                <w:szCs w:val="18"/>
              </w:rPr>
              <w:t>*For the recurrence analysis among retained PICCs in Zhang et al., 2025, D2 is serious because the analytic denominator is defined after treatment according to catheter retention.</w:t>
            </w:r>
          </w:p>
        </w:tc>
      </w:tr>
    </w:tbl>
    <w:p w14:paraId="39B4F27B" w14:textId="77777777" w:rsidR="001D22A5" w:rsidRDefault="001D22A5" w:rsidP="001D22A5">
      <w:pPr>
        <w:pStyle w:val="Heading2"/>
        <w:spacing w:before="100" w:beforeAutospacing="1" w:after="100" w:afterAutospacing="1" w:line="360" w:lineRule="auto"/>
        <w:rPr>
          <w:rFonts w:asciiTheme="majorBidi" w:hAnsiTheme="majorBidi"/>
          <w:color w:val="000000"/>
          <w:sz w:val="22"/>
          <w:szCs w:val="22"/>
        </w:rPr>
      </w:pPr>
      <w:r>
        <w:rPr>
          <w:rFonts w:asciiTheme="majorBidi" w:hAnsiTheme="majorBidi"/>
          <w:color w:val="000000"/>
          <w:sz w:val="22"/>
          <w:szCs w:val="22"/>
        </w:rPr>
        <w:br w:type="page"/>
      </w:r>
    </w:p>
    <w:p w14:paraId="54EB2B7B" w14:textId="3F9B08FF" w:rsidR="004B7B31" w:rsidRPr="001D22A5" w:rsidRDefault="00AD4E43" w:rsidP="001D22A5">
      <w:pPr>
        <w:pStyle w:val="Heading2"/>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lastRenderedPageBreak/>
        <w:t>Principal methodological concerns</w:t>
      </w:r>
    </w:p>
    <w:tbl>
      <w:tblPr>
        <w:tblStyle w:val="TableGrid"/>
        <w:tblW w:w="0" w:type="auto"/>
        <w:jc w:val="center"/>
        <w:tblLook w:val="04A0" w:firstRow="1" w:lastRow="0" w:firstColumn="1" w:lastColumn="0" w:noHBand="0" w:noVBand="1"/>
      </w:tblPr>
      <w:tblGrid>
        <w:gridCol w:w="2653"/>
        <w:gridCol w:w="2015"/>
        <w:gridCol w:w="9280"/>
      </w:tblGrid>
      <w:tr w:rsidR="004B7B31" w:rsidRPr="001D22A5" w14:paraId="63543CB4" w14:textId="77777777" w:rsidTr="001D22A5">
        <w:trPr>
          <w:cantSplit/>
          <w:trHeight w:val="576"/>
          <w:tblHeader/>
          <w:jc w:val="center"/>
        </w:trPr>
        <w:tc>
          <w:tcPr>
            <w:tcW w:w="2736" w:type="dxa"/>
            <w:vAlign w:val="center"/>
          </w:tcPr>
          <w:p w14:paraId="5CEFE5C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2088" w:type="dxa"/>
            <w:vAlign w:val="center"/>
          </w:tcPr>
          <w:p w14:paraId="7A4FB45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 risk of bias</w:t>
            </w:r>
          </w:p>
        </w:tc>
        <w:tc>
          <w:tcPr>
            <w:tcW w:w="9792" w:type="dxa"/>
            <w:vAlign w:val="center"/>
          </w:tcPr>
          <w:p w14:paraId="5EC5BF9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Principal concerns</w:t>
            </w:r>
          </w:p>
        </w:tc>
      </w:tr>
      <w:tr w:rsidR="004B7B31" w:rsidRPr="001D22A5" w14:paraId="09E9AAE9" w14:textId="77777777" w:rsidTr="001D22A5">
        <w:trPr>
          <w:cantSplit/>
          <w:trHeight w:val="576"/>
          <w:jc w:val="center"/>
        </w:trPr>
        <w:tc>
          <w:tcPr>
            <w:tcW w:w="2736" w:type="dxa"/>
            <w:vAlign w:val="center"/>
          </w:tcPr>
          <w:p w14:paraId="31A9A35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Zhang et al., 2025</w:t>
            </w:r>
          </w:p>
        </w:tc>
        <w:tc>
          <w:tcPr>
            <w:tcW w:w="2088" w:type="dxa"/>
            <w:vAlign w:val="center"/>
          </w:tcPr>
          <w:p w14:paraId="53EC84F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33B6E13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clinician-directed treatment leaves residual confounding by illness severity, pathogen, and catheter-management decisions. For recurrence among retained PICCs, the analytic denominator is conditioned on post-treatment catheter retention, creating additional selection bias.</w:t>
            </w:r>
          </w:p>
        </w:tc>
      </w:tr>
      <w:tr w:rsidR="004B7B31" w:rsidRPr="001D22A5" w14:paraId="75DB9903" w14:textId="77777777" w:rsidTr="001D22A5">
        <w:trPr>
          <w:cantSplit/>
          <w:trHeight w:val="576"/>
          <w:jc w:val="center"/>
        </w:trPr>
        <w:tc>
          <w:tcPr>
            <w:tcW w:w="2736" w:type="dxa"/>
            <w:vAlign w:val="center"/>
          </w:tcPr>
          <w:p w14:paraId="644E502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Ranganath et al., 2025</w:t>
            </w:r>
          </w:p>
        </w:tc>
        <w:tc>
          <w:tcPr>
            <w:tcW w:w="2088" w:type="dxa"/>
            <w:vAlign w:val="center"/>
          </w:tcPr>
          <w:p w14:paraId="2B66127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05DFCD8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Treatment allocation was strongly related to pathogen, infection category, catheter type, transplant status, and clinical indication. IPTW substantially improved measured balance but residual confounding by indication remains. CRBSI and catheter colonization were combined in the analytic cohort.</w:t>
            </w:r>
          </w:p>
        </w:tc>
      </w:tr>
      <w:tr w:rsidR="004B7B31" w:rsidRPr="001D22A5" w14:paraId="3309941C" w14:textId="77777777" w:rsidTr="001D22A5">
        <w:trPr>
          <w:cantSplit/>
          <w:trHeight w:val="576"/>
          <w:jc w:val="center"/>
        </w:trPr>
        <w:tc>
          <w:tcPr>
            <w:tcW w:w="2736" w:type="dxa"/>
            <w:vAlign w:val="center"/>
          </w:tcPr>
          <w:p w14:paraId="048A0F6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Ranch-Lundin et al., 2021</w:t>
            </w:r>
          </w:p>
        </w:tc>
        <w:tc>
          <w:tcPr>
            <w:tcW w:w="2088" w:type="dxa"/>
            <w:vAlign w:val="center"/>
          </w:tcPr>
          <w:p w14:paraId="3F7E0AC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61707A1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Eligibility required at least 7 days of assigned lock treatment and an available follow-up blood culture; patients with shorter treatment, missing follow-up, or a changed lock method were excluded after treatment initiation. Division-level assignment also leaves potential cluster and practice-pattern confounding.</w:t>
            </w:r>
          </w:p>
        </w:tc>
      </w:tr>
      <w:tr w:rsidR="004B7B31" w:rsidRPr="001D22A5" w14:paraId="4B4CAC90" w14:textId="77777777" w:rsidTr="001D22A5">
        <w:trPr>
          <w:cantSplit/>
          <w:trHeight w:val="576"/>
          <w:jc w:val="center"/>
        </w:trPr>
        <w:tc>
          <w:tcPr>
            <w:tcW w:w="2736" w:type="dxa"/>
            <w:vAlign w:val="center"/>
          </w:tcPr>
          <w:p w14:paraId="1183CD6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Zanwar et al., 2019</w:t>
            </w:r>
          </w:p>
        </w:tc>
        <w:tc>
          <w:tcPr>
            <w:tcW w:w="2088" w:type="dxa"/>
            <w:vAlign w:val="center"/>
          </w:tcPr>
          <w:p w14:paraId="086B394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14819C0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clinician-directed ALT use was influenced by pathogen, hemodynamic stability, vascular-access considerations, and need for catheter retention. The small single-center HSCT cohort provides no adequate adjustment for these treatment-selection factors.</w:t>
            </w:r>
          </w:p>
        </w:tc>
      </w:tr>
      <w:tr w:rsidR="004B7B31" w:rsidRPr="001D22A5" w14:paraId="304C8658" w14:textId="77777777" w:rsidTr="001D22A5">
        <w:trPr>
          <w:cantSplit/>
          <w:trHeight w:val="576"/>
          <w:jc w:val="center"/>
        </w:trPr>
        <w:tc>
          <w:tcPr>
            <w:tcW w:w="2736" w:type="dxa"/>
            <w:vAlign w:val="center"/>
          </w:tcPr>
          <w:p w14:paraId="5784E43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Freire et al., 2018</w:t>
            </w:r>
          </w:p>
        </w:tc>
        <w:tc>
          <w:tcPr>
            <w:tcW w:w="2088" w:type="dxa"/>
            <w:vAlign w:val="center"/>
          </w:tcPr>
          <w:p w14:paraId="2034960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1C6D832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The institutional protocol preferentially selected lower-risk patients and selected pathogens for ALT, creating confounding by indication in favor of ALT. Multivariable adjustment addressed measured severity and pathogen factors but cannot remove important residual confounding.</w:t>
            </w:r>
          </w:p>
        </w:tc>
      </w:tr>
      <w:tr w:rsidR="004B7B31" w:rsidRPr="001D22A5" w14:paraId="34C325AF" w14:textId="77777777" w:rsidTr="001D22A5">
        <w:trPr>
          <w:cantSplit/>
          <w:trHeight w:val="576"/>
          <w:jc w:val="center"/>
        </w:trPr>
        <w:tc>
          <w:tcPr>
            <w:tcW w:w="2736" w:type="dxa"/>
            <w:vAlign w:val="center"/>
          </w:tcPr>
          <w:p w14:paraId="02CAB36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Hachem et al., 2018</w:t>
            </w:r>
          </w:p>
        </w:tc>
        <w:tc>
          <w:tcPr>
            <w:tcW w:w="2088" w:type="dxa"/>
            <w:vAlign w:val="center"/>
          </w:tcPr>
          <w:p w14:paraId="3550B98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74E949D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The prospective intervention arm was compared with retrospectively identified matched controls; planned matching could not be fully achieved and the groups differed in cancer composition (90% vs 71%). The small sample and residual confounding limit causal inference.</w:t>
            </w:r>
          </w:p>
        </w:tc>
      </w:tr>
      <w:tr w:rsidR="004B7B31" w:rsidRPr="001D22A5" w14:paraId="580F8E34" w14:textId="77777777" w:rsidTr="001D22A5">
        <w:trPr>
          <w:cantSplit/>
          <w:trHeight w:val="576"/>
          <w:jc w:val="center"/>
        </w:trPr>
        <w:tc>
          <w:tcPr>
            <w:tcW w:w="2736" w:type="dxa"/>
            <w:vAlign w:val="center"/>
          </w:tcPr>
          <w:p w14:paraId="3D897D3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Raad et al., 2016</w:t>
            </w:r>
          </w:p>
        </w:tc>
        <w:tc>
          <w:tcPr>
            <w:tcW w:w="2088" w:type="dxa"/>
            <w:vAlign w:val="center"/>
          </w:tcPr>
          <w:p w14:paraId="5E95B49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303E109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ALT patients were compared with retrospectively identified concurrent controls. Matching was limited to malignancy type, organism, and neutropenia, and treatment remained nonrandomized; residual confounding and differences in co-interventions, including systemic-antibiotic duration, remain plausible.</w:t>
            </w:r>
          </w:p>
        </w:tc>
      </w:tr>
      <w:tr w:rsidR="004B7B31" w:rsidRPr="001D22A5" w14:paraId="5F33E77B" w14:textId="77777777" w:rsidTr="001D22A5">
        <w:trPr>
          <w:cantSplit/>
          <w:trHeight w:val="576"/>
          <w:jc w:val="center"/>
        </w:trPr>
        <w:tc>
          <w:tcPr>
            <w:tcW w:w="2736" w:type="dxa"/>
            <w:vAlign w:val="center"/>
          </w:tcPr>
          <w:p w14:paraId="67CF4BD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Vidal et al., 2016</w:t>
            </w:r>
          </w:p>
        </w:tc>
        <w:tc>
          <w:tcPr>
            <w:tcW w:w="2088" w:type="dxa"/>
            <w:vAlign w:val="center"/>
          </w:tcPr>
          <w:p w14:paraId="169C4C1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052107C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Choice between catheter removal and conservative management was closely related to clinical severity, local infection, and pathogen, producing substantial confounding by indication. Therapeutic management was heterogeneous and treatment deviations were clinically driven.</w:t>
            </w:r>
          </w:p>
        </w:tc>
      </w:tr>
      <w:tr w:rsidR="004B7B31" w:rsidRPr="001D22A5" w14:paraId="7B85B636" w14:textId="77777777" w:rsidTr="001D22A5">
        <w:trPr>
          <w:cantSplit/>
          <w:trHeight w:val="576"/>
          <w:jc w:val="center"/>
        </w:trPr>
        <w:tc>
          <w:tcPr>
            <w:tcW w:w="2736" w:type="dxa"/>
            <w:vAlign w:val="center"/>
          </w:tcPr>
          <w:p w14:paraId="65444E7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Wintenberger et al., 2012</w:t>
            </w:r>
          </w:p>
        </w:tc>
        <w:tc>
          <w:tcPr>
            <w:tcW w:w="2088" w:type="dxa"/>
            <w:vAlign w:val="center"/>
          </w:tcPr>
          <w:p w14:paraId="08843EC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5469D7B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Catheter salvage and ALT were strongly indication-driven and frequently discordant with local guidelines; systemic therapy was often suboptimal. Reference CRB diagnostic methods were not routinely used and peripheral cultures were missing in some episodes.</w:t>
            </w:r>
          </w:p>
        </w:tc>
      </w:tr>
      <w:tr w:rsidR="004B7B31" w:rsidRPr="001D22A5" w14:paraId="69C0579B" w14:textId="77777777" w:rsidTr="001D22A5">
        <w:trPr>
          <w:cantSplit/>
          <w:trHeight w:val="576"/>
          <w:jc w:val="center"/>
        </w:trPr>
        <w:tc>
          <w:tcPr>
            <w:tcW w:w="2736" w:type="dxa"/>
            <w:vAlign w:val="center"/>
          </w:tcPr>
          <w:p w14:paraId="53AC25E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Joo et al., 2011</w:t>
            </w:r>
          </w:p>
        </w:tc>
        <w:tc>
          <w:tcPr>
            <w:tcW w:w="2088" w:type="dxa"/>
            <w:vAlign w:val="center"/>
          </w:tcPr>
          <w:p w14:paraId="0E38267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Critical</w:t>
            </w:r>
          </w:p>
        </w:tc>
        <w:tc>
          <w:tcPr>
            <w:tcW w:w="9792" w:type="dxa"/>
            <w:vAlign w:val="center"/>
          </w:tcPr>
          <w:p w14:paraId="1B2807C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The ALT-versus-no-ALT contrast is a post-hoc reconstructed comparison within catheter-salvage attempts: only 11 of 38 salvage patients received ALT. Treatment was clinician-directed, with no ALT-specific baseline balance or adequate control of confounding by indication. This precludes a reliable causal ALT effect estimate.</w:t>
            </w:r>
          </w:p>
        </w:tc>
      </w:tr>
      <w:tr w:rsidR="004B7B31" w:rsidRPr="001D22A5" w14:paraId="38C5F217" w14:textId="77777777" w:rsidTr="001D22A5">
        <w:trPr>
          <w:cantSplit/>
          <w:trHeight w:val="576"/>
          <w:jc w:val="center"/>
        </w:trPr>
        <w:tc>
          <w:tcPr>
            <w:tcW w:w="2736" w:type="dxa"/>
            <w:vAlign w:val="center"/>
          </w:tcPr>
          <w:p w14:paraId="12EDB31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Del Pozo et al., 2009a</w:t>
            </w:r>
          </w:p>
        </w:tc>
        <w:tc>
          <w:tcPr>
            <w:tcW w:w="2088" w:type="dxa"/>
            <w:vAlign w:val="center"/>
          </w:tcPr>
          <w:p w14:paraId="43FD6F9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6CB00BE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Nonrandomized sequential treatment periods (vancomycin first, teicoplanin later) confound treatment with calendar time. The treatment groups differed in age, and adjustment was limited; five patients also had incomplete longer-term follow-up.</w:t>
            </w:r>
          </w:p>
        </w:tc>
      </w:tr>
      <w:tr w:rsidR="004B7B31" w:rsidRPr="001D22A5" w14:paraId="770762A6" w14:textId="77777777" w:rsidTr="001D22A5">
        <w:trPr>
          <w:cantSplit/>
          <w:trHeight w:val="576"/>
          <w:jc w:val="center"/>
        </w:trPr>
        <w:tc>
          <w:tcPr>
            <w:tcW w:w="2736" w:type="dxa"/>
            <w:vAlign w:val="center"/>
          </w:tcPr>
          <w:p w14:paraId="1CE52D5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Fortún et al., 2006</w:t>
            </w:r>
          </w:p>
        </w:tc>
        <w:tc>
          <w:tcPr>
            <w:tcW w:w="2088" w:type="dxa"/>
            <w:vAlign w:val="center"/>
          </w:tcPr>
          <w:p w14:paraId="1F09BD1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Serious</w:t>
            </w:r>
          </w:p>
        </w:tc>
        <w:tc>
          <w:tcPr>
            <w:tcW w:w="9792" w:type="dxa"/>
            <w:vAlign w:val="center"/>
          </w:tcPr>
          <w:p w14:paraId="53A8350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Historical before-after comparison creates residual confounding by calendar period despite similar eligibility and baseline characteristics. No adequate adjustment for secular changes.</w:t>
            </w:r>
          </w:p>
        </w:tc>
      </w:tr>
    </w:tbl>
    <w:p w14:paraId="473102EF" w14:textId="77777777" w:rsidR="001D22A5" w:rsidRDefault="001D22A5" w:rsidP="001D22A5">
      <w:pPr>
        <w:pStyle w:val="Heading1"/>
        <w:spacing w:before="100" w:beforeAutospacing="1" w:after="100" w:afterAutospacing="1" w:line="360" w:lineRule="auto"/>
        <w:rPr>
          <w:rFonts w:asciiTheme="majorBidi" w:hAnsiTheme="majorBidi"/>
          <w:color w:val="000000"/>
          <w:sz w:val="22"/>
          <w:szCs w:val="22"/>
        </w:rPr>
      </w:pPr>
      <w:r>
        <w:rPr>
          <w:rFonts w:asciiTheme="majorBidi" w:hAnsiTheme="majorBidi"/>
          <w:color w:val="000000"/>
          <w:sz w:val="22"/>
          <w:szCs w:val="22"/>
        </w:rPr>
        <w:br w:type="page"/>
      </w:r>
    </w:p>
    <w:p w14:paraId="716065F9" w14:textId="3494B002" w:rsidR="004B7B31" w:rsidRPr="001D22A5" w:rsidRDefault="00AD4E43" w:rsidP="001D22A5">
      <w:pPr>
        <w:pStyle w:val="Heading1"/>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lastRenderedPageBreak/>
        <w:t>3. JBI Quasi-Experimental - prospective single-arm interventional trials (n = 4)</w:t>
      </w:r>
    </w:p>
    <w:tbl>
      <w:tblPr>
        <w:tblStyle w:val="TableGrid"/>
        <w:tblW w:w="0" w:type="auto"/>
        <w:jc w:val="center"/>
        <w:tblLook w:val="04A0" w:firstRow="1" w:lastRow="0" w:firstColumn="1" w:lastColumn="0" w:noHBand="0" w:noVBand="1"/>
      </w:tblPr>
      <w:tblGrid>
        <w:gridCol w:w="2162"/>
        <w:gridCol w:w="3769"/>
        <w:gridCol w:w="677"/>
        <w:gridCol w:w="676"/>
        <w:gridCol w:w="676"/>
        <w:gridCol w:w="676"/>
        <w:gridCol w:w="676"/>
        <w:gridCol w:w="676"/>
        <w:gridCol w:w="676"/>
        <w:gridCol w:w="676"/>
        <w:gridCol w:w="676"/>
        <w:gridCol w:w="1932"/>
      </w:tblGrid>
      <w:tr w:rsidR="004B7B31" w:rsidRPr="001D22A5" w14:paraId="1F90C3A6" w14:textId="77777777" w:rsidTr="001D22A5">
        <w:trPr>
          <w:cantSplit/>
          <w:trHeight w:val="576"/>
          <w:tblHeader/>
          <w:jc w:val="center"/>
        </w:trPr>
        <w:tc>
          <w:tcPr>
            <w:tcW w:w="2232" w:type="dxa"/>
            <w:vAlign w:val="center"/>
          </w:tcPr>
          <w:p w14:paraId="1A35026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3960" w:type="dxa"/>
            <w:vAlign w:val="center"/>
          </w:tcPr>
          <w:p w14:paraId="7EAA40D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Design</w:t>
            </w:r>
          </w:p>
        </w:tc>
        <w:tc>
          <w:tcPr>
            <w:tcW w:w="691" w:type="dxa"/>
            <w:vAlign w:val="center"/>
          </w:tcPr>
          <w:p w14:paraId="6486A25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Q1</w:t>
            </w:r>
          </w:p>
        </w:tc>
        <w:tc>
          <w:tcPr>
            <w:tcW w:w="691" w:type="dxa"/>
            <w:vAlign w:val="center"/>
          </w:tcPr>
          <w:p w14:paraId="1C0ED7D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Q2</w:t>
            </w:r>
          </w:p>
        </w:tc>
        <w:tc>
          <w:tcPr>
            <w:tcW w:w="691" w:type="dxa"/>
            <w:vAlign w:val="center"/>
          </w:tcPr>
          <w:p w14:paraId="007A629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Q3</w:t>
            </w:r>
          </w:p>
        </w:tc>
        <w:tc>
          <w:tcPr>
            <w:tcW w:w="691" w:type="dxa"/>
            <w:vAlign w:val="center"/>
          </w:tcPr>
          <w:p w14:paraId="72240EE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Q4</w:t>
            </w:r>
          </w:p>
        </w:tc>
        <w:tc>
          <w:tcPr>
            <w:tcW w:w="691" w:type="dxa"/>
            <w:vAlign w:val="center"/>
          </w:tcPr>
          <w:p w14:paraId="6C5C463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Q5</w:t>
            </w:r>
          </w:p>
        </w:tc>
        <w:tc>
          <w:tcPr>
            <w:tcW w:w="691" w:type="dxa"/>
            <w:vAlign w:val="center"/>
          </w:tcPr>
          <w:p w14:paraId="2AFE043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Q6</w:t>
            </w:r>
          </w:p>
        </w:tc>
        <w:tc>
          <w:tcPr>
            <w:tcW w:w="691" w:type="dxa"/>
            <w:vAlign w:val="center"/>
          </w:tcPr>
          <w:p w14:paraId="6DF3BAC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Q7</w:t>
            </w:r>
          </w:p>
        </w:tc>
        <w:tc>
          <w:tcPr>
            <w:tcW w:w="691" w:type="dxa"/>
            <w:vAlign w:val="center"/>
          </w:tcPr>
          <w:p w14:paraId="3A50F1C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Q8</w:t>
            </w:r>
          </w:p>
        </w:tc>
        <w:tc>
          <w:tcPr>
            <w:tcW w:w="691" w:type="dxa"/>
            <w:vAlign w:val="center"/>
          </w:tcPr>
          <w:p w14:paraId="4E5853C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Q9</w:t>
            </w:r>
          </w:p>
        </w:tc>
        <w:tc>
          <w:tcPr>
            <w:tcW w:w="2015" w:type="dxa"/>
            <w:vAlign w:val="center"/>
          </w:tcPr>
          <w:p w14:paraId="2D93F0F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w:t>
            </w:r>
          </w:p>
        </w:tc>
      </w:tr>
      <w:tr w:rsidR="004B7B31" w:rsidRPr="001D22A5" w14:paraId="7517F487" w14:textId="77777777" w:rsidTr="001D22A5">
        <w:trPr>
          <w:cantSplit/>
          <w:trHeight w:val="576"/>
          <w:jc w:val="center"/>
        </w:trPr>
        <w:tc>
          <w:tcPr>
            <w:tcW w:w="2232" w:type="dxa"/>
            <w:vAlign w:val="center"/>
          </w:tcPr>
          <w:p w14:paraId="0FAE717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Lebeaux et al., 2025</w:t>
            </w:r>
          </w:p>
        </w:tc>
        <w:tc>
          <w:tcPr>
            <w:tcW w:w="3960" w:type="dxa"/>
            <w:vAlign w:val="center"/>
          </w:tcPr>
          <w:p w14:paraId="324320D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multicentre phase I/II, non-randomized, non-comparative pilot intervention</w:t>
            </w:r>
          </w:p>
        </w:tc>
        <w:tc>
          <w:tcPr>
            <w:tcW w:w="691" w:type="dxa"/>
            <w:vAlign w:val="center"/>
          </w:tcPr>
          <w:p w14:paraId="544EDC2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7061738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659AD3D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7FBCF2D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0EBCC38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7AA5C61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44AE4FF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6E3E229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60C1408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015" w:type="dxa"/>
            <w:vAlign w:val="center"/>
          </w:tcPr>
          <w:p w14:paraId="70D6A22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61ECE118" w14:textId="77777777" w:rsidTr="001D22A5">
        <w:trPr>
          <w:cantSplit/>
          <w:trHeight w:val="576"/>
          <w:jc w:val="center"/>
        </w:trPr>
        <w:tc>
          <w:tcPr>
            <w:tcW w:w="2232" w:type="dxa"/>
            <w:vAlign w:val="center"/>
          </w:tcPr>
          <w:p w14:paraId="330CE62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Broom et al., 2008</w:t>
            </w:r>
          </w:p>
        </w:tc>
        <w:tc>
          <w:tcPr>
            <w:tcW w:w="3960" w:type="dxa"/>
            <w:vAlign w:val="center"/>
          </w:tcPr>
          <w:p w14:paraId="10E5B9B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multicentre single-arm pilot intervention</w:t>
            </w:r>
          </w:p>
        </w:tc>
        <w:tc>
          <w:tcPr>
            <w:tcW w:w="691" w:type="dxa"/>
            <w:vAlign w:val="center"/>
          </w:tcPr>
          <w:p w14:paraId="5813462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76770C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5022A04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5B6BC91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510E568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2E19D3A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2FD995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49441FF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558B71B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015" w:type="dxa"/>
            <w:vAlign w:val="center"/>
          </w:tcPr>
          <w:p w14:paraId="619666A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3C250DF0" w14:textId="77777777" w:rsidTr="001D22A5">
        <w:trPr>
          <w:cantSplit/>
          <w:trHeight w:val="576"/>
          <w:jc w:val="center"/>
        </w:trPr>
        <w:tc>
          <w:tcPr>
            <w:tcW w:w="2232" w:type="dxa"/>
            <w:vAlign w:val="center"/>
          </w:tcPr>
          <w:p w14:paraId="57843A0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Koldehoff &amp; Zakrzewski, 2004</w:t>
            </w:r>
          </w:p>
        </w:tc>
        <w:tc>
          <w:tcPr>
            <w:tcW w:w="3960" w:type="dxa"/>
            <w:vAlign w:val="center"/>
          </w:tcPr>
          <w:p w14:paraId="06B3C08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single-centre, open, non-randomized pilot intervention</w:t>
            </w:r>
          </w:p>
        </w:tc>
        <w:tc>
          <w:tcPr>
            <w:tcW w:w="691" w:type="dxa"/>
            <w:vAlign w:val="center"/>
          </w:tcPr>
          <w:p w14:paraId="38ED5FD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0582BDC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03B7731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2FC7974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1703F2D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0D87C66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91" w:type="dxa"/>
            <w:vAlign w:val="center"/>
          </w:tcPr>
          <w:p w14:paraId="2CD2010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91" w:type="dxa"/>
            <w:vAlign w:val="center"/>
          </w:tcPr>
          <w:p w14:paraId="0F7F481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20FC365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015" w:type="dxa"/>
            <w:vAlign w:val="center"/>
          </w:tcPr>
          <w:p w14:paraId="06BDD87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r>
      <w:tr w:rsidR="004B7B31" w:rsidRPr="001D22A5" w14:paraId="35E60B24" w14:textId="77777777" w:rsidTr="001D22A5">
        <w:trPr>
          <w:cantSplit/>
          <w:trHeight w:val="576"/>
          <w:jc w:val="center"/>
        </w:trPr>
        <w:tc>
          <w:tcPr>
            <w:tcW w:w="2232" w:type="dxa"/>
            <w:vAlign w:val="center"/>
          </w:tcPr>
          <w:p w14:paraId="7494947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Viale et al., 2003</w:t>
            </w:r>
          </w:p>
        </w:tc>
        <w:tc>
          <w:tcPr>
            <w:tcW w:w="3960" w:type="dxa"/>
            <w:vAlign w:val="center"/>
          </w:tcPr>
          <w:p w14:paraId="030F8E3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multicentre, open, uncontrolled interventional pilot study</w:t>
            </w:r>
          </w:p>
        </w:tc>
        <w:tc>
          <w:tcPr>
            <w:tcW w:w="691" w:type="dxa"/>
            <w:vAlign w:val="center"/>
          </w:tcPr>
          <w:p w14:paraId="06D0964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0B20D1C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91" w:type="dxa"/>
            <w:vAlign w:val="center"/>
          </w:tcPr>
          <w:p w14:paraId="051D409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4E43A1F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13AA8EF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91" w:type="dxa"/>
            <w:vAlign w:val="center"/>
          </w:tcPr>
          <w:p w14:paraId="113B746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30ED184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12C9A14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91" w:type="dxa"/>
            <w:vAlign w:val="center"/>
          </w:tcPr>
          <w:p w14:paraId="5C3DFFA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015" w:type="dxa"/>
            <w:vAlign w:val="center"/>
          </w:tcPr>
          <w:p w14:paraId="5186A7F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r>
    </w:tbl>
    <w:p w14:paraId="55463334" w14:textId="77777777" w:rsidR="004440E4" w:rsidRPr="001D22A5" w:rsidRDefault="00E02BAE" w:rsidP="001D22A5">
      <w:pPr>
        <w:keepNext/>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sz w:val="22"/>
        </w:rPr>
        <w:t>JBI response codes:</w:t>
      </w:r>
      <w:r w:rsidRPr="001D22A5">
        <w:rPr>
          <w:rFonts w:asciiTheme="majorBidi" w:hAnsiTheme="majorBidi" w:cstheme="majorBidi"/>
          <w:sz w:val="22"/>
        </w:rPr>
        <w:t xml:space="preserve"> Y = Yes; N = No; U = Unclear; Y* = Yes, with methodological concerns.</w:t>
      </w:r>
    </w:p>
    <w:p w14:paraId="0127248A" w14:textId="77777777" w:rsidR="004B7B31" w:rsidRPr="001D22A5" w:rsidRDefault="00AD4E43" w:rsidP="001D22A5">
      <w:pPr>
        <w:keepNext/>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sz w:val="22"/>
        </w:rPr>
        <w:t>Items:</w:t>
      </w:r>
      <w:r w:rsidRPr="001D22A5">
        <w:rPr>
          <w:rFonts w:asciiTheme="majorBidi" w:hAnsiTheme="majorBidi" w:cstheme="majorBidi"/>
          <w:sz w:val="22"/>
        </w:rPr>
        <w:t xml:space="preserve"> Q1 = Is it clear what is the cause and what is the effect?; Q2 = Were participants included in any comparisons similar?; Q3 = Were participants included in any comparisons receiving similar treatment/care, other than the intervention of interest?; Q4 = Was there a control group?; Q5 = Were there multiple measurements of the outcome both pre and post the intervention?; Q6 = Was follow-up complete and, if not, was incomplete follow-up adequately described and analyzed?; Q7 = Were outcomes of participants included in any comparisons measured in the same way?; Q8 = Were outcomes measured in a reliable way?; Q9 = Was appropriate statistical analysis used?</w:t>
      </w:r>
    </w:p>
    <w:p w14:paraId="55B18305" w14:textId="77777777" w:rsidR="004B7B31" w:rsidRPr="001D22A5" w:rsidRDefault="00AD4E43" w:rsidP="001D22A5">
      <w:pPr>
        <w:pStyle w:val="Heading2"/>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t>Principal methodological concerns</w:t>
      </w:r>
    </w:p>
    <w:tbl>
      <w:tblPr>
        <w:tblStyle w:val="TableGrid"/>
        <w:tblW w:w="0" w:type="auto"/>
        <w:jc w:val="center"/>
        <w:tblLook w:val="04A0" w:firstRow="1" w:lastRow="0" w:firstColumn="1" w:lastColumn="0" w:noHBand="0" w:noVBand="1"/>
      </w:tblPr>
      <w:tblGrid>
        <w:gridCol w:w="2806"/>
        <w:gridCol w:w="2395"/>
        <w:gridCol w:w="8747"/>
      </w:tblGrid>
      <w:tr w:rsidR="004B7B31" w:rsidRPr="001D22A5" w14:paraId="2892F761" w14:textId="77777777">
        <w:trPr>
          <w:cantSplit/>
          <w:tblHeader/>
          <w:jc w:val="center"/>
        </w:trPr>
        <w:tc>
          <w:tcPr>
            <w:tcW w:w="2951" w:type="dxa"/>
            <w:vAlign w:val="center"/>
          </w:tcPr>
          <w:p w14:paraId="15FC3C3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2520" w:type="dxa"/>
            <w:vAlign w:val="center"/>
          </w:tcPr>
          <w:p w14:paraId="089E264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 appraisal</w:t>
            </w:r>
          </w:p>
        </w:tc>
        <w:tc>
          <w:tcPr>
            <w:tcW w:w="9432" w:type="dxa"/>
            <w:vAlign w:val="center"/>
          </w:tcPr>
          <w:p w14:paraId="362E482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Principal concerns</w:t>
            </w:r>
          </w:p>
        </w:tc>
      </w:tr>
      <w:tr w:rsidR="004B7B31" w:rsidRPr="001D22A5" w14:paraId="6D78E0F9" w14:textId="77777777">
        <w:trPr>
          <w:cantSplit/>
          <w:jc w:val="center"/>
        </w:trPr>
        <w:tc>
          <w:tcPr>
            <w:tcW w:w="2951" w:type="dxa"/>
            <w:vAlign w:val="center"/>
          </w:tcPr>
          <w:p w14:paraId="29291DB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Lebeaux et al., 2025</w:t>
            </w:r>
          </w:p>
        </w:tc>
        <w:tc>
          <w:tcPr>
            <w:tcW w:w="2520" w:type="dxa"/>
            <w:vAlign w:val="center"/>
          </w:tcPr>
          <w:p w14:paraId="2965579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432" w:type="dxa"/>
            <w:vAlign w:val="center"/>
          </w:tcPr>
          <w:p w14:paraId="2FDDDD2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control group; only 8 of 35 planned patients were enrolled and recruitment stopped early; systemic antimicrobial selection remained physician-directed; one patient lacked the prespecified D40/D100 follow-up; precision was very limited.</w:t>
            </w:r>
          </w:p>
        </w:tc>
      </w:tr>
      <w:tr w:rsidR="004B7B31" w:rsidRPr="001D22A5" w14:paraId="0DD64437" w14:textId="77777777">
        <w:trPr>
          <w:cantSplit/>
          <w:jc w:val="center"/>
        </w:trPr>
        <w:tc>
          <w:tcPr>
            <w:tcW w:w="2951" w:type="dxa"/>
            <w:vAlign w:val="center"/>
          </w:tcPr>
          <w:p w14:paraId="515BB42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Broom et al., 2008</w:t>
            </w:r>
          </w:p>
        </w:tc>
        <w:tc>
          <w:tcPr>
            <w:tcW w:w="2520" w:type="dxa"/>
            <w:vAlign w:val="center"/>
          </w:tcPr>
          <w:p w14:paraId="461C2F2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432" w:type="dxa"/>
            <w:vAlign w:val="center"/>
          </w:tcPr>
          <w:p w14:paraId="4249372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control group; systemic antibiotics were given concurrently; 2/19 patients did not complete the lock course; primary efficacy was reported mainly among 17 completers; later blood-culture surveillance was clinically driven; no formal statistical analysis.</w:t>
            </w:r>
          </w:p>
        </w:tc>
      </w:tr>
      <w:tr w:rsidR="004B7B31" w:rsidRPr="001D22A5" w14:paraId="7586F1D5" w14:textId="77777777">
        <w:trPr>
          <w:cantSplit/>
          <w:jc w:val="center"/>
        </w:trPr>
        <w:tc>
          <w:tcPr>
            <w:tcW w:w="2951" w:type="dxa"/>
            <w:vAlign w:val="center"/>
          </w:tcPr>
          <w:p w14:paraId="7003B26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Koldehoff &amp; Zakrzewski, 2004</w:t>
            </w:r>
          </w:p>
        </w:tc>
        <w:tc>
          <w:tcPr>
            <w:tcW w:w="2520" w:type="dxa"/>
            <w:vAlign w:val="center"/>
          </w:tcPr>
          <w:p w14:paraId="58E094C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432" w:type="dxa"/>
            <w:vAlign w:val="center"/>
          </w:tcPr>
          <w:p w14:paraId="3AB965E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control group; all patients continued susceptibility-directed systemic antibiotics; taurolidine exposure varied from one to three applications; microbiological confirmation was incomplete in some cases; long-term follow-up was not standardized; no formal statistical analysis.</w:t>
            </w:r>
          </w:p>
        </w:tc>
      </w:tr>
      <w:tr w:rsidR="004B7B31" w:rsidRPr="001D22A5" w14:paraId="12106380" w14:textId="77777777">
        <w:trPr>
          <w:cantSplit/>
          <w:jc w:val="center"/>
        </w:trPr>
        <w:tc>
          <w:tcPr>
            <w:tcW w:w="2951" w:type="dxa"/>
            <w:vAlign w:val="center"/>
          </w:tcPr>
          <w:p w14:paraId="54F86AF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Viale et al., 2003</w:t>
            </w:r>
          </w:p>
        </w:tc>
        <w:tc>
          <w:tcPr>
            <w:tcW w:w="2520" w:type="dxa"/>
            <w:vAlign w:val="center"/>
          </w:tcPr>
          <w:p w14:paraId="592B956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432" w:type="dxa"/>
            <w:vAlign w:val="center"/>
          </w:tcPr>
          <w:p w14:paraId="780FD2A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independent control; clinician-selected continuation of systemic therapy; no structured multiple pre-intervention outcome measurements; no formal statistical comparison; heterogeneous population. The ALT-alone vs ALT+systemic comparison is non-randomized and not a valid causal comparison.</w:t>
            </w:r>
          </w:p>
        </w:tc>
      </w:tr>
    </w:tbl>
    <w:p w14:paraId="19C5E677" w14:textId="77777777" w:rsidR="004B7B31" w:rsidRPr="001D22A5" w:rsidRDefault="00AD4E43" w:rsidP="001D22A5">
      <w:pPr>
        <w:pStyle w:val="Heading1"/>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t>4. JBI Case Series - uncontrolled observational studies/case series (n = 19)</w:t>
      </w:r>
    </w:p>
    <w:tbl>
      <w:tblPr>
        <w:tblStyle w:val="TableGrid"/>
        <w:tblW w:w="0" w:type="auto"/>
        <w:jc w:val="center"/>
        <w:tblLook w:val="04A0" w:firstRow="1" w:lastRow="0" w:firstColumn="1" w:lastColumn="0" w:noHBand="0" w:noVBand="1"/>
      </w:tblPr>
      <w:tblGrid>
        <w:gridCol w:w="2392"/>
        <w:gridCol w:w="3154"/>
        <w:gridCol w:w="591"/>
        <w:gridCol w:w="591"/>
        <w:gridCol w:w="591"/>
        <w:gridCol w:w="591"/>
        <w:gridCol w:w="591"/>
        <w:gridCol w:w="591"/>
        <w:gridCol w:w="591"/>
        <w:gridCol w:w="591"/>
        <w:gridCol w:w="591"/>
        <w:gridCol w:w="608"/>
        <w:gridCol w:w="2475"/>
      </w:tblGrid>
      <w:tr w:rsidR="004B7B31" w:rsidRPr="001D22A5" w14:paraId="715DEE8B" w14:textId="77777777" w:rsidTr="001D22A5">
        <w:trPr>
          <w:cantSplit/>
          <w:tblHeader/>
          <w:jc w:val="center"/>
        </w:trPr>
        <w:tc>
          <w:tcPr>
            <w:tcW w:w="2520" w:type="dxa"/>
            <w:vAlign w:val="center"/>
          </w:tcPr>
          <w:p w14:paraId="5827293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3384" w:type="dxa"/>
            <w:vAlign w:val="center"/>
          </w:tcPr>
          <w:p w14:paraId="7164EF7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Design</w:t>
            </w:r>
          </w:p>
        </w:tc>
        <w:tc>
          <w:tcPr>
            <w:tcW w:w="604" w:type="dxa"/>
            <w:vAlign w:val="center"/>
          </w:tcPr>
          <w:p w14:paraId="48442CF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Q1</w:t>
            </w:r>
          </w:p>
        </w:tc>
        <w:tc>
          <w:tcPr>
            <w:tcW w:w="604" w:type="dxa"/>
            <w:vAlign w:val="center"/>
          </w:tcPr>
          <w:p w14:paraId="7A7E773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Q2</w:t>
            </w:r>
          </w:p>
        </w:tc>
        <w:tc>
          <w:tcPr>
            <w:tcW w:w="604" w:type="dxa"/>
            <w:vAlign w:val="center"/>
          </w:tcPr>
          <w:p w14:paraId="60B0779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Q3</w:t>
            </w:r>
          </w:p>
        </w:tc>
        <w:tc>
          <w:tcPr>
            <w:tcW w:w="604" w:type="dxa"/>
            <w:vAlign w:val="center"/>
          </w:tcPr>
          <w:p w14:paraId="6CE9749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Q4</w:t>
            </w:r>
          </w:p>
        </w:tc>
        <w:tc>
          <w:tcPr>
            <w:tcW w:w="604" w:type="dxa"/>
            <w:vAlign w:val="center"/>
          </w:tcPr>
          <w:p w14:paraId="532B75D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Q5</w:t>
            </w:r>
          </w:p>
        </w:tc>
        <w:tc>
          <w:tcPr>
            <w:tcW w:w="604" w:type="dxa"/>
            <w:vAlign w:val="center"/>
          </w:tcPr>
          <w:p w14:paraId="4553913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Q6</w:t>
            </w:r>
          </w:p>
        </w:tc>
        <w:tc>
          <w:tcPr>
            <w:tcW w:w="604" w:type="dxa"/>
            <w:vAlign w:val="center"/>
          </w:tcPr>
          <w:p w14:paraId="31F5DC7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Q7</w:t>
            </w:r>
          </w:p>
        </w:tc>
        <w:tc>
          <w:tcPr>
            <w:tcW w:w="604" w:type="dxa"/>
            <w:vAlign w:val="center"/>
          </w:tcPr>
          <w:p w14:paraId="4017AF0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Q8</w:t>
            </w:r>
          </w:p>
        </w:tc>
        <w:tc>
          <w:tcPr>
            <w:tcW w:w="604" w:type="dxa"/>
            <w:vAlign w:val="center"/>
          </w:tcPr>
          <w:p w14:paraId="67A170C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Q9</w:t>
            </w:r>
          </w:p>
        </w:tc>
        <w:tc>
          <w:tcPr>
            <w:tcW w:w="604" w:type="dxa"/>
            <w:vAlign w:val="center"/>
          </w:tcPr>
          <w:p w14:paraId="37719EE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Q10</w:t>
            </w:r>
          </w:p>
        </w:tc>
        <w:tc>
          <w:tcPr>
            <w:tcW w:w="2664" w:type="dxa"/>
            <w:vAlign w:val="center"/>
          </w:tcPr>
          <w:p w14:paraId="1CEAA8E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w:t>
            </w:r>
          </w:p>
        </w:tc>
      </w:tr>
      <w:tr w:rsidR="004B7B31" w:rsidRPr="001D22A5" w14:paraId="24141875" w14:textId="77777777" w:rsidTr="001D22A5">
        <w:trPr>
          <w:cantSplit/>
          <w:jc w:val="center"/>
        </w:trPr>
        <w:tc>
          <w:tcPr>
            <w:tcW w:w="2520" w:type="dxa"/>
            <w:vAlign w:val="center"/>
          </w:tcPr>
          <w:p w14:paraId="3B9541C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Bayoudh et al., 2024</w:t>
            </w:r>
          </w:p>
        </w:tc>
        <w:tc>
          <w:tcPr>
            <w:tcW w:w="3384" w:type="dxa"/>
            <w:vAlign w:val="center"/>
          </w:tcPr>
          <w:p w14:paraId="6809761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case series; 24 VAD-BSI episodes in 23 alloHCT patients</w:t>
            </w:r>
          </w:p>
        </w:tc>
        <w:tc>
          <w:tcPr>
            <w:tcW w:w="604" w:type="dxa"/>
            <w:vAlign w:val="center"/>
          </w:tcPr>
          <w:p w14:paraId="4E04216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F8340F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96032E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3A8E76D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0672715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F73293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001F50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623098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930778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3662B7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319E61A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Moderate-to-good</w:t>
            </w:r>
          </w:p>
        </w:tc>
      </w:tr>
      <w:tr w:rsidR="004B7B31" w:rsidRPr="001D22A5" w14:paraId="233630F0" w14:textId="77777777" w:rsidTr="001D22A5">
        <w:trPr>
          <w:cantSplit/>
          <w:jc w:val="center"/>
        </w:trPr>
        <w:tc>
          <w:tcPr>
            <w:tcW w:w="2520" w:type="dxa"/>
            <w:vAlign w:val="center"/>
          </w:tcPr>
          <w:p w14:paraId="31FB187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Vassallo et al., 2024</w:t>
            </w:r>
          </w:p>
        </w:tc>
        <w:tc>
          <w:tcPr>
            <w:tcW w:w="3384" w:type="dxa"/>
            <w:vAlign w:val="center"/>
          </w:tcPr>
          <w:p w14:paraId="08E696E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multicentre uncontrolled case series; 22 patients</w:t>
            </w:r>
          </w:p>
        </w:tc>
        <w:tc>
          <w:tcPr>
            <w:tcW w:w="604" w:type="dxa"/>
            <w:vAlign w:val="center"/>
          </w:tcPr>
          <w:p w14:paraId="1136DCB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0BDAA4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739305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7FF6FD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5D71627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61DBD7A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9ED331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BCE5BF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6A9EAD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FA22B9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6B6F2DA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1B0A28A8" w14:textId="77777777" w:rsidTr="001D22A5">
        <w:trPr>
          <w:cantSplit/>
          <w:jc w:val="center"/>
        </w:trPr>
        <w:tc>
          <w:tcPr>
            <w:tcW w:w="2520" w:type="dxa"/>
            <w:vAlign w:val="center"/>
          </w:tcPr>
          <w:p w14:paraId="71002A8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Lafaurie et al., 2023</w:t>
            </w:r>
          </w:p>
        </w:tc>
        <w:tc>
          <w:tcPr>
            <w:tcW w:w="3384" w:type="dxa"/>
            <w:vAlign w:val="center"/>
          </w:tcPr>
          <w:p w14:paraId="2E6D220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multicentre observational single-arm case series; 100 cancer patients</w:t>
            </w:r>
          </w:p>
        </w:tc>
        <w:tc>
          <w:tcPr>
            <w:tcW w:w="604" w:type="dxa"/>
            <w:vAlign w:val="center"/>
          </w:tcPr>
          <w:p w14:paraId="2BBEAF5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D58BBA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023A77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2DD84F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742925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FF48CD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3CCC6C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1F2F86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12FF95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87D060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2F5CED5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High</w:t>
            </w:r>
          </w:p>
        </w:tc>
      </w:tr>
      <w:tr w:rsidR="004B7B31" w:rsidRPr="001D22A5" w14:paraId="256F9EDC" w14:textId="77777777" w:rsidTr="001D22A5">
        <w:trPr>
          <w:cantSplit/>
          <w:jc w:val="center"/>
        </w:trPr>
        <w:tc>
          <w:tcPr>
            <w:tcW w:w="2520" w:type="dxa"/>
            <w:vAlign w:val="center"/>
          </w:tcPr>
          <w:p w14:paraId="6FC666C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Brescia et al., 2023</w:t>
            </w:r>
          </w:p>
        </w:tc>
        <w:tc>
          <w:tcPr>
            <w:tcW w:w="3384" w:type="dxa"/>
            <w:vAlign w:val="center"/>
          </w:tcPr>
          <w:p w14:paraId="2961F7E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case series; 26 patients, including 24 CRBSI and 2 catheter-colonization cases</w:t>
            </w:r>
          </w:p>
        </w:tc>
        <w:tc>
          <w:tcPr>
            <w:tcW w:w="604" w:type="dxa"/>
            <w:vAlign w:val="center"/>
          </w:tcPr>
          <w:p w14:paraId="2E6F118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600815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C6EFF3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9427AC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66D50A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ABB01A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33A993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A13B18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08DB7B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7CE098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76513BC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4F5097B1" w14:textId="77777777" w:rsidTr="001D22A5">
        <w:trPr>
          <w:cantSplit/>
          <w:jc w:val="center"/>
        </w:trPr>
        <w:tc>
          <w:tcPr>
            <w:tcW w:w="2520" w:type="dxa"/>
            <w:vAlign w:val="center"/>
          </w:tcPr>
          <w:p w14:paraId="462E15B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Krümpelmann et al., 2021</w:t>
            </w:r>
          </w:p>
        </w:tc>
        <w:tc>
          <w:tcPr>
            <w:tcW w:w="3384" w:type="dxa"/>
            <w:vAlign w:val="center"/>
          </w:tcPr>
          <w:p w14:paraId="7105003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two-centre cohort with nested uncontrolled treatment series; 56 patients</w:t>
            </w:r>
          </w:p>
        </w:tc>
        <w:tc>
          <w:tcPr>
            <w:tcW w:w="604" w:type="dxa"/>
            <w:vAlign w:val="center"/>
          </w:tcPr>
          <w:p w14:paraId="67E6819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1076E6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6524383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98E8AE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C7374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44419A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39A18C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9B4773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B4E16F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DD35B4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664" w:type="dxa"/>
            <w:vAlign w:val="center"/>
          </w:tcPr>
          <w:p w14:paraId="00621F1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major caution</w:t>
            </w:r>
          </w:p>
        </w:tc>
      </w:tr>
      <w:tr w:rsidR="004B7B31" w:rsidRPr="001D22A5" w14:paraId="0E416528" w14:textId="77777777" w:rsidTr="001D22A5">
        <w:trPr>
          <w:cantSplit/>
          <w:jc w:val="center"/>
        </w:trPr>
        <w:tc>
          <w:tcPr>
            <w:tcW w:w="2520" w:type="dxa"/>
            <w:vAlign w:val="center"/>
          </w:tcPr>
          <w:p w14:paraId="61D83A5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Alonso et al., 2020</w:t>
            </w:r>
          </w:p>
        </w:tc>
        <w:tc>
          <w:tcPr>
            <w:tcW w:w="3384" w:type="dxa"/>
            <w:vAlign w:val="center"/>
          </w:tcPr>
          <w:p w14:paraId="3F42158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case series; 76 staphylococcal CRBSI episodes</w:t>
            </w:r>
          </w:p>
        </w:tc>
        <w:tc>
          <w:tcPr>
            <w:tcW w:w="604" w:type="dxa"/>
            <w:vAlign w:val="center"/>
          </w:tcPr>
          <w:p w14:paraId="6541EA8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2CCE7C1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87AF8F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0ADCC3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567FFB1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06D0D30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43BE74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923F8F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413E13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9B3FCF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28FD08A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3859CECC" w14:textId="77777777" w:rsidTr="001D22A5">
        <w:trPr>
          <w:cantSplit/>
          <w:jc w:val="center"/>
        </w:trPr>
        <w:tc>
          <w:tcPr>
            <w:tcW w:w="2520" w:type="dxa"/>
            <w:vAlign w:val="center"/>
          </w:tcPr>
          <w:p w14:paraId="7DD2606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Ahmad et al., 2019</w:t>
            </w:r>
          </w:p>
        </w:tc>
        <w:tc>
          <w:tcPr>
            <w:tcW w:w="3384" w:type="dxa"/>
            <w:vAlign w:val="center"/>
          </w:tcPr>
          <w:p w14:paraId="0AC879E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case series; 71 patients</w:t>
            </w:r>
          </w:p>
        </w:tc>
        <w:tc>
          <w:tcPr>
            <w:tcW w:w="604" w:type="dxa"/>
            <w:vAlign w:val="center"/>
          </w:tcPr>
          <w:p w14:paraId="47FA495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7DCA36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675E94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4484405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0A4E56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101892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2F80DE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13A950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F73671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94780E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3728EEB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Moderate-to-good</w:t>
            </w:r>
          </w:p>
        </w:tc>
      </w:tr>
      <w:tr w:rsidR="004B7B31" w:rsidRPr="001D22A5" w14:paraId="717E41D7" w14:textId="77777777" w:rsidTr="001D22A5">
        <w:trPr>
          <w:cantSplit/>
          <w:jc w:val="center"/>
        </w:trPr>
        <w:tc>
          <w:tcPr>
            <w:tcW w:w="2520" w:type="dxa"/>
            <w:vAlign w:val="center"/>
          </w:tcPr>
          <w:p w14:paraId="685F416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Vassallo et al., 2017</w:t>
            </w:r>
          </w:p>
        </w:tc>
        <w:tc>
          <w:tcPr>
            <w:tcW w:w="3384" w:type="dxa"/>
            <w:vAlign w:val="center"/>
          </w:tcPr>
          <w:p w14:paraId="295DB9D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case series; 21 episodes in 20 patients</w:t>
            </w:r>
          </w:p>
        </w:tc>
        <w:tc>
          <w:tcPr>
            <w:tcW w:w="604" w:type="dxa"/>
            <w:vAlign w:val="center"/>
          </w:tcPr>
          <w:p w14:paraId="0BAFD67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73C22BE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7B1C078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7D58A29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4C63A7F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262FB8D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FD2476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10AF31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C1CB90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4F3558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664" w:type="dxa"/>
            <w:vAlign w:val="center"/>
          </w:tcPr>
          <w:p w14:paraId="2624EBF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major caution</w:t>
            </w:r>
          </w:p>
        </w:tc>
      </w:tr>
      <w:tr w:rsidR="004B7B31" w:rsidRPr="001D22A5" w14:paraId="755E34FB" w14:textId="77777777" w:rsidTr="001D22A5">
        <w:trPr>
          <w:cantSplit/>
          <w:jc w:val="center"/>
        </w:trPr>
        <w:tc>
          <w:tcPr>
            <w:tcW w:w="2520" w:type="dxa"/>
            <w:vAlign w:val="center"/>
          </w:tcPr>
          <w:p w14:paraId="13B0DBC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Santarpia et al., 2016</w:t>
            </w:r>
          </w:p>
        </w:tc>
        <w:tc>
          <w:tcPr>
            <w:tcW w:w="3384" w:type="dxa"/>
            <w:vAlign w:val="center"/>
          </w:tcPr>
          <w:p w14:paraId="02EB3E5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cohort with nested uncontrolled treatment series; 33 CRBSI episodes</w:t>
            </w:r>
          </w:p>
        </w:tc>
        <w:tc>
          <w:tcPr>
            <w:tcW w:w="604" w:type="dxa"/>
            <w:vAlign w:val="center"/>
          </w:tcPr>
          <w:p w14:paraId="15C2CD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D4D797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039FE2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BD73CD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B45B97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CE87D9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2E26093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043BEE8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0A3A745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F8D98B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664" w:type="dxa"/>
            <w:vAlign w:val="center"/>
          </w:tcPr>
          <w:p w14:paraId="7627F13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major caution</w:t>
            </w:r>
          </w:p>
        </w:tc>
      </w:tr>
      <w:tr w:rsidR="004B7B31" w:rsidRPr="001D22A5" w14:paraId="580537A8" w14:textId="77777777" w:rsidTr="001D22A5">
        <w:trPr>
          <w:cantSplit/>
          <w:jc w:val="center"/>
        </w:trPr>
        <w:tc>
          <w:tcPr>
            <w:tcW w:w="2520" w:type="dxa"/>
            <w:vAlign w:val="center"/>
          </w:tcPr>
          <w:p w14:paraId="3A23653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Tatarelli et al., 2015</w:t>
            </w:r>
          </w:p>
        </w:tc>
        <w:tc>
          <w:tcPr>
            <w:tcW w:w="3384" w:type="dxa"/>
            <w:vAlign w:val="center"/>
          </w:tcPr>
          <w:p w14:paraId="7AEEB55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case series; 8 patients</w:t>
            </w:r>
          </w:p>
        </w:tc>
        <w:tc>
          <w:tcPr>
            <w:tcW w:w="604" w:type="dxa"/>
            <w:vAlign w:val="center"/>
          </w:tcPr>
          <w:p w14:paraId="32AF939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4BDB85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D5582B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6484D7F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75EC42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997CB5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F605A6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E7A5D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75CC18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C7944D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4352BC0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10AC3989" w14:textId="77777777" w:rsidTr="001D22A5">
        <w:trPr>
          <w:cantSplit/>
          <w:jc w:val="center"/>
        </w:trPr>
        <w:tc>
          <w:tcPr>
            <w:tcW w:w="2520" w:type="dxa"/>
            <w:vAlign w:val="center"/>
          </w:tcPr>
          <w:p w14:paraId="5B35085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Kubiak et al., 2014</w:t>
            </w:r>
          </w:p>
        </w:tc>
        <w:tc>
          <w:tcPr>
            <w:tcW w:w="3384" w:type="dxa"/>
            <w:vAlign w:val="center"/>
          </w:tcPr>
          <w:p w14:paraId="1C8CCE9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case series; 45 adjudicated CLABSI cases</w:t>
            </w:r>
          </w:p>
        </w:tc>
        <w:tc>
          <w:tcPr>
            <w:tcW w:w="604" w:type="dxa"/>
            <w:vAlign w:val="center"/>
          </w:tcPr>
          <w:p w14:paraId="60DD3A8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21C6E6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7C3E87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1BAEE6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B58F44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EA13D2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AB42C2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D0EC15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A1BF30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D475E3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25F705F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major caution</w:t>
            </w:r>
          </w:p>
        </w:tc>
      </w:tr>
      <w:tr w:rsidR="004B7B31" w:rsidRPr="001D22A5" w14:paraId="0994CC5B" w14:textId="77777777" w:rsidTr="001D22A5">
        <w:trPr>
          <w:cantSplit/>
          <w:jc w:val="center"/>
        </w:trPr>
        <w:tc>
          <w:tcPr>
            <w:tcW w:w="2520" w:type="dxa"/>
            <w:vAlign w:val="center"/>
          </w:tcPr>
          <w:p w14:paraId="3A27F2B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Haag et al., 2011</w:t>
            </w:r>
          </w:p>
        </w:tc>
        <w:tc>
          <w:tcPr>
            <w:tcW w:w="3384" w:type="dxa"/>
            <w:vAlign w:val="center"/>
          </w:tcPr>
          <w:p w14:paraId="29974E4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case series; 24 CRBSI episodes in 23 cancer patients</w:t>
            </w:r>
          </w:p>
        </w:tc>
        <w:tc>
          <w:tcPr>
            <w:tcW w:w="604" w:type="dxa"/>
            <w:vAlign w:val="center"/>
          </w:tcPr>
          <w:p w14:paraId="2CA357B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1697B8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6B48E5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7C4433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F54737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5DF9E0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EBEA35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28E672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C171AF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D71E4D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15661DE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Good</w:t>
            </w:r>
          </w:p>
        </w:tc>
      </w:tr>
      <w:tr w:rsidR="004B7B31" w:rsidRPr="001D22A5" w14:paraId="5CF1AB1F" w14:textId="77777777" w:rsidTr="001D22A5">
        <w:trPr>
          <w:cantSplit/>
          <w:jc w:val="center"/>
        </w:trPr>
        <w:tc>
          <w:tcPr>
            <w:tcW w:w="2520" w:type="dxa"/>
            <w:vAlign w:val="center"/>
          </w:tcPr>
          <w:p w14:paraId="2C70787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Tejwani &amp; Parry, 2011</w:t>
            </w:r>
          </w:p>
        </w:tc>
        <w:tc>
          <w:tcPr>
            <w:tcW w:w="3384" w:type="dxa"/>
            <w:vAlign w:val="center"/>
          </w:tcPr>
          <w:p w14:paraId="71C9D93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case series; 116 ALT-treated CVC-bacteremia episodes</w:t>
            </w:r>
          </w:p>
        </w:tc>
        <w:tc>
          <w:tcPr>
            <w:tcW w:w="604" w:type="dxa"/>
            <w:vAlign w:val="center"/>
          </w:tcPr>
          <w:p w14:paraId="679F4CC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552404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F7965B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0F3F3F7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0871D3D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11D8369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EB24E9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97EB32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CAAC78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EB4D43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1A3E23D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Moderate</w:t>
            </w:r>
          </w:p>
        </w:tc>
      </w:tr>
      <w:tr w:rsidR="004B7B31" w:rsidRPr="001D22A5" w14:paraId="1595C699" w14:textId="77777777" w:rsidTr="001D22A5">
        <w:trPr>
          <w:cantSplit/>
          <w:jc w:val="center"/>
        </w:trPr>
        <w:tc>
          <w:tcPr>
            <w:tcW w:w="2520" w:type="dxa"/>
            <w:vAlign w:val="center"/>
          </w:tcPr>
          <w:p w14:paraId="3E3EB10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Santarpia et al., 2010</w:t>
            </w:r>
          </w:p>
        </w:tc>
        <w:tc>
          <w:tcPr>
            <w:tcW w:w="3384" w:type="dxa"/>
            <w:vAlign w:val="center"/>
          </w:tcPr>
          <w:p w14:paraId="061B5C6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treatment series; 139 treated CRBSI episodes</w:t>
            </w:r>
          </w:p>
        </w:tc>
        <w:tc>
          <w:tcPr>
            <w:tcW w:w="604" w:type="dxa"/>
            <w:vAlign w:val="center"/>
          </w:tcPr>
          <w:p w14:paraId="62B487A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2C3E56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044B04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62B8A6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F697FF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D5DF0F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07F1A78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604" w:type="dxa"/>
            <w:vAlign w:val="center"/>
          </w:tcPr>
          <w:p w14:paraId="5CB45BD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E349F6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3D4DB4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664" w:type="dxa"/>
            <w:vAlign w:val="center"/>
          </w:tcPr>
          <w:p w14:paraId="67ED4C5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617784BE" w14:textId="77777777" w:rsidTr="001D22A5">
        <w:trPr>
          <w:cantSplit/>
          <w:jc w:val="center"/>
        </w:trPr>
        <w:tc>
          <w:tcPr>
            <w:tcW w:w="2520" w:type="dxa"/>
            <w:vAlign w:val="center"/>
          </w:tcPr>
          <w:p w14:paraId="2DF0A92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Bookstaver et al., 2010</w:t>
            </w:r>
          </w:p>
        </w:tc>
        <w:tc>
          <w:tcPr>
            <w:tcW w:w="3384" w:type="dxa"/>
            <w:vAlign w:val="center"/>
          </w:tcPr>
          <w:p w14:paraId="0495571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single-centre uncontrolled case series; 26 ALT episodes in 15 patients</w:t>
            </w:r>
          </w:p>
        </w:tc>
        <w:tc>
          <w:tcPr>
            <w:tcW w:w="604" w:type="dxa"/>
            <w:vAlign w:val="center"/>
          </w:tcPr>
          <w:p w14:paraId="703BE49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4BDC57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F4CE75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4545D5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38D667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2A09BE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7688C68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8340C7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FCE334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491F7B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0EDA22D9"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Good</w:t>
            </w:r>
          </w:p>
        </w:tc>
      </w:tr>
      <w:tr w:rsidR="004B7B31" w:rsidRPr="001D22A5" w14:paraId="1ABC98BB" w14:textId="77777777" w:rsidTr="001D22A5">
        <w:trPr>
          <w:cantSplit/>
          <w:jc w:val="center"/>
        </w:trPr>
        <w:tc>
          <w:tcPr>
            <w:tcW w:w="2520" w:type="dxa"/>
            <w:vAlign w:val="center"/>
          </w:tcPr>
          <w:p w14:paraId="412C69C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Del Pozo et al., 2009b</w:t>
            </w:r>
          </w:p>
        </w:tc>
        <w:tc>
          <w:tcPr>
            <w:tcW w:w="3384" w:type="dxa"/>
            <w:vAlign w:val="center"/>
          </w:tcPr>
          <w:p w14:paraId="5FE2E1B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single-centre uncontrolled case series; 18 patients</w:t>
            </w:r>
          </w:p>
        </w:tc>
        <w:tc>
          <w:tcPr>
            <w:tcW w:w="604" w:type="dxa"/>
            <w:vAlign w:val="center"/>
          </w:tcPr>
          <w:p w14:paraId="1DF91A7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878446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8E51E1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8BFA61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B532BAC"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0BF609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8E96B7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DCD135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F6CD42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D133E9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76544A8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Good-to-high</w:t>
            </w:r>
          </w:p>
        </w:tc>
      </w:tr>
      <w:tr w:rsidR="004B7B31" w:rsidRPr="001D22A5" w14:paraId="1A7EC20D" w14:textId="77777777" w:rsidTr="001D22A5">
        <w:trPr>
          <w:cantSplit/>
          <w:jc w:val="center"/>
        </w:trPr>
        <w:tc>
          <w:tcPr>
            <w:tcW w:w="2520" w:type="dxa"/>
            <w:vAlign w:val="center"/>
          </w:tcPr>
          <w:p w14:paraId="503BF68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Fernández-Hidalgo et al., 2006</w:t>
            </w:r>
          </w:p>
        </w:tc>
        <w:tc>
          <w:tcPr>
            <w:tcW w:w="3384" w:type="dxa"/>
            <w:vAlign w:val="center"/>
          </w:tcPr>
          <w:p w14:paraId="276C920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Ambispective single-centre uncontrolled case series; 115 episodes in 98 patients</w:t>
            </w:r>
          </w:p>
        </w:tc>
        <w:tc>
          <w:tcPr>
            <w:tcW w:w="604" w:type="dxa"/>
            <w:vAlign w:val="center"/>
          </w:tcPr>
          <w:p w14:paraId="0B2ABDE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01C3487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BBED983"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3AB54DB"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EE30D0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6776C91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30D363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CE5EB6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B844E7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DC4189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N</w:t>
            </w:r>
          </w:p>
        </w:tc>
        <w:tc>
          <w:tcPr>
            <w:tcW w:w="2664" w:type="dxa"/>
            <w:vAlign w:val="center"/>
          </w:tcPr>
          <w:p w14:paraId="66EFD9A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Include with caution</w:t>
            </w:r>
          </w:p>
        </w:tc>
      </w:tr>
      <w:tr w:rsidR="004B7B31" w:rsidRPr="001D22A5" w14:paraId="1C411A26" w14:textId="77777777" w:rsidTr="001D22A5">
        <w:trPr>
          <w:cantSplit/>
          <w:jc w:val="center"/>
        </w:trPr>
        <w:tc>
          <w:tcPr>
            <w:tcW w:w="2520" w:type="dxa"/>
            <w:vAlign w:val="center"/>
          </w:tcPr>
          <w:p w14:paraId="0BE73E6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Sánchez-Muñoz et al., 2005</w:t>
            </w:r>
          </w:p>
        </w:tc>
        <w:tc>
          <w:tcPr>
            <w:tcW w:w="3384" w:type="dxa"/>
            <w:vAlign w:val="center"/>
          </w:tcPr>
          <w:p w14:paraId="4151821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Prospective single-centre uncontrolled case series; 14 episodes in 14 oncology patients</w:t>
            </w:r>
          </w:p>
        </w:tc>
        <w:tc>
          <w:tcPr>
            <w:tcW w:w="604" w:type="dxa"/>
            <w:vAlign w:val="center"/>
          </w:tcPr>
          <w:p w14:paraId="6EF82DD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203F65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D0D271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6CA26B6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DFE855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84F16E1"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D2D8444"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4637E5F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697E1696"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5355AE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0AEC09D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Good</w:t>
            </w:r>
          </w:p>
        </w:tc>
      </w:tr>
      <w:tr w:rsidR="004B7B31" w:rsidRPr="001D22A5" w14:paraId="0ADA0631" w14:textId="77777777" w:rsidTr="001D22A5">
        <w:trPr>
          <w:cantSplit/>
          <w:jc w:val="center"/>
        </w:trPr>
        <w:tc>
          <w:tcPr>
            <w:tcW w:w="2520" w:type="dxa"/>
            <w:vAlign w:val="center"/>
          </w:tcPr>
          <w:p w14:paraId="0894F66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Longuet et al., 2001</w:t>
            </w:r>
          </w:p>
        </w:tc>
        <w:tc>
          <w:tcPr>
            <w:tcW w:w="3384" w:type="dxa"/>
            <w:vAlign w:val="center"/>
          </w:tcPr>
          <w:p w14:paraId="55BCA12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Retrospective two-centre uncontrolled case series; 20 VAP-bacteremia patients, including 16 managed with ALT</w:t>
            </w:r>
          </w:p>
        </w:tc>
        <w:tc>
          <w:tcPr>
            <w:tcW w:w="604" w:type="dxa"/>
            <w:vAlign w:val="center"/>
          </w:tcPr>
          <w:p w14:paraId="407F6508"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7253B42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0332A9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5F698FD"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057CE1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338B352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U</w:t>
            </w:r>
          </w:p>
        </w:tc>
        <w:tc>
          <w:tcPr>
            <w:tcW w:w="604" w:type="dxa"/>
            <w:vAlign w:val="center"/>
          </w:tcPr>
          <w:p w14:paraId="7E840F35"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2B485AD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11D2BECF"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604" w:type="dxa"/>
            <w:vAlign w:val="center"/>
          </w:tcPr>
          <w:p w14:paraId="5CEEBB9A"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Y</w:t>
            </w:r>
          </w:p>
        </w:tc>
        <w:tc>
          <w:tcPr>
            <w:tcW w:w="2664" w:type="dxa"/>
            <w:vAlign w:val="center"/>
          </w:tcPr>
          <w:p w14:paraId="4D9FE9D2"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color w:val="000000"/>
                <w:sz w:val="22"/>
              </w:rPr>
              <w:t>Good</w:t>
            </w:r>
          </w:p>
        </w:tc>
      </w:tr>
    </w:tbl>
    <w:p w14:paraId="692C44AA" w14:textId="77777777" w:rsidR="004440E4" w:rsidRPr="001D22A5" w:rsidRDefault="00E02BAE" w:rsidP="001D22A5">
      <w:pPr>
        <w:keepNext/>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sz w:val="22"/>
        </w:rPr>
        <w:lastRenderedPageBreak/>
        <w:t>JBI response codes:</w:t>
      </w:r>
      <w:r w:rsidRPr="001D22A5">
        <w:rPr>
          <w:rFonts w:asciiTheme="majorBidi" w:hAnsiTheme="majorBidi" w:cstheme="majorBidi"/>
          <w:sz w:val="22"/>
        </w:rPr>
        <w:t xml:space="preserve"> Y = Yes; N = No; U = Unclear; Y* = Yes, with methodological concerns.</w:t>
      </w:r>
    </w:p>
    <w:p w14:paraId="625316CE" w14:textId="77777777" w:rsidR="004B7B31" w:rsidRPr="001D22A5" w:rsidRDefault="00AD4E43" w:rsidP="001D22A5">
      <w:pPr>
        <w:keepNext/>
        <w:spacing w:before="100" w:beforeAutospacing="1" w:after="100" w:afterAutospacing="1" w:line="360" w:lineRule="auto"/>
        <w:rPr>
          <w:rFonts w:asciiTheme="majorBidi" w:hAnsiTheme="majorBidi" w:cstheme="majorBidi"/>
          <w:sz w:val="22"/>
        </w:rPr>
      </w:pPr>
      <w:r w:rsidRPr="001D22A5">
        <w:rPr>
          <w:rFonts w:asciiTheme="majorBidi" w:hAnsiTheme="majorBidi" w:cstheme="majorBidi"/>
          <w:b/>
          <w:sz w:val="22"/>
        </w:rPr>
        <w:t>Items:</w:t>
      </w:r>
      <w:r w:rsidRPr="001D22A5">
        <w:rPr>
          <w:rFonts w:asciiTheme="majorBidi" w:hAnsiTheme="majorBidi" w:cstheme="majorBidi"/>
          <w:sz w:val="22"/>
        </w:rPr>
        <w:t xml:space="preserve"> Q1 = Were there clear criteria for inclusion in the case series?; Q2 = Was the condition measured in a standard, reliable way for all participants?; Q3 = Were valid methods used for identification of the condition for all participants?; Q4 = Did the case series have consecutive inclusion of participants?; Q5 = Did the case series have complete inclusion of participants?; Q6 = Was there clear reporting of participant demographics?; Q7 = Was there clear reporting of clinical information?; Q8 = Were outcomes or follow-up results clearly reported?; Q9 = Was there clear reporting of the presenting site(s)/clinic(s)?; Q10 = Was statistical analysis appropriate?</w:t>
      </w:r>
    </w:p>
    <w:p w14:paraId="289ED001" w14:textId="77777777" w:rsidR="004B7B31" w:rsidRPr="001D22A5" w:rsidRDefault="00AD4E43" w:rsidP="001D22A5">
      <w:pPr>
        <w:pStyle w:val="Heading2"/>
        <w:spacing w:before="100" w:beforeAutospacing="1" w:after="100" w:afterAutospacing="1" w:line="360" w:lineRule="auto"/>
        <w:rPr>
          <w:rFonts w:asciiTheme="majorBidi" w:hAnsiTheme="majorBidi"/>
          <w:sz w:val="22"/>
          <w:szCs w:val="22"/>
        </w:rPr>
      </w:pPr>
      <w:r w:rsidRPr="001D22A5">
        <w:rPr>
          <w:rFonts w:asciiTheme="majorBidi" w:hAnsiTheme="majorBidi"/>
          <w:color w:val="000000"/>
          <w:sz w:val="22"/>
          <w:szCs w:val="22"/>
        </w:rPr>
        <w:t>Principal methodological concerns</w:t>
      </w:r>
    </w:p>
    <w:tbl>
      <w:tblPr>
        <w:tblStyle w:val="TableGrid"/>
        <w:tblW w:w="0" w:type="auto"/>
        <w:jc w:val="center"/>
        <w:tblLook w:val="04A0" w:firstRow="1" w:lastRow="0" w:firstColumn="1" w:lastColumn="0" w:noHBand="0" w:noVBand="1"/>
      </w:tblPr>
      <w:tblGrid>
        <w:gridCol w:w="2616"/>
        <w:gridCol w:w="2886"/>
        <w:gridCol w:w="8446"/>
      </w:tblGrid>
      <w:tr w:rsidR="004B7B31" w:rsidRPr="001D22A5" w14:paraId="49E64787" w14:textId="77777777" w:rsidTr="001D22A5">
        <w:trPr>
          <w:cantSplit/>
          <w:trHeight w:val="576"/>
          <w:tblHeader/>
          <w:jc w:val="center"/>
        </w:trPr>
        <w:tc>
          <w:tcPr>
            <w:tcW w:w="2736" w:type="dxa"/>
            <w:vAlign w:val="center"/>
          </w:tcPr>
          <w:p w14:paraId="6F9E70CE"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Study</w:t>
            </w:r>
          </w:p>
        </w:tc>
        <w:tc>
          <w:tcPr>
            <w:tcW w:w="3024" w:type="dxa"/>
            <w:vAlign w:val="center"/>
          </w:tcPr>
          <w:p w14:paraId="2C5A82C0"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Overall appraisal</w:t>
            </w:r>
          </w:p>
        </w:tc>
        <w:tc>
          <w:tcPr>
            <w:tcW w:w="9144" w:type="dxa"/>
            <w:vAlign w:val="center"/>
          </w:tcPr>
          <w:p w14:paraId="2756D997" w14:textId="77777777" w:rsidR="004B7B31" w:rsidRPr="001D22A5" w:rsidRDefault="00AD4E43" w:rsidP="001D22A5">
            <w:pPr>
              <w:spacing w:before="100" w:beforeAutospacing="1" w:after="100" w:afterAutospacing="1" w:line="276" w:lineRule="auto"/>
              <w:jc w:val="center"/>
              <w:rPr>
                <w:rFonts w:asciiTheme="majorBidi" w:hAnsiTheme="majorBidi" w:cstheme="majorBidi"/>
                <w:sz w:val="22"/>
              </w:rPr>
            </w:pPr>
            <w:r w:rsidRPr="001D22A5">
              <w:rPr>
                <w:rFonts w:asciiTheme="majorBidi" w:hAnsiTheme="majorBidi" w:cstheme="majorBidi"/>
                <w:b/>
                <w:color w:val="000000"/>
                <w:sz w:val="22"/>
              </w:rPr>
              <w:t>Principal concerns</w:t>
            </w:r>
          </w:p>
        </w:tc>
      </w:tr>
      <w:tr w:rsidR="004B7B31" w:rsidRPr="001D22A5" w14:paraId="4C3049CC" w14:textId="77777777" w:rsidTr="001D22A5">
        <w:trPr>
          <w:cantSplit/>
          <w:trHeight w:val="576"/>
          <w:jc w:val="center"/>
        </w:trPr>
        <w:tc>
          <w:tcPr>
            <w:tcW w:w="2736" w:type="dxa"/>
            <w:vAlign w:val="center"/>
          </w:tcPr>
          <w:p w14:paraId="2252DF6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Bayoudh et al., 2024</w:t>
            </w:r>
          </w:p>
        </w:tc>
        <w:tc>
          <w:tcPr>
            <w:tcW w:w="3024" w:type="dxa"/>
            <w:vAlign w:val="center"/>
          </w:tcPr>
          <w:p w14:paraId="6052738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Moderate-to-good methodological quality for a case series</w:t>
            </w:r>
          </w:p>
        </w:tc>
        <w:tc>
          <w:tcPr>
            <w:tcW w:w="9144" w:type="dxa"/>
            <w:vAlign w:val="center"/>
          </w:tcPr>
          <w:p w14:paraId="5627B3F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Strong treatment-selection bias because patients were selected for an alternative minocycline strategy; no comparator; heterogeneous co-interventions and catheter management; standardized DTP was available in only 16/24 episodes; small sample and variable lock administration.</w:t>
            </w:r>
          </w:p>
        </w:tc>
      </w:tr>
      <w:tr w:rsidR="004B7B31" w:rsidRPr="001D22A5" w14:paraId="1E753B69" w14:textId="77777777" w:rsidTr="001D22A5">
        <w:trPr>
          <w:cantSplit/>
          <w:trHeight w:val="576"/>
          <w:jc w:val="center"/>
        </w:trPr>
        <w:tc>
          <w:tcPr>
            <w:tcW w:w="2736" w:type="dxa"/>
            <w:vAlign w:val="center"/>
          </w:tcPr>
          <w:p w14:paraId="738BF7F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Vassallo et al., 2024</w:t>
            </w:r>
          </w:p>
        </w:tc>
        <w:tc>
          <w:tcPr>
            <w:tcW w:w="3024" w:type="dxa"/>
            <w:vAlign w:val="center"/>
          </w:tcPr>
          <w:p w14:paraId="5BB59FC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61C0046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Consecutive and complete inclusion could not be confirmed; multicomponent sequential treatment; one patient did not receive taurolidine; follow-up was limited to 30 days.</w:t>
            </w:r>
          </w:p>
        </w:tc>
      </w:tr>
      <w:tr w:rsidR="004B7B31" w:rsidRPr="001D22A5" w14:paraId="78076D1C" w14:textId="77777777" w:rsidTr="001D22A5">
        <w:trPr>
          <w:cantSplit/>
          <w:trHeight w:val="576"/>
          <w:jc w:val="center"/>
        </w:trPr>
        <w:tc>
          <w:tcPr>
            <w:tcW w:w="2736" w:type="dxa"/>
            <w:vAlign w:val="center"/>
          </w:tcPr>
          <w:p w14:paraId="1274DEC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Lafaurie et al., 2023</w:t>
            </w:r>
          </w:p>
        </w:tc>
        <w:tc>
          <w:tcPr>
            <w:tcW w:w="3024" w:type="dxa"/>
            <w:vAlign w:val="center"/>
          </w:tcPr>
          <w:p w14:paraId="28930B2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High methodological quality for a case series</w:t>
            </w:r>
          </w:p>
        </w:tc>
        <w:tc>
          <w:tcPr>
            <w:tcW w:w="9144" w:type="dxa"/>
            <w:vAlign w:val="center"/>
          </w:tcPr>
          <w:p w14:paraId="2C208E7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comparator; 23% had an indeterminate 3-month efficacy outcome because of unrelated death or missing data; CoNS species were unavailable in some cases; lock administration and systemic treatment were partly physician-directed; some baseline variables were missing.</w:t>
            </w:r>
          </w:p>
        </w:tc>
      </w:tr>
      <w:tr w:rsidR="004B7B31" w:rsidRPr="001D22A5" w14:paraId="391F4530" w14:textId="77777777" w:rsidTr="001D22A5">
        <w:trPr>
          <w:cantSplit/>
          <w:trHeight w:val="576"/>
          <w:jc w:val="center"/>
        </w:trPr>
        <w:tc>
          <w:tcPr>
            <w:tcW w:w="2736" w:type="dxa"/>
            <w:vAlign w:val="center"/>
          </w:tcPr>
          <w:p w14:paraId="4FF1B63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Brescia et al., 2023</w:t>
            </w:r>
          </w:p>
        </w:tc>
        <w:tc>
          <w:tcPr>
            <w:tcW w:w="3024" w:type="dxa"/>
            <w:vAlign w:val="center"/>
          </w:tcPr>
          <w:p w14:paraId="06E9581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40E555F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Clinician-selected conservative management; CRBSI and colonization were included in the same series; concurrent systemic antibiotics; variable follow-up and no uniform long-term assessment point.</w:t>
            </w:r>
          </w:p>
        </w:tc>
      </w:tr>
      <w:tr w:rsidR="004B7B31" w:rsidRPr="001D22A5" w14:paraId="625B9FFD" w14:textId="77777777" w:rsidTr="001D22A5">
        <w:trPr>
          <w:cantSplit/>
          <w:trHeight w:val="576"/>
          <w:jc w:val="center"/>
        </w:trPr>
        <w:tc>
          <w:tcPr>
            <w:tcW w:w="2736" w:type="dxa"/>
            <w:vAlign w:val="center"/>
          </w:tcPr>
          <w:p w14:paraId="7FAE0A3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Krümpelmann et al., 2021</w:t>
            </w:r>
          </w:p>
        </w:tc>
        <w:tc>
          <w:tcPr>
            <w:tcW w:w="3024" w:type="dxa"/>
            <w:vAlign w:val="center"/>
          </w:tcPr>
          <w:p w14:paraId="52CAE0A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144" w:type="dxa"/>
            <w:vAlign w:val="center"/>
          </w:tcPr>
          <w:p w14:paraId="4C187C0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Confirmed and suspected infections were combined; management changed over time; four patients received suboptimal therapy; no adjusted analysis; relapse was not systematically evaluated.</w:t>
            </w:r>
          </w:p>
        </w:tc>
      </w:tr>
      <w:tr w:rsidR="004B7B31" w:rsidRPr="001D22A5" w14:paraId="2F1CA069" w14:textId="77777777" w:rsidTr="001D22A5">
        <w:trPr>
          <w:cantSplit/>
          <w:trHeight w:val="576"/>
          <w:jc w:val="center"/>
        </w:trPr>
        <w:tc>
          <w:tcPr>
            <w:tcW w:w="2736" w:type="dxa"/>
            <w:vAlign w:val="center"/>
          </w:tcPr>
          <w:p w14:paraId="70159F9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Alonso et al., 2020</w:t>
            </w:r>
          </w:p>
        </w:tc>
        <w:tc>
          <w:tcPr>
            <w:tcW w:w="3024" w:type="dxa"/>
            <w:vAlign w:val="center"/>
          </w:tcPr>
          <w:p w14:paraId="08999A7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07C86D7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Unclear selection of vancomycin rather than other lock agents; inconsistency between adult-only eligibility and inclusion of children; success strongly depended on the outcome definition; no concurrent comparator.</w:t>
            </w:r>
          </w:p>
        </w:tc>
      </w:tr>
      <w:tr w:rsidR="004B7B31" w:rsidRPr="001D22A5" w14:paraId="396A4371" w14:textId="77777777" w:rsidTr="001D22A5">
        <w:trPr>
          <w:cantSplit/>
          <w:trHeight w:val="576"/>
          <w:jc w:val="center"/>
        </w:trPr>
        <w:tc>
          <w:tcPr>
            <w:tcW w:w="2736" w:type="dxa"/>
            <w:vAlign w:val="center"/>
          </w:tcPr>
          <w:p w14:paraId="7842B3BC"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Ahmad et al., 2019</w:t>
            </w:r>
          </w:p>
        </w:tc>
        <w:tc>
          <w:tcPr>
            <w:tcW w:w="3024" w:type="dxa"/>
            <w:vAlign w:val="center"/>
          </w:tcPr>
          <w:p w14:paraId="31F61A1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Moderate-to-good methodological quality for a case series</w:t>
            </w:r>
          </w:p>
        </w:tc>
        <w:tc>
          <w:tcPr>
            <w:tcW w:w="9144" w:type="dxa"/>
            <w:vAlign w:val="center"/>
          </w:tcPr>
          <w:p w14:paraId="4954130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comparator; paired catheter/peripheral cultures were not routinely obtained and catheter-tip cultures were uncommon; HCl treatment was clinician-selected; competing mortality could influence catheter-survival estimates.</w:t>
            </w:r>
          </w:p>
        </w:tc>
      </w:tr>
      <w:tr w:rsidR="004B7B31" w:rsidRPr="001D22A5" w14:paraId="5BBB9B62" w14:textId="77777777" w:rsidTr="001D22A5">
        <w:trPr>
          <w:cantSplit/>
          <w:trHeight w:val="576"/>
          <w:jc w:val="center"/>
        </w:trPr>
        <w:tc>
          <w:tcPr>
            <w:tcW w:w="2736" w:type="dxa"/>
            <w:vAlign w:val="center"/>
          </w:tcPr>
          <w:p w14:paraId="3CAA085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Vassallo et al., 2017</w:t>
            </w:r>
          </w:p>
        </w:tc>
        <w:tc>
          <w:tcPr>
            <w:tcW w:w="3024" w:type="dxa"/>
            <w:vAlign w:val="center"/>
          </w:tcPr>
          <w:p w14:paraId="620FA81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144" w:type="dxa"/>
            <w:vAlign w:val="center"/>
          </w:tcPr>
          <w:p w14:paraId="0DB1093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Inconsistent numbers of eligible episodes; seven deaths and one incomplete treatment were excluded after treatment identification; one patient contributed two episodes; heterogeneous step-down treatment.</w:t>
            </w:r>
          </w:p>
        </w:tc>
      </w:tr>
      <w:tr w:rsidR="004B7B31" w:rsidRPr="001D22A5" w14:paraId="38820D41" w14:textId="77777777" w:rsidTr="001D22A5">
        <w:trPr>
          <w:cantSplit/>
          <w:trHeight w:val="576"/>
          <w:jc w:val="center"/>
        </w:trPr>
        <w:tc>
          <w:tcPr>
            <w:tcW w:w="2736" w:type="dxa"/>
            <w:vAlign w:val="center"/>
          </w:tcPr>
          <w:p w14:paraId="4744E9F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Santarpia et al., 2016</w:t>
            </w:r>
          </w:p>
        </w:tc>
        <w:tc>
          <w:tcPr>
            <w:tcW w:w="3024" w:type="dxa"/>
            <w:vAlign w:val="center"/>
          </w:tcPr>
          <w:p w14:paraId="39D0DA7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144" w:type="dxa"/>
            <w:vAlign w:val="center"/>
          </w:tcPr>
          <w:p w14:paraId="1C59B504"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ALT subgroup was insufficiently characterized; heterogeneous lock and systemic regimens; success definition and assessment time were unclear; possible non-independence of repeated episodes.</w:t>
            </w:r>
          </w:p>
        </w:tc>
      </w:tr>
      <w:tr w:rsidR="004B7B31" w:rsidRPr="001D22A5" w14:paraId="5F34DDAE" w14:textId="77777777" w:rsidTr="001D22A5">
        <w:trPr>
          <w:cantSplit/>
          <w:trHeight w:val="576"/>
          <w:jc w:val="center"/>
        </w:trPr>
        <w:tc>
          <w:tcPr>
            <w:tcW w:w="2736" w:type="dxa"/>
            <w:vAlign w:val="center"/>
          </w:tcPr>
          <w:p w14:paraId="7043564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Tatarelli et al., 2015</w:t>
            </w:r>
          </w:p>
        </w:tc>
        <w:tc>
          <w:tcPr>
            <w:tcW w:w="3024" w:type="dxa"/>
            <w:vAlign w:val="center"/>
          </w:tcPr>
          <w:p w14:paraId="625279B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11149F6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Very small sample; diagnostic methods were incompletely detailed; concomitant systemic therapy; inconsistency between reported one- and three-month follow-up.</w:t>
            </w:r>
          </w:p>
        </w:tc>
      </w:tr>
      <w:tr w:rsidR="004B7B31" w:rsidRPr="001D22A5" w14:paraId="02104301" w14:textId="77777777" w:rsidTr="001D22A5">
        <w:trPr>
          <w:cantSplit/>
          <w:trHeight w:val="576"/>
          <w:jc w:val="center"/>
        </w:trPr>
        <w:tc>
          <w:tcPr>
            <w:tcW w:w="2736" w:type="dxa"/>
            <w:vAlign w:val="center"/>
          </w:tcPr>
          <w:p w14:paraId="0A29483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Kubiak et al., 2014</w:t>
            </w:r>
          </w:p>
        </w:tc>
        <w:tc>
          <w:tcPr>
            <w:tcW w:w="3024" w:type="dxa"/>
            <w:vAlign w:val="center"/>
          </w:tcPr>
          <w:p w14:paraId="6CC3031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major caution</w:t>
            </w:r>
          </w:p>
        </w:tc>
        <w:tc>
          <w:tcPr>
            <w:tcW w:w="9144" w:type="dxa"/>
            <w:vAlign w:val="center"/>
          </w:tcPr>
          <w:p w14:paraId="105AAFA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ELT and catheter removal were clinician-directed; 78% had sterile blood cultures before ethanol-lock initiation; treatment duration and follow-up varied; no unified success definition.</w:t>
            </w:r>
          </w:p>
        </w:tc>
      </w:tr>
      <w:tr w:rsidR="004B7B31" w:rsidRPr="001D22A5" w14:paraId="0164669C" w14:textId="77777777" w:rsidTr="001D22A5">
        <w:trPr>
          <w:cantSplit/>
          <w:trHeight w:val="576"/>
          <w:jc w:val="center"/>
        </w:trPr>
        <w:tc>
          <w:tcPr>
            <w:tcW w:w="2736" w:type="dxa"/>
            <w:vAlign w:val="center"/>
          </w:tcPr>
          <w:p w14:paraId="44E7217B"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Haag et al., 2011</w:t>
            </w:r>
          </w:p>
        </w:tc>
        <w:tc>
          <w:tcPr>
            <w:tcW w:w="3024" w:type="dxa"/>
            <w:vAlign w:val="center"/>
          </w:tcPr>
          <w:p w14:paraId="71FC344A"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Good methodological quality for a case series</w:t>
            </w:r>
          </w:p>
        </w:tc>
        <w:tc>
          <w:tcPr>
            <w:tcW w:w="9144" w:type="dxa"/>
            <w:vAlign w:val="center"/>
          </w:tcPr>
          <w:p w14:paraId="736EEC19"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control group; small sample; failure classification was partly based on persistent fever without microbiological confirmation; highly selected pathogen spectrum limits generalizability; potential outcome misclassification in patients with advanced cancer.</w:t>
            </w:r>
          </w:p>
        </w:tc>
      </w:tr>
      <w:tr w:rsidR="004B7B31" w:rsidRPr="001D22A5" w14:paraId="763480CC" w14:textId="77777777" w:rsidTr="001D22A5">
        <w:trPr>
          <w:cantSplit/>
          <w:trHeight w:val="576"/>
          <w:jc w:val="center"/>
        </w:trPr>
        <w:tc>
          <w:tcPr>
            <w:tcW w:w="2736" w:type="dxa"/>
            <w:vAlign w:val="center"/>
          </w:tcPr>
          <w:p w14:paraId="03C114F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Tejwani &amp; Parry, 2011</w:t>
            </w:r>
          </w:p>
        </w:tc>
        <w:tc>
          <w:tcPr>
            <w:tcW w:w="3024" w:type="dxa"/>
            <w:vAlign w:val="center"/>
          </w:tcPr>
          <w:p w14:paraId="214DF43E"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Moderate methodological quality for a case series</w:t>
            </w:r>
          </w:p>
        </w:tc>
        <w:tc>
          <w:tcPr>
            <w:tcW w:w="9144" w:type="dxa"/>
            <w:vAlign w:val="center"/>
          </w:tcPr>
          <w:p w14:paraId="469FA97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control group; retrospective ascertainment through ICD-9 coding could miss eligible cases; catheter-specific microbiological confirmation was inconsistent; treatment regimen, dwell time and duration were not standardized.</w:t>
            </w:r>
          </w:p>
        </w:tc>
      </w:tr>
      <w:tr w:rsidR="004B7B31" w:rsidRPr="001D22A5" w14:paraId="6EFE0F76" w14:textId="77777777" w:rsidTr="001D22A5">
        <w:trPr>
          <w:cantSplit/>
          <w:trHeight w:val="576"/>
          <w:jc w:val="center"/>
        </w:trPr>
        <w:tc>
          <w:tcPr>
            <w:tcW w:w="2736" w:type="dxa"/>
            <w:vAlign w:val="center"/>
          </w:tcPr>
          <w:p w14:paraId="573DF65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Santarpia et al., 2010</w:t>
            </w:r>
          </w:p>
        </w:tc>
        <w:tc>
          <w:tcPr>
            <w:tcW w:w="3024" w:type="dxa"/>
            <w:vAlign w:val="center"/>
          </w:tcPr>
          <w:p w14:paraId="7F21291F"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3633743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Episode-level analysis with possible repeated observations; limited demographic and clinical reporting for the treated subgroup; treatment protocols changed; relapse surveillance was not standardized.</w:t>
            </w:r>
          </w:p>
        </w:tc>
      </w:tr>
      <w:tr w:rsidR="004B7B31" w:rsidRPr="001D22A5" w14:paraId="23CF6C7B" w14:textId="77777777" w:rsidTr="001D22A5">
        <w:trPr>
          <w:cantSplit/>
          <w:trHeight w:val="576"/>
          <w:jc w:val="center"/>
        </w:trPr>
        <w:tc>
          <w:tcPr>
            <w:tcW w:w="2736" w:type="dxa"/>
            <w:vAlign w:val="center"/>
          </w:tcPr>
          <w:p w14:paraId="23A4058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lastRenderedPageBreak/>
              <w:t>Bookstaver et al., 2010</w:t>
            </w:r>
          </w:p>
        </w:tc>
        <w:tc>
          <w:tcPr>
            <w:tcW w:w="3024" w:type="dxa"/>
            <w:vAlign w:val="center"/>
          </w:tcPr>
          <w:p w14:paraId="6674AFA2"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Good methodological quality for a case series</w:t>
            </w:r>
          </w:p>
        </w:tc>
        <w:tc>
          <w:tcPr>
            <w:tcW w:w="9144" w:type="dxa"/>
            <w:vAlign w:val="center"/>
          </w:tcPr>
          <w:p w14:paraId="2582BE68"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comparator; repeated episodes within the same patients were analysed without accounting for clustering; small and clinically heterogeneous population; exact dwell times were incompletely documented; limited demographic reporting.</w:t>
            </w:r>
          </w:p>
        </w:tc>
      </w:tr>
      <w:tr w:rsidR="004B7B31" w:rsidRPr="001D22A5" w14:paraId="17BFABA4" w14:textId="77777777" w:rsidTr="001D22A5">
        <w:trPr>
          <w:cantSplit/>
          <w:trHeight w:val="576"/>
          <w:jc w:val="center"/>
        </w:trPr>
        <w:tc>
          <w:tcPr>
            <w:tcW w:w="2736" w:type="dxa"/>
            <w:vAlign w:val="center"/>
          </w:tcPr>
          <w:p w14:paraId="67817636"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Del Pozo et al., 2009b</w:t>
            </w:r>
          </w:p>
        </w:tc>
        <w:tc>
          <w:tcPr>
            <w:tcW w:w="3024" w:type="dxa"/>
            <w:vAlign w:val="center"/>
          </w:tcPr>
          <w:p w14:paraId="6CA0D30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Good-to-high methodological quality for a case series</w:t>
            </w:r>
          </w:p>
        </w:tc>
        <w:tc>
          <w:tcPr>
            <w:tcW w:w="9144" w:type="dxa"/>
            <w:vAlign w:val="center"/>
          </w:tcPr>
          <w:p w14:paraId="70CD86F7"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comparator; very small sample with heterogeneous pathogens; pathogen-directed lock regimens were not uniform; delayed recurrence could occur beyond the prespecified 30-day success window; six patients were lost during longer-term follow-up.</w:t>
            </w:r>
          </w:p>
        </w:tc>
      </w:tr>
      <w:tr w:rsidR="004B7B31" w:rsidRPr="001D22A5" w14:paraId="18516107" w14:textId="77777777" w:rsidTr="001D22A5">
        <w:trPr>
          <w:cantSplit/>
          <w:trHeight w:val="576"/>
          <w:jc w:val="center"/>
        </w:trPr>
        <w:tc>
          <w:tcPr>
            <w:tcW w:w="2736" w:type="dxa"/>
            <w:vAlign w:val="center"/>
          </w:tcPr>
          <w:p w14:paraId="2F287A7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Fernández-Hidalgo et al., 2006</w:t>
            </w:r>
          </w:p>
        </w:tc>
        <w:tc>
          <w:tcPr>
            <w:tcW w:w="3024" w:type="dxa"/>
            <w:vAlign w:val="center"/>
          </w:tcPr>
          <w:p w14:paraId="3EEDD59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Include with caution</w:t>
            </w:r>
          </w:p>
        </w:tc>
        <w:tc>
          <w:tcPr>
            <w:tcW w:w="9144" w:type="dxa"/>
            <w:vAlign w:val="center"/>
          </w:tcPr>
          <w:p w14:paraId="4527862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Eligibility and protocol changed over time; repeated episodes were treated as independent observations; follow-up duration varied and some successes had less than 30 days of observation.</w:t>
            </w:r>
          </w:p>
        </w:tc>
      </w:tr>
      <w:tr w:rsidR="004B7B31" w:rsidRPr="001D22A5" w14:paraId="356699A4" w14:textId="77777777" w:rsidTr="001D22A5">
        <w:trPr>
          <w:cantSplit/>
          <w:trHeight w:val="576"/>
          <w:jc w:val="center"/>
        </w:trPr>
        <w:tc>
          <w:tcPr>
            <w:tcW w:w="2736" w:type="dxa"/>
            <w:vAlign w:val="center"/>
          </w:tcPr>
          <w:p w14:paraId="0504168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Sánchez-Muñoz et al., 2005</w:t>
            </w:r>
          </w:p>
        </w:tc>
        <w:tc>
          <w:tcPr>
            <w:tcW w:w="3024" w:type="dxa"/>
            <w:vAlign w:val="center"/>
          </w:tcPr>
          <w:p w14:paraId="08DFCE85"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Good methodological quality for a case series</w:t>
            </w:r>
          </w:p>
        </w:tc>
        <w:tc>
          <w:tcPr>
            <w:tcW w:w="9144" w:type="dxa"/>
            <w:vAlign w:val="center"/>
          </w:tcPr>
          <w:p w14:paraId="0D0289A1"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Very small sample; no control group; quantitative blood cultures were not performed; predominantly CoNS infections; all patients received concomitant systemic levofloxacin; restricted to non-neutropenic uncomplicated infections.</w:t>
            </w:r>
          </w:p>
        </w:tc>
      </w:tr>
      <w:tr w:rsidR="004B7B31" w:rsidRPr="001D22A5" w14:paraId="7EAA23AB" w14:textId="77777777" w:rsidTr="001D22A5">
        <w:trPr>
          <w:cantSplit/>
          <w:trHeight w:val="576"/>
          <w:jc w:val="center"/>
        </w:trPr>
        <w:tc>
          <w:tcPr>
            <w:tcW w:w="2736" w:type="dxa"/>
            <w:vAlign w:val="center"/>
          </w:tcPr>
          <w:p w14:paraId="3C20EC3D"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Longuet et al., 2001</w:t>
            </w:r>
          </w:p>
        </w:tc>
        <w:tc>
          <w:tcPr>
            <w:tcW w:w="3024" w:type="dxa"/>
            <w:vAlign w:val="center"/>
          </w:tcPr>
          <w:p w14:paraId="5613BAD3"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Good methodological quality for a case series</w:t>
            </w:r>
          </w:p>
        </w:tc>
        <w:tc>
          <w:tcPr>
            <w:tcW w:w="9144" w:type="dxa"/>
            <w:vAlign w:val="center"/>
          </w:tcPr>
          <w:p w14:paraId="4DF30240" w14:textId="77777777" w:rsidR="004B7B31" w:rsidRPr="001D22A5" w:rsidRDefault="00AD4E43" w:rsidP="001D22A5">
            <w:pPr>
              <w:spacing w:before="100" w:beforeAutospacing="1" w:after="100" w:afterAutospacing="1" w:line="276" w:lineRule="auto"/>
              <w:rPr>
                <w:rFonts w:asciiTheme="majorBidi" w:hAnsiTheme="majorBidi" w:cstheme="majorBidi"/>
                <w:sz w:val="22"/>
              </w:rPr>
            </w:pPr>
            <w:r w:rsidRPr="001D22A5">
              <w:rPr>
                <w:rFonts w:asciiTheme="majorBidi" w:hAnsiTheme="majorBidi" w:cstheme="majorBidi"/>
                <w:color w:val="000000"/>
                <w:sz w:val="22"/>
              </w:rPr>
              <w:t>No therapeutic comparator; mixed AIDS/cancer population with only a small cancer-relevant subgroup; heterogeneous lock agents and treatment durations; retrospective ascertainment and small sample.</w:t>
            </w:r>
          </w:p>
        </w:tc>
      </w:tr>
    </w:tbl>
    <w:p w14:paraId="60274FD4" w14:textId="77777777" w:rsidR="001C3369" w:rsidRPr="001D22A5" w:rsidRDefault="001C3369" w:rsidP="001D22A5">
      <w:pPr>
        <w:spacing w:before="100" w:beforeAutospacing="1" w:after="100" w:afterAutospacing="1" w:line="360" w:lineRule="auto"/>
        <w:rPr>
          <w:rFonts w:asciiTheme="majorBidi" w:hAnsiTheme="majorBidi" w:cstheme="majorBidi"/>
          <w:sz w:val="22"/>
        </w:rPr>
      </w:pPr>
      <w:bookmarkStart w:id="0" w:name="_GoBack"/>
      <w:bookmarkEnd w:id="0"/>
    </w:p>
    <w:sectPr w:rsidR="001C3369" w:rsidRPr="001D22A5" w:rsidSect="001D22A5">
      <w:headerReference w:type="default" r:id="rId8"/>
      <w:footerReference w:type="default" r:id="rId9"/>
      <w:pgSz w:w="16838" w:h="11906"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9EEA34" w14:textId="77777777" w:rsidR="00E02BAE" w:rsidRDefault="00E02BAE">
      <w:pPr>
        <w:spacing w:after="0" w:line="240" w:lineRule="auto"/>
      </w:pPr>
      <w:r>
        <w:separator/>
      </w:r>
    </w:p>
  </w:endnote>
  <w:endnote w:type="continuationSeparator" w:id="0">
    <w:p w14:paraId="1290F0BB" w14:textId="77777777" w:rsidR="00E02BAE" w:rsidRDefault="00E02B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 w:name="Courier">
    <w:panose1 w:val="02070409020205020404"/>
    <w:charset w:val="00"/>
    <w:family w:val="modern"/>
    <w:notTrueType/>
    <w:pitch w:val="fixed"/>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4C304C0" w14:textId="77777777" w:rsidR="004B7B31" w:rsidRDefault="004B7B31">
    <w:pPr>
      <w:pStyle w:val="Footer"/>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EB0B8E3" w14:textId="77777777" w:rsidR="00E02BAE" w:rsidRDefault="00E02BAE">
      <w:pPr>
        <w:spacing w:after="0" w:line="240" w:lineRule="auto"/>
      </w:pPr>
      <w:r>
        <w:separator/>
      </w:r>
    </w:p>
  </w:footnote>
  <w:footnote w:type="continuationSeparator" w:id="0">
    <w:p w14:paraId="0D0CAD93" w14:textId="77777777" w:rsidR="00E02BAE" w:rsidRDefault="00E02BA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5D4CE4" w14:textId="77777777" w:rsidR="004D22A9" w:rsidRDefault="004D22A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0C102C"/>
    <w:rsid w:val="00107980"/>
    <w:rsid w:val="0015074B"/>
    <w:rsid w:val="001C3369"/>
    <w:rsid w:val="001D22A5"/>
    <w:rsid w:val="0029639D"/>
    <w:rsid w:val="00326F90"/>
    <w:rsid w:val="004440E4"/>
    <w:rsid w:val="004B64B1"/>
    <w:rsid w:val="004B7B31"/>
    <w:rsid w:val="004D22A9"/>
    <w:rsid w:val="0054039F"/>
    <w:rsid w:val="009109A8"/>
    <w:rsid w:val="00AA1D8D"/>
    <w:rsid w:val="00AD4E43"/>
    <w:rsid w:val="00B47730"/>
    <w:rsid w:val="00BE0650"/>
    <w:rsid w:val="00CB0664"/>
    <w:rsid w:val="00D4616D"/>
    <w:rsid w:val="00E02BAE"/>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1044E3F"/>
  <w14:defaultImageDpi w14:val="300"/>
  <w15:docId w15:val="{330FDED5-6606-4080-AFE4-DFEB5D31B3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C693F"/>
    <w:rPr>
      <w:rFonts w:ascii="Arial" w:hAnsi="Arial"/>
      <w:sz w:val="1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1F4E79"/>
      <w:sz w:val="1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2F5496"/>
      <w:sz w:val="17"/>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rPr>
  </w:style>
  <w:style w:type="paragraph" w:styleId="Title">
    <w:name w:val="Title"/>
    <w:basedOn w:val="Normal"/>
    <w:next w:val="Normal"/>
    <w:link w:val="TitleChar"/>
    <w:uiPriority w:val="10"/>
    <w:qFormat/>
    <w:rsid w:val="00FC693F"/>
    <w:pPr>
      <w:pBdr>
        <w:bottom w:val="single" w:sz="8" w:space="4" w:color="000000"/>
      </w:pBdr>
      <w:spacing w:after="300" w:line="240" w:lineRule="auto"/>
      <w:contextualSpacing/>
    </w:pPr>
    <w:rPr>
      <w:rFonts w:asciiTheme="majorHAnsi" w:eastAsiaTheme="majorEastAsia" w:hAnsiTheme="majorHAnsi" w:cstheme="majorBidi"/>
      <w:b/>
      <w:color w:val="17365D"/>
      <w:spacing w:val="5"/>
      <w:kern w:val="28"/>
      <w:sz w:val="2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rPr>
  </w:style>
  <w:style w:type="character" w:customStyle="1" w:styleId="QuoteChar">
    <w:name w:val="Quote Char"/>
    <w:basedOn w:val="DefaultParagraphFont"/>
    <w:link w:val="Quote"/>
    <w:uiPriority w:val="29"/>
    <w:rsid w:val="00FC693F"/>
    <w:rPr>
      <w:i/>
      <w:iCs/>
      <w:color w:val="000000"/>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sz w:val="20"/>
      <w:szCs w:val="20"/>
    </w:rPr>
  </w:style>
  <w:style w:type="paragraph" w:styleId="Caption">
    <w:name w:val="caption"/>
    <w:basedOn w:val="Normal"/>
    <w:next w:val="Normal"/>
    <w:uiPriority w:val="35"/>
    <w:semiHidden/>
    <w:unhideWhenUsed/>
    <w:qFormat/>
    <w:rsid w:val="00FC693F"/>
    <w:pPr>
      <w:spacing w:line="240" w:lineRule="auto"/>
    </w:pPr>
    <w:rPr>
      <w:b/>
      <w:bCs/>
      <w:color w:val="4F81BD"/>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000000"/>
      </w:pBdr>
      <w:spacing w:before="200" w:after="280"/>
      <w:ind w:left="936" w:right="936"/>
    </w:pPr>
    <w:rPr>
      <w:b/>
      <w:bCs/>
      <w:i/>
      <w:iCs/>
      <w:color w:val="4F81BD"/>
    </w:rPr>
  </w:style>
  <w:style w:type="character" w:customStyle="1" w:styleId="IntenseQuoteChar">
    <w:name w:val="Intense Quote Char"/>
    <w:basedOn w:val="DefaultParagraphFont"/>
    <w:link w:val="IntenseQuote"/>
    <w:uiPriority w:val="30"/>
    <w:rsid w:val="00FC693F"/>
    <w:rPr>
      <w:b/>
      <w:bCs/>
      <w:i/>
      <w:iCs/>
      <w:color w:val="4F81BD"/>
    </w:rPr>
  </w:style>
  <w:style w:type="character" w:styleId="SubtleEmphasis">
    <w:name w:val="Subtle Emphasis"/>
    <w:basedOn w:val="DefaultParagraphFont"/>
    <w:uiPriority w:val="19"/>
    <w:qFormat/>
    <w:rsid w:val="00FC693F"/>
    <w:rPr>
      <w:i/>
      <w:iCs/>
      <w:color w:val="808080"/>
    </w:rPr>
  </w:style>
  <w:style w:type="character" w:styleId="IntenseEmphasis">
    <w:name w:val="Intense Emphasis"/>
    <w:basedOn w:val="DefaultParagraphFont"/>
    <w:uiPriority w:val="21"/>
    <w:qFormat/>
    <w:rsid w:val="00FC693F"/>
    <w:rPr>
      <w:b/>
      <w:bCs/>
      <w:i/>
      <w:iCs/>
      <w:color w:val="4F81BD"/>
    </w:rPr>
  </w:style>
  <w:style w:type="character" w:styleId="SubtleReference">
    <w:name w:val="Subtle Reference"/>
    <w:basedOn w:val="DefaultParagraphFont"/>
    <w:uiPriority w:val="31"/>
    <w:qFormat/>
    <w:rsid w:val="00FC693F"/>
    <w:rPr>
      <w:smallCaps/>
      <w:color w:val="C0504D"/>
      <w:u w:val="single"/>
    </w:rPr>
  </w:style>
  <w:style w:type="character" w:styleId="IntenseReference">
    <w:name w:val="Intense Reference"/>
    <w:basedOn w:val="DefaultParagraphFont"/>
    <w:uiPriority w:val="32"/>
    <w:qFormat/>
    <w:rsid w:val="00FC693F"/>
    <w:rPr>
      <w:b/>
      <w:bCs/>
      <w:smallCaps/>
      <w:color w:val="C0504D"/>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1">
    <w:name w:val="Light Shading Accent 1"/>
    <w:basedOn w:val="TableNormal"/>
    <w:uiPriority w:val="60"/>
    <w:rsid w:val="00FC693F"/>
    <w:pPr>
      <w:spacing w:after="0" w:line="240" w:lineRule="auto"/>
    </w:pPr>
    <w:rPr>
      <w:color w:val="365F91"/>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2">
    <w:name w:val="Light Shading Accent 2"/>
    <w:basedOn w:val="TableNormal"/>
    <w:uiPriority w:val="60"/>
    <w:rsid w:val="00FC693F"/>
    <w:pPr>
      <w:spacing w:after="0" w:line="240" w:lineRule="auto"/>
    </w:pPr>
    <w:rPr>
      <w:color w:val="943634"/>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3">
    <w:name w:val="Light Shading Accent 3"/>
    <w:basedOn w:val="TableNormal"/>
    <w:uiPriority w:val="60"/>
    <w:rsid w:val="00FC693F"/>
    <w:pPr>
      <w:spacing w:after="0" w:line="240" w:lineRule="auto"/>
    </w:pPr>
    <w:rPr>
      <w:color w:val="76923C"/>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4">
    <w:name w:val="Light Shading Accent 4"/>
    <w:basedOn w:val="TableNormal"/>
    <w:uiPriority w:val="60"/>
    <w:rsid w:val="00FC693F"/>
    <w:pPr>
      <w:spacing w:after="0" w:line="240" w:lineRule="auto"/>
    </w:pPr>
    <w:rPr>
      <w:color w:val="5F497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5">
    <w:name w:val="Light Shading Accent 5"/>
    <w:basedOn w:val="TableNormal"/>
    <w:uiPriority w:val="60"/>
    <w:rsid w:val="00FC693F"/>
    <w:pPr>
      <w:spacing w:after="0" w:line="240" w:lineRule="auto"/>
    </w:pPr>
    <w:rPr>
      <w:color w:val="31849B"/>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Shading-Accent6">
    <w:name w:val="Light Shading Accent 6"/>
    <w:basedOn w:val="TableNormal"/>
    <w:uiPriority w:val="60"/>
    <w:rsid w:val="00FC693F"/>
    <w:pPr>
      <w:spacing w:after="0" w:line="240" w:lineRule="auto"/>
    </w:pPr>
    <w:rPr>
      <w:color w:val="E36C0A"/>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tcPr>
    </w:tblStylePr>
    <w:tblStylePr w:type="band1Horz">
      <w:tblPr/>
      <w:tcPr>
        <w:tcBorders>
          <w:left w:val="nil"/>
          <w:right w:val="nil"/>
          <w:insideH w:val="nil"/>
          <w:insideV w:val="nil"/>
        </w:tcBorders>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8" w:space="0" w:color="000000"/>
          <w:left w:val="single" w:sz="8" w:space="0" w:color="000000"/>
          <w:bottom w:val="single" w:sz="8" w:space="0" w:color="000000"/>
          <w:right w:val="single" w:sz="8" w:space="0" w:color="000000"/>
          <w:insideH w:val="nil"/>
          <w:insideV w:val="nil"/>
        </w:tcBorders>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il"/>
          <w:insideV w:val="nil"/>
        </w:tcBorders>
      </w:tcPr>
    </w:tblStylePr>
    <w:tblStylePr w:type="firstCol">
      <w:rPr>
        <w:b/>
        <w:bCs/>
      </w:rPr>
    </w:tblStylePr>
    <w:tblStylePr w:type="lastCol">
      <w:rPr>
        <w:b/>
        <w:bCs/>
      </w:rPr>
    </w:tblStylePr>
    <w:tblStylePr w:type="band1Horz">
      <w:tblPr/>
      <w:tcPr>
        <w:tcBorders>
          <w:insideH w:val="nil"/>
          <w:insideV w:val="nil"/>
        </w:tcBorders>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000000"/>
        <w:bottom w:val="single" w:sz="1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tcBorders>
          <w:top w:val="single" w:sz="18" w:space="0" w:color="000000"/>
          <w:left w:val="nil"/>
          <w:bottom w:val="single" w:sz="18" w:space="0" w:color="000000"/>
          <w:right w:val="nil"/>
          <w:insideH w:val="nil"/>
          <w:insideV w:val="nil"/>
        </w:tcBorders>
      </w:tcPr>
    </w:tblStylePr>
    <w:tblStylePr w:type="lastRow">
      <w:pPr>
        <w:spacing w:before="0" w:after="0" w:line="240" w:lineRule="auto"/>
      </w:pPr>
      <w:rPr>
        <w:color w:val="auto"/>
      </w:rPr>
      <w:tblPr/>
      <w:tcPr>
        <w:tcBorders>
          <w:top w:val="double" w:sz="6" w:space="0" w:color="000000"/>
          <w:left w:val="nil"/>
          <w:bottom w:val="single" w:sz="18" w:space="0" w:color="000000"/>
          <w:right w:val="nil"/>
          <w:insideH w:val="nil"/>
          <w:insideV w:val="nil"/>
        </w:tcBorders>
      </w:tcPr>
    </w:tblStylePr>
    <w:tblStylePr w:type="firstCol">
      <w:rPr>
        <w:b/>
        <w:bCs/>
        <w:color w:val="FFFFFF"/>
      </w:rPr>
      <w:tblPr/>
      <w:tcPr>
        <w:tcBorders>
          <w:top w:val="nil"/>
          <w:left w:val="nil"/>
          <w:bottom w:val="single" w:sz="18" w:space="0" w:color="000000"/>
          <w:right w:val="nil"/>
          <w:insideH w:val="nil"/>
          <w:insideV w:val="nil"/>
        </w:tcBorders>
      </w:tcPr>
    </w:tblStylePr>
    <w:tblStylePr w:type="lastCol">
      <w:rPr>
        <w:b/>
        <w:bCs/>
        <w:color w:val="FFFFFF"/>
      </w:rPr>
      <w:tblPr/>
      <w:tcPr>
        <w:tcBorders>
          <w:left w:val="nil"/>
          <w:right w:val="nil"/>
          <w:insideH w:val="nil"/>
          <w:insideV w:val="nil"/>
        </w:tcBorders>
      </w:tcPr>
    </w:tblStylePr>
    <w:tblStylePr w:type="band1Vert">
      <w:tblPr/>
      <w:tcPr>
        <w:tcBorders>
          <w:left w:val="nil"/>
          <w:right w:val="nil"/>
          <w:insideH w:val="nil"/>
          <w:insideV w:val="nil"/>
        </w:tcBorders>
      </w:tcPr>
    </w:tblStylePr>
    <w:tblStylePr w:type="neCell">
      <w:tblPr/>
      <w:tcPr>
        <w:tcBorders>
          <w:top w:val="single" w:sz="18" w:space="0" w:color="000000"/>
          <w:left w:val="nil"/>
          <w:bottom w:val="single" w:sz="18" w:space="0" w:color="000000"/>
          <w:right w:val="nil"/>
          <w:insideH w:val="nil"/>
          <w:insideV w:val="nil"/>
        </w:tcBorders>
      </w:tcPr>
    </w:tblStylePr>
    <w:tblStylePr w:type="nwCell">
      <w:rPr>
        <w:color w:val="FFFFFF"/>
      </w:rPr>
      <w:tblPr/>
      <w:tcPr>
        <w:tcBorders>
          <w:top w:val="single" w:sz="18" w:space="0" w:color="000000"/>
          <w:left w:val="nil"/>
          <w:bottom w:val="single" w:sz="18" w:space="0" w:color="000000"/>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1">
    <w:name w:val="Medium List 1 Accent 1"/>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2">
    <w:name w:val="Medium List 1 Accent 2"/>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3">
    <w:name w:val="Medium List 1 Accent 3"/>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4">
    <w:name w:val="Medium List 1 Accent 4"/>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5">
    <w:name w:val="Medium List 1 Accent 5"/>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1-Accent6">
    <w:name w:val="Medium List 1 Accent 6"/>
    <w:basedOn w:val="TableNormal"/>
    <w:uiPriority w:val="65"/>
    <w:rsid w:val="00CB0664"/>
    <w:pPr>
      <w:spacing w:after="0" w:line="240" w:lineRule="auto"/>
    </w:pPr>
    <w:rPr>
      <w:color w:val="000000"/>
    </w:rPr>
    <w:tblPr>
      <w:tblStyleRowBandSize w:val="1"/>
      <w:tblStyleColBandSize w:val="1"/>
      <w:tblInd w:w="0" w:type="dxa"/>
      <w:tblBorders>
        <w:top w:val="single" w:sz="8" w:space="0" w:color="000000"/>
        <w:bottom w:val="single" w:sz="8" w:space="0" w:color="000000"/>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right w:val="nil"/>
          <w:insideH w:val="nil"/>
          <w:insideV w:val="nil"/>
        </w:tcBorders>
      </w:tcPr>
    </w:tblStylePr>
    <w:tblStylePr w:type="lastRow">
      <w:tblPr/>
      <w:tcPr>
        <w:tcBorders>
          <w:top w:val="single" w:sz="8" w:space="0" w:color="000000"/>
          <w:left w:val="nil"/>
          <w:bottom w:val="nil"/>
          <w:right w:val="nil"/>
          <w:insideH w:val="nil"/>
          <w:insideV w:val="nil"/>
        </w:tcBorders>
      </w:tcPr>
    </w:tblStylePr>
    <w:tblStylePr w:type="firstCol">
      <w:tblPr/>
      <w:tcPr>
        <w:tcBorders>
          <w:top w:val="nil"/>
          <w:left w:val="nil"/>
          <w:bottom w:val="nil"/>
          <w:right w:val="single" w:sz="8" w:space="0" w:color="000000"/>
          <w:insideH w:val="nil"/>
          <w:insideV w:val="nil"/>
        </w:tcBorders>
      </w:tcPr>
    </w:tblStylePr>
    <w:tblStylePr w:type="lastCol">
      <w:tblPr/>
      <w:tcPr>
        <w:tcBorders>
          <w:top w:val="nil"/>
          <w:left w:val="single" w:sz="8" w:space="0" w:color="000000"/>
          <w:bottom w:val="nil"/>
          <w:right w:val="nil"/>
          <w:insideH w:val="nil"/>
          <w:insideV w:val="nil"/>
        </w:tcBorders>
      </w:tcPr>
    </w:tblStylePr>
    <w:tblStylePr w:type="band1Vert">
      <w:tblPr/>
      <w:tcPr>
        <w:tcBorders>
          <w:left w:val="nil"/>
          <w:right w:val="nil"/>
          <w:insideH w:val="nil"/>
          <w:insideV w:val="nil"/>
        </w:tcBorders>
      </w:tcPr>
    </w:tblStylePr>
    <w:tblStylePr w:type="band1Horz">
      <w:tblPr/>
      <w:tcPr>
        <w:tcBorders>
          <w:top w:val="nil"/>
          <w:bottom w:val="nil"/>
          <w:insideH w:val="nil"/>
          <w:insideV w:val="nil"/>
        </w:tcBorders>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rPr>
    </w:tblStylePr>
    <w:tblStylePr w:type="lastRow">
      <w:rPr>
        <w:b/>
        <w:bCs/>
      </w:rPr>
      <w:tblPr/>
      <w:tcPr>
        <w:tcBorders>
          <w:top w:val="single" w:sz="18" w:space="0" w:color="000000"/>
        </w:tcBorders>
      </w:tcPr>
    </w:tblStylePr>
    <w:tblStylePr w:type="firstCol">
      <w:rPr>
        <w:b/>
        <w:bCs/>
      </w:rPr>
    </w:tblStylePr>
    <w:tblStylePr w:type="lastCol">
      <w:rPr>
        <w:b/>
        <w:bCs/>
      </w:r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blStylePr w:type="firstRow">
      <w:rPr>
        <w:b/>
        <w:bCs/>
        <w:color w:val="000000"/>
      </w:rPr>
    </w:tblStylePr>
    <w:tblStylePr w:type="lastRow">
      <w:rPr>
        <w:b/>
        <w:bCs/>
        <w:color w:val="000000"/>
      </w:rPr>
      <w:tblPr/>
      <w:tcPr>
        <w:tcBorders>
          <w:top w:val="single" w:sz="12" w:space="0" w:color="000000"/>
          <w:left w:val="nil"/>
          <w:bottom w:val="nil"/>
          <w:right w:val="nil"/>
          <w:insideH w:val="nil"/>
          <w:insideV w:val="nil"/>
        </w:tcBorders>
      </w:tcPr>
    </w:tblStylePr>
    <w:tblStylePr w:type="firstCol">
      <w:rPr>
        <w:b/>
        <w:bCs/>
        <w:color w:val="000000"/>
      </w:rPr>
      <w:tblPr/>
      <w:tcPr>
        <w:tcBorders>
          <w:top w:val="nil"/>
          <w:left w:val="nil"/>
          <w:bottom w:val="nil"/>
          <w:right w:val="nil"/>
          <w:insideH w:val="nil"/>
          <w:insideV w:val="nil"/>
        </w:tcBorders>
      </w:tcPr>
    </w:tblStylePr>
    <w:tblStylePr w:type="lastCol">
      <w:rPr>
        <w:b w:val="0"/>
        <w:bCs w:val="0"/>
        <w:color w:val="000000"/>
      </w:rPr>
      <w:tblPr/>
      <w:tcPr>
        <w:tcBorders>
          <w:top w:val="nil"/>
          <w:left w:val="nil"/>
          <w:bottom w:val="nil"/>
          <w:right w:val="nil"/>
          <w:insideH w:val="nil"/>
          <w:insideV w:val="nil"/>
        </w:tcBorders>
      </w:tcPr>
    </w:tblStylePr>
    <w:tblStylePr w:type="band1Horz">
      <w:tblPr/>
      <w:tcPr>
        <w:tcBorders>
          <w:insideH w:val="single" w:sz="6" w:space="0" w:color="000000"/>
          <w:insideV w:val="single" w:sz="6" w:space="0" w:color="000000"/>
        </w:tcBorders>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6" w:space="0" w:color="000000"/>
        <w:insideV w:val="single" w:sz="6" w:space="0" w:color="000000"/>
      </w:tblBorders>
      <w:tblCellMar>
        <w:top w:w="0" w:type="dxa"/>
        <w:left w:w="108" w:type="dxa"/>
        <w:bottom w:w="0" w:type="dxa"/>
        <w:right w:w="108" w:type="dxa"/>
      </w:tblCellMar>
    </w:tblPr>
    <w:tblStylePr w:type="firstRow">
      <w:rPr>
        <w:b/>
        <w:bCs/>
        <w:i w:val="0"/>
        <w:iCs w:val="0"/>
        <w:color w:val="FFFFFF"/>
      </w:rPr>
      <w:tblPr/>
      <w:tcPr>
        <w:tcBorders>
          <w:top w:val="single" w:sz="8" w:space="0" w:color="000000"/>
          <w:left w:val="single" w:sz="8" w:space="0" w:color="000000"/>
          <w:bottom w:val="single" w:sz="24" w:space="0" w:color="000000"/>
          <w:right w:val="single" w:sz="8" w:space="0" w:color="000000"/>
          <w:insideH w:val="nil"/>
          <w:insideV w:val="single" w:sz="8" w:space="0" w:color="000000"/>
        </w:tcBorders>
      </w:tcPr>
    </w:tblStylePr>
    <w:tblStylePr w:type="lastRow">
      <w:rPr>
        <w:b/>
        <w:bCs/>
        <w:i w:val="0"/>
        <w:iCs w:val="0"/>
        <w:color w:val="FFFFFF"/>
      </w:rPr>
      <w:tblPr/>
      <w:tcPr>
        <w:tcBorders>
          <w:top w:val="single" w:sz="24" w:space="0" w:color="000000"/>
          <w:left w:val="single" w:sz="8" w:space="0" w:color="000000"/>
          <w:bottom w:val="single" w:sz="8" w:space="0" w:color="000000"/>
          <w:right w:val="single" w:sz="8" w:space="0" w:color="000000"/>
          <w:insideH w:val="nil"/>
          <w:insideV w:val="single" w:sz="8" w:space="0" w:color="000000"/>
        </w:tcBorders>
      </w:tcPr>
    </w:tblStylePr>
    <w:tblStylePr w:type="firstCol">
      <w:rPr>
        <w:b/>
        <w:bCs/>
        <w:i w:val="0"/>
        <w:iCs w:val="0"/>
        <w:color w:val="FFFFFF"/>
      </w:rPr>
      <w:tblPr/>
      <w:tcPr>
        <w:tcBorders>
          <w:left w:val="single" w:sz="8" w:space="0" w:color="000000"/>
          <w:right w:val="single" w:sz="24" w:space="0" w:color="000000"/>
          <w:insideH w:val="nil"/>
          <w:insideV w:val="nil"/>
        </w:tcBorders>
      </w:tcPr>
    </w:tblStylePr>
    <w:tblStylePr w:type="lastCol">
      <w:rPr>
        <w:b/>
        <w:bCs/>
        <w:i w:val="0"/>
        <w:iCs w:val="0"/>
        <w:color w:val="FFFFFF"/>
      </w:rPr>
      <w:tblPr/>
      <w:tcPr>
        <w:tcBorders>
          <w:top w:val="nil"/>
          <w:left w:val="single" w:sz="24" w:space="0" w:color="000000"/>
          <w:bottom w:val="nil"/>
          <w:right w:val="nil"/>
          <w:insideH w:val="nil"/>
          <w:insideV w:val="nil"/>
        </w:tcBorders>
      </w:tcPr>
    </w:tblStylePr>
    <w:tblStylePr w:type="band1Vert">
      <w:tblPr/>
      <w:tcPr>
        <w:tcBorders>
          <w:top w:val="single" w:sz="8" w:space="0" w:color="000000"/>
          <w:left w:val="single" w:sz="8" w:space="0" w:color="000000"/>
          <w:bottom w:val="single" w:sz="8" w:space="0" w:color="000000"/>
          <w:right w:val="single" w:sz="8" w:space="0" w:color="000000"/>
          <w:insideH w:val="nil"/>
          <w:insideV w:val="nil"/>
        </w:tcBorders>
      </w:tcPr>
    </w:tblStylePr>
    <w:tblStylePr w:type="band1Horz">
      <w:tblPr/>
      <w:tcPr>
        <w:tcBorders>
          <w:top w:val="single" w:sz="8" w:space="0" w:color="000000"/>
          <w:left w:val="single" w:sz="8" w:space="0" w:color="000000"/>
          <w:bottom w:val="single" w:sz="8" w:space="0" w:color="000000"/>
          <w:right w:val="single" w:sz="8" w:space="0" w:color="000000"/>
          <w:insideH w:val="single" w:sz="8" w:space="0" w:color="000000"/>
          <w:insideV w:val="single" w:sz="8" w:space="0" w:color="000000"/>
        </w:tcBorders>
      </w:tcPr>
    </w:tblStylePr>
  </w:style>
  <w:style w:type="table" w:styleId="DarkList">
    <w:name w:val="Dark List"/>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1">
    <w:name w:val="Dark List Accent 1"/>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2">
    <w:name w:val="Dark List Accent 2"/>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3">
    <w:name w:val="Dark List Accent 3"/>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4">
    <w:name w:val="Dark List Accent 4"/>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5">
    <w:name w:val="Dark List Accent 5"/>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DarkList-Accent6">
    <w:name w:val="Dark List Accent 6"/>
    <w:basedOn w:val="TableNormal"/>
    <w:uiPriority w:val="70"/>
    <w:rsid w:val="00CB0664"/>
    <w:pPr>
      <w:spacing w:after="0" w:line="240" w:lineRule="auto"/>
    </w:pPr>
    <w:rPr>
      <w:color w:val="FFFFFF"/>
    </w:rPr>
    <w:tblPr>
      <w:tblStyleRowBandSize w:val="1"/>
      <w:tblStyleColBandSize w:val="1"/>
      <w:tblInd w:w="0" w:type="dxa"/>
      <w:tblCellMar>
        <w:top w:w="0" w:type="dxa"/>
        <w:left w:w="108" w:type="dxa"/>
        <w:bottom w:w="0" w:type="dxa"/>
        <w:right w:w="108" w:type="dxa"/>
      </w:tblCellMar>
    </w:tblPr>
    <w:tblStylePr w:type="firstRow">
      <w:rPr>
        <w:b/>
        <w:bCs/>
      </w:rPr>
      <w:tblPr/>
      <w:tcPr>
        <w:tcBorders>
          <w:top w:val="nil"/>
          <w:left w:val="nil"/>
          <w:bottom w:val="single" w:sz="18" w:space="0" w:color="000000"/>
          <w:right w:val="nil"/>
          <w:insideH w:val="nil"/>
          <w:insideV w:val="nil"/>
        </w:tcBorders>
      </w:tcPr>
    </w:tblStylePr>
    <w:tblStylePr w:type="lastRow">
      <w:tblPr/>
      <w:tcPr>
        <w:tcBorders>
          <w:top w:val="single" w:sz="18" w:space="0" w:color="000000"/>
          <w:left w:val="nil"/>
          <w:bottom w:val="nil"/>
          <w:right w:val="nil"/>
          <w:insideH w:val="nil"/>
          <w:insideV w:val="nil"/>
        </w:tcBorders>
      </w:tcPr>
    </w:tblStylePr>
    <w:tblStylePr w:type="firstCol">
      <w:tblPr/>
      <w:tcPr>
        <w:tcBorders>
          <w:top w:val="nil"/>
          <w:left w:val="nil"/>
          <w:bottom w:val="nil"/>
          <w:right w:val="single" w:sz="18" w:space="0" w:color="000000"/>
          <w:insideH w:val="nil"/>
          <w:insideV w:val="nil"/>
        </w:tcBorders>
      </w:tcPr>
    </w:tblStylePr>
    <w:tblStylePr w:type="lastCol">
      <w:tblPr/>
      <w:tcPr>
        <w:tcBorders>
          <w:top w:val="nil"/>
          <w:left w:val="single" w:sz="18" w:space="0" w:color="000000"/>
          <w:bottom w:val="nil"/>
          <w:right w:val="nil"/>
          <w:insideH w:val="nil"/>
          <w:insideV w:val="nil"/>
        </w:tcBorders>
      </w:tcPr>
    </w:tblStylePr>
    <w:tblStylePr w:type="band1Vert">
      <w:tblPr/>
      <w:tcPr>
        <w:tcBorders>
          <w:top w:val="nil"/>
          <w:left w:val="nil"/>
          <w:bottom w:val="nil"/>
          <w:right w:val="nil"/>
          <w:insideH w:val="nil"/>
          <w:insideV w:val="nil"/>
        </w:tcBorders>
      </w:tcPr>
    </w:tblStylePr>
    <w:tblStylePr w:type="band1Horz">
      <w:tblPr/>
      <w:tcPr>
        <w:tcBorders>
          <w:top w:val="nil"/>
          <w:left w:val="nil"/>
          <w:bottom w:val="nil"/>
          <w:right w:val="nil"/>
          <w:insideH w:val="nil"/>
          <w:insideV w:val="nil"/>
        </w:tcBorders>
      </w:tcPr>
    </w:tblStylePr>
  </w:style>
  <w:style w:type="table" w:styleId="ColorfulShading">
    <w:name w:val="Colorful Shading"/>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style>
  <w:style w:type="table" w:styleId="ColorfulShading-Accent4">
    <w:name w:val="Colorful Shading Accent 4"/>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CB0664"/>
    <w:pPr>
      <w:spacing w:after="0" w:line="240" w:lineRule="auto"/>
    </w:pPr>
    <w:rPr>
      <w:color w:val="000000"/>
    </w:rPr>
    <w:tblPr>
      <w:tblStyleRowBandSize w:val="1"/>
      <w:tblStyleColBandSize w:val="1"/>
      <w:tblInd w:w="0" w:type="dxa"/>
      <w:tblBorders>
        <w:top w:val="single" w:sz="2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tblStylePr w:type="firstRow">
      <w:rPr>
        <w:b/>
        <w:bCs/>
      </w:rPr>
      <w:tblPr/>
      <w:tcPr>
        <w:tcBorders>
          <w:top w:val="nil"/>
          <w:left w:val="nil"/>
          <w:bottom w:val="single" w:sz="24" w:space="0" w:color="000000"/>
          <w:right w:val="nil"/>
          <w:insideH w:val="nil"/>
          <w:insideV w:val="nil"/>
        </w:tcBorders>
      </w:tcPr>
    </w:tblStylePr>
    <w:tblStylePr w:type="lastRow">
      <w:rPr>
        <w:b/>
        <w:bCs/>
        <w:color w:val="FFFFFF"/>
      </w:rPr>
      <w:tblPr/>
      <w:tcPr>
        <w:tcBorders>
          <w:top w:val="single" w:sz="6" w:space="0" w:color="000000"/>
        </w:tcBorders>
      </w:tcPr>
    </w:tblStylePr>
    <w:tblStylePr w:type="firstCol">
      <w:rPr>
        <w:color w:val="FFFFFF"/>
      </w:rPr>
      <w:tblPr/>
      <w:tcPr>
        <w:tcBorders>
          <w:top w:val="nil"/>
          <w:left w:val="nil"/>
          <w:bottom w:val="nil"/>
          <w:right w:val="nil"/>
          <w:insideH w:val="single" w:sz="4" w:space="0" w:color="000000"/>
          <w:insideV w:val="nil"/>
        </w:tcBorders>
      </w:tcPr>
    </w:tblStylePr>
    <w:tblStylePr w:type="lastCol">
      <w:rPr>
        <w:color w:val="FFFFFF"/>
      </w:rPr>
      <w:tblPr/>
      <w:tcPr>
        <w:tcBorders>
          <w:top w:val="nil"/>
          <w:left w:val="nil"/>
          <w:bottom w:val="nil"/>
          <w:right w:val="nil"/>
          <w:insideH w:val="nil"/>
          <w:insideV w:val="nil"/>
        </w:tcBorders>
      </w:tcPr>
    </w:tblStylePr>
    <w:tblStylePr w:type="neCell">
      <w:rPr>
        <w:color w:val="000000"/>
      </w:rPr>
    </w:tblStylePr>
    <w:tblStylePr w:type="nwCell">
      <w:rPr>
        <w:color w:val="000000"/>
      </w:rPr>
    </w:tblStylePr>
  </w:style>
  <w:style w:type="table" w:styleId="ColorfulList">
    <w:name w:val="Colorful List"/>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9E3A38"/>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1">
    <w:name w:val="Colorful List Accent 1"/>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9E3A38"/>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2">
    <w:name w:val="Colorful List Accent 2"/>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9E3A38"/>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3">
    <w:name w:val="Colorful List Accent 3"/>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664E82"/>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4">
    <w:name w:val="Colorful List Accent 4"/>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7E9C40"/>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5">
    <w:name w:val="Colorful List Accent 5"/>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F2730A"/>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List-Accent6">
    <w:name w:val="Colorful List Accent 6"/>
    <w:basedOn w:val="TableNormal"/>
    <w:uiPriority w:val="72"/>
    <w:rsid w:val="00CB0664"/>
    <w:pPr>
      <w:spacing w:after="0" w:line="240" w:lineRule="auto"/>
    </w:pPr>
    <w:rPr>
      <w:color w:val="000000"/>
    </w:rPr>
    <w:tblPr>
      <w:tblStyleRowBandSize w:val="1"/>
      <w:tblStyleColBandSize w:val="1"/>
      <w:tblInd w:w="0" w:type="dxa"/>
      <w:tblCellMar>
        <w:top w:w="0" w:type="dxa"/>
        <w:left w:w="108" w:type="dxa"/>
        <w:bottom w:w="0" w:type="dxa"/>
        <w:right w:w="108" w:type="dxa"/>
      </w:tblCellMar>
    </w:tblPr>
    <w:tblStylePr w:type="firstRow">
      <w:rPr>
        <w:b/>
        <w:bCs/>
        <w:color w:val="FFFFFF"/>
      </w:rPr>
      <w:tblPr/>
      <w:tcPr>
        <w:tcBorders>
          <w:bottom w:val="single" w:sz="12" w:space="0" w:color="000000"/>
        </w:tcBorders>
      </w:tcPr>
    </w:tblStylePr>
    <w:tblStylePr w:type="lastRow">
      <w:rPr>
        <w:b/>
        <w:bCs/>
        <w:color w:val="348DA5"/>
      </w:rPr>
      <w:tblPr/>
      <w:tcPr>
        <w:tcBorders>
          <w:top w:val="single" w:sz="12" w:space="0" w:color="000000"/>
        </w:tcBorders>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tcPr>
    </w:tblStylePr>
  </w:style>
  <w:style w:type="table" w:styleId="ColorfulGrid">
    <w:name w:val="Colorful Grid"/>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1">
    <w:name w:val="Colorful Grid Accent 1"/>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2">
    <w:name w:val="Colorful Grid Accent 2"/>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3">
    <w:name w:val="Colorful Grid Accent 3"/>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4">
    <w:name w:val="Colorful Grid Accent 4"/>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5">
    <w:name w:val="Colorful Grid Accent 5"/>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 w:type="table" w:styleId="ColorfulGrid-Accent6">
    <w:name w:val="Colorful Grid Accent 6"/>
    <w:basedOn w:val="TableNormal"/>
    <w:uiPriority w:val="73"/>
    <w:rsid w:val="00CB0664"/>
    <w:pPr>
      <w:spacing w:after="0" w:line="240" w:lineRule="auto"/>
    </w:pPr>
    <w:rPr>
      <w:color w:val="000000"/>
    </w:rPr>
    <w:tblPr>
      <w:tblStyleRowBandSize w:val="1"/>
      <w:tblStyleColBandSize w:val="1"/>
      <w:tblInd w:w="0" w:type="dxa"/>
      <w:tblBorders>
        <w:insideH w:val="single" w:sz="4" w:space="0" w:color="000000"/>
      </w:tblBorders>
      <w:tblCellMar>
        <w:top w:w="0" w:type="dxa"/>
        <w:left w:w="108" w:type="dxa"/>
        <w:bottom w:w="0" w:type="dxa"/>
        <w:right w:w="108" w:type="dxa"/>
      </w:tblCellMar>
    </w:tblPr>
    <w:tblStylePr w:type="firstRow">
      <w:rPr>
        <w:b/>
        <w:bCs/>
      </w:rPr>
    </w:tblStylePr>
    <w:tblStylePr w:type="lastRow">
      <w:rPr>
        <w:b/>
        <w:bCs/>
        <w:color w:val="000000"/>
      </w:rPr>
    </w:tblStylePr>
    <w:tblStylePr w:type="firstCol">
      <w:rPr>
        <w:color w:val="FFFFFF"/>
      </w:rPr>
    </w:tblStylePr>
    <w:tblStylePr w:type="lastCol">
      <w:rPr>
        <w:color w:val="FFFFFF"/>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F35739-AD51-4DAD-977A-54870275C3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14</Pages>
  <Words>3107</Words>
  <Characters>17711</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20777</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Risk-of-Bias and Critical Appraisal Table - 37 Studies</dc:title>
  <dc:subject>RoB 2, ROBINS-I, JBI Quasi-Experimental, and JBI Case Series appraisals</dc:subject>
  <dc:creator>Systematic review working document</dc:creator>
  <cp:keywords/>
  <dc:description>generated by python-docx</dc:description>
  <cp:lastModifiedBy>Bita</cp:lastModifiedBy>
  <cp:revision>3</cp:revision>
  <dcterms:created xsi:type="dcterms:W3CDTF">2026-08-19T01:34:00Z</dcterms:created>
  <dcterms:modified xsi:type="dcterms:W3CDTF">2026-08-20T05:05:00Z</dcterms:modified>
  <cp:category/>
</cp:coreProperties>
</file>