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02810" w14:textId="77777777" w:rsidR="00936871" w:rsidRPr="00E53029" w:rsidRDefault="005C43B0">
      <w:pPr>
        <w:pStyle w:val="Title"/>
        <w:jc w:val="center"/>
        <w:rPr>
          <w:rFonts w:asciiTheme="majorBidi" w:hAnsiTheme="majorBidi"/>
        </w:rPr>
      </w:pPr>
      <w:r w:rsidRPr="00E53029">
        <w:rPr>
          <w:rFonts w:asciiTheme="majorBidi" w:hAnsiTheme="majorBidi"/>
        </w:rPr>
        <w:t>Harmonized Outcome Definitions, Study-Level Mapping, and Study Contributions</w:t>
      </w:r>
    </w:p>
    <w:p w14:paraId="67DDD224" w14:textId="77777777" w:rsidR="00936871" w:rsidRPr="00E53029" w:rsidRDefault="005C43B0">
      <w:pPr>
        <w:jc w:val="center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  <w:b/>
          <w:sz w:val="18"/>
        </w:rPr>
        <w:t>Antimicrobial Lock Therapy for Catheter-Related Infections in Adult Oncology and Hematology Populations</w:t>
      </w:r>
    </w:p>
    <w:p w14:paraId="43D3913C" w14:textId="77777777" w:rsidR="00936871" w:rsidRPr="00E53029" w:rsidRDefault="005C43B0">
      <w:pPr>
        <w:pStyle w:val="FrameworkBMC"/>
        <w:keepNext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Outcome framework. Study-reported definitions, denominators, and </w:t>
      </w:r>
      <w:r w:rsidRPr="00E53029">
        <w:rPr>
          <w:rFonts w:asciiTheme="majorBidi" w:hAnsiTheme="majorBidi" w:cstheme="majorBidi"/>
        </w:rPr>
        <w:t>assessment points were retained during extraction and mapped to review-level harmonized outcome domains. The study sets below were aligned to the final manuscript. ALT-treated absolute outcomes are kept separate from comparative treatment effects. Review-d</w:t>
      </w:r>
      <w:r w:rsidRPr="00E53029">
        <w:rPr>
          <w:rFonts w:asciiTheme="majorBidi" w:hAnsiTheme="majorBidi" w:cstheme="majorBidi"/>
        </w:rPr>
        <w:t>erived values are shown only when the source-reported components permitted an unambiguous reconstruction and are explicitly flagged. For infection-attributable mortality, no follow-up strata are used in this harmonization file because timing of attribution</w:t>
      </w:r>
      <w:r w:rsidRPr="00E53029">
        <w:rPr>
          <w:rFonts w:asciiTheme="majorBidi" w:hAnsiTheme="majorBidi" w:cstheme="majorBidi"/>
        </w:rPr>
        <w:t xml:space="preserve"> was not sufficiently uniform or reliably harmonizable across studies.</w:t>
      </w:r>
    </w:p>
    <w:p w14:paraId="267782B1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Overview. Study contribution to outcomes emphasized in the main manuscript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12"/>
        <w:gridCol w:w="1673"/>
        <w:gridCol w:w="1139"/>
        <w:gridCol w:w="1206"/>
        <w:gridCol w:w="7428"/>
      </w:tblGrid>
      <w:tr w:rsidR="00936871" w:rsidRPr="00E53029" w14:paraId="55D6E826" w14:textId="77777777" w:rsidTr="00E53029">
        <w:trPr>
          <w:cantSplit/>
          <w:tblHeader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DD76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Outcome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0E46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Synthesis role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BB05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Studies, k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CF4D2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ALT-treated N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D0A8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Contributing studies</w:t>
            </w:r>
          </w:p>
        </w:tc>
      </w:tr>
      <w:tr w:rsidR="00936871" w:rsidRPr="00E53029" w14:paraId="782BE27C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94CB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clinical response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5D40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Absolute pooled </w:t>
            </w:r>
            <w:r w:rsidRPr="00E53029">
              <w:rPr>
                <w:rFonts w:asciiTheme="majorBidi" w:hAnsiTheme="majorBidi" w:cstheme="majorBidi"/>
                <w:sz w:val="13"/>
              </w:rPr>
              <w:t>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6F85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6CB0B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178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C4FD0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2018; Raad 2016; Vassallo 2017; Haag 2011; Fernández-Hidalgo 2006; Del Pozo 2009 (CoNS)</w:t>
            </w:r>
          </w:p>
        </w:tc>
      </w:tr>
      <w:tr w:rsidR="00936871" w:rsidRPr="00E53029" w14:paraId="76D02792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9CB3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microbiological response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9735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D99C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45FC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273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FBE0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Koldehoff &amp; Zakrzewski 2004; Sánchez-Muñoz 2005; Broom 2008; Tatarelli 2015; </w:t>
            </w:r>
            <w:r w:rsidRPr="00E53029">
              <w:rPr>
                <w:rFonts w:asciiTheme="majorBidi" w:hAnsiTheme="majorBidi" w:cstheme="majorBidi"/>
                <w:sz w:val="13"/>
              </w:rPr>
              <w:t>Hachem 2018; Brescia 2023; Krümpelmann 2021; Vassallo 2024; Ranganath 2025</w:t>
            </w:r>
          </w:p>
        </w:tc>
      </w:tr>
      <w:tr w:rsidR="00936871" w:rsidRPr="00E53029" w14:paraId="229DE7BE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8AF0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Sustained infection resolution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4287A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5B21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27EE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101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F17E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Freire 2018; Viale 2003; Lebeaux 2025; Longuet 2001; Del Pozo 2009 (non-CoNS); Bookstaver 2010</w:t>
            </w:r>
          </w:p>
        </w:tc>
      </w:tr>
      <w:tr w:rsidR="00936871" w:rsidRPr="00E53029" w14:paraId="5C30FEDF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D021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Short-term catheter </w:t>
            </w:r>
            <w:r w:rsidRPr="00E53029">
              <w:rPr>
                <w:rFonts w:asciiTheme="majorBidi" w:hAnsiTheme="majorBidi" w:cstheme="majorBidi"/>
                <w:sz w:val="13"/>
              </w:rPr>
              <w:t>salvage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A669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3257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57FC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234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7D91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Zanwar 2019; Broom 2008; Tejwani &amp; Parry 2011; Joo 2011; Hachem 2018; Fortún 2006; Fernández-Hidalgo 2006; Del Pozo 2009 (non-CoNS); Vassallo 2017; Vassallo 2024; Bookstaver 2010</w:t>
            </w:r>
          </w:p>
        </w:tc>
      </w:tr>
      <w:tr w:rsidR="00936871" w:rsidRPr="00E53029" w14:paraId="10392E77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AEA8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Catheter salvage at approximately </w:t>
            </w:r>
            <w:r w:rsidRPr="00E53029">
              <w:rPr>
                <w:rFonts w:asciiTheme="majorBidi" w:hAnsiTheme="majorBidi" w:cstheme="majorBidi"/>
                <w:sz w:val="13"/>
              </w:rPr>
              <w:t>3 months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86CB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3ABA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16A2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433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651D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2025; Ranch-Lundin 2021; Zhang 2025; Sánchez-Muñoz 2005; Lafaurie 2023; Bayoudh 2024; Tatarelli 2015; Lesens 2024; Alonso 2020</w:t>
            </w:r>
          </w:p>
        </w:tc>
      </w:tr>
      <w:tr w:rsidR="00936871" w:rsidRPr="00E53029" w14:paraId="5989E99C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B855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Same-organism relapse within approximately 30 days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ABB0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</w:t>
            </w:r>
            <w:r w:rsidRPr="00E53029">
              <w:rPr>
                <w:rFonts w:asciiTheme="majorBidi" w:hAnsiTheme="majorBidi" w:cstheme="majorBidi"/>
                <w:sz w:val="13"/>
              </w:rPr>
              <w:t>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9EEB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B00A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141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7DF7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2005; Fernández-Hidalgo 2006; Fortún 2006; Broom 2008; Del Pozo 2009 (non-CoNS); Vassallo 2017</w:t>
            </w:r>
          </w:p>
        </w:tc>
      </w:tr>
      <w:tr w:rsidR="00936871" w:rsidRPr="00E53029" w14:paraId="3B11AB8F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D3FD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Same-organism relapse during 31-100 days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BBC2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0EDD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5683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247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EF5E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2025; Zhang 2025; Bayoudh 2024; Bookstaver 2010; Viale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2003; Lebeaux 2025; Lafaurie 2023</w:t>
            </w:r>
          </w:p>
        </w:tc>
      </w:tr>
      <w:tr w:rsidR="00936871" w:rsidRPr="00E53029" w14:paraId="7F8CBE9D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EF6A5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Infection-attributable mortality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CE3E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Absolute pooled proportion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52D4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A8C7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673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EA09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Ranganath 2025; Freire 2018; Raad 2016; Haag 2011; Vidal 2016; Lafaurie 2023; Bayoudh 2024; Lesens 2024; Sánchez-Muñoz 2005; Fortún 2006; Wintenberger </w:t>
            </w:r>
            <w:r w:rsidRPr="00E53029">
              <w:rPr>
                <w:rFonts w:asciiTheme="majorBidi" w:hAnsiTheme="majorBidi" w:cstheme="majorBidi"/>
                <w:sz w:val="13"/>
              </w:rPr>
              <w:t>2012; Zhang 2025; Alonso 2020; Zanwar 2019; Fernández-Hidalgo 2006; Viale 2003</w:t>
            </w:r>
          </w:p>
        </w:tc>
      </w:tr>
      <w:tr w:rsidR="00936871" w:rsidRPr="00E53029" w14:paraId="0B71D4BD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7979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 length of stay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2F91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E653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26B9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B0B0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2025; Alonso 2020</w:t>
            </w:r>
          </w:p>
        </w:tc>
      </w:tr>
      <w:tr w:rsidR="00936871" w:rsidRPr="00E53029" w14:paraId="3A7E91B0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FAFD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antimicrobial duration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CC88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AC60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 reported; 4 comparative emphasized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FA43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E948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Comparative: Ranganath 2025;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Raad 2016; Hachem 2018; Zanwar 2019. Additional descriptive: Lafaurie 2023; Vassallo 2017; Vassallo 2024; Santarpia 2016; Del Pozo 2009 (non-CoNS)</w:t>
            </w:r>
          </w:p>
        </w:tc>
      </w:tr>
      <w:tr w:rsidR="00936871" w:rsidRPr="00E53029" w14:paraId="3C9EEE35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A7DA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Mechanical/procedure-related catheter complications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8146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807B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13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1315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1B2D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Lesens 2024; Raad 2016; Zhang 2025; </w:t>
            </w:r>
            <w:r w:rsidRPr="00E53029">
              <w:rPr>
                <w:rFonts w:asciiTheme="majorBidi" w:hAnsiTheme="majorBidi" w:cstheme="majorBidi"/>
                <w:sz w:val="13"/>
              </w:rPr>
              <w:t>Ranganath 2025; Hachem 2018; Haag 2011; Ahmad 2019; Fernández-Hidalgo 2006; Kubiak 2014; Rijnders 2005; Broom 2008; Alonso 2020; Ranch-Lundin 2021</w:t>
            </w:r>
          </w:p>
        </w:tc>
      </w:tr>
      <w:tr w:rsidR="00936871" w:rsidRPr="00E53029" w14:paraId="7956B059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2528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Lock-related adverse events/tolerability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A171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7A2FE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13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8D5F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A036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 2024; Raad 2016; Hachem 2018; Kubiak 2014; Ha</w:t>
            </w:r>
            <w:r w:rsidRPr="00E53029">
              <w:rPr>
                <w:rFonts w:asciiTheme="majorBidi" w:hAnsiTheme="majorBidi" w:cstheme="majorBidi"/>
                <w:sz w:val="13"/>
              </w:rPr>
              <w:t>ag 2011; Koldehoff &amp; Zakrzewski 2004; Broom 2008; Ahmad 2019; Brescia 2023; Lebeaux 2025; Tatarelli 2015; Ranch-Lundin 2021; Zhang 2025</w:t>
            </w:r>
          </w:p>
        </w:tc>
      </w:tr>
      <w:tr w:rsidR="00936871" w:rsidRPr="00E53029" w14:paraId="73CD66CF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B831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Prognostic/treatment-outcome associations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5D6B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E6C9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 studies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CC96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B0E1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Freire 2018; Zhang 2025; Ranganath 2025; Del Pozo 2009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(CoNS); Lafaurie 2023; Wintenberger 2012; Santarpia 2016; Krümpelmann 2021; Rijnders 2005; Bookstaver 2010; Fernández-Hidalgo 2006</w:t>
            </w:r>
          </w:p>
        </w:tc>
      </w:tr>
      <w:tr w:rsidR="00936871" w:rsidRPr="00E53029" w14:paraId="49FDED3E" w14:textId="77777777" w:rsidTr="00E53029">
        <w:trPr>
          <w:cantSplit/>
          <w:jc w:val="center"/>
        </w:trPr>
        <w:tc>
          <w:tcPr>
            <w:tcW w:w="9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EDFF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Active-lock regimen comparisons</w:t>
            </w:r>
          </w:p>
        </w:tc>
        <w:tc>
          <w:tcPr>
            <w:tcW w:w="5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7A0A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Narrative</w:t>
            </w:r>
          </w:p>
        </w:tc>
        <w:tc>
          <w:tcPr>
            <w:tcW w:w="40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E054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4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0D69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—</w:t>
            </w:r>
          </w:p>
        </w:tc>
        <w:tc>
          <w:tcPr>
            <w:tcW w:w="26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907C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 2024; Del Pozo 2009 (CoNS); Ranch-Lundin 2021</w:t>
            </w:r>
          </w:p>
        </w:tc>
      </w:tr>
    </w:tbl>
    <w:p w14:paraId="2D8337BF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Note. N denotes the </w:t>
      </w:r>
      <w:r w:rsidRPr="00E53029">
        <w:rPr>
          <w:rFonts w:asciiTheme="majorBidi" w:hAnsiTheme="majorBidi" w:cstheme="majorBidi"/>
        </w:rPr>
        <w:t>ALT-treated denominator for pooled absolute outcomes. Narrative outcomes are not assigned a pooled denominator because reported metrics, comparators, or endpoint definitions were not sufficiently aligned.</w:t>
      </w:r>
    </w:p>
    <w:p w14:paraId="1DFE5429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1. Early Clinical Response</w:t>
      </w:r>
    </w:p>
    <w:p w14:paraId="40EF5E18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harmonized absol</w:t>
      </w:r>
      <w:r w:rsidRPr="00E53029">
        <w:rPr>
          <w:rFonts w:asciiTheme="majorBidi" w:hAnsiTheme="majorBidi" w:cstheme="majorBidi"/>
        </w:rPr>
        <w:t>ute synthesis: 6 studies, 178 evaluable ALT-treated episodes/patients. Contributing studies: Hachem 2018, Raad 2016, Vassallo 2017, Haag 2011, Fernández-Hidalgo 2006, and Del Pozo 2009 (CoNS).</w:t>
      </w:r>
    </w:p>
    <w:p w14:paraId="39F99736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1A. Early clinical response within 7 days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932"/>
        <w:gridCol w:w="1532"/>
        <w:gridCol w:w="3132"/>
        <w:gridCol w:w="2131"/>
        <w:gridCol w:w="3798"/>
      </w:tblGrid>
      <w:tr w:rsidR="00936871" w:rsidRPr="00E53029" w14:paraId="0F7C49EE" w14:textId="77777777" w:rsidTr="00E53029">
        <w:trPr>
          <w:cantSplit/>
          <w:tblHeader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2AB9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2C761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BC4A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</w:t>
            </w:r>
            <w:r w:rsidRPr="00E53029">
              <w:rPr>
                <w:rFonts w:asciiTheme="majorBidi" w:hAnsiTheme="majorBidi" w:cstheme="majorBidi"/>
                <w:b/>
                <w:sz w:val="14"/>
              </w:rPr>
              <w:t>sessment window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8C3F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Clinical outcome definition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7E40D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896F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note</w:t>
            </w:r>
          </w:p>
        </w:tc>
      </w:tr>
      <w:tr w:rsidR="00936871" w:rsidRPr="00E53029" w14:paraId="573A3564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2CE4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Hachem 2018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4FDF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intervention + matched retrospective controls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47D8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Within 24 h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50AF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Fever resolution among patients febrile at baseline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5C55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15/16 (93.8%) vs control 17/17 (100%); p=0.48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4892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 population; cancer 18/20 in ALT and 17/24 in controls; cancer-specific response not separable.</w:t>
            </w:r>
          </w:p>
        </w:tc>
      </w:tr>
      <w:tr w:rsidR="00936871" w:rsidRPr="00E53029" w14:paraId="213FC69D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1F113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E588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nonrandomized comparative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B2CF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Early; fixed threshold NR , Median 3 d (range 1-4)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C967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Fever resolution after intervention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8C798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Lock 19/19 (100%) </w:t>
            </w:r>
            <w:r w:rsidRPr="00E53029">
              <w:rPr>
                <w:rFonts w:asciiTheme="majorBidi" w:hAnsiTheme="majorBidi" w:cstheme="majorBidi"/>
                <w:sz w:val="13"/>
              </w:rPr>
              <w:t>vs control 44/45 (97.8%); p&gt;0.99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1FA6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cancer; eventual fever resolution rather than a fixed 24-h binary landmark.</w:t>
            </w:r>
          </w:p>
        </w:tc>
      </w:tr>
      <w:tr w:rsidR="00936871" w:rsidRPr="00E53029" w14:paraId="358D9AF7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B33EE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2017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8174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62C0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 treatment / short-term follow-up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6E0A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Complete clinical response after ALT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A0A1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21/21 (100%)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72CF7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 c</w:t>
            </w:r>
            <w:r w:rsidRPr="00E53029">
              <w:rPr>
                <w:rFonts w:asciiTheme="majorBidi" w:hAnsiTheme="majorBidi" w:cstheme="majorBidi"/>
                <w:sz w:val="13"/>
              </w:rPr>
              <w:t>ohort; exact fixed clinical-response day not reported.</w:t>
            </w:r>
          </w:p>
        </w:tc>
      </w:tr>
      <w:tr w:rsidR="00936871" w:rsidRPr="00E53029" w14:paraId="313B3EDC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7EB8F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Haag 2011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89CCC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8165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 the 3-4 d treatment course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20BC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early clinical response: absence of persistent fever prompting treatment discontinuation/explantation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E171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20/24 (83.3%)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early response; 4/24 (16.7%) persistent fever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CA69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Cancer-only; favorable response is review-derived as the complement of explicitly reported persistent-fever failures.</w:t>
            </w:r>
          </w:p>
        </w:tc>
      </w:tr>
      <w:tr w:rsidR="00936871" w:rsidRPr="00E53029" w14:paraId="693A37BE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E7439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Fernández-Hidalgo 2006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1968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 retrospective/prospective single-arm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C327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Approximately 72 h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CB03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early clinical response: absence of persistent fever after 72 h of therapy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601B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Cancer/chemotherapy subgroup 51/54 (94.4%); persistent fever 3/54 (5.6%)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111A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Cancer-associated subgroup reconstructed from catheter-use categories and individual failure </w:t>
            </w:r>
            <w:r w:rsidRPr="00E53029">
              <w:rPr>
                <w:rFonts w:asciiTheme="majorBidi" w:hAnsiTheme="majorBidi" w:cstheme="majorBidi"/>
                <w:sz w:val="13"/>
              </w:rPr>
              <w:t>descriptions; response is the complement of persistent-fever failures.</w:t>
            </w:r>
          </w:p>
        </w:tc>
      </w:tr>
      <w:tr w:rsidR="00936871" w:rsidRPr="00E53029" w14:paraId="47305175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7951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CoNS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3402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sequential active-lock cohort</w:t>
            </w:r>
          </w:p>
        </w:tc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5F49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Beyond 72 h after ALT initiation</w:t>
            </w:r>
          </w:p>
        </w:tc>
        <w:tc>
          <w:tcPr>
            <w:tcW w:w="11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8D02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early clinical response: absence of persistent fever requiring port remova</w:t>
            </w:r>
            <w:r w:rsidRPr="00E53029">
              <w:rPr>
                <w:rFonts w:asciiTheme="majorBidi" w:hAnsiTheme="majorBidi" w:cstheme="majorBidi"/>
                <w:sz w:val="13"/>
              </w:rPr>
              <w:t>l</w:t>
            </w:r>
          </w:p>
        </w:tc>
        <w:tc>
          <w:tcPr>
            <w:tcW w:w="7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9EBF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Any lock 41/44 (93.2%); persistent fever 3/44 (6.8%)</w:t>
            </w:r>
          </w:p>
        </w:tc>
        <w:tc>
          <w:tcPr>
            <w:tcW w:w="13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1FEF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cancer. The three persistent-fever failures occurred in the vancomycin-lock group; for an any-lock single-arm synthesis, the two active-lock groups are combined at study level.</w:t>
            </w:r>
          </w:p>
        </w:tc>
      </w:tr>
    </w:tbl>
    <w:p w14:paraId="23B1C5D4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Primary manuscript </w:t>
      </w:r>
      <w:r w:rsidRPr="00E53029">
        <w:rPr>
          <w:rFonts w:asciiTheme="majorBidi" w:hAnsiTheme="majorBidi" w:cstheme="majorBidi"/>
        </w:rPr>
        <w:t>synthesis: pooled early clinical response 93.8% (95% CI, 90.3%-97.4%). Directly reported and review-derived favorable counts are distinguished in the study-level notes.</w:t>
      </w:r>
    </w:p>
    <w:p w14:paraId="75FF2510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1B. Time to clinical resolution / fever duration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1"/>
        <w:gridCol w:w="1933"/>
        <w:gridCol w:w="1465"/>
        <w:gridCol w:w="3264"/>
        <w:gridCol w:w="2331"/>
        <w:gridCol w:w="3464"/>
      </w:tblGrid>
      <w:tr w:rsidR="00936871" w:rsidRPr="00E53029" w14:paraId="201EF055" w14:textId="77777777" w:rsidTr="00E53029">
        <w:trPr>
          <w:cantSplit/>
          <w:tblHeader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3DC8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4F3E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25E5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DF2C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Clinical outcome definition</w:t>
            </w:r>
          </w:p>
        </w:tc>
        <w:tc>
          <w:tcPr>
            <w:tcW w:w="8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AD14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FD3D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note</w:t>
            </w:r>
          </w:p>
        </w:tc>
      </w:tr>
      <w:tr w:rsidR="00936871" w:rsidRPr="00E53029" w14:paraId="505B2769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F6C2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8E79E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comparative</w:t>
            </w:r>
          </w:p>
        </w:tc>
        <w:tc>
          <w:tcPr>
            <w:tcW w:w="5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E6D7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 treatment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E901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from intervention to fever resolution</w:t>
            </w:r>
          </w:p>
        </w:tc>
        <w:tc>
          <w:tcPr>
            <w:tcW w:w="8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F09EE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1 d (range 1-3) vs 1 d (1-2); p=0.24</w:t>
            </w:r>
          </w:p>
        </w:tc>
        <w:tc>
          <w:tcPr>
            <w:tcW w:w="12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0C27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vs matched control; mixed population.</w:t>
            </w:r>
          </w:p>
        </w:tc>
      </w:tr>
      <w:tr w:rsidR="00936871" w:rsidRPr="00E53029" w14:paraId="44E58294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03C1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31D3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nonrandomized comparative</w:t>
            </w:r>
          </w:p>
        </w:tc>
        <w:tc>
          <w:tcPr>
            <w:tcW w:w="5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9215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 treatment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4CA2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from intervention to fever resolution</w:t>
            </w:r>
          </w:p>
        </w:tc>
        <w:tc>
          <w:tcPr>
            <w:tcW w:w="8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1458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3 d (range 1-4) vs 2 d (1-13); p=0.28</w:t>
            </w:r>
          </w:p>
        </w:tc>
        <w:tc>
          <w:tcPr>
            <w:tcW w:w="12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A1D1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cancer.</w:t>
            </w:r>
          </w:p>
        </w:tc>
      </w:tr>
      <w:tr w:rsidR="00936871" w:rsidRPr="00E53029" w14:paraId="44457427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CF4B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Viale 2003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8498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uncontrolled pilot</w:t>
            </w:r>
          </w:p>
        </w:tc>
        <w:tc>
          <w:tcPr>
            <w:tcW w:w="5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D870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treatment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63B5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from ALT initiation to defervescence</w:t>
            </w:r>
          </w:p>
        </w:tc>
        <w:tc>
          <w:tcPr>
            <w:tcW w:w="8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39EA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48 h (range 24-72 h)</w:t>
            </w:r>
          </w:p>
        </w:tc>
        <w:tc>
          <w:tcPr>
            <w:tcW w:w="12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E4F9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Reported for the overall mixed study cohort; cancer-specific timing not separable.</w:t>
            </w:r>
          </w:p>
        </w:tc>
      </w:tr>
      <w:tr w:rsidR="00936871" w:rsidRPr="00E53029" w14:paraId="067A7FB6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85DA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Joo 2011</w:t>
            </w:r>
          </w:p>
        </w:tc>
        <w:tc>
          <w:tcPr>
            <w:tcW w:w="68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13B5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cohort</w:t>
            </w:r>
          </w:p>
        </w:tc>
        <w:tc>
          <w:tcPr>
            <w:tcW w:w="5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14A2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Hospitalization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9FD5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Duration of fever by salvage outcome</w:t>
            </w:r>
          </w:p>
        </w:tc>
        <w:tc>
          <w:tcPr>
            <w:tcW w:w="8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C2C8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Successful salvage 5 +/- 3 d vs failed salvage 6 +/- 5 d; </w:t>
            </w:r>
            <w:r w:rsidRPr="00E53029">
              <w:rPr>
                <w:rFonts w:asciiTheme="majorBidi" w:hAnsiTheme="majorBidi" w:cstheme="majorBidi"/>
                <w:sz w:val="13"/>
              </w:rPr>
              <w:t>p=0.357</w:t>
            </w:r>
          </w:p>
        </w:tc>
        <w:tc>
          <w:tcPr>
            <w:tcW w:w="12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8D80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neutropenic cancer; comparison is by salvage success/failure, not ALT vs no ALT.</w:t>
            </w:r>
          </w:p>
        </w:tc>
      </w:tr>
    </w:tbl>
    <w:p w14:paraId="2482224A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Time-to-resolution measures were retained narratively because the reported metrics and assessment definitions were not sufficiently aligned for quantitative pooli</w:t>
      </w:r>
      <w:r w:rsidRPr="00E53029">
        <w:rPr>
          <w:rFonts w:asciiTheme="majorBidi" w:hAnsiTheme="majorBidi" w:cstheme="majorBidi"/>
        </w:rPr>
        <w:t>ng.</w:t>
      </w:r>
    </w:p>
    <w:p w14:paraId="2F6A3B10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2. Early Microbiological Response</w:t>
      </w:r>
    </w:p>
    <w:p w14:paraId="1968A7E9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Primary harmonized absolute synthesis in the final manuscript: 9 studies, 273 evaluable ALT-treated episodes/patients. Contributing studies: Koldehoff &amp; Zakrzewski 2004, Sánchez-Muñoz 2005, Broom 2008, Tatarelli 2015, </w:t>
      </w:r>
      <w:r w:rsidRPr="00E53029">
        <w:rPr>
          <w:rFonts w:asciiTheme="majorBidi" w:hAnsiTheme="majorBidi" w:cstheme="majorBidi"/>
        </w:rPr>
        <w:t>Hachem 2018, Brescia 2023, Krümpelmann 2021, Vassallo 2024, and Ranganath 2025.</w:t>
      </w:r>
    </w:p>
    <w:p w14:paraId="5EFE59FA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2A. Harmonized early microbiological response within 7 days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41"/>
        <w:gridCol w:w="1940"/>
        <w:gridCol w:w="1473"/>
        <w:gridCol w:w="3214"/>
        <w:gridCol w:w="2075"/>
        <w:gridCol w:w="3815"/>
      </w:tblGrid>
      <w:tr w:rsidR="00936871" w:rsidRPr="00E53029" w14:paraId="1CA69985" w14:textId="77777777" w:rsidTr="00E53029">
        <w:trPr>
          <w:cantSplit/>
          <w:tblHeader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CEBE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7BEA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E45E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16C4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Microbiological endpoint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6B38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693F1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note</w:t>
            </w:r>
          </w:p>
        </w:tc>
      </w:tr>
      <w:tr w:rsidR="00936871" w:rsidRPr="00E53029" w14:paraId="207BCCE8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5C4B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Koldehoff &amp; Zakrzewski 2004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C837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Open nonrandomized single-center pilot study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0E9B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During/after 1–3-d lock course; exact clearance day NR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605D9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Complete CRBSI recovery including negative blood cultures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F3C9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11/11 (100%)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784F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 adults. Close serial central/peripheral blood cultures were used; exact i</w:t>
            </w:r>
            <w:r w:rsidRPr="00E53029">
              <w:rPr>
                <w:rFonts w:asciiTheme="majorBidi" w:hAnsiTheme="majorBidi" w:cstheme="majorBidi"/>
                <w:sz w:val="13"/>
              </w:rPr>
              <w:t>ndividual clearance day was not reported.</w:t>
            </w:r>
          </w:p>
        </w:tc>
      </w:tr>
      <w:tr w:rsidR="00936871" w:rsidRPr="00E53029" w14:paraId="30639D4C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70973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65853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single-arm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B3D1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72 h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6C17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Afebrile with negative blood c</w:t>
            </w:r>
            <w:bookmarkStart w:id="0" w:name="_GoBack"/>
            <w:bookmarkEnd w:id="0"/>
            <w:r w:rsidRPr="00E53029">
              <w:rPr>
                <w:rFonts w:asciiTheme="majorBidi" w:hAnsiTheme="majorBidi" w:cstheme="majorBidi"/>
                <w:sz w:val="13"/>
              </w:rPr>
              <w:t>ultures at 72 h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D6B1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Adult-only 11/13 (84.6%)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533D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Cancer-only adult estimate. The original study reported 12/14; one 15-year-old successful </w:t>
            </w:r>
            <w:r w:rsidRPr="00E53029">
              <w:rPr>
                <w:rFonts w:asciiTheme="majorBidi" w:hAnsiTheme="majorBidi" w:cstheme="majorBidi"/>
                <w:sz w:val="13"/>
              </w:rPr>
              <w:t>patient was excluded from this review.</w:t>
            </w:r>
          </w:p>
        </w:tc>
      </w:tr>
      <w:tr w:rsidR="00936871" w:rsidRPr="00E53029" w14:paraId="4AA85D12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963C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Broom 2008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A6AC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multicenter pilot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2668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Day 6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7DE9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Original index organism absent from surveillance cultures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75FA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17/17 completers (100%)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263A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Predominantly hematologic malignancy; one non-cancer/pediatric case in the parent cohor</w:t>
            </w:r>
            <w:r w:rsidRPr="00E53029">
              <w:rPr>
                <w:rFonts w:asciiTheme="majorBidi" w:hAnsiTheme="majorBidi" w:cstheme="majorBidi"/>
                <w:sz w:val="13"/>
              </w:rPr>
              <w:t>t.</w:t>
            </w:r>
          </w:p>
        </w:tc>
      </w:tr>
      <w:tr w:rsidR="00936871" w:rsidRPr="00E53029" w14:paraId="411726D6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0751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Tatarelli 2015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CDC2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B0B0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Within 1–6 d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7863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Microbiological response with negative blood cultures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9F4A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6/8 (75.0%)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01A4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Seven of eight patients had cancer. Mean time to negative blood cultures among responders was 2 d (range, 1–6).</w:t>
            </w:r>
          </w:p>
        </w:tc>
      </w:tr>
      <w:tr w:rsidR="00936871" w:rsidRPr="00E53029" w14:paraId="75C0C8D0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39BD1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Hachem 2018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1874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intervention + matched retrospective controls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42B4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Within 96 h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1BFD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Absence of the original infecting pathogen in follow-up blood cultures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C74E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19/20 (95.0%)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2558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Cancer-predominant cohort; cancer-specific response was not separable. Comparator: 20/24 (83.3%),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P=0.36.</w:t>
            </w:r>
          </w:p>
        </w:tc>
      </w:tr>
      <w:tr w:rsidR="00936871" w:rsidRPr="00E53029" w14:paraId="37079FCD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E4DB1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Brescia 2023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B68B4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09EE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Day 7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227C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Negative paired cultures within clinical + microbiological resolution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FE39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24/24 CRBSI (100%)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02B5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Cancer-only. Two colonization episodes were kept separate from the CRBSI denominator.</w:t>
            </w:r>
          </w:p>
        </w:tc>
      </w:tr>
      <w:tr w:rsidR="00936871" w:rsidRPr="00E53029" w14:paraId="5500ED05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8A3E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Krümpelmann 2021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79B7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</w:t>
            </w:r>
            <w:r w:rsidRPr="00E53029">
              <w:rPr>
                <w:rFonts w:asciiTheme="majorBidi" w:hAnsiTheme="majorBidi" w:cstheme="majorBidi"/>
                <w:sz w:val="13"/>
              </w:rPr>
              <w:t>tive multicenter cohort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92F4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Within 72 h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C1F71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Patient-level eradication/control of the relevant bloodstream pathogen during conservative treatment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3181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subgroup 24/52 (46.2%)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3868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Cancer-specific patient-level estimate retained in the final primary synthesis; </w:t>
            </w:r>
            <w:r w:rsidRPr="00E53029">
              <w:rPr>
                <w:rFonts w:asciiTheme="majorBidi" w:hAnsiTheme="majorBidi" w:cstheme="majorBidi"/>
                <w:sz w:val="13"/>
              </w:rPr>
              <w:t>pathogen-level 41/71 was not pooled. Exclusion of this study was prespecified as an outcome-definition/heterogeneity sensitivity analysis.</w:t>
            </w:r>
          </w:p>
        </w:tc>
      </w:tr>
      <w:tr w:rsidR="00936871" w:rsidRPr="00E53029" w14:paraId="54CB0AB7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91CA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2024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0080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48E8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After 3 d of DPT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12B8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Absence of persistent positive blood cultures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2F3CF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21/22 (95.5%)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4345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Complement of the single reported microbiological failure (persistent positive cultures after 3 d of daptomycin treatment); 21/22 cancer.</w:t>
            </w:r>
          </w:p>
        </w:tc>
      </w:tr>
      <w:tr w:rsidR="00936871" w:rsidRPr="00E53029" w14:paraId="0E7A2426" w14:textId="77777777" w:rsidTr="00E53029">
        <w:trPr>
          <w:cantSplit/>
          <w:jc w:val="center"/>
        </w:trPr>
        <w:tc>
          <w:tcPr>
            <w:tcW w:w="5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66EE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6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C8B9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52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8158D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&gt;72-h persistence criterion</w:t>
            </w:r>
          </w:p>
        </w:tc>
        <w:tc>
          <w:tcPr>
            <w:tcW w:w="11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39F4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Absence of persistent CVC </w:t>
            </w:r>
            <w:r w:rsidRPr="00E53029">
              <w:rPr>
                <w:rFonts w:asciiTheme="majorBidi" w:hAnsiTheme="majorBidi" w:cstheme="majorBidi"/>
                <w:sz w:val="13"/>
              </w:rPr>
              <w:t>or peripheral bacteremia during early follow-up</w:t>
            </w:r>
          </w:p>
        </w:tc>
        <w:tc>
          <w:tcPr>
            <w:tcW w:w="73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71BF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97/106 (91.5%)</w:t>
            </w:r>
          </w:p>
        </w:tc>
        <w:tc>
          <w:tcPr>
            <w:tcW w:w="135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BB60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Complement of 8 persistent CVC-culture and 1 persistent peripheral-culture failures in the ALT arm. Predominantly oncology/HCT; cancer-specific outcome inseparable and tested by </w:t>
            </w:r>
            <w:r w:rsidRPr="00E53029">
              <w:rPr>
                <w:rFonts w:asciiTheme="majorBidi" w:hAnsiTheme="majorBidi" w:cstheme="majorBidi"/>
                <w:sz w:val="13"/>
              </w:rPr>
              <w:t>sensitivity analysis.</w:t>
            </w:r>
          </w:p>
        </w:tc>
      </w:tr>
    </w:tbl>
    <w:p w14:paraId="7EC98D5C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9 studies, N=273, pooled early microbiological response 93.3% (95% CI, 79.6%-98.0%). Excluding Krümpelmann 2021 yielded 93.2% (95% CI, 89.1%-95.9%) and substantially reduced estimated between-study varia</w:t>
      </w:r>
      <w:r w:rsidRPr="00E53029">
        <w:rPr>
          <w:rFonts w:asciiTheme="majorBidi" w:hAnsiTheme="majorBidi" w:cstheme="majorBidi"/>
        </w:rPr>
        <w:t>nce.</w:t>
      </w:r>
    </w:p>
    <w:p w14:paraId="1540EE2C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2B. Time to microbiological clearance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47"/>
        <w:gridCol w:w="1952"/>
        <w:gridCol w:w="1547"/>
        <w:gridCol w:w="3296"/>
        <w:gridCol w:w="2286"/>
        <w:gridCol w:w="3430"/>
      </w:tblGrid>
      <w:tr w:rsidR="00936871" w:rsidRPr="00E53029" w14:paraId="2F0279B9" w14:textId="77777777" w:rsidTr="00E53029">
        <w:trPr>
          <w:cantSplit/>
          <w:tblHeader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FDC9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1E90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8A95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17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8E87B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Microbiological endpoint</w:t>
            </w:r>
          </w:p>
        </w:tc>
        <w:tc>
          <w:tcPr>
            <w:tcW w:w="81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FA17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6BC2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note</w:t>
            </w:r>
          </w:p>
        </w:tc>
      </w:tr>
      <w:tr w:rsidR="00936871" w:rsidRPr="00E53029" w14:paraId="21664DB3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0487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E126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comparative</w:t>
            </w:r>
          </w:p>
        </w:tc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81D0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treatment</w:t>
            </w:r>
          </w:p>
        </w:tc>
        <w:tc>
          <w:tcPr>
            <w:tcW w:w="117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24F3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to first documented microbiological eradication</w:t>
            </w:r>
          </w:p>
        </w:tc>
        <w:tc>
          <w:tcPr>
            <w:tcW w:w="81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A374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Median 2 d (range </w:t>
            </w:r>
            <w:r w:rsidRPr="00E53029">
              <w:rPr>
                <w:rFonts w:asciiTheme="majorBidi" w:hAnsiTheme="majorBidi" w:cstheme="majorBidi"/>
                <w:sz w:val="13"/>
              </w:rPr>
              <w:t>1-4) vs 3 d (1-4); p=0.85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AAED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vs matched control; mixed population.</w:t>
            </w:r>
          </w:p>
        </w:tc>
      </w:tr>
      <w:tr w:rsidR="00936871" w:rsidRPr="00E53029" w14:paraId="52B113E9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BF8B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62B4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nonrandomized comparative</w:t>
            </w:r>
          </w:p>
        </w:tc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ACBC6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treatment</w:t>
            </w:r>
          </w:p>
        </w:tc>
        <w:tc>
          <w:tcPr>
            <w:tcW w:w="117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C3A2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from bacteremia onset to microbiological eradication</w:t>
            </w:r>
          </w:p>
        </w:tc>
        <w:tc>
          <w:tcPr>
            <w:tcW w:w="81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2F1A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3 d (range 1-10) vs 3 d (1-7); p=0.61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1138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cancer.</w:t>
            </w:r>
          </w:p>
        </w:tc>
      </w:tr>
      <w:tr w:rsidR="00936871" w:rsidRPr="00E53029" w14:paraId="6F9C3EBD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55BF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9763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D3F0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Early treatment</w:t>
            </w:r>
          </w:p>
        </w:tc>
        <w:tc>
          <w:tcPr>
            <w:tcW w:w="117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BEEA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to both CVC and peripheral cultures becoming negative (ALT) vs peripheral culture becoming negative (removal)</w:t>
            </w:r>
          </w:p>
        </w:tc>
        <w:tc>
          <w:tcPr>
            <w:tcW w:w="81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2F20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2 d (IQR 2-4) vs 2 d (IQR 1-3); p=0.013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F066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Definitions differ slightly by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management strategy; mixed population.</w:t>
            </w:r>
          </w:p>
        </w:tc>
      </w:tr>
      <w:tr w:rsidR="00936871" w:rsidRPr="00E53029" w14:paraId="0DECE1D0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1FC5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Tatarelli 2015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FB08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869E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During treatment</w:t>
            </w:r>
          </w:p>
        </w:tc>
        <w:tc>
          <w:tcPr>
            <w:tcW w:w="117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8796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Time to negative blood cultures</w:t>
            </w:r>
          </w:p>
        </w:tc>
        <w:tc>
          <w:tcPr>
            <w:tcW w:w="81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AD95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Mean 2 d (range 1-6)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4700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7/8 cancer; no comparator.</w:t>
            </w:r>
          </w:p>
        </w:tc>
      </w:tr>
    </w:tbl>
    <w:p w14:paraId="539FB211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Time-to-clearance outcomes were synthesized narratively and were not </w:t>
      </w:r>
      <w:r w:rsidRPr="00E53029">
        <w:rPr>
          <w:rFonts w:asciiTheme="majorBidi" w:hAnsiTheme="majorBidi" w:cstheme="majorBidi"/>
        </w:rPr>
        <w:t>combined with the binary early-microbiological-response pool.</w:t>
      </w:r>
    </w:p>
    <w:p w14:paraId="307F1749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3. Sustained Infection Resolution</w:t>
      </w:r>
    </w:p>
    <w:p w14:paraId="16AD0E95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harmonized absolute synthesis: 6 studies, 101 evaluable ALT-treated patients/episodes. Contributing studies: Freire 2018, Viale 2003, Lebeaux 2025, Long</w:t>
      </w:r>
      <w:r w:rsidRPr="00E53029">
        <w:rPr>
          <w:rFonts w:asciiTheme="majorBidi" w:hAnsiTheme="majorBidi" w:cstheme="majorBidi"/>
        </w:rPr>
        <w:t>uet 2001, Del Pozo 2009 (non-CoNS), and Bookstaver 2010.</w:t>
      </w:r>
    </w:p>
    <w:p w14:paraId="0815336A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3. Sustained infection resolution at approximately 1 month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5"/>
        <w:gridCol w:w="1892"/>
        <w:gridCol w:w="1555"/>
        <w:gridCol w:w="3312"/>
        <w:gridCol w:w="2297"/>
        <w:gridCol w:w="3447"/>
      </w:tblGrid>
      <w:tr w:rsidR="00936871" w:rsidRPr="00E53029" w14:paraId="7B2000BE" w14:textId="77777777" w:rsidTr="00E53029">
        <w:trPr>
          <w:cantSplit/>
          <w:tblHeader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620F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F398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3812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2FA7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Sustained outcome definition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3E3F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0E49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note</w:t>
            </w:r>
          </w:p>
        </w:tc>
      </w:tr>
      <w:tr w:rsidR="00936871" w:rsidRPr="00E53029" w14:paraId="6590123E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C962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Freire 2018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C71F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Observational comparative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1606F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30 </w:t>
            </w:r>
            <w:r w:rsidRPr="00E53029">
              <w:rPr>
                <w:rFonts w:asciiTheme="majorBidi" w:hAnsiTheme="majorBidi" w:cstheme="majorBidi"/>
                <w:sz w:val="13"/>
              </w:rPr>
              <w:t>d after end of initial treatment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15D5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Treatment success = absence of persistence or recurrence of infection within 30 d after initial treatment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9FCF9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46/57 (80.7%); non-ALT 91/155 (58.7%)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EC1F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Initial-treatment analysis. Only the ALT arm (46/57) contributed to the poo</w:t>
            </w:r>
            <w:r w:rsidRPr="00E53029">
              <w:rPr>
                <w:rFonts w:asciiTheme="majorBidi" w:hAnsiTheme="majorBidi" w:cstheme="majorBidi"/>
                <w:sz w:val="13"/>
              </w:rPr>
              <w:t>led ALT-treated proportion; the comparative effect was evaluated separately.</w:t>
            </w:r>
          </w:p>
        </w:tc>
      </w:tr>
      <w:tr w:rsidR="00936871" w:rsidRPr="00E53029" w14:paraId="3B4AE8EA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18B9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Viale 2003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7E25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uncontrolled pilot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61D9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Day 28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DCC8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Afebrile through 14 d after ALT completion with negative follow-up cultures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F98A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subgroup 9/9 (100%)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3689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Sustained clinical + </w:t>
            </w:r>
            <w:r w:rsidRPr="00E53029">
              <w:rPr>
                <w:rFonts w:asciiTheme="majorBidi" w:hAnsiTheme="majorBidi" w:cstheme="majorBidi"/>
                <w:sz w:val="13"/>
              </w:rPr>
              <w:t>microbiological success; no explicit mandatory catheter-retention component for this table.</w:t>
            </w:r>
          </w:p>
        </w:tc>
      </w:tr>
      <w:tr w:rsidR="00936871" w:rsidRPr="00E53029" w14:paraId="211B8F91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D623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Lebeaux 2025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195B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multicenter phase I/II pilot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CA78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Day 40 +/- 7 d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8838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Clinical and microbiological cure at D40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DBD2D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5/6 cancer patients with formal D40 status (83.3%)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348D3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On</w:t>
            </w:r>
            <w:r w:rsidRPr="00E53029">
              <w:rPr>
                <w:rFonts w:asciiTheme="majorBidi" w:hAnsiTheme="majorBidi" w:cstheme="majorBidi"/>
                <w:sz w:val="13"/>
              </w:rPr>
              <w:t>e additional cancer patient had incomplete formal D40/D100 assessment but met cure criteria at D23; formal complete-case result retained.</w:t>
            </w:r>
          </w:p>
        </w:tc>
      </w:tr>
      <w:tr w:rsidR="00936871" w:rsidRPr="00E53029" w14:paraId="09851B85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5F73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Longuet 2001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EAA6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observational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079E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&gt;=1 mo after treatment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4F9B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Fever/clinical manifestations resolved within 48 h and </w:t>
            </w:r>
            <w:r w:rsidRPr="00E53029">
              <w:rPr>
                <w:rFonts w:asciiTheme="majorBidi" w:hAnsiTheme="majorBidi" w:cstheme="majorBidi"/>
                <w:sz w:val="13"/>
              </w:rPr>
              <w:t>remained stable &gt;=1 mo; catheter blood cultures sterile within 5 d and negative at end of treatment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1ACB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subgroup 3/6 (50.0%)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FA9D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Sustained clinical + microbiological cure.</w:t>
            </w:r>
          </w:p>
        </w:tc>
      </w:tr>
      <w:tr w:rsidR="00936871" w:rsidRPr="00E53029" w14:paraId="10102E2F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7D60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non-CoNS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EA49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single-arm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16CF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 after therapy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13BB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Stable </w:t>
            </w:r>
            <w:r w:rsidRPr="00E53029">
              <w:rPr>
                <w:rFonts w:asciiTheme="majorBidi" w:hAnsiTheme="majorBidi" w:cstheme="majorBidi"/>
                <w:sz w:val="13"/>
              </w:rPr>
              <w:t>apyrexia with no recovery of the index organism during 30 d after treatment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07AB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Adult-only 15/17 (88.2%)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3D3B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 adult estimate after exclusion of one pediatric case. Stable clinical and microbiological control at 30 days; catheter retention was not requir</w:t>
            </w:r>
            <w:r w:rsidRPr="00E53029">
              <w:rPr>
                <w:rFonts w:asciiTheme="majorBidi" w:hAnsiTheme="majorBidi" w:cstheme="majorBidi"/>
                <w:sz w:val="13"/>
              </w:rPr>
              <w:t>ed in the harmonized sustained-resolution definition.</w:t>
            </w:r>
          </w:p>
        </w:tc>
      </w:tr>
      <w:tr w:rsidR="00936871" w:rsidRPr="00E53029" w14:paraId="1ED6B53B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C8723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Bookstaver 2010</w:t>
            </w:r>
          </w:p>
        </w:tc>
        <w:tc>
          <w:tcPr>
            <w:tcW w:w="6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D2FA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F055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 after ALT/systemic therapy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1EF4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Blood-culture sterilization at 30 d</w:t>
            </w:r>
          </w:p>
        </w:tc>
        <w:tc>
          <w:tcPr>
            <w:tcW w:w="81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861C6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 oncology subgroup 5/6 (83.3%)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FB4D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 oncology subgroup; microbiological-only sustained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endpoint. Catheter salvage was separately 4/6. Evaluated in an outcome-definition sensitivity analysis.</w:t>
            </w:r>
          </w:p>
        </w:tc>
      </w:tr>
    </w:tbl>
    <w:p w14:paraId="2DF34F5C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pooled sustained infection resolution 82.2% (95% CI, 73.5%-88.5%). Catheter retention was not required for this outcome.</w:t>
      </w:r>
      <w:r w:rsidRPr="00E53029">
        <w:rPr>
          <w:rFonts w:asciiTheme="majorBidi" w:hAnsiTheme="majorBidi" w:cstheme="majorBidi"/>
        </w:rPr>
        <w:t xml:space="preserve"> Outcome-definition and leave-one-out sensitivity analyses did not materially change the estimate.</w:t>
      </w:r>
    </w:p>
    <w:p w14:paraId="6A38355D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Fernández-Hidalgo 2006 was retained in the catheter-salvage domain rather than the sustained-resolution pool because its 1-month outcome explicitly required </w:t>
      </w:r>
      <w:r w:rsidRPr="00E53029">
        <w:rPr>
          <w:rFonts w:asciiTheme="majorBidi" w:hAnsiTheme="majorBidi" w:cstheme="majorBidi"/>
        </w:rPr>
        <w:t>catheter retention.</w:t>
      </w:r>
    </w:p>
    <w:p w14:paraId="096432CA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4. Catheter Salvage</w:t>
      </w:r>
    </w:p>
    <w:p w14:paraId="63FD287A" w14:textId="77777777" w:rsidR="00936871" w:rsidRPr="00E53029" w:rsidRDefault="005C43B0">
      <w:pPr>
        <w:pStyle w:val="FrameworkBMC"/>
        <w:keepNext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Harmonized definition. Catheter salvage required control of the index infection with continued functional use of the index catheter, without catheter loss attributable to unresolved/recurrent infection or </w:t>
      </w:r>
      <w:r w:rsidRPr="00E53029">
        <w:rPr>
          <w:rFonts w:asciiTheme="majorBidi" w:hAnsiTheme="majorBidi" w:cstheme="majorBidi"/>
        </w:rPr>
        <w:t>catheter-related mechanical failure. Absolute ALT-treated proportions were analyzed separately from comparative treatment effects.</w:t>
      </w:r>
    </w:p>
    <w:p w14:paraId="0206B9E6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4.1 Short-term catheter salvage</w:t>
      </w:r>
    </w:p>
    <w:p w14:paraId="57165D68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harmonized absolute synthesis: 11 studies, 234 ALT-treated patients/episodes. Contrib</w:t>
      </w:r>
      <w:r w:rsidRPr="00E53029">
        <w:rPr>
          <w:rFonts w:asciiTheme="majorBidi" w:hAnsiTheme="majorBidi" w:cstheme="majorBidi"/>
        </w:rPr>
        <w:t>uting studies: Zanwar 2019, Broom 2008, Tejwani &amp; Parry 2011, Joo 2011, Hachem 2018, Fortún 2006, Fernández-Hidalgo 2006, Del Pozo 2009 (non-CoNS), Vassallo 2017, Vassallo 2024, and Bookstaver 2010.</w:t>
      </w:r>
    </w:p>
    <w:p w14:paraId="100A491C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4A. Short-term catheter salvage (generally treatmen</w:t>
      </w:r>
      <w:r w:rsidRPr="00E53029">
        <w:rPr>
          <w:rFonts w:asciiTheme="majorBidi" w:hAnsiTheme="majorBidi" w:cstheme="majorBidi"/>
        </w:rPr>
        <w:t>t completion to approximately 14-30 days)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4"/>
        <w:gridCol w:w="1825"/>
        <w:gridCol w:w="1555"/>
        <w:gridCol w:w="3447"/>
        <w:gridCol w:w="2162"/>
        <w:gridCol w:w="3515"/>
      </w:tblGrid>
      <w:tr w:rsidR="00936871" w:rsidRPr="00E53029" w14:paraId="341AEDF3" w14:textId="77777777" w:rsidTr="00E53029">
        <w:trPr>
          <w:cantSplit/>
          <w:tblHeader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A377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3EDCF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AF77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point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91C4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Salvage definition used in this review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3CE9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E61E0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23A98CBD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2763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Zanwar 2019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1AAED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B224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Approx. EOT / cultures through day 14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297E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Negative subsequent catheter culture with ca</w:t>
            </w:r>
            <w:r w:rsidRPr="00E53029">
              <w:rPr>
                <w:rFonts w:asciiTheme="majorBidi" w:hAnsiTheme="majorBidi" w:cstheme="majorBidi"/>
                <w:sz w:val="13"/>
              </w:rPr>
              <w:t>theter retained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D439D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13/15 (86.7%) vs no ALT 5/9 (55.6%)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BAE3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Exact final salvage landmark NR; pediatric-inclusive HSCT cohort.</w:t>
            </w:r>
          </w:p>
        </w:tc>
      </w:tr>
      <w:tr w:rsidR="00936871" w:rsidRPr="00E53029" w14:paraId="0FF83939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88F7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Broom 2008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82C5E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multicenter pilot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EF96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&gt;14 d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6E57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Original organism eradicated, catheter retained &gt;14 d, no subsequent isolation of </w:t>
            </w:r>
            <w:r w:rsidRPr="00E53029">
              <w:rPr>
                <w:rFonts w:asciiTheme="majorBidi" w:hAnsiTheme="majorBidi" w:cstheme="majorBidi"/>
                <w:sz w:val="13"/>
              </w:rPr>
              <w:t>original organism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1E40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12/17 (70.6%)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96B70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Protocol-defined success; mixed adult/pediatric and one non-cancer case.</w:t>
            </w:r>
          </w:p>
        </w:tc>
      </w:tr>
      <w:tr w:rsidR="00936871" w:rsidRPr="00E53029" w14:paraId="07EC6A06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B803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Tejwani &amp; Parry 2011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71874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602F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&gt;=14 d after treatment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13A03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Sustained symptom resolution + negative cultures; failure included infection-driv</w:t>
            </w:r>
            <w:r w:rsidRPr="00E53029">
              <w:rPr>
                <w:rFonts w:asciiTheme="majorBidi" w:hAnsiTheme="majorBidi" w:cstheme="majorBidi"/>
                <w:sz w:val="13"/>
              </w:rPr>
              <w:t>en removal/exchange or early recurrence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F5B6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26/32 (81.3%)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5884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Cancer-category extraction; underlying disease categories require caution regarding overlap.</w:t>
            </w:r>
          </w:p>
        </w:tc>
      </w:tr>
      <w:tr w:rsidR="00936871" w:rsidRPr="00E53029" w14:paraId="35CD8B27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AC13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Joo 2011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7D1B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9173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 discharge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03D06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Study-defined catheter salvage = catheter retai</w:t>
            </w:r>
            <w:r w:rsidRPr="00E53029">
              <w:rPr>
                <w:rFonts w:asciiTheme="majorBidi" w:hAnsiTheme="majorBidi" w:cstheme="majorBidi"/>
                <w:sz w:val="13"/>
              </w:rPr>
              <w:t>ned at discharge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5E4D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9/11 (81.8%) vs no ALT 11/27 (40.7%)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D93B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neutropenic cancer; comparison is post-hoc within salvage attempts and highly confounded.</w:t>
            </w:r>
          </w:p>
        </w:tc>
      </w:tr>
      <w:tr w:rsidR="00936871" w:rsidRPr="00E53029" w14:paraId="436F427C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601A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DB12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intervention + matched retrospective controls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69C2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Treatment + 30-d follow-up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5E82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retained without persistent bacteremia requiring removal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D45F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19/20 (95.0%) in ALT arm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5358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Comparator underwent planned removal; use ALT arm as salvage estimate. Mixed population.</w:t>
            </w:r>
          </w:p>
        </w:tc>
      </w:tr>
      <w:tr w:rsidR="00936871" w:rsidRPr="00E53029" w14:paraId="634E35DD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5677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Fortún 2006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4464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Historical-control nonrandomized comparative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C2A2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Through 1 mo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D298F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</w:t>
            </w:r>
            <w:r w:rsidRPr="00E53029">
              <w:rPr>
                <w:rFonts w:asciiTheme="majorBidi" w:hAnsiTheme="majorBidi" w:cstheme="majorBidi"/>
                <w:sz w:val="13"/>
              </w:rPr>
              <w:t>-defined successful treatment: sepsis signs resolved, post-treatment cultures negative; failure algorithm included infection-related removal/colonization and same-strain relapse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421D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16/19 (84.2%) vs control 19/29 (65.5%)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831F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Broad salvage-related composite; re</w:t>
            </w:r>
            <w:r w:rsidRPr="00E53029">
              <w:rPr>
                <w:rFonts w:asciiTheme="majorBidi" w:hAnsiTheme="majorBidi" w:cstheme="majorBidi"/>
                <w:sz w:val="13"/>
              </w:rPr>
              <w:t>tention was embedded in the failure algorithm but was not mandatory for every success.</w:t>
            </w:r>
          </w:p>
        </w:tc>
      </w:tr>
      <w:tr w:rsidR="00936871" w:rsidRPr="00E53029" w14:paraId="36D1BDBC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7549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Fernández-Hidalgo 2006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8A36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 retrospective/prospective single-arm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545F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 mo after therapy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DC05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Negative cultures without catheter removal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B989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Cancer/chemotherapy-derived 46/54 </w:t>
            </w:r>
            <w:r w:rsidRPr="00E53029">
              <w:rPr>
                <w:rFonts w:asciiTheme="majorBidi" w:hAnsiTheme="majorBidi" w:cstheme="majorBidi"/>
                <w:sz w:val="13"/>
              </w:rPr>
              <w:t>(85.2%)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DDCB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1-mo microbiological + retention outcome.</w:t>
            </w:r>
          </w:p>
        </w:tc>
      </w:tr>
      <w:tr w:rsidR="00936871" w:rsidRPr="00E53029" w14:paraId="32514D02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68A4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non-CoNS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7B75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single-arm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6129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 after therapy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9082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Stable apyrexia, no same-organism recurrence, and no failure requiring port removal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EDC8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Adult-only 15/17 (88.2%)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3B19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All neoplastic; </w:t>
            </w:r>
            <w:r w:rsidRPr="00E53029">
              <w:rPr>
                <w:rFonts w:asciiTheme="majorBidi" w:hAnsiTheme="majorBidi" w:cstheme="majorBidi"/>
                <w:sz w:val="13"/>
              </w:rPr>
              <w:t>one pediatric success removed from adult denominator.</w:t>
            </w:r>
          </w:p>
        </w:tc>
      </w:tr>
      <w:tr w:rsidR="00936871" w:rsidRPr="00E53029" w14:paraId="07915779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0424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2017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F986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B5AF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 after treatment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1ACE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retained 30 d after ALT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7CF1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16/21 (76.2%)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46EA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Cancer-only; 5 removals.</w:t>
            </w:r>
          </w:p>
        </w:tc>
      </w:tr>
      <w:tr w:rsidR="00936871" w:rsidRPr="00E53029" w14:paraId="33130647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D582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2024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ED85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2665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 after treatment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0BD5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retained 30 d after EOT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0521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21/22 (95.5%)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D6DE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Main analysis; 21/22 cancer + 1 non-cancer inseparable.</w:t>
            </w:r>
          </w:p>
        </w:tc>
      </w:tr>
      <w:tr w:rsidR="00936871" w:rsidRPr="00E53029" w14:paraId="19483824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E497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Bookstaver 2010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887A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DCFC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 d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E27E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Blood-culture sterilization + catheter retention</w:t>
            </w:r>
          </w:p>
        </w:tc>
        <w:tc>
          <w:tcPr>
            <w:tcW w:w="7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135A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 oncology subgroup 4/6 (66.7%)</w:t>
            </w:r>
          </w:p>
        </w:tc>
        <w:tc>
          <w:tcPr>
            <w:tcW w:w="12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74C8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patient-level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cancer subgroup; sterilization separately 5/6.</w:t>
            </w:r>
          </w:p>
        </w:tc>
      </w:tr>
    </w:tbl>
    <w:p w14:paraId="029E847D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11 studies, N=234, pooled short-term catheter salvage 84.2% (95% CI, 78.9%-88.3%). Fortún 2006 was retained in the primary pool and examined by sensitivity exclusion because its</w:t>
      </w:r>
      <w:r w:rsidRPr="00E53029">
        <w:rPr>
          <w:rFonts w:asciiTheme="majorBidi" w:hAnsiTheme="majorBidi" w:cstheme="majorBidi"/>
        </w:rPr>
        <w:t xml:space="preserve"> treatment-success construct was broader than the strict review definition.</w:t>
      </w:r>
    </w:p>
    <w:p w14:paraId="164D66DC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4.2 Catheter salvage at approximately 3 months</w:t>
      </w:r>
    </w:p>
    <w:p w14:paraId="326FC949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later-salvage synthesis in the final manuscript: 9 studies, 433 ALT-treated patients/episodes. Contributing studies: Ranganat</w:t>
      </w:r>
      <w:r w:rsidRPr="00E53029">
        <w:rPr>
          <w:rFonts w:asciiTheme="majorBidi" w:hAnsiTheme="majorBidi" w:cstheme="majorBidi"/>
        </w:rPr>
        <w:t>h 2025, Ranch-Lundin 2021, Zhang 2025, Sánchez-Muñoz 2005, Lafaurie 2023, Bayoudh 2024, Tatarelli 2015, Lesens 2024, and Alonso 2020.</w:t>
      </w:r>
    </w:p>
    <w:p w14:paraId="0589CB51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4B. Catheter salvage at an explicit or closely aligned approximately 3-month assessment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4"/>
        <w:gridCol w:w="1825"/>
        <w:gridCol w:w="1622"/>
        <w:gridCol w:w="3380"/>
        <w:gridCol w:w="2230"/>
        <w:gridCol w:w="3447"/>
      </w:tblGrid>
      <w:tr w:rsidR="00936871" w:rsidRPr="00E53029" w14:paraId="69ED1A1A" w14:textId="77777777" w:rsidTr="00E53029">
        <w:trPr>
          <w:cantSplit/>
          <w:tblHeader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4995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E8F2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993D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point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D72E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Salvage definition used in this review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2E60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2E7F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600CF05A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0F54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1E12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C8E5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90 d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0F38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Review-defined failure = removal for microbiological relapse, recurrent BSI, persistent bacteremia &gt;=72 h, or catheter malfunction; </w:t>
            </w:r>
            <w:r w:rsidRPr="00E53029">
              <w:rPr>
                <w:rFonts w:asciiTheme="majorBidi" w:hAnsiTheme="majorBidi" w:cstheme="majorBidi"/>
                <w:sz w:val="13"/>
              </w:rPr>
              <w:t>non-medical-need removals not failures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F7F43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60/106 (56.6%)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61FBF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Explicit 90-d horizon. Authors did not directly report 60/106 as a binary salvage endpoint; mixed immunocompromised population and cancer-specific outcome not separable.</w:t>
            </w:r>
          </w:p>
        </w:tc>
      </w:tr>
      <w:tr w:rsidR="00936871" w:rsidRPr="00E53029" w14:paraId="7E949122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6D85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Ranch-Lundin </w:t>
            </w:r>
            <w:r w:rsidRPr="00E53029">
              <w:rPr>
                <w:rFonts w:asciiTheme="majorBidi" w:hAnsiTheme="majorBidi" w:cstheme="majorBidi"/>
                <w:sz w:val="13"/>
              </w:rPr>
              <w:t>2021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A9A9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active-lock comparison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C9F2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90 d (3 mo)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79B1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Resolved infection with reusable catheter and no subsequent infection/mechanical removal under the review definition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9BBD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15/25 (60.0%): low-dose 6/12 vs high-dose 9/13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C708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Explicit 90-d follow-up</w:t>
            </w:r>
            <w:r w:rsidRPr="00E53029">
              <w:rPr>
                <w:rFonts w:asciiTheme="majorBidi" w:hAnsiTheme="majorBidi" w:cstheme="majorBidi"/>
                <w:sz w:val="13"/>
              </w:rPr>
              <w:t>. Authors reported microbiological resolution in 6/12 vs 10/13; one additional high-dose patient had catheter occlusion/removal after infection resolution and is counted as salvage failure. 22/25 had cancer.</w:t>
            </w:r>
          </w:p>
        </w:tc>
      </w:tr>
      <w:tr w:rsidR="00936871" w:rsidRPr="00E53029" w14:paraId="20B35DAA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90B84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FAE1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nonrandomized comparat</w:t>
            </w:r>
            <w:r w:rsidRPr="00E53029">
              <w:rPr>
                <w:rFonts w:asciiTheme="majorBidi" w:hAnsiTheme="majorBidi" w:cstheme="majorBidi"/>
                <w:sz w:val="13"/>
              </w:rPr>
              <w:t>ive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A208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90 d (approximately 3 mo)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2B67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PICC retention with clinical resolution; later recurrence/complications assessed through 90 d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2571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systemic 26/34 (76.5%) vs systemic alone 17/33 (51.5%)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888DC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adult hematologic malignancy. Explicit 90-d recurrence/complication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follow-up; ALT arm contributes to pooled ALT-treated proportion, while the between-group comparison is analyzed separately.</w:t>
            </w:r>
          </w:p>
        </w:tc>
      </w:tr>
      <w:tr w:rsidR="00936871" w:rsidRPr="00E53029" w14:paraId="70B23239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1D04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04FB4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single-arm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C2D6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Formal 3-mo salvage endpoint; monthly follow-up &gt;=4 mo; mean 257 d (range 120-420)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B2025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</w:t>
            </w:r>
            <w:r w:rsidRPr="00E53029">
              <w:rPr>
                <w:rFonts w:asciiTheme="majorBidi" w:hAnsiTheme="majorBidi" w:cstheme="majorBidi"/>
                <w:sz w:val="13"/>
              </w:rPr>
              <w:t>ter still in place at 3 mo without recurrence or death after successful early response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0F86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Adult-only 11/13 (84.6%); original full cohort 12/14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ACF1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Explicit 3-mo endpoint with substantially longer observation confirming durability. One pediatric success excluded </w:t>
            </w:r>
            <w:r w:rsidRPr="00E53029">
              <w:rPr>
                <w:rFonts w:asciiTheme="majorBidi" w:hAnsiTheme="majorBidi" w:cstheme="majorBidi"/>
                <w:sz w:val="13"/>
              </w:rPr>
              <w:t>from the adult-only numerator/denominator.</w:t>
            </w:r>
          </w:p>
        </w:tc>
      </w:tr>
      <w:tr w:rsidR="00936871" w:rsidRPr="00E53029" w14:paraId="04A13AD2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3D9C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Lafaurie 2023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A34A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multicenter single-arm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79D0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 mo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4553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Review-harmonized later salvage: no TIVAP removal or TIVAP-RI recurrence through 3 mo, or death before 3 mo without either event; missing outcomes excluded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A068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</w:t>
            </w:r>
            <w:r w:rsidRPr="00E53029">
              <w:rPr>
                <w:rFonts w:asciiTheme="majorBidi" w:hAnsiTheme="majorBidi" w:cstheme="majorBidi"/>
                <w:sz w:val="13"/>
              </w:rPr>
              <w:t>view-derived 60/93 (64.5%): 44 author-reported 3-mo successes + 16 event-free deaths; 7 missing excluded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E364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Cancer-only. The authors separately reported 44 successes, 33 failures, 16 deaths before 3 mo without removal/recurrence, and 7 missing outcomes. The p</w:t>
            </w:r>
            <w:r w:rsidRPr="00E53029">
              <w:rPr>
                <w:rFonts w:asciiTheme="majorBidi" w:hAnsiTheme="majorBidi" w:cstheme="majorBidi"/>
                <w:sz w:val="13"/>
              </w:rPr>
              <w:t>rimary review estimate treats event-free death as a competing event rather than an infection-related salvage failure; 44/77 is retained as a stricter complete-case sensitivity definition.</w:t>
            </w:r>
          </w:p>
        </w:tc>
      </w:tr>
      <w:tr w:rsidR="00936871" w:rsidRPr="00E53029" w14:paraId="79D092FE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5A37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Bayoudh 2024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0365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single-arm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50596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Clinical follow-up to 3 mo; m</w:t>
            </w:r>
            <w:r w:rsidRPr="00E53029">
              <w:rPr>
                <w:rFonts w:asciiTheme="majorBidi" w:hAnsiTheme="majorBidi" w:cstheme="majorBidi"/>
                <w:sz w:val="13"/>
              </w:rPr>
              <w:t>icrobiological surveillance day +3 to +30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81FE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Port preserved after attempted conservative treatment through the 3-mo clinical follow-up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136F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10/17 (58.8%)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9A7D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Malignant hematology/allo-HCT lock subgroup. Explicit 3-mo preservation outcome; seven removals included uncon</w:t>
            </w:r>
            <w:r w:rsidRPr="00E53029">
              <w:rPr>
                <w:rFonts w:asciiTheme="majorBidi" w:hAnsiTheme="majorBidi" w:cstheme="majorBidi"/>
                <w:sz w:val="13"/>
              </w:rPr>
              <w:t>trolled infection, failed decontamination, or recurrence within 3 mo.</w:t>
            </w:r>
          </w:p>
        </w:tc>
      </w:tr>
      <w:tr w:rsidR="00936871" w:rsidRPr="00E53029" w14:paraId="28CA8DCF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A420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Tatarelli 2015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08441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case series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D033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Outcome evaluated at 3 mo after symptom onset; relapse criterion also reported within 1 mo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572A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Clinical + microbiological response with catheter </w:t>
            </w:r>
            <w:r w:rsidRPr="00E53029">
              <w:rPr>
                <w:rFonts w:asciiTheme="majorBidi" w:hAnsiTheme="majorBidi" w:cstheme="majorBidi"/>
                <w:sz w:val="13"/>
              </w:rPr>
              <w:t>maintenance and no documented relapse during the reported outcome period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064E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6/8 (75.0%)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0855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7/8 cancer; selected patients after prior standard-treatment failure. Three-month outcome is reported, although the success definition also references a 1-mo relapse windo</w:t>
            </w:r>
            <w:r w:rsidRPr="00E53029">
              <w:rPr>
                <w:rFonts w:asciiTheme="majorBidi" w:hAnsiTheme="majorBidi" w:cstheme="majorBidi"/>
                <w:sz w:val="13"/>
              </w:rPr>
              <w:t>w.</w:t>
            </w:r>
          </w:p>
        </w:tc>
      </w:tr>
      <w:tr w:rsidR="00936871" w:rsidRPr="00E53029" w14:paraId="0DA9ED80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AF03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 2024 (ETHALOCK)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180D6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Randomized active-lock trial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C667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Week 14 +/- 4 d (~3.5 mo), censored at failure/death/end of TIVAD use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75FB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TIVAD in place with absence of protocol-defined failure through week 14 or until end of device use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2EA6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Overall active-lock 32/61 (52.5</w:t>
            </w:r>
            <w:r w:rsidRPr="00E53029">
              <w:rPr>
                <w:rFonts w:asciiTheme="majorBidi" w:hAnsiTheme="majorBidi" w:cstheme="majorBidi"/>
                <w:sz w:val="13"/>
              </w:rPr>
              <w:t>%): ELT 18/31 vs VLT 14/30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C1F39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Near-3-mo/extended landmark. Both arms are active lock therapies and are combined at study level for the overall ALT-treated proportion; 57/61 had cancer and outcomes are not cancer-separable.</w:t>
            </w:r>
          </w:p>
        </w:tc>
      </w:tr>
      <w:tr w:rsidR="00936871" w:rsidRPr="00E53029" w14:paraId="2BC18114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0909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Alonso 2020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C1A1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Retrospective </w:t>
            </w:r>
            <w:r w:rsidRPr="00E53029">
              <w:rPr>
                <w:rFonts w:asciiTheme="majorBidi" w:hAnsiTheme="majorBidi" w:cstheme="majorBidi"/>
                <w:sz w:val="13"/>
              </w:rPr>
              <w:t>single-arm</w:t>
            </w:r>
          </w:p>
        </w:tc>
        <w:tc>
          <w:tcPr>
            <w:tcW w:w="5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54D5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90 d; alternative endpoint through end of catheter use/replacement</w:t>
            </w:r>
          </w:p>
        </w:tc>
        <w:tc>
          <w:tcPr>
            <w:tcW w:w="120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9C8A0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Review-harmonized functional salvage: catheter retained &gt;=3 mo, or catheter course ended earlier for noninfectious reasons/completion of use; infection-related loss and catheter </w:t>
            </w:r>
            <w:r w:rsidRPr="00E53029">
              <w:rPr>
                <w:rFonts w:asciiTheme="majorBidi" w:hAnsiTheme="majorBidi" w:cstheme="majorBidi"/>
                <w:sz w:val="13"/>
              </w:rPr>
              <w:t>dysfunction counted as failures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67D7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45/76 (59.2%); author strict &gt;=90-d retention 32/76; author retention through end of use/planned replacement 54/76</w:t>
            </w:r>
          </w:p>
        </w:tc>
        <w:tc>
          <w:tcPr>
            <w:tcW w:w="12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CCF4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Predominantly cancer (73/76); cancer-specific numerator is not separable. Review harmonization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adds 9 noninfectious removals and 4 completed-use events to the strict &gt;=90-d retention count. Because this is reconstructed from source components, it is flagged review-derived and examined in sensitivity analyses.</w:t>
            </w:r>
          </w:p>
        </w:tc>
      </w:tr>
    </w:tbl>
    <w:p w14:paraId="39819E5A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lastRenderedPageBreak/>
        <w:t xml:space="preserve">Primary manuscript synthesis: 9 </w:t>
      </w:r>
      <w:r w:rsidRPr="00E53029">
        <w:rPr>
          <w:rFonts w:asciiTheme="majorBidi" w:hAnsiTheme="majorBidi" w:cstheme="majorBidi"/>
        </w:rPr>
        <w:t>studies, N=433, pooled catheter salvage 61.2% (95% CI, 56.5%-65.7%). The broader 18-study later/variable-follow-up analysis is not the main later-salvage estimand and is therefore not used as the primary harmonized study set in this file.</w:t>
      </w:r>
    </w:p>
    <w:p w14:paraId="3CA4C47A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4.3 Comparative c</w:t>
      </w:r>
      <w:r w:rsidRPr="00E53029">
        <w:rPr>
          <w:rFonts w:asciiTheme="majorBidi" w:hAnsiTheme="majorBidi" w:cstheme="majorBidi"/>
        </w:rPr>
        <w:t>atheter-salvage evidence</w:t>
      </w:r>
    </w:p>
    <w:p w14:paraId="181257BC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4C. Comparative catheter-salvage evidence retained separately from absolute ALT-treated proportions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47"/>
        <w:gridCol w:w="1951"/>
        <w:gridCol w:w="2218"/>
        <w:gridCol w:w="2961"/>
        <w:gridCol w:w="1951"/>
        <w:gridCol w:w="3430"/>
      </w:tblGrid>
      <w:tr w:rsidR="00936871" w:rsidRPr="00E53029" w14:paraId="49D11527" w14:textId="77777777" w:rsidTr="00E53029">
        <w:trPr>
          <w:cantSplit/>
          <w:tblHeader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BC91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3427C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E686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Comparator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C8CFE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Harmonized comparative endpoint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DD52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9F85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Role / caveat</w:t>
            </w:r>
          </w:p>
        </w:tc>
      </w:tr>
      <w:tr w:rsidR="00936871" w:rsidRPr="00E53029" w14:paraId="468A6AAC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2566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Rijnders 2005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C864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Randomized placebo-controlled tri</w:t>
            </w:r>
            <w:r w:rsidRPr="00E53029">
              <w:rPr>
                <w:rFonts w:asciiTheme="majorBidi" w:hAnsiTheme="majorBidi" w:cstheme="majorBidi"/>
                <w:sz w:val="13"/>
              </w:rPr>
              <w:t>al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C643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Active antibiotic lock vs placebo lock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1EFE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Longer-term protocol-defined treatment failure / favorable complement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0891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Active lock 14/21 favorable; placebo 10/23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B1A8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RCT reported separately; author-reported HR for treatment failure 0.55 (P=0.10).</w:t>
            </w:r>
          </w:p>
        </w:tc>
      </w:tr>
      <w:tr w:rsidR="00936871" w:rsidRPr="00E53029" w14:paraId="5FBAC876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2B2D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Fortún 2006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6E89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Nonrandomized historical-control study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9257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systemic vs systemic/no active ALT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2BDC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Short-term salvage-related success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B3DE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16/19 vs 19/29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6F52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Included in short-term comparative synthesis; serious risk of bias.</w:t>
            </w:r>
          </w:p>
        </w:tc>
      </w:tr>
      <w:tr w:rsidR="00936871" w:rsidRPr="00E53029" w14:paraId="3EE7620F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A94A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Zanwar 2019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89F5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A43B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</w:t>
            </w:r>
            <w:r w:rsidRPr="00E53029">
              <w:rPr>
                <w:rFonts w:asciiTheme="majorBidi" w:hAnsiTheme="majorBidi" w:cstheme="majorBidi"/>
                <w:sz w:val="13"/>
              </w:rPr>
              <w:t>ic vs systemic/no active ALT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797B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Short-term catheter retention with infection control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8A40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13/15 vs 5/9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D30E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Included in short-term comparative synthesis; mixed-age HSCT cohort.</w:t>
            </w:r>
          </w:p>
        </w:tc>
      </w:tr>
      <w:tr w:rsidR="00936871" w:rsidRPr="00E53029" w14:paraId="67CD3297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A9B7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Joo 2011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EE08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C6B3F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exposure vs no ALT within salvage attempts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F2C7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</w:t>
            </w:r>
            <w:r w:rsidRPr="00E53029">
              <w:rPr>
                <w:rFonts w:asciiTheme="majorBidi" w:hAnsiTheme="majorBidi" w:cstheme="majorBidi"/>
                <w:sz w:val="13"/>
              </w:rPr>
              <w:t>theter retained at discharge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D0D0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9/11 vs 11/27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D7E7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Critical risk of bias for the post-hoc treatment contrast; sensitivity/supportive evidence only.</w:t>
            </w:r>
          </w:p>
        </w:tc>
      </w:tr>
      <w:tr w:rsidR="00936871" w:rsidRPr="00E53029" w14:paraId="288B0D54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1ACB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F84F9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nonrandomized comparative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12B6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systemic vs systemic therapy alone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E52B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Approximately 3-month </w:t>
            </w:r>
            <w:r w:rsidRPr="00E53029">
              <w:rPr>
                <w:rFonts w:asciiTheme="majorBidi" w:hAnsiTheme="majorBidi" w:cstheme="majorBidi"/>
                <w:sz w:val="13"/>
              </w:rPr>
              <w:t>catheter salvage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CA7C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26/34 vs 17/33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1401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comparative later-salvage evidence; analyzed separately from the short-term pool.</w:t>
            </w:r>
          </w:p>
        </w:tc>
      </w:tr>
      <w:tr w:rsidR="00936871" w:rsidRPr="00E53029" w14:paraId="664BAB87" w14:textId="77777777" w:rsidTr="00E53029">
        <w:trPr>
          <w:cantSplit/>
          <w:jc w:val="center"/>
        </w:trPr>
        <w:tc>
          <w:tcPr>
            <w:tcW w:w="55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8B2A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Wintenberger 2012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E3B8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comparative cohort</w:t>
            </w:r>
          </w:p>
        </w:tc>
        <w:tc>
          <w:tcPr>
            <w:tcW w:w="78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1894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vs conservative management without ALT</w:t>
            </w:r>
          </w:p>
        </w:tc>
        <w:tc>
          <w:tcPr>
            <w:tcW w:w="10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1814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Cure with catheter preservation</w:t>
            </w:r>
          </w:p>
        </w:tc>
        <w:tc>
          <w:tcPr>
            <w:tcW w:w="6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E8E8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8/31 vs </w:t>
            </w:r>
            <w:r w:rsidRPr="00E53029">
              <w:rPr>
                <w:rFonts w:asciiTheme="majorBidi" w:hAnsiTheme="majorBidi" w:cstheme="majorBidi"/>
                <w:sz w:val="13"/>
              </w:rPr>
              <w:t>10/20</w:t>
            </w:r>
          </w:p>
        </w:tc>
        <w:tc>
          <w:tcPr>
            <w:tcW w:w="122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2E32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Use cure + preservation, not preservation alone (14/31); comparator is review-derived by subtraction; mixed population and serious confounding.</w:t>
            </w:r>
          </w:p>
        </w:tc>
      </w:tr>
    </w:tbl>
    <w:p w14:paraId="00003CE1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Randomized and nonrandomized evidence were not pooled together. Comparator strategies and assessment wind</w:t>
      </w:r>
      <w:r w:rsidRPr="00E53029">
        <w:rPr>
          <w:rFonts w:asciiTheme="majorBidi" w:hAnsiTheme="majorBidi" w:cstheme="majorBidi"/>
        </w:rPr>
        <w:t>ows were kept clinically distinct.</w:t>
      </w:r>
    </w:p>
    <w:p w14:paraId="242C2742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5. Microbiological Relapse</w:t>
      </w:r>
    </w:p>
    <w:p w14:paraId="4CEAC633" w14:textId="77777777" w:rsidR="00936871" w:rsidRPr="00E53029" w:rsidRDefault="005C43B0">
      <w:pPr>
        <w:pStyle w:val="FrameworkBMC"/>
        <w:keepNext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Relapse was defined as re-isolation of the same/index organism after initial infection control. Persistent bacteremia before initial clearance was not classified as relapse. The two primary </w:t>
      </w:r>
      <w:r w:rsidRPr="00E53029">
        <w:rPr>
          <w:rFonts w:asciiTheme="majorBidi" w:hAnsiTheme="majorBidi" w:cstheme="majorBidi"/>
        </w:rPr>
        <w:t>absolute relapse windows contain different study sets and risk sets and should not be interpreted as sequential risks within the same cohort.</w:t>
      </w:r>
    </w:p>
    <w:p w14:paraId="65C27522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5.1 Same-organism relapse within approximately 30 days</w:t>
      </w:r>
    </w:p>
    <w:p w14:paraId="701474B0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absolute synthesis: 6 studies, 141 evaluable ALT-tr</w:t>
      </w:r>
      <w:r w:rsidRPr="00E53029">
        <w:rPr>
          <w:rFonts w:asciiTheme="majorBidi" w:hAnsiTheme="majorBidi" w:cstheme="majorBidi"/>
        </w:rPr>
        <w:t>eated patients/episodes, 11 relapse events. Contributing studies: Sánchez-Muñoz 2005, Fernández-Hidalgo 2006, Fortún 2006, Broom 2008, Del Pozo 2009 (non-CoNS), and Vassallo 2017.</w:t>
      </w:r>
    </w:p>
    <w:p w14:paraId="5BCD6DE2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5A. Same-organism microbiological relapse within approximately 30 days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4"/>
        <w:gridCol w:w="1825"/>
        <w:gridCol w:w="1555"/>
        <w:gridCol w:w="3312"/>
        <w:gridCol w:w="2230"/>
        <w:gridCol w:w="3582"/>
      </w:tblGrid>
      <w:tr w:rsidR="00936871" w:rsidRPr="00E53029" w14:paraId="151B0173" w14:textId="77777777" w:rsidTr="00E53029">
        <w:trPr>
          <w:cantSplit/>
          <w:tblHeader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FD71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F0C7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1CB8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point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CC2F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Recurrence definition used in this review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4F7D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8ED1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3AA14B49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135C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Fortún 2006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C28F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Historical-control nonrandomized comparative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1619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Through 1 mo after treatment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E5EB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Relapse with the same phenotypic strain after stopping therapy, after in</w:t>
            </w:r>
            <w:r w:rsidRPr="00E53029">
              <w:rPr>
                <w:rFonts w:asciiTheme="majorBidi" w:hAnsiTheme="majorBidi" w:cstheme="majorBidi"/>
                <w:sz w:val="14"/>
              </w:rPr>
              <w:t>itial clinical/microbiological response.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9610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ALT 2/19 (10.5%) vs systemic/no-active-lock 3/29 (10.3%)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16B1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ALT arm contributes to the absolute short-term relapse pool. Comparative control count 3/29 follows the final comparative relapse dataset.</w:t>
            </w:r>
          </w:p>
        </w:tc>
      </w:tr>
      <w:tr w:rsidR="00936871" w:rsidRPr="00E53029" w14:paraId="5022A140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D1FB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Broom 2008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9E988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multicentre pilot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4EA4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Day 9 after ALT initiation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1414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Recurrent bacteremia with the index organism after documented early culture clearance.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52F6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1/17 completers (5.9%)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B6D5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Strict relapse estimate: recurrent S. epidermidis bacteremia with fever on day 9. A later</w:t>
            </w:r>
            <w:r w:rsidRPr="00E53029">
              <w:rPr>
                <w:rFonts w:asciiTheme="majorBidi" w:hAnsiTheme="majorBidi" w:cstheme="majorBidi"/>
                <w:sz w:val="14"/>
              </w:rPr>
              <w:t xml:space="preserve"> day-41 P. aeruginosa episode had a different susceptibility pattern and was interpreted by the authors as reinfection, so it is not counted here.</w:t>
            </w:r>
          </w:p>
        </w:tc>
      </w:tr>
      <w:tr w:rsidR="00936871" w:rsidRPr="00E53029" w14:paraId="2E96C651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90F4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Del Pozo 2009, non-CoNS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0A8E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single-arm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0A483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Day 12 / within 30 d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80BC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Same microorganism recovered afte</w:t>
            </w:r>
            <w:r w:rsidRPr="00E53029">
              <w:rPr>
                <w:rFonts w:asciiTheme="majorBidi" w:hAnsiTheme="majorBidi" w:cstheme="majorBidi"/>
                <w:sz w:val="14"/>
              </w:rPr>
              <w:t>r initial eradication.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BCD05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Adult-only 1/17 (5.9%)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9086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Review-derived adult-only estimate: the adult E. faecium case relapsed on day 12. A separate day-90 recurrence occurred in a 13-year-old and is excluded.</w:t>
            </w:r>
          </w:p>
        </w:tc>
      </w:tr>
      <w:tr w:rsidR="00936871" w:rsidRPr="00E53029" w14:paraId="2C6301D7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42CC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lastRenderedPageBreak/>
              <w:t>Sánchez-Muñoz 2005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A536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single-arm oncology seri</w:t>
            </w:r>
            <w:r w:rsidRPr="00E53029">
              <w:rPr>
                <w:rFonts w:asciiTheme="majorBidi" w:hAnsiTheme="majorBidi" w:cstheme="majorBidi"/>
                <w:sz w:val="14"/>
              </w:rPr>
              <w:t>es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33A4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 wk after ALT completion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3790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Recurrent bacteremia with the same index organism after successful initial clinical and microbiological response.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A349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Adult-treated cohort 1/13 (7.7%)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53C2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The relapse was methicillin-resistant CoNS and led to catheter removal. The </w:t>
            </w:r>
            <w:r w:rsidRPr="00E53029">
              <w:rPr>
                <w:rFonts w:asciiTheme="majorBidi" w:hAnsiTheme="majorBidi" w:cstheme="majorBidi"/>
                <w:sz w:val="14"/>
              </w:rPr>
              <w:t>original cohort was 14, but one 15-year-old successful case was excluded from the adult review denominator.</w:t>
            </w:r>
          </w:p>
        </w:tc>
      </w:tr>
      <w:tr w:rsidR="00936871" w:rsidRPr="00E53029" w14:paraId="1B0DBF2C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4A50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Vassallo 2017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0000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Retrospective single-arm cancer cohort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1063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30 d after treatment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BD44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Microbiologically documented CRBSI recurrence after initial response with</w:t>
            </w:r>
            <w:r w:rsidRPr="00E53029">
              <w:rPr>
                <w:rFonts w:asciiTheme="majorBidi" w:hAnsiTheme="majorBidi" w:cstheme="majorBidi"/>
                <w:sz w:val="14"/>
              </w:rPr>
              <w:t>in the 30-d failure window.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E6B0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3/21 (14.3%)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0C47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All cancer. Two additional failures had recurrent fever without microbiological documentation and are not counted as strict relapse.</w:t>
            </w:r>
          </w:p>
        </w:tc>
      </w:tr>
      <w:tr w:rsidR="00936871" w:rsidRPr="00E53029" w14:paraId="28B219AB" w14:textId="77777777" w:rsidTr="00E53029">
        <w:trPr>
          <w:cantSplit/>
          <w:jc w:val="center"/>
        </w:trPr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6BB6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Fernández-Hidalgo 2006</w:t>
            </w:r>
          </w:p>
        </w:tc>
        <w:tc>
          <w:tcPr>
            <w:tcW w:w="64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4448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open non-comparative study</w:t>
            </w:r>
          </w:p>
        </w:tc>
        <w:tc>
          <w:tcPr>
            <w:tcW w:w="5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A5E7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&lt;30 d after therapy</w:t>
            </w:r>
          </w:p>
        </w:tc>
        <w:tc>
          <w:tcPr>
            <w:tcW w:w="117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BE39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Bacteremia with the same microorganism (genus, species, biotype and antibiotype) after initial treatment.</w:t>
            </w:r>
          </w:p>
        </w:tc>
        <w:tc>
          <w:tcPr>
            <w:tcW w:w="7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AFA5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Cancer/chemotherapy subgroup, review-derived 3/54 (5.6%); full parent cohort 7/115 (6.1%)</w:t>
            </w:r>
          </w:p>
        </w:tc>
        <w:tc>
          <w:tcPr>
            <w:tcW w:w="127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6967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The primary short-term relapse synthesis uses the </w:t>
            </w:r>
            <w:r w:rsidRPr="00E53029">
              <w:rPr>
                <w:rFonts w:asciiTheme="majorBidi" w:hAnsiTheme="majorBidi" w:cstheme="majorBidi"/>
                <w:sz w:val="14"/>
              </w:rPr>
              <w:t>review-derived chemotherapy-associated subgroup count (3/54). The full mixed-cohort relapse count (7/115) is retained only as source context.</w:t>
            </w:r>
          </w:p>
        </w:tc>
      </w:tr>
    </w:tbl>
    <w:p w14:paraId="538F70C3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6 studies, N=141, pooled relapse 7.8% (95% CI, 4.4%-13.5%).</w:t>
      </w:r>
    </w:p>
    <w:p w14:paraId="40E5D928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5.2 Same-organism </w:t>
      </w:r>
      <w:r w:rsidRPr="00E53029">
        <w:rPr>
          <w:rFonts w:asciiTheme="majorBidi" w:hAnsiTheme="majorBidi" w:cstheme="majorBidi"/>
        </w:rPr>
        <w:t>relapse during 31-100 days</w:t>
      </w:r>
    </w:p>
    <w:p w14:paraId="4CC8B816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later-relapse synthesis: 7 studies, 247 evaluable ALT-treated patients/episodes. Contributing studies: Ranganath 2025, Zhang 2025, Bayoudh 2024, Bookstaver 2010, Viale 2003, Lebeaux 2025, and Lafaurie 2023.</w:t>
      </w:r>
    </w:p>
    <w:p w14:paraId="4B4AF4B1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5B. Same</w:t>
      </w:r>
      <w:r w:rsidRPr="00E53029">
        <w:rPr>
          <w:rFonts w:asciiTheme="majorBidi" w:hAnsiTheme="majorBidi" w:cstheme="majorBidi"/>
        </w:rPr>
        <w:t>-organism microbiological relapse during approximately 31-100 days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63"/>
        <w:gridCol w:w="2363"/>
        <w:gridCol w:w="2362"/>
        <w:gridCol w:w="2362"/>
        <w:gridCol w:w="2362"/>
        <w:gridCol w:w="2362"/>
      </w:tblGrid>
      <w:tr w:rsidR="00936871" w:rsidRPr="00E53029" w14:paraId="6D735242" w14:textId="77777777" w:rsidTr="00E53029">
        <w:trPr>
          <w:cantSplit/>
          <w:tblHeader/>
          <w:jc w:val="center"/>
        </w:trPr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99F5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78A3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2360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point</w:t>
            </w:r>
          </w:p>
        </w:tc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2799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Recurrence definition used in this review</w:t>
            </w:r>
          </w:p>
        </w:tc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3B7C9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8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284F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2487DFA3" w14:textId="77777777" w:rsidTr="00E53029">
        <w:trPr>
          <w:cantSplit/>
          <w:jc w:val="center"/>
        </w:trPr>
        <w:tc>
          <w:tcPr>
            <w:tcW w:w="833" w:type="pct"/>
          </w:tcPr>
          <w:p w14:paraId="7C279C0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Ranganath 2025</w:t>
            </w:r>
          </w:p>
        </w:tc>
        <w:tc>
          <w:tcPr>
            <w:tcW w:w="833" w:type="pct"/>
          </w:tcPr>
          <w:p w14:paraId="169A4B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Retrospective comparative cohort with IPTW analysis</w:t>
            </w:r>
          </w:p>
        </w:tc>
        <w:tc>
          <w:tcPr>
            <w:tcW w:w="833" w:type="pct"/>
          </w:tcPr>
          <w:p w14:paraId="38590B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90 d after therapy</w:t>
            </w:r>
          </w:p>
        </w:tc>
        <w:tc>
          <w:tcPr>
            <w:tcW w:w="833" w:type="pct"/>
          </w:tcPr>
          <w:p w14:paraId="4B170B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Re-isolation </w:t>
            </w:r>
            <w:r w:rsidRPr="00E53029">
              <w:rPr>
                <w:rFonts w:asciiTheme="majorBidi" w:hAnsiTheme="majorBidi" w:cstheme="majorBidi"/>
                <w:sz w:val="14"/>
              </w:rPr>
              <w:t>of the same genus/species as the index CVC-BSI after initial treatment.</w:t>
            </w:r>
          </w:p>
        </w:tc>
        <w:tc>
          <w:tcPr>
            <w:tcW w:w="833" w:type="pct"/>
          </w:tcPr>
          <w:p w14:paraId="4E1527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ALT 21/106 (19.8%) vs catheter removal 12/181 (6.6%); IPTW-adjusted OR 3.93 (95% CI 1.64–9.40), P=0.002</w:t>
            </w:r>
          </w:p>
        </w:tc>
        <w:tc>
          <w:tcPr>
            <w:tcW w:w="833" w:type="pct"/>
          </w:tcPr>
          <w:p w14:paraId="1C87E5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Direct 90-day same-organism relapse; mixed immunocompromised population and canc</w:t>
            </w:r>
            <w:r w:rsidRPr="00E53029">
              <w:rPr>
                <w:rFonts w:asciiTheme="majorBidi" w:hAnsiTheme="majorBidi" w:cstheme="majorBidi"/>
                <w:sz w:val="14"/>
              </w:rPr>
              <w:t>er-specific effect not separable.</w:t>
            </w:r>
          </w:p>
        </w:tc>
      </w:tr>
      <w:tr w:rsidR="00936871" w:rsidRPr="00E53029" w14:paraId="0B7E37E8" w14:textId="77777777" w:rsidTr="00E53029">
        <w:trPr>
          <w:cantSplit/>
          <w:jc w:val="center"/>
        </w:trPr>
        <w:tc>
          <w:tcPr>
            <w:tcW w:w="833" w:type="pct"/>
          </w:tcPr>
          <w:p w14:paraId="0B9B34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Zhang 2025</w:t>
            </w:r>
          </w:p>
        </w:tc>
        <w:tc>
          <w:tcPr>
            <w:tcW w:w="833" w:type="pct"/>
          </w:tcPr>
          <w:p w14:paraId="5C4751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Retrospective nonrandomized comparative cohort</w:t>
            </w:r>
          </w:p>
        </w:tc>
        <w:tc>
          <w:tcPr>
            <w:tcW w:w="833" w:type="pct"/>
          </w:tcPr>
          <w:p w14:paraId="3708F8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90 d</w:t>
            </w:r>
          </w:p>
        </w:tc>
        <w:tc>
          <w:tcPr>
            <w:tcW w:w="833" w:type="pct"/>
          </w:tcPr>
          <w:p w14:paraId="6E3DF4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Recurrent infection caused by the same pathogen after the index episode.</w:t>
            </w:r>
          </w:p>
        </w:tc>
        <w:tc>
          <w:tcPr>
            <w:tcW w:w="833" w:type="pct"/>
          </w:tcPr>
          <w:p w14:paraId="59D950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Among retained PICCs: ALT 2/26 (7.7%) vs systemic therapy without active ALT 1/17 </w:t>
            </w:r>
            <w:r w:rsidRPr="00E53029">
              <w:rPr>
                <w:rFonts w:asciiTheme="majorBidi" w:hAnsiTheme="majorBidi" w:cstheme="majorBidi"/>
                <w:sz w:val="14"/>
              </w:rPr>
              <w:t>(5.9%)</w:t>
            </w:r>
          </w:p>
        </w:tc>
        <w:tc>
          <w:tcPr>
            <w:tcW w:w="833" w:type="pct"/>
          </w:tcPr>
          <w:p w14:paraId="00F9D5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Conditional post-treatment denominator restricted to retained/salvaged PICCs; the ALT 2/26 count contributes to the absolute 31–100-day synthesis.</w:t>
            </w:r>
          </w:p>
        </w:tc>
      </w:tr>
      <w:tr w:rsidR="00936871" w:rsidRPr="00E53029" w14:paraId="2FA18FF8" w14:textId="77777777" w:rsidTr="00E53029">
        <w:trPr>
          <w:cantSplit/>
          <w:jc w:val="center"/>
        </w:trPr>
        <w:tc>
          <w:tcPr>
            <w:tcW w:w="833" w:type="pct"/>
          </w:tcPr>
          <w:p w14:paraId="043369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Bayoudh 2024</w:t>
            </w:r>
          </w:p>
        </w:tc>
        <w:tc>
          <w:tcPr>
            <w:tcW w:w="833" w:type="pct"/>
          </w:tcPr>
          <w:p w14:paraId="435C29F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Retrospective single-arm allo-HCT case series</w:t>
            </w:r>
          </w:p>
        </w:tc>
        <w:tc>
          <w:tcPr>
            <w:tcW w:w="833" w:type="pct"/>
          </w:tcPr>
          <w:p w14:paraId="41C1FF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Approximately 3 mo</w:t>
            </w:r>
          </w:p>
        </w:tc>
        <w:tc>
          <w:tcPr>
            <w:tcW w:w="833" w:type="pct"/>
          </w:tcPr>
          <w:p w14:paraId="4A650E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Recurrent VAD-BSI with </w:t>
            </w:r>
            <w:r w:rsidRPr="00E53029">
              <w:rPr>
                <w:rFonts w:asciiTheme="majorBidi" w:hAnsiTheme="majorBidi" w:cstheme="majorBidi"/>
                <w:sz w:val="14"/>
              </w:rPr>
              <w:t>the same CoNS/antibiogram after initial infection control.</w:t>
            </w:r>
          </w:p>
        </w:tc>
        <w:tc>
          <w:tcPr>
            <w:tcW w:w="833" w:type="pct"/>
          </w:tcPr>
          <w:p w14:paraId="21DA93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3/17 (17.6%)</w:t>
            </w:r>
          </w:p>
        </w:tc>
        <w:tc>
          <w:tcPr>
            <w:tcW w:w="833" w:type="pct"/>
          </w:tcPr>
          <w:p w14:paraId="595F14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Malignant hematology/allo-HCT lock subgroup; direct recurrence count.</w:t>
            </w:r>
          </w:p>
        </w:tc>
      </w:tr>
      <w:tr w:rsidR="00936871" w:rsidRPr="00E53029" w14:paraId="525F20DC" w14:textId="77777777" w:rsidTr="00E53029">
        <w:trPr>
          <w:cantSplit/>
          <w:jc w:val="center"/>
        </w:trPr>
        <w:tc>
          <w:tcPr>
            <w:tcW w:w="833" w:type="pct"/>
          </w:tcPr>
          <w:p w14:paraId="641CFC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Bookstaver 2010</w:t>
            </w:r>
          </w:p>
        </w:tc>
        <w:tc>
          <w:tcPr>
            <w:tcW w:w="833" w:type="pct"/>
          </w:tcPr>
          <w:p w14:paraId="470BD7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Retrospective case series; adult oncology subgroup</w:t>
            </w:r>
          </w:p>
        </w:tc>
        <w:tc>
          <w:tcPr>
            <w:tcW w:w="833" w:type="pct"/>
          </w:tcPr>
          <w:p w14:paraId="2C4613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30–90 d</w:t>
            </w:r>
          </w:p>
        </w:tc>
        <w:tc>
          <w:tcPr>
            <w:tcW w:w="833" w:type="pct"/>
          </w:tcPr>
          <w:p w14:paraId="1768A5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Recurrent infection after initial bloo</w:t>
            </w:r>
            <w:r w:rsidRPr="00E53029">
              <w:rPr>
                <w:rFonts w:asciiTheme="majorBidi" w:hAnsiTheme="majorBidi" w:cstheme="majorBidi"/>
                <w:sz w:val="14"/>
              </w:rPr>
              <w:t>d-culture sterilization in the adult oncology subgroup.</w:t>
            </w:r>
          </w:p>
        </w:tc>
        <w:tc>
          <w:tcPr>
            <w:tcW w:w="833" w:type="pct"/>
          </w:tcPr>
          <w:p w14:paraId="24917A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1/6 (16.7%)</w:t>
            </w:r>
          </w:p>
        </w:tc>
        <w:tc>
          <w:tcPr>
            <w:tcW w:w="833" w:type="pct"/>
          </w:tcPr>
          <w:p w14:paraId="7C1F28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Patient-level adult oncology subgroup; recurrence occurred after the short-term assessment window.</w:t>
            </w:r>
          </w:p>
        </w:tc>
      </w:tr>
      <w:tr w:rsidR="00936871" w:rsidRPr="00E53029" w14:paraId="7FA1B0B4" w14:textId="77777777" w:rsidTr="00E53029">
        <w:trPr>
          <w:cantSplit/>
          <w:jc w:val="center"/>
        </w:trPr>
        <w:tc>
          <w:tcPr>
            <w:tcW w:w="833" w:type="pct"/>
          </w:tcPr>
          <w:p w14:paraId="267C7F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Viale 2003</w:t>
            </w:r>
          </w:p>
        </w:tc>
        <w:tc>
          <w:tcPr>
            <w:tcW w:w="833" w:type="pct"/>
          </w:tcPr>
          <w:p w14:paraId="1135FF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uncontrolled pilot; cancer subgroup extracted</w:t>
            </w:r>
          </w:p>
        </w:tc>
        <w:tc>
          <w:tcPr>
            <w:tcW w:w="833" w:type="pct"/>
          </w:tcPr>
          <w:p w14:paraId="5F9FF1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Approximately 28–90</w:t>
            </w:r>
            <w:r w:rsidRPr="00E53029">
              <w:rPr>
                <w:rFonts w:asciiTheme="majorBidi" w:hAnsiTheme="majorBidi" w:cstheme="majorBidi"/>
                <w:sz w:val="14"/>
              </w:rPr>
              <w:t xml:space="preserve"> d</w:t>
            </w:r>
          </w:p>
        </w:tc>
        <w:tc>
          <w:tcPr>
            <w:tcW w:w="833" w:type="pct"/>
          </w:tcPr>
          <w:p w14:paraId="160E71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CRBSI recurrence due to an identical organism (same species and antibiotype) after initial cure.</w:t>
            </w:r>
          </w:p>
        </w:tc>
        <w:tc>
          <w:tcPr>
            <w:tcW w:w="833" w:type="pct"/>
          </w:tcPr>
          <w:p w14:paraId="432D6F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Cancer subgroup 0/9 (0%)</w:t>
            </w:r>
          </w:p>
        </w:tc>
        <w:tc>
          <w:tcPr>
            <w:tcW w:w="833" w:type="pct"/>
          </w:tcPr>
          <w:p w14:paraId="412691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relapse occurred among the nine cancer patients during the aligned follow-up interval.</w:t>
            </w:r>
          </w:p>
        </w:tc>
      </w:tr>
      <w:tr w:rsidR="00936871" w:rsidRPr="00E53029" w14:paraId="79A30FBD" w14:textId="77777777" w:rsidTr="00E53029">
        <w:trPr>
          <w:cantSplit/>
          <w:jc w:val="center"/>
        </w:trPr>
        <w:tc>
          <w:tcPr>
            <w:tcW w:w="833" w:type="pct"/>
          </w:tcPr>
          <w:p w14:paraId="7904F9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Lebeaux 2025</w:t>
            </w:r>
          </w:p>
        </w:tc>
        <w:tc>
          <w:tcPr>
            <w:tcW w:w="833" w:type="pct"/>
          </w:tcPr>
          <w:p w14:paraId="4EDB02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phase I/II sing</w:t>
            </w:r>
            <w:r w:rsidRPr="00E53029">
              <w:rPr>
                <w:rFonts w:asciiTheme="majorBidi" w:hAnsiTheme="majorBidi" w:cstheme="majorBidi"/>
                <w:sz w:val="14"/>
              </w:rPr>
              <w:t>le-arm pilot</w:t>
            </w:r>
          </w:p>
        </w:tc>
        <w:tc>
          <w:tcPr>
            <w:tcW w:w="833" w:type="pct"/>
          </w:tcPr>
          <w:p w14:paraId="4309A0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Day 40 to approximately day 100</w:t>
            </w:r>
          </w:p>
        </w:tc>
        <w:tc>
          <w:tcPr>
            <w:tcW w:w="833" w:type="pct"/>
          </w:tcPr>
          <w:p w14:paraId="635CE5D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BSI with the same species and antibiotic-susceptibility pattern after initial cure.</w:t>
            </w:r>
          </w:p>
        </w:tc>
        <w:tc>
          <w:tcPr>
            <w:tcW w:w="833" w:type="pct"/>
          </w:tcPr>
          <w:p w14:paraId="7DE969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Cancer evaluable-case 1/6 (16.7%)</w:t>
            </w:r>
          </w:p>
        </w:tc>
        <w:tc>
          <w:tcPr>
            <w:tcW w:w="833" w:type="pct"/>
          </w:tcPr>
          <w:p w14:paraId="7E8CC6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Six cancer patients had a determinable formal follow-up status for this harmonized recurrence</w:t>
            </w:r>
            <w:r w:rsidRPr="00E53029">
              <w:rPr>
                <w:rFonts w:asciiTheme="majorBidi" w:hAnsiTheme="majorBidi" w:cstheme="majorBidi"/>
                <w:sz w:val="14"/>
              </w:rPr>
              <w:t xml:space="preserve"> analysis.</w:t>
            </w:r>
          </w:p>
        </w:tc>
      </w:tr>
      <w:tr w:rsidR="00936871" w:rsidRPr="00E53029" w14:paraId="1511D588" w14:textId="77777777" w:rsidTr="00E53029">
        <w:trPr>
          <w:cantSplit/>
          <w:jc w:val="center"/>
        </w:trPr>
        <w:tc>
          <w:tcPr>
            <w:tcW w:w="833" w:type="pct"/>
          </w:tcPr>
          <w:p w14:paraId="7F9FAE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Lafaurie 2023</w:t>
            </w:r>
          </w:p>
        </w:tc>
        <w:tc>
          <w:tcPr>
            <w:tcW w:w="833" w:type="pct"/>
          </w:tcPr>
          <w:p w14:paraId="2C0128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Prospective multicentre single-arm cancer cohort</w:t>
            </w:r>
          </w:p>
        </w:tc>
        <w:tc>
          <w:tcPr>
            <w:tcW w:w="833" w:type="pct"/>
          </w:tcPr>
          <w:p w14:paraId="43898A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 mo</w:t>
            </w:r>
          </w:p>
        </w:tc>
        <w:tc>
          <w:tcPr>
            <w:tcW w:w="833" w:type="pct"/>
          </w:tcPr>
          <w:p w14:paraId="0E808C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Relapse = new TIVAP-related infection due to the same CoNS species and/or susceptibility pattern after VLT.</w:t>
            </w:r>
          </w:p>
        </w:tc>
        <w:tc>
          <w:tcPr>
            <w:tcW w:w="833" w:type="pct"/>
          </w:tcPr>
          <w:p w14:paraId="74905F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15/77 evaluable (19.5%)</w:t>
            </w:r>
          </w:p>
        </w:tc>
        <w:tc>
          <w:tcPr>
            <w:tcW w:w="833" w:type="pct"/>
          </w:tcPr>
          <w:p w14:paraId="61AF16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 xml:space="preserve">The 77-patient evaluable denominator </w:t>
            </w:r>
            <w:r w:rsidRPr="00E53029">
              <w:rPr>
                <w:rFonts w:asciiTheme="majorBidi" w:hAnsiTheme="majorBidi" w:cstheme="majorBidi"/>
                <w:sz w:val="14"/>
              </w:rPr>
              <w:t>comprises patients with determinable 3-month efficacy status; 15 same-organism relapses were reported.</w:t>
            </w:r>
          </w:p>
        </w:tc>
      </w:tr>
    </w:tbl>
    <w:p w14:paraId="68399247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7 studies, N=247, pooled relapse 17.4% (95% CI, 13.2%-22.7%). Exclusion of Zhang 2025, which used a retained-PICC denomina</w:t>
      </w:r>
      <w:r w:rsidRPr="00E53029">
        <w:rPr>
          <w:rFonts w:asciiTheme="majorBidi" w:hAnsiTheme="majorBidi" w:cstheme="majorBidi"/>
        </w:rPr>
        <w:t>tor, yielded a similar estimate.</w:t>
      </w:r>
    </w:p>
    <w:p w14:paraId="03AD9FC3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lastRenderedPageBreak/>
        <w:t>5.3 Comparative microbiological relapse</w:t>
      </w:r>
    </w:p>
    <w:p w14:paraId="36D6B9E2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5C. Comparator-specific comparative relapse evidence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3240"/>
        <w:gridCol w:w="1944"/>
        <w:gridCol w:w="2880"/>
        <w:gridCol w:w="4464"/>
      </w:tblGrid>
      <w:tr w:rsidR="00936871" w:rsidRPr="00E53029" w14:paraId="6431453B" w14:textId="77777777">
        <w:trPr>
          <w:cantSplit/>
          <w:tblHeader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A5D5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0A53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Comparator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211C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Events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59A5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Effect / summary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3CAF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caveat</w:t>
            </w:r>
          </w:p>
        </w:tc>
      </w:tr>
      <w:tr w:rsidR="00936871" w:rsidRPr="00E53029" w14:paraId="56086EDB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39C8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Rijnders 2005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D31E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RCT: active antibiotic lock vs placebo lock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36EC8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3/21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vs 9/23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1D58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RR 0.37 (95% CI, 0.11-1.17)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CD96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Randomized evidence reported separately.</w:t>
            </w:r>
          </w:p>
        </w:tc>
      </w:tr>
      <w:tr w:rsidR="00936871" w:rsidRPr="00E53029" w14:paraId="3857F970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91AE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D521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catheter preservation vs catheter removal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774F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21/106 vs 12/181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28A5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Adjusted OR 3.93 (95% CI, 1.64-9.40)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58F9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90-day same-organism relapse; mixed population.</w:t>
            </w:r>
          </w:p>
        </w:tc>
      </w:tr>
      <w:tr w:rsidR="00936871" w:rsidRPr="00E53029" w14:paraId="3A578159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0905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Vidal 2016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2966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 exposure vs catheter removal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52D5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4/22 vs 1/75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C248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contrast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6EC3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Secondary clinician-directed exposure comparison; strong confounding.</w:t>
            </w:r>
          </w:p>
        </w:tc>
      </w:tr>
      <w:tr w:rsidR="00936871" w:rsidRPr="00E53029" w14:paraId="151F7AA0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0A17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4050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catheter preservation vs removal/reinsertion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551C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0/30 vs 3/60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425A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contrast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8D48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Shorter assessment than </w:t>
            </w:r>
            <w:r w:rsidRPr="00E53029">
              <w:rPr>
                <w:rFonts w:asciiTheme="majorBidi" w:hAnsiTheme="majorBidi" w:cstheme="majorBidi"/>
                <w:sz w:val="13"/>
              </w:rPr>
              <w:t>other removal studies.</w:t>
            </w:r>
          </w:p>
        </w:tc>
      </w:tr>
      <w:tr w:rsidR="00936871" w:rsidRPr="00E53029" w14:paraId="56EF2B67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B012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Fortún 2006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C1E8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systemic vs systemic/no active ALT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EF2B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2/19 vs 3/29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603C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contrast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FBC6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 underlying conditions; serious risk of bias.</w:t>
            </w:r>
          </w:p>
        </w:tc>
      </w:tr>
      <w:tr w:rsidR="00936871" w:rsidRPr="00E53029" w14:paraId="0ED03784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60F3F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7B69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+ systemic vs systemic therapy alone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8A29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2/26 vs 1/17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6C34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contrast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27B8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Relapse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among retained PICCs; conditional denominator.</w:t>
            </w:r>
          </w:p>
        </w:tc>
      </w:tr>
      <w:tr w:rsidR="00936871" w:rsidRPr="00E53029" w14:paraId="58EA1D70" w14:textId="77777777">
        <w:trPr>
          <w:cantSplit/>
          <w:jc w:val="center"/>
        </w:trPr>
        <w:tc>
          <w:tcPr>
            <w:tcW w:w="1656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EE6E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Wintenberger 2012</w:t>
            </w:r>
          </w:p>
        </w:tc>
        <w:tc>
          <w:tcPr>
            <w:tcW w:w="324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1D07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vs conservative management without ALT</w:t>
            </w:r>
          </w:p>
        </w:tc>
        <w:tc>
          <w:tcPr>
            <w:tcW w:w="194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A9BD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4/31 vs 2/20</w:t>
            </w:r>
          </w:p>
        </w:tc>
        <w:tc>
          <w:tcPr>
            <w:tcW w:w="288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DC0F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comparator</w:t>
            </w:r>
          </w:p>
        </w:tc>
        <w:tc>
          <w:tcPr>
            <w:tcW w:w="446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4E1E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Variable study follow-up; secondary contrast.</w:t>
            </w:r>
          </w:p>
        </w:tc>
      </w:tr>
    </w:tbl>
    <w:p w14:paraId="28783C63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Comparative relapse was interpreted by comparator strategy. </w:t>
      </w:r>
      <w:r w:rsidRPr="00E53029">
        <w:rPr>
          <w:rFonts w:asciiTheme="majorBidi" w:hAnsiTheme="majorBidi" w:cstheme="majorBidi"/>
        </w:rPr>
        <w:t>No overall cross-comparator treatment effect was used as a principal estimand.</w:t>
      </w:r>
    </w:p>
    <w:p w14:paraId="27B16E9E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6. Infection-Attributable Mortality</w:t>
      </w:r>
    </w:p>
    <w:p w14:paraId="5CED7645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Primary absolute synthesis: 16 studies, 673 ALT-treated patients/episodes and 10 deaths attributed to the index catheter-related infection. </w:t>
      </w:r>
      <w:r w:rsidRPr="00E53029">
        <w:rPr>
          <w:rFonts w:asciiTheme="majorBidi" w:hAnsiTheme="majorBidi" w:cstheme="majorBidi"/>
        </w:rPr>
        <w:t>Contributing studies: Ranganath 2025, Freire 2018, Raad 2016, Haag 2011, Vidal 2016, Lafaurie 2023, Bayoudh 2024, Lesens 2024, Sánchez-Muñoz 2005, Fortún 2006, Wintenberger 2012, Zhang 2025, Alonso 2020, Zanwar 2019, Fernández-Hidalgo 2006, and Viale 2003.</w:t>
      </w:r>
    </w:p>
    <w:p w14:paraId="1CDF0ADD" w14:textId="77777777" w:rsidR="00936871" w:rsidRPr="00E53029" w:rsidRDefault="005C43B0">
      <w:pPr>
        <w:pStyle w:val="FrameworkBMC"/>
        <w:keepNext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Harmonization rule for mortality. Infection-attributable mortality required explicit study attribution to the index catheter-related infection. All-cause mortality was kept separate. No follow-up-duration strata are used here because timing of attribution</w:t>
      </w:r>
      <w:r w:rsidRPr="00E53029">
        <w:rPr>
          <w:rFonts w:asciiTheme="majorBidi" w:hAnsiTheme="majorBidi" w:cstheme="majorBidi"/>
        </w:rPr>
        <w:t xml:space="preserve"> was not sufficiently uniform or reliably harmonizable across the contributing reports.</w:t>
      </w:r>
    </w:p>
    <w:p w14:paraId="33B072F0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6. Infection-attributable mortality across all 16 contributing studies (no follow-up stratification)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799"/>
        <w:gridCol w:w="2798"/>
        <w:gridCol w:w="2266"/>
        <w:gridCol w:w="2398"/>
        <w:gridCol w:w="3264"/>
      </w:tblGrid>
      <w:tr w:rsidR="00936871" w:rsidRPr="00E53029" w14:paraId="6DF66B3F" w14:textId="77777777" w:rsidTr="00E53029">
        <w:trPr>
          <w:cantSplit/>
          <w:tblHeader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3632F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4CDB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81642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analysis set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ED04D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ALT-treated infection-</w:t>
            </w:r>
            <w:r w:rsidRPr="00E53029">
              <w:rPr>
                <w:rFonts w:asciiTheme="majorBidi" w:hAnsiTheme="majorBidi" w:cstheme="majorBidi"/>
                <w:b/>
                <w:sz w:val="14"/>
              </w:rPr>
              <w:t>attributable mortality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DF74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Comparator / additional arm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8784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37C58770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7D3A4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 2025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31D9A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comparative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780B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n=106 vs catheter removal n=181; mixed immunocompromised cohort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6799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1/106 (0.9%)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6722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removal: 4/181 (2.2%)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96D0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source attribution; c</w:t>
            </w:r>
            <w:r w:rsidRPr="00E53029">
              <w:rPr>
                <w:rFonts w:asciiTheme="majorBidi" w:hAnsiTheme="majorBidi" w:cstheme="majorBidi"/>
                <w:sz w:val="12"/>
              </w:rPr>
              <w:t>ancer-specific outcome not separable.</w:t>
            </w:r>
          </w:p>
        </w:tc>
      </w:tr>
      <w:tr w:rsidR="00936871" w:rsidRPr="00E53029" w14:paraId="7F5E7D87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E997E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Freire 2018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742B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observational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A5EC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ALT-treated BSI subgroup n=62; all cancer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6D8C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1/62 (1.6%)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B929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Adjusted comparative association reported separately (HR 0.29, 95% CI 0.09-0.94)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7137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Study-defined infection-related </w:t>
            </w:r>
            <w:r w:rsidRPr="00E53029">
              <w:rPr>
                <w:rFonts w:asciiTheme="majorBidi" w:hAnsiTheme="majorBidi" w:cstheme="majorBidi"/>
                <w:sz w:val="12"/>
              </w:rPr>
              <w:t>mortality; all-cause mortality kept separate.</w:t>
            </w:r>
          </w:p>
        </w:tc>
      </w:tr>
      <w:tr w:rsidR="00936871" w:rsidRPr="00E53029" w14:paraId="4FD21C79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02AF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1303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intervention with matched historical controls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6FF0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cancer; lock n=30 vs catheter removal/reinsertion n=60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7611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0/30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7C40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Removal/reinsertion: 0/60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CA52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Bacteremia-related deaths explicitly zero in both g</w:t>
            </w:r>
            <w:r w:rsidRPr="00E53029">
              <w:rPr>
                <w:rFonts w:asciiTheme="majorBidi" w:hAnsiTheme="majorBidi" w:cstheme="majorBidi"/>
                <w:sz w:val="12"/>
              </w:rPr>
              <w:t>roups.</w:t>
            </w:r>
          </w:p>
        </w:tc>
      </w:tr>
      <w:tr w:rsidR="00936871" w:rsidRPr="00E53029" w14:paraId="24E3B01D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9B2A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Haag 2011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AE8AA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single-arm cancer case series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09A48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24 CRBSI episodes in cancer patients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FA69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0/24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9DCC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A9F9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source report of no CRBSI-attributable death.</w:t>
            </w:r>
          </w:p>
        </w:tc>
      </w:tr>
      <w:tr w:rsidR="00936871" w:rsidRPr="00E53029" w14:paraId="6002E249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E802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Vidal 2016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BBA5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observational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BF72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97 patients with solid cancer; lock subgroup n=22, </w:t>
            </w:r>
            <w:r w:rsidRPr="00E53029">
              <w:rPr>
                <w:rFonts w:asciiTheme="majorBidi" w:hAnsiTheme="majorBidi" w:cstheme="majorBidi"/>
                <w:sz w:val="12"/>
              </w:rPr>
              <w:t>non-lock n=75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9861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1/22 (4.5%)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E921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Non-lock/removal strategy: 3/75 (review-derived)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C9BA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Lock-group count direct; non-lock value reconstructed from the reported overall attributable deaths.</w:t>
            </w:r>
          </w:p>
        </w:tc>
      </w:tr>
      <w:tr w:rsidR="00936871" w:rsidRPr="00E53029" w14:paraId="1A6349D0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AFE4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Lafaurie 2023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E9AE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multicentre single-arm study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D140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100 adults with cancer t</w:t>
            </w:r>
            <w:r w:rsidRPr="00E53029">
              <w:rPr>
                <w:rFonts w:asciiTheme="majorBidi" w:hAnsiTheme="majorBidi" w:cstheme="majorBidi"/>
                <w:sz w:val="12"/>
              </w:rPr>
              <w:t>reated with VLT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A2729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1/100 (1.0%)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13CE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D93F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full-cohort attributable mortality.</w:t>
            </w:r>
          </w:p>
        </w:tc>
      </w:tr>
      <w:tr w:rsidR="00936871" w:rsidRPr="00E53029" w14:paraId="704DBEF8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1364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Bayoudh 2024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0E64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allo-HCT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1F9D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24 CoNS VAD-BSI episodes; ALT n=17, catheter removal n=7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EF21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0/17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F44A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removal: 0/7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D7F1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BSI-related death in the all-zero parent cohort.</w:t>
            </w:r>
          </w:p>
        </w:tc>
      </w:tr>
      <w:tr w:rsidR="00936871" w:rsidRPr="00E53029" w14:paraId="34915912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A410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Lesens 2024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265B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Multicentre double-blind randomized trial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97BA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n=31 vs VLT n=30; 57/61 had malignancy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D741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0/61 across active-lock arms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FFB3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0/31; VLT 0/30 (active-lock comparison)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A3DE3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reported deaths were attributed to underlying disease rather than TIVAD infection.</w:t>
            </w:r>
          </w:p>
        </w:tc>
      </w:tr>
      <w:tr w:rsidR="00936871" w:rsidRPr="00E53029" w14:paraId="54899031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12E6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Sánchez-Muñoz 2005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34AE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uncontrolled series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0C24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13 adult cancer episodes after exclusion of one 15-year-old participant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EDE9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0/13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2B6E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4051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Adult-only zero-event estimate after exclusion of one pediatric participant.</w:t>
            </w:r>
          </w:p>
        </w:tc>
      </w:tr>
      <w:tr w:rsidR="00936871" w:rsidRPr="00E53029" w14:paraId="2F9DD4A2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6D92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Fortún 2006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A584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Nonrandomized comparative study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DE239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n=19 vs no-ALT n=29; mixed underlying conditions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08A23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1/19 (5.3%)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44C9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ALT: 2/29 (6.9%)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E343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attributable-mortality comparison; cancer-specific values not separable.</w:t>
            </w:r>
          </w:p>
        </w:tc>
      </w:tr>
      <w:tr w:rsidR="00936871" w:rsidRPr="00E53029" w14:paraId="0D1FDA13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F31B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Wintenberger 2012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693C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comparative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39EA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Conservative treatment </w:t>
            </w:r>
            <w:r w:rsidRPr="00E53029">
              <w:rPr>
                <w:rFonts w:asciiTheme="majorBidi" w:hAnsiTheme="majorBidi" w:cstheme="majorBidi"/>
                <w:sz w:val="12"/>
              </w:rPr>
              <w:t>n=51, including ALT n=31; non-ALT conservative n=20; mixed population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EAC1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1/31 (3.2%)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0E79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No-ALT conservative: 3/20 (review-derived)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5FFA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count direct; comparator reconstructed by subtraction from conservative-treatment totals.</w:t>
            </w:r>
          </w:p>
        </w:tc>
      </w:tr>
      <w:tr w:rsidR="00936871" w:rsidRPr="00E53029" w14:paraId="18F4978C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FDB2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lastRenderedPageBreak/>
              <w:t>Zhang 2025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BA15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comparative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CCB3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Adult hematologic malignancy; ALT+SAT n=34 vs SAT without ALT n=33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038B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3/34 (8.8%)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11AD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 therapy without ALT: 4/33 (12.1%)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4B68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comparative mortality counts.</w:t>
            </w:r>
          </w:p>
        </w:tc>
      </w:tr>
      <w:tr w:rsidR="00936871" w:rsidRPr="00E53029" w14:paraId="5306F133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668D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Alonso 2020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47D3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78CB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76 patients; 73 cancer and 3 renal failure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2A94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1/76 (1.3%)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9F08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106B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overall attributable mortality; cancer status of the single death was not reported, so no cancer-only numerator was derived.</w:t>
            </w:r>
          </w:p>
        </w:tc>
      </w:tr>
      <w:tr w:rsidR="00936871" w:rsidRPr="00E53029" w14:paraId="191433B1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60224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Zanwar 2019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107F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HSCT cohort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EE72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CRBSI: ALT n=15 vs no-ALT n=9; hematologic malignancy; mixed age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A0C2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0/15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51D7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ALT: 0/9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BF7C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</w:t>
            </w:r>
            <w:r w:rsidRPr="00E53029">
              <w:rPr>
                <w:rFonts w:asciiTheme="majorBidi" w:hAnsiTheme="majorBidi" w:cstheme="majorBidi"/>
                <w:sz w:val="12"/>
              </w:rPr>
              <w:t>o CRBSI-attributable deaths in either CRBSI group; mixed-age HSCT cohort.</w:t>
            </w:r>
          </w:p>
        </w:tc>
      </w:tr>
      <w:tr w:rsidR="00936871" w:rsidRPr="00E53029" w14:paraId="067BEC46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0FD0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Fernández-Hidalgo 2006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C1E8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Open non-comparative cohort (retrospective + prospective periods)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081B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54 cancer-associated episodes: chemotherapy n=50 + chemotherapy/TPN n=4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0292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0/54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B245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0EB6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Review-derived cancer-associated subgroup; the single CRB-related death in the parent cohort occurred outside this subgroup.</w:t>
            </w:r>
          </w:p>
        </w:tc>
      </w:tr>
      <w:tr w:rsidR="00936871" w:rsidRPr="00E53029" w14:paraId="10028C04" w14:textId="77777777" w:rsidTr="00E53029">
        <w:trPr>
          <w:cantSplit/>
          <w:jc w:val="center"/>
        </w:trPr>
        <w:tc>
          <w:tcPr>
            <w:tcW w:w="54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23ED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Viale 2003</w:t>
            </w:r>
          </w:p>
        </w:tc>
        <w:tc>
          <w:tcPr>
            <w:tcW w:w="6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5B50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Open prospective pilot study</w:t>
            </w:r>
          </w:p>
        </w:tc>
        <w:tc>
          <w:tcPr>
            <w:tcW w:w="9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3C262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subgroup n=9 within a 30-patient mixed cohort</w:t>
            </w:r>
          </w:p>
        </w:tc>
        <w:tc>
          <w:tcPr>
            <w:tcW w:w="80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909D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0/9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00CB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—</w:t>
            </w:r>
          </w:p>
        </w:tc>
        <w:tc>
          <w:tcPr>
            <w:tcW w:w="116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7ABF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Cancer-subgroup zero-event infe</w:t>
            </w:r>
            <w:r w:rsidRPr="00E53029">
              <w:rPr>
                <w:rFonts w:asciiTheme="majorBidi" w:hAnsiTheme="majorBidi" w:cstheme="majorBidi"/>
                <w:sz w:val="12"/>
              </w:rPr>
              <w:t>rence from an all-zero parent cohort.</w:t>
            </w:r>
          </w:p>
        </w:tc>
      </w:tr>
    </w:tbl>
    <w:p w14:paraId="4CC21CB7" w14:textId="77777777" w:rsidR="00936871" w:rsidRPr="00E53029" w:rsidRDefault="005C43B0">
      <w:pPr>
        <w:pStyle w:val="AnalysisNote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manuscript synthesis: pooled infection-attributable mortality 1.45% (95% CI, 0.64%-3.24%). Mortality timing was not harmonized into duration strata in this file; only the overall attributable-mortality estiman</w:t>
      </w:r>
      <w:r w:rsidRPr="00E53029">
        <w:rPr>
          <w:rFonts w:asciiTheme="majorBidi" w:hAnsiTheme="majorBidi" w:cstheme="majorBidi"/>
        </w:rPr>
        <w:t>d is retained.</w:t>
      </w:r>
    </w:p>
    <w:p w14:paraId="4DD47936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7. Treatment Burden and Resource Use</w:t>
      </w:r>
    </w:p>
    <w:p w14:paraId="6B3AF990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7.1 Hospital length of stay</w:t>
      </w:r>
    </w:p>
    <w:p w14:paraId="5084E732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Narrative synthesis: 2 studies reported extractable hospital length-of-stay data: Ranganath 2025 and Alonso 2020.</w:t>
      </w:r>
    </w:p>
    <w:p w14:paraId="15A659EF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7A. Hospital length of stay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60"/>
        <w:gridCol w:w="3250"/>
        <w:gridCol w:w="2651"/>
        <w:gridCol w:w="2519"/>
        <w:gridCol w:w="3978"/>
      </w:tblGrid>
      <w:tr w:rsidR="00936871" w:rsidRPr="00E53029" w14:paraId="19D3129C" w14:textId="77777777" w:rsidTr="00E53029">
        <w:trPr>
          <w:cantSplit/>
          <w:tblHeader/>
          <w:jc w:val="center"/>
        </w:trPr>
        <w:tc>
          <w:tcPr>
            <w:tcW w:w="5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D4E7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11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C078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 xml:space="preserve">Population / </w:t>
            </w:r>
            <w:r w:rsidRPr="00E53029">
              <w:rPr>
                <w:rFonts w:asciiTheme="majorBidi" w:hAnsiTheme="majorBidi" w:cstheme="majorBidi"/>
                <w:b/>
                <w:sz w:val="14"/>
              </w:rPr>
              <w:t>comparison</w:t>
            </w:r>
          </w:p>
        </w:tc>
        <w:tc>
          <w:tcPr>
            <w:tcW w:w="9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D030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Hospital-stay metric</w:t>
            </w:r>
          </w:p>
        </w:tc>
        <w:tc>
          <w:tcPr>
            <w:tcW w:w="89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E7D8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41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66B2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5EE86B71" w14:textId="77777777" w:rsidTr="00E53029">
        <w:trPr>
          <w:cantSplit/>
          <w:jc w:val="center"/>
        </w:trPr>
        <w:tc>
          <w:tcPr>
            <w:tcW w:w="5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7DAD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11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876E3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n=106 vs catheter removal n=181; mixed immunocompromised cohort</w:t>
            </w:r>
          </w:p>
        </w:tc>
        <w:tc>
          <w:tcPr>
            <w:tcW w:w="9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9B0D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 length of stay, median (IQR)</w:t>
            </w:r>
          </w:p>
        </w:tc>
        <w:tc>
          <w:tcPr>
            <w:tcW w:w="89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671D2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 d (2.5-14) vs 10 d (5-23); P&lt;0.001</w:t>
            </w:r>
          </w:p>
        </w:tc>
        <w:tc>
          <w:tcPr>
            <w:tcW w:w="141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D538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strategy-level comparison; cancer-s</w:t>
            </w:r>
            <w:r w:rsidRPr="00E53029">
              <w:rPr>
                <w:rFonts w:asciiTheme="majorBidi" w:hAnsiTheme="majorBidi" w:cstheme="majorBidi"/>
                <w:sz w:val="13"/>
              </w:rPr>
              <w:t>pecific result not separable.</w:t>
            </w:r>
          </w:p>
        </w:tc>
      </w:tr>
      <w:tr w:rsidR="00936871" w:rsidRPr="00E53029" w14:paraId="6487E6C9" w14:textId="77777777" w:rsidTr="00E53029">
        <w:trPr>
          <w:cantSplit/>
          <w:jc w:val="center"/>
        </w:trPr>
        <w:tc>
          <w:tcPr>
            <w:tcW w:w="59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6EBA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Alonso 2020</w:t>
            </w:r>
          </w:p>
        </w:tc>
        <w:tc>
          <w:tcPr>
            <w:tcW w:w="11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F767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76 adults receiving VLT plus systemic antimicrobials; 73/76 had malignancy</w:t>
            </w:r>
          </w:p>
        </w:tc>
        <w:tc>
          <w:tcPr>
            <w:tcW w:w="94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42B1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 length of stay, median (IQR)</w:t>
            </w:r>
          </w:p>
        </w:tc>
        <w:tc>
          <w:tcPr>
            <w:tcW w:w="89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A6A58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25 d (15-48.75)</w:t>
            </w:r>
          </w:p>
        </w:tc>
        <w:tc>
          <w:tcPr>
            <w:tcW w:w="141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2996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Single-cohort descriptive value; three renal-failure cases are not separable for </w:t>
            </w:r>
            <w:r w:rsidRPr="00E53029">
              <w:rPr>
                <w:rFonts w:asciiTheme="majorBidi" w:hAnsiTheme="majorBidi" w:cstheme="majorBidi"/>
                <w:sz w:val="13"/>
              </w:rPr>
              <w:t>this outcome.</w:t>
            </w:r>
          </w:p>
        </w:tc>
      </w:tr>
    </w:tbl>
    <w:p w14:paraId="4CAD93F8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7.2 Duration of systemic antimicrobial therapy</w:t>
      </w:r>
    </w:p>
    <w:p w14:paraId="3A1280F6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Nine studies reported extractable systemic-treatment duration. The main manuscript comparative narrative emphasized 4 studies with direct comparators: Ranganath 2025, Raad 2016, Hachem 2018, and</w:t>
      </w:r>
      <w:r w:rsidRPr="00E53029">
        <w:rPr>
          <w:rFonts w:asciiTheme="majorBidi" w:hAnsiTheme="majorBidi" w:cstheme="majorBidi"/>
        </w:rPr>
        <w:t xml:space="preserve"> Zanwar 2019. Five additional single-arm/descriptive estimates are retained below for supplementary completeness.</w:t>
      </w:r>
    </w:p>
    <w:p w14:paraId="72EA3E79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7B. Duration of systemic antimicrobial therapy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1"/>
        <w:gridCol w:w="3399"/>
        <w:gridCol w:w="2665"/>
        <w:gridCol w:w="2398"/>
        <w:gridCol w:w="3995"/>
      </w:tblGrid>
      <w:tr w:rsidR="00936871" w:rsidRPr="00E53029" w14:paraId="2220F68E" w14:textId="77777777" w:rsidTr="00E53029">
        <w:trPr>
          <w:cantSplit/>
          <w:tblHeader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6B91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B525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comparison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7DFB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Duration metric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19B8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D366F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2055306E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9F789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E2B6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Cancer </w:t>
            </w:r>
            <w:r w:rsidRPr="00E53029">
              <w:rPr>
                <w:rFonts w:asciiTheme="majorBidi" w:hAnsiTheme="majorBidi" w:cstheme="majorBidi"/>
                <w:sz w:val="13"/>
              </w:rPr>
              <w:t>patients; M-EDTA/EtOH lock vs CVC removal/reinsertion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6E6E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antibiotic duration, median (range)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8E5E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 d (4-24) vs 16 d (5-89); P&lt;0.0001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C3A3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comparative duration.</w:t>
            </w:r>
          </w:p>
        </w:tc>
      </w:tr>
      <w:tr w:rsidR="00936871" w:rsidRPr="00E53029" w14:paraId="165A2D70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2FBB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45CC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 solution n=20 vs CVC removal/reinsertion n=24; cancer predominant but non</w:t>
            </w:r>
            <w:r w:rsidRPr="00E53029">
              <w:rPr>
                <w:rFonts w:asciiTheme="majorBidi" w:hAnsiTheme="majorBidi" w:cstheme="majorBidi"/>
                <w:sz w:val="13"/>
              </w:rPr>
              <w:t>-cancer cases inseparable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BD30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antibiotic duration, median (range)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F875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14 d (5-21) vs 15 d (7-35); P=0.25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C0CB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Comparative, mixed/nonseparable population.</w:t>
            </w:r>
          </w:p>
        </w:tc>
      </w:tr>
      <w:tr w:rsidR="00936871" w:rsidRPr="00E53029" w14:paraId="0BFD1E43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8DEC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A716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n=106 vs catheter removal n=181; mixed immunocompromised cohort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117F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Total systemic </w:t>
            </w:r>
            <w:r w:rsidRPr="00E53029">
              <w:rPr>
                <w:rFonts w:asciiTheme="majorBidi" w:hAnsiTheme="majorBidi" w:cstheme="majorBidi"/>
                <w:sz w:val="13"/>
              </w:rPr>
              <w:t>antibiotic duration, median (IQR)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5113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 d (6-14) vs 14 d (9-16); P&lt;0.001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64AA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comparative duration; cancer-specific result not separable.</w:t>
            </w:r>
          </w:p>
        </w:tc>
      </w:tr>
      <w:tr w:rsidR="00936871" w:rsidRPr="00E53029" w14:paraId="2BCC3D66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7EA8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Zanwar 2019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1752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HSCT patients with CRBSI; ALT vs no ALT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BDF1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systemic antibiotic duration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F8C3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 d vs 17 d; P=0.10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79DAD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Mixed-age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HSCT cohort; adult-only duration not separable.</w:t>
            </w:r>
          </w:p>
        </w:tc>
      </w:tr>
      <w:tr w:rsidR="00936871" w:rsidRPr="00E53029" w14:paraId="32C72DA9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5C31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Lafaurie 2023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ED2E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100 adults with cancer treated with VLT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30D8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antibiotic duration, median (IQR)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FB48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 d (6-11)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11CBE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 single-arm estimate; two patients dying during treatment were not included in the dura</w:t>
            </w:r>
            <w:r w:rsidRPr="00E53029">
              <w:rPr>
                <w:rFonts w:asciiTheme="majorBidi" w:hAnsiTheme="majorBidi" w:cstheme="majorBidi"/>
                <w:sz w:val="13"/>
              </w:rPr>
              <w:t>tion calculation.</w:t>
            </w:r>
          </w:p>
        </w:tc>
      </w:tr>
      <w:tr w:rsidR="00936871" w:rsidRPr="00E53029" w14:paraId="53E05EB9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2F8B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2017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0F540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patients with CoNS CRBSI treated with DPT lock plus systemic therapy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1770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Total systemic treatment duration, median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3099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14 d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8073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Cancer-only single-arm estimate.</w:t>
            </w:r>
          </w:p>
        </w:tc>
      </w:tr>
      <w:tr w:rsidR="00936871" w:rsidRPr="00E53029" w14:paraId="23D25E2F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9EAF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2024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BB03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22 CoNS CRBSI episodes; 21/22 patients had cancer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8A57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Total antibiotic treatment duration, mean (SD)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47CE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13.5 d (SD 2.8)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D0AE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Predominantly cancer; one non-cancer case inseparable.</w:t>
            </w:r>
          </w:p>
        </w:tc>
      </w:tr>
      <w:tr w:rsidR="00936871" w:rsidRPr="00E53029" w14:paraId="7AD55016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7406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Santarpia 2016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29EC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33 episodes treated with systemic plus local antibiotic therapy; mixed oncology/non-oncology HPN cohort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5B79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Reported antibioti</w:t>
            </w:r>
            <w:r w:rsidRPr="00E53029">
              <w:rPr>
                <w:rFonts w:asciiTheme="majorBidi" w:hAnsiTheme="majorBidi" w:cstheme="majorBidi"/>
                <w:sz w:val="13"/>
              </w:rPr>
              <w:t>c-therapy length, median (range)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3FC6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 d (14-28)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A97A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and local treatment durations were not separately reported for this value.</w:t>
            </w:r>
          </w:p>
        </w:tc>
      </w:tr>
      <w:tr w:rsidR="00936871" w:rsidRPr="00E53029" w14:paraId="20B675E1" w14:textId="77777777" w:rsidTr="00E53029">
        <w:trPr>
          <w:cantSplit/>
          <w:jc w:val="center"/>
        </w:trPr>
        <w:tc>
          <w:tcPr>
            <w:tcW w:w="56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6E50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non-CoNS</w:t>
            </w:r>
          </w:p>
        </w:tc>
        <w:tc>
          <w:tcPr>
            <w:tcW w:w="12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04F0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 cancer subgroup after excluding the 13-year-old participant</w:t>
            </w:r>
          </w:p>
        </w:tc>
        <w:tc>
          <w:tcPr>
            <w:tcW w:w="9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9701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Systemic therapy duration; </w:t>
            </w:r>
            <w:r w:rsidRPr="00E53029">
              <w:rPr>
                <w:rFonts w:asciiTheme="majorBidi" w:hAnsiTheme="majorBidi" w:cstheme="majorBidi"/>
                <w:sz w:val="13"/>
              </w:rPr>
              <w:t>review-derived from 16/17 evaluable adult cases</w:t>
            </w:r>
          </w:p>
        </w:tc>
        <w:tc>
          <w:tcPr>
            <w:tcW w:w="85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207B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14 d (range 7-14)</w:t>
            </w:r>
          </w:p>
        </w:tc>
        <w:tc>
          <w:tcPr>
            <w:tcW w:w="142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3C9F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One adult had the systemic agent reported without an explicit duration; adult-only patient-level estimate.</w:t>
            </w:r>
          </w:p>
        </w:tc>
      </w:tr>
    </w:tbl>
    <w:p w14:paraId="12D4F67B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No pooled resource-use estimate was calculated because comparator strategie</w:t>
      </w:r>
      <w:r w:rsidRPr="00E53029">
        <w:rPr>
          <w:rFonts w:asciiTheme="majorBidi" w:hAnsiTheme="majorBidi" w:cstheme="majorBidi"/>
        </w:rPr>
        <w:t>s, reporting metrics, populations, and treatment pathways were not sufficiently aligned.</w:t>
      </w:r>
    </w:p>
    <w:p w14:paraId="0F0099F0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8. Treatment-Related Adverse Events and Catheter Complications</w:t>
      </w:r>
    </w:p>
    <w:p w14:paraId="251E4A15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8.1 Mechanical catheter and procedure-related complications</w:t>
      </w:r>
    </w:p>
    <w:p w14:paraId="160CBC75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Thirteen studies reported extractable mechan</w:t>
      </w:r>
      <w:r w:rsidRPr="00E53029">
        <w:rPr>
          <w:rFonts w:asciiTheme="majorBidi" w:hAnsiTheme="majorBidi" w:cstheme="majorBidi"/>
        </w:rPr>
        <w:t>ical or procedure-related catheter information. The main manuscript emphasized the comparative findings from Lesens 2024, Raad 2016, Zhang 2025, and Ranganath 2025; the remaining study-level data are retained for completeness.</w:t>
      </w:r>
    </w:p>
    <w:p w14:paraId="01A68A28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8A. Mechanical catheter</w:t>
      </w:r>
      <w:r w:rsidRPr="00E53029">
        <w:rPr>
          <w:rFonts w:asciiTheme="majorBidi" w:hAnsiTheme="majorBidi" w:cstheme="majorBidi"/>
        </w:rPr>
        <w:t xml:space="preserve"> and procedure-related complications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40"/>
        <w:gridCol w:w="2747"/>
        <w:gridCol w:w="1830"/>
        <w:gridCol w:w="3073"/>
        <w:gridCol w:w="2353"/>
        <w:gridCol w:w="2615"/>
      </w:tblGrid>
      <w:tr w:rsidR="00936871" w:rsidRPr="00E53029" w14:paraId="11E43FCC" w14:textId="77777777" w:rsidTr="00E53029">
        <w:trPr>
          <w:cantSplit/>
          <w:tblHeader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0ED6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389E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comparison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301C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D261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Mechanical complication endpoint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F253B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81AD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22AAEDE7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70306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Lesens 2024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FCC6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VLT n=30 vs ELT n=31; 57/61 cancer, nonseparable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602D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 follow-up to week 14 ± 4 d or end of TIVAD use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BB8B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malfunction: lumen occlusion, withdrawal occlusion, or TIVAD-related venous thrombosis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E0FD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ELT 11/31 (35.5%) vs VLT 2/30 (6.7%); P=0.01. Components: lumen occlusion requiring replacement 3 vs 0; withdrawal occlusion requiring urokinase 8 vs 1; venous </w:t>
            </w:r>
            <w:r w:rsidRPr="00E53029">
              <w:rPr>
                <w:rFonts w:asciiTheme="majorBidi" w:hAnsiTheme="majorBidi" w:cstheme="majorBidi"/>
                <w:sz w:val="12"/>
              </w:rPr>
              <w:t>thrombosis 0 vs 1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5DE8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lock-vs-lock comparison. Catheter malfunctions were significantly more frequent with ELT. Component counts are source-reported and describe distinct malfunction types.</w:t>
            </w:r>
          </w:p>
        </w:tc>
      </w:tr>
      <w:tr w:rsidR="00936871" w:rsidRPr="00E53029" w14:paraId="04967906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7568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45F8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Cancer patients; M-EDTA/EtOH lock n=30 vs CVC </w:t>
            </w:r>
            <w:r w:rsidRPr="00E53029">
              <w:rPr>
                <w:rFonts w:asciiTheme="majorBidi" w:hAnsiTheme="majorBidi" w:cstheme="majorBidi"/>
                <w:sz w:val="12"/>
              </w:rPr>
              <w:t>removal/reinsertion n=60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6C61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 through approximately 1 month after last lock dose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DFF3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Mechanical complications associated with management strategy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8DFA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0/30 vs removal/reinsertion 6/60 (10%); 3 failed insertions and 4 CVC misplacements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DA666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strategy-level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comparison. Seven mechanical events occurred in six control patients; one patient had both failed insertion and misplacement. These are procedure-related harms of removal/reinsertion, not in-situ lock complications.</w:t>
            </w:r>
          </w:p>
        </w:tc>
      </w:tr>
      <w:tr w:rsidR="00936871" w:rsidRPr="00E53029" w14:paraId="780B4A40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AD90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Zhang 2025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85D1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Adult hematologic malignanc</w:t>
            </w:r>
            <w:r w:rsidRPr="00E53029">
              <w:rPr>
                <w:rFonts w:asciiTheme="majorBidi" w:hAnsiTheme="majorBidi" w:cstheme="majorBidi"/>
                <w:sz w:val="12"/>
              </w:rPr>
              <w:t>y; ALT+SAT n=34 vs SAT without ALT n=33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D0B0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Within 90 d from PRBSI onset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0B29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PICC-related noninfectious complications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40BF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3/34 (8.8%) vs no-ALT 2/33 (6.0%); P&gt;0.99. ALT: occlusion 2, thrombophlebitis 1, malfunction 0; no-ALT: occlusion 1, thrombophlebitis 0, malfu</w:t>
            </w:r>
            <w:r w:rsidRPr="00E53029">
              <w:rPr>
                <w:rFonts w:asciiTheme="majorBidi" w:hAnsiTheme="majorBidi" w:cstheme="majorBidi"/>
                <w:sz w:val="12"/>
              </w:rPr>
              <w:t>nction 1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0C90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comparative safety outcome. The source classifies thrombophlebitis here as a noninfectious catheter complication; temporary occlusions resolved by recanalization were excluded.</w:t>
            </w:r>
          </w:p>
        </w:tc>
      </w:tr>
      <w:tr w:rsidR="00936871" w:rsidRPr="00E53029" w14:paraId="22E54D89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2C6C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 2025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593E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n=106 vs catheter removal n=181; mixed immu</w:t>
            </w:r>
            <w:r w:rsidRPr="00E53029">
              <w:rPr>
                <w:rFonts w:asciiTheme="majorBidi" w:hAnsiTheme="majorBidi" w:cstheme="majorBidi"/>
                <w:sz w:val="12"/>
              </w:rPr>
              <w:t>nocompromised adult cohort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C3EF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Secondary safety follow-up; exact landmark varies by component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BC02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Line-related thrombosis/thrombophlebitis and removal complications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C01C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SVT 1/106 vs 1/181; DVT 1/106 vs 2/181; superficial thrombophlebitis 0/106 vs 1/181; line-removal c</w:t>
            </w:r>
            <w:r w:rsidRPr="00E53029">
              <w:rPr>
                <w:rFonts w:asciiTheme="majorBidi" w:hAnsiTheme="majorBidi" w:cstheme="majorBidi"/>
                <w:sz w:val="12"/>
              </w:rPr>
              <w:t>omplication 0/106 vs 1/181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1684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comparative safety components; cancer-specific results are not separable. Separately, 7/106 ALT patients later had catheter removal for malfunction, which is a removal-reason outcome rather than the prespecified safety com</w:t>
            </w:r>
            <w:r w:rsidRPr="00E53029">
              <w:rPr>
                <w:rFonts w:asciiTheme="majorBidi" w:hAnsiTheme="majorBidi" w:cstheme="majorBidi"/>
                <w:sz w:val="12"/>
              </w:rPr>
              <w:t>ponent.</w:t>
            </w:r>
          </w:p>
        </w:tc>
      </w:tr>
      <w:tr w:rsidR="00936871" w:rsidRPr="00E53029" w14:paraId="3C51D3F1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DC34F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Hachem 2018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E9E5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 n=20 vs CVC removal/reinsertion n=24; mixed but predominantly cancer population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0D383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During treatment and 30 d after lock completion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339A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Mechanical complications, including insertion failure or CVC misplacement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C8B8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0/20 vs 0/24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6734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Review </w:t>
            </w:r>
            <w:r w:rsidRPr="00E53029">
              <w:rPr>
                <w:rFonts w:asciiTheme="majorBidi" w:hAnsiTheme="majorBidi" w:cstheme="majorBidi"/>
                <w:sz w:val="12"/>
              </w:rPr>
              <w:t>extraction from the source statement that no complications were reported after prespecified monitoring for mechanical and infectious complications. Mixed/nonseparable population.</w:t>
            </w:r>
          </w:p>
        </w:tc>
      </w:tr>
      <w:tr w:rsidR="00936871" w:rsidRPr="00E53029" w14:paraId="5AA8158E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3CA8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Haag 2011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24C20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patients; taurolidine lock + systemic antibiotics; n=24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343C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</w:t>
            </w:r>
            <w:r w:rsidRPr="00E53029">
              <w:rPr>
                <w:rFonts w:asciiTheme="majorBidi" w:hAnsiTheme="majorBidi" w:cstheme="majorBidi"/>
                <w:sz w:val="12"/>
              </w:rPr>
              <w:t>ing conservative treatment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F5FF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Thrombosis, catheter occlusion, or other catheter malfunction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60CA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0/24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4A5B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zero-event report during treatment.</w:t>
            </w:r>
          </w:p>
        </w:tc>
      </w:tr>
      <w:tr w:rsidR="00936871" w:rsidRPr="00E53029" w14:paraId="38458FD8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4FCB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Ahmad 2019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49F1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Adult predominantly malignant hematology cohort; HCl instillation + systemic therapy; n=71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B361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Variable cathete</w:t>
            </w:r>
            <w:r w:rsidRPr="00E53029">
              <w:rPr>
                <w:rFonts w:asciiTheme="majorBidi" w:hAnsiTheme="majorBidi" w:cstheme="majorBidi"/>
                <w:sz w:val="12"/>
              </w:rPr>
              <w:t>r course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BE39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Mechanical dysfunction leading to CVC removal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9E57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6/71 (8.5%)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9265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removal reason. Authors reported no clinical observations suggesting a causal relationship to HCl instillation.</w:t>
            </w:r>
          </w:p>
        </w:tc>
      </w:tr>
      <w:tr w:rsidR="00936871" w:rsidRPr="00E53029" w14:paraId="68714080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AC2C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Fernández-Hidalgo 2006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42A4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Cancer/chemotherapy-associated episodes; ALT +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systemic therapy; review-derived subgroup n=54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B3909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During treatment; event at day 3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BF60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thrombosis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E7DDC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1/54 (1.9%)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3341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Review-derived cancer-specific episode (TPN + chemotherapy catheter use). Retained as a mechanical treatment-failure component.</w:t>
            </w:r>
          </w:p>
        </w:tc>
      </w:tr>
      <w:tr w:rsidR="00936871" w:rsidRPr="00E53029" w14:paraId="0AFE8C9B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C44A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Kubiak 2014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5FE0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</w:t>
            </w:r>
            <w:r w:rsidRPr="00E53029">
              <w:rPr>
                <w:rFonts w:asciiTheme="majorBidi" w:hAnsiTheme="majorBidi" w:cstheme="majorBidi"/>
                <w:sz w:val="12"/>
              </w:rPr>
              <w:t>ult CLABSI cohort treated with 70% ethanol lock; n=45; predominantly cancer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22EB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Within 7 d after ELT initiation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AF72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CVC not functioning well, leading to removal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C366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3/45 (6.7%)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515A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Direct mechanical removal reason. The source did not attribute these dysfunctions to ELT </w:t>
            </w:r>
            <w:r w:rsidRPr="00E53029">
              <w:rPr>
                <w:rFonts w:asciiTheme="majorBidi" w:hAnsiTheme="majorBidi" w:cstheme="majorBidi"/>
                <w:sz w:val="12"/>
              </w:rPr>
              <w:t>and later stated that no CVC malfunction or diminished integrity was documented as ELT-attributable.</w:t>
            </w:r>
          </w:p>
        </w:tc>
      </w:tr>
      <w:tr w:rsidR="00936871" w:rsidRPr="00E53029" w14:paraId="5F17AB75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64D8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lastRenderedPageBreak/>
              <w:t>Rijnders 2005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D71C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Antibiotic lock n=21 vs placebo lock n=23; mixed underlying conditions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5D470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 follow-up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7B3C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occlusion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D37D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0/21 vs 0/23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901F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Direct zero-event </w:t>
            </w:r>
            <w:r w:rsidRPr="00E53029">
              <w:rPr>
                <w:rFonts w:asciiTheme="majorBidi" w:hAnsiTheme="majorBidi" w:cstheme="majorBidi"/>
                <w:sz w:val="12"/>
              </w:rPr>
              <w:t>comparative report; cancer-specific results are not separable.</w:t>
            </w:r>
          </w:p>
        </w:tc>
      </w:tr>
      <w:tr w:rsidR="00936871" w:rsidRPr="00E53029" w14:paraId="00656874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1980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69FF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Ethanol lock treatment completers n=17; predominantly hematological malignancy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8759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After ELT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92B0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Line patency / mechanical dysfunction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89BD3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diminished line patency reported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2CF9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Qualitative safety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statement only; no artificial 0/n is assigned because a formal event denominator was not reported for this statement.</w:t>
            </w:r>
          </w:p>
        </w:tc>
      </w:tr>
      <w:tr w:rsidR="00936871" w:rsidRPr="00E53029" w14:paraId="462192E8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64DD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Alonso 2020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8B48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76 adults receiving VLT + systemic antimicrobials; 73/76 malignancy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6C9A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Variable; timing of removal not separately reported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79A6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Obst</w:t>
            </w:r>
            <w:r w:rsidRPr="00E53029">
              <w:rPr>
                <w:rFonts w:asciiTheme="majorBidi" w:hAnsiTheme="majorBidi" w:cstheme="majorBidi"/>
                <w:sz w:val="12"/>
              </w:rPr>
              <w:t>ruction/malfunction leading to catheter removal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E3DC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2/76 (2.6%) overall; source reports 2/63 (3.2%) among removed catheters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8443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Include. The 2/76 value is review-recalculated using the full VLT cohort denominator; do not label the events as occurring specifically </w:t>
            </w:r>
            <w:r w:rsidRPr="00E53029">
              <w:rPr>
                <w:rFonts w:asciiTheme="majorBidi" w:hAnsiTheme="majorBidi" w:cstheme="majorBidi"/>
                <w:sz w:val="12"/>
              </w:rPr>
              <w:t>at 3 months.</w:t>
            </w:r>
          </w:p>
        </w:tc>
      </w:tr>
      <w:tr w:rsidR="00936871" w:rsidRPr="00E53029" w14:paraId="338E5DBC" w14:textId="77777777" w:rsidTr="00E53029">
        <w:trPr>
          <w:cantSplit/>
          <w:jc w:val="center"/>
        </w:trPr>
        <w:tc>
          <w:tcPr>
            <w:tcW w:w="51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0D97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Ranch-Lundin 2021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81FB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Low-dose vancomycin-heparin lock n=12 vs high-dose non-heparin vancomycin lock n=13; 22/25 advanced cancer</w:t>
            </w:r>
          </w:p>
        </w:tc>
        <w:tc>
          <w:tcPr>
            <w:tcW w:w="65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90DA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End of treatment; catheter-removal follow-up through 3 mo or death</w:t>
            </w:r>
          </w:p>
        </w:tc>
        <w:tc>
          <w:tcPr>
            <w:tcW w:w="109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0E1F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CVC clotting/occlusion requiring removal</w:t>
            </w:r>
          </w:p>
        </w:tc>
        <w:tc>
          <w:tcPr>
            <w:tcW w:w="8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E6CB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Overall </w:t>
            </w:r>
            <w:r w:rsidRPr="00E53029">
              <w:rPr>
                <w:rFonts w:asciiTheme="majorBidi" w:hAnsiTheme="majorBidi" w:cstheme="majorBidi"/>
                <w:sz w:val="12"/>
              </w:rPr>
              <w:t>1/25 (4.0%): low-dose/heparin 0/12 vs high-dose/non-heparin 1/13 (7.7%)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0E38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lock-vs-lock mechanical event. The catheter clotted at the end of treatment despite resolution of infection and required removal. Cancer status of the individual event is not se</w:t>
            </w:r>
            <w:r w:rsidRPr="00E53029">
              <w:rPr>
                <w:rFonts w:asciiTheme="majorBidi" w:hAnsiTheme="majorBidi" w:cstheme="majorBidi"/>
                <w:sz w:val="12"/>
              </w:rPr>
              <w:t>parately reported.</w:t>
            </w:r>
          </w:p>
        </w:tc>
      </w:tr>
    </w:tbl>
    <w:p w14:paraId="77AEB608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8.2 Lock-related adverse events and tolerability</w:t>
      </w:r>
    </w:p>
    <w:p w14:paraId="048A4EB7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Thirteen studies reported extractable non-mechanical tolerability or treatment-related safety information; reporting thresholds ranged from all-grade adverse events to serious-event-only </w:t>
      </w:r>
      <w:r w:rsidRPr="00E53029">
        <w:rPr>
          <w:rFonts w:asciiTheme="majorBidi" w:hAnsiTheme="majorBidi" w:cstheme="majorBidi"/>
        </w:rPr>
        <w:t>or qualitative safety statements.</w:t>
      </w:r>
    </w:p>
    <w:p w14:paraId="48FA750F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8B. Lock-related adverse events and tolerability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19"/>
        <w:gridCol w:w="2904"/>
        <w:gridCol w:w="2969"/>
        <w:gridCol w:w="2640"/>
        <w:gridCol w:w="4026"/>
      </w:tblGrid>
      <w:tr w:rsidR="00936871" w:rsidRPr="00E53029" w14:paraId="0B727B31" w14:textId="77777777" w:rsidTr="00E53029">
        <w:trPr>
          <w:cantSplit/>
          <w:tblHeader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698B3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0F14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lock regimen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942E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Safety endpoint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DA16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95F2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471F51F0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ECC4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Lesens 2024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3436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n=31 vs VLT n=30; 57/61 cancer, nonseparable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0DA6F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Non-mechanical adverse events </w:t>
            </w:r>
            <w:r w:rsidRPr="00E53029">
              <w:rPr>
                <w:rFonts w:asciiTheme="majorBidi" w:hAnsiTheme="majorBidi" w:cstheme="majorBidi"/>
                <w:sz w:val="12"/>
              </w:rPr>
              <w:t>during study treatment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CB52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9/31 (29.0%) vs VLT 6/30 (20.0%); P=0.41. Events were mainly asthenia/drowsiness; detectable ethanolemia 0/61.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1BAF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lock-vs-lock safety comparison. Mechanical obstruction/malfunction is reported in Table 9A.</w:t>
            </w:r>
          </w:p>
        </w:tc>
      </w:tr>
      <w:tr w:rsidR="00936871" w:rsidRPr="00E53029" w14:paraId="4E57FEF9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9751A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24825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M-EDTA/2</w:t>
            </w:r>
            <w:r w:rsidRPr="00E53029">
              <w:rPr>
                <w:rFonts w:asciiTheme="majorBidi" w:hAnsiTheme="majorBidi" w:cstheme="majorBidi"/>
                <w:sz w:val="12"/>
              </w:rPr>
              <w:t>5% ethanol lock; cancer; n=30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A8CA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 tolerability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75FE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1/30 (3.3%): transient alcohol taste after first dose; no recurrence or discontinuation.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BF2E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 as treatment-related tolerability event.</w:t>
            </w:r>
          </w:p>
        </w:tc>
      </w:tr>
      <w:tr w:rsidR="00936871" w:rsidRPr="00E53029" w14:paraId="23B19890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0DD6F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Hachem 2018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0766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M-EDTA-EtOH lock; n=20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00DD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Lock-related adverse events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4C0A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0/20 </w:t>
            </w:r>
            <w:r w:rsidRPr="00E53029">
              <w:rPr>
                <w:rFonts w:asciiTheme="majorBidi" w:hAnsiTheme="majorBidi" w:cstheme="majorBidi"/>
                <w:sz w:val="12"/>
              </w:rPr>
              <w:t>reported.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4178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Safety was actively monitored; no lock-related adverse event reported.</w:t>
            </w:r>
          </w:p>
        </w:tc>
      </w:tr>
      <w:tr w:rsidR="00936871" w:rsidRPr="00E53029" w14:paraId="58A332E2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369D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Kubiak 2014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4C26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70% ethanol lock; n=45 CLABSI episodes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6C0E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ELT-attributable clinical adverse events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856B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0/45 reported; no CNS depression, arrhythmia, fatigue, headache, dizziness, nausea</w:t>
            </w:r>
            <w:r w:rsidRPr="00E53029">
              <w:rPr>
                <w:rFonts w:asciiTheme="majorBidi" w:hAnsiTheme="majorBidi" w:cstheme="majorBidi"/>
                <w:sz w:val="12"/>
              </w:rPr>
              <w:t>, light-headedness, local irritation, or flushing.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72FE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Single-arm safety report.</w:t>
            </w:r>
          </w:p>
        </w:tc>
      </w:tr>
      <w:tr w:rsidR="00936871" w:rsidRPr="00E53029" w14:paraId="6D7FF39C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E3F7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Haag 2011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ACC6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Taurolidine lock; cancer; n=24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3C7B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Symptomatic hypocalcemia / allergic reaction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6C08E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0/24.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9F11F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Clean single-arm tolerability estimate.</w:t>
            </w:r>
          </w:p>
        </w:tc>
      </w:tr>
      <w:tr w:rsidR="00936871" w:rsidRPr="00E53029" w14:paraId="1BB808D5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B1963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Koldehoff &amp; Zakrzewski 2004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DBACA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Taurolidine lock;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n=11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7AFD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Local/systemic hypersensitivity, hematologic toxicity, or organ toxicity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58FD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0/11 reported.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EF41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treatment-related toxicity reported.</w:t>
            </w:r>
          </w:p>
        </w:tc>
      </w:tr>
      <w:tr w:rsidR="00936871" w:rsidRPr="00E53029" w14:paraId="161D6910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378B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F269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70% ethanol lock; 17 treatment completers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B62D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Tolerability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E992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1/17 (5.9%): patient reported tasting alcohol.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A6EE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other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significant side effects reported.</w:t>
            </w:r>
          </w:p>
        </w:tc>
      </w:tr>
      <w:tr w:rsidR="00936871" w:rsidRPr="00E53029" w14:paraId="07F6EFB0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5444B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Ahmad 2019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DDA3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Hydrochloric acid lock; n=71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D3A9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Serious adverse events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1D3F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0/71 serious adverse events.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2C84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Do not interpret as 0 all-grade adverse events; the source specifically reports serious events.</w:t>
            </w:r>
          </w:p>
        </w:tc>
      </w:tr>
      <w:tr w:rsidR="00936871" w:rsidRPr="00E53029" w14:paraId="46F94D4C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55E1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Brescia 2023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C75A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2% taurolidine </w:t>
            </w:r>
            <w:r w:rsidRPr="00E53029">
              <w:rPr>
                <w:rFonts w:asciiTheme="majorBidi" w:hAnsiTheme="majorBidi" w:cstheme="majorBidi"/>
                <w:sz w:val="12"/>
              </w:rPr>
              <w:t>lock; safety cohort n=26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D4B1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Hypersensitivity, hematologic toxicity, or organ toxicity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B297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0/26.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672B6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Safety cohort included 24 CRBSI and 2 catheter-colonization cases.</w:t>
            </w:r>
          </w:p>
        </w:tc>
      </w:tr>
      <w:tr w:rsidR="00936871" w:rsidRPr="00E53029" w14:paraId="733FF2A8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173F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Lebeaux 2025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E26C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Gentamicin-EDTA-Na2 lock; n=8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613E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Treatment-related adverse events / systemic exposure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9E28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0/8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treatment-related adverse events. Two serious adverse events occurred but were not attributed to the lock; no relevant ionized-calcium reduction and gentamicin levels were negative.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8909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Protocol safety cohort; small single-arm study.</w:t>
            </w:r>
          </w:p>
        </w:tc>
      </w:tr>
      <w:tr w:rsidR="00936871" w:rsidRPr="00E53029" w14:paraId="0CA811D4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4D1D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Tatarelli 2015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6160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Daptomyci</w:t>
            </w:r>
            <w:r w:rsidRPr="00E53029">
              <w:rPr>
                <w:rFonts w:asciiTheme="majorBidi" w:hAnsiTheme="majorBidi" w:cstheme="majorBidi"/>
                <w:sz w:val="12"/>
              </w:rPr>
              <w:t>n lock; n=8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BE3A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 toxicity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D349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toxicity reported.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B1C3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Qualitative source statement; no artificial 0/8 event estimate assigned.</w:t>
            </w:r>
          </w:p>
        </w:tc>
      </w:tr>
      <w:tr w:rsidR="00936871" w:rsidRPr="00E53029" w14:paraId="4B2E4F40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C0B3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Ranch-Lundin 2021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B04C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Low-dose vancomycin+heparin n=12 vs high-dose vancomycin without heparin n=13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6F72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Non-mechanical adverse event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872C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0/12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vs 1/13 (7.7%): reversible renal failure probably related to high serum vancomycin.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CD97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occlusion in the high-dose arm is reported separately in Table 9A.</w:t>
            </w:r>
          </w:p>
        </w:tc>
      </w:tr>
      <w:tr w:rsidR="00936871" w:rsidRPr="00E53029" w14:paraId="08213778" w14:textId="77777777" w:rsidTr="00E53029">
        <w:trPr>
          <w:cantSplit/>
          <w:jc w:val="center"/>
        </w:trPr>
        <w:tc>
          <w:tcPr>
            <w:tcW w:w="5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A32E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Zhang 2025</w:t>
            </w:r>
          </w:p>
        </w:tc>
        <w:tc>
          <w:tcPr>
            <w:tcW w:w="103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33467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n=34</w:t>
            </w:r>
          </w:p>
        </w:tc>
        <w:tc>
          <w:tcPr>
            <w:tcW w:w="10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221F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Adverse effects during ALT</w:t>
            </w:r>
          </w:p>
        </w:tc>
        <w:tc>
          <w:tcPr>
            <w:tcW w:w="93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0E83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0/34 apparent treatment-related adverse effects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reported during ALT.</w:t>
            </w:r>
          </w:p>
        </w:tc>
        <w:tc>
          <w:tcPr>
            <w:tcW w:w="143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DF50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Later catheter-related noninfectious events are reported in Table 9A.</w:t>
            </w:r>
          </w:p>
        </w:tc>
      </w:tr>
    </w:tbl>
    <w:p w14:paraId="7D59A3C6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No pooled safety rate was calculated because event definitions, ascertainment intensity, and reporting thresholds differed materially across studies.</w:t>
      </w:r>
    </w:p>
    <w:p w14:paraId="72ECD112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lastRenderedPageBreak/>
        <w:t>9. Prognostic</w:t>
      </w:r>
      <w:r w:rsidRPr="00E53029">
        <w:rPr>
          <w:rFonts w:asciiTheme="majorBidi" w:hAnsiTheme="majorBidi" w:cstheme="majorBidi"/>
        </w:rPr>
        <w:t xml:space="preserve"> Factors and Treatment-Outcome Associations</w:t>
      </w:r>
    </w:p>
    <w:p w14:paraId="021DA058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Eleven studies reported prognostic or treatment-outcome associations within the main ALT/conservative-treatment evidence base. The main manuscript emphasized Freire 2018, Zhang 2025, Ranganath 2025, and Del Pozo </w:t>
      </w:r>
      <w:r w:rsidRPr="00E53029">
        <w:rPr>
          <w:rFonts w:asciiTheme="majorBidi" w:hAnsiTheme="majorBidi" w:cstheme="majorBidi"/>
        </w:rPr>
        <w:t>2009 (CoNS); additional associations are retained below for completeness.</w:t>
      </w:r>
    </w:p>
    <w:p w14:paraId="459D0CBC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9A. Prognostic factors and associations with treatment outcomes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72"/>
        <w:gridCol w:w="2027"/>
        <w:gridCol w:w="2747"/>
        <w:gridCol w:w="3335"/>
        <w:gridCol w:w="2027"/>
        <w:gridCol w:w="2550"/>
      </w:tblGrid>
      <w:tr w:rsidR="00936871" w:rsidRPr="00E53029" w14:paraId="2D1E8272" w14:textId="77777777" w:rsidTr="00E53029">
        <w:trPr>
          <w:cantSplit/>
          <w:tblHeader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FE6E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D0CC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Outcome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4EAE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Factor(s)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804A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Effect / association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C8743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Analysis status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1E57E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caveat</w:t>
            </w:r>
          </w:p>
        </w:tc>
      </w:tr>
      <w:tr w:rsidR="00936871" w:rsidRPr="00E53029" w14:paraId="5F57B26D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7F273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Freire 2018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10D7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Initial treatment </w:t>
            </w:r>
            <w:r w:rsidRPr="00E53029">
              <w:rPr>
                <w:rFonts w:asciiTheme="majorBidi" w:hAnsiTheme="majorBidi" w:cstheme="majorBidi"/>
                <w:sz w:val="12"/>
              </w:rPr>
              <w:t>failure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32C2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Higher SOFA; palliative care; ALT as initial treatment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6A5C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SOFA OR 1.19 per point (95% CI 1.07-1.32), P=0.002; palliative care OR 3.08 (1.47-6.44), P=0.003; ALT protective OR 0.44 (0.21-0.94), P=0.03.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676C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Multivariable model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C5D3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cohort; directly relevan</w:t>
            </w:r>
            <w:r w:rsidRPr="00E53029">
              <w:rPr>
                <w:rFonts w:asciiTheme="majorBidi" w:hAnsiTheme="majorBidi" w:cstheme="majorBidi"/>
                <w:sz w:val="12"/>
              </w:rPr>
              <w:t>t to management of LTCVC-associated infection.</w:t>
            </w:r>
          </w:p>
        </w:tc>
      </w:tr>
      <w:tr w:rsidR="00936871" w:rsidRPr="00E53029" w14:paraId="23421114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64DA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Freire 2018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104E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30-day infection-related mortality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94AE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Higher SOFA; MDR bacterial infection; palliative care; hematological malignancy; protocol adherence; ALT as initial treatment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03CC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SOFA HR 1.38 (1.26-1.50), P&lt;0.001; </w:t>
            </w:r>
            <w:r w:rsidRPr="00E53029">
              <w:rPr>
                <w:rFonts w:asciiTheme="majorBidi" w:hAnsiTheme="majorBidi" w:cstheme="majorBidi"/>
                <w:sz w:val="12"/>
              </w:rPr>
              <w:t>MDR HR 2.07 (1.12-3.81), P=0.02; palliative care HR 2.74 (1.44-5.23), P=0.002; hematological malignancy HR 0.50 (0.25-0.97), P=0.04; protocol adherence HR 0.51 (0.29-0.89), P=0.02; ALT HR 0.29 (0.09-0.94), P=0.04.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CD757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Multivariable model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1FDB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cohort; mortali</w:t>
            </w:r>
            <w:r w:rsidRPr="00E53029">
              <w:rPr>
                <w:rFonts w:asciiTheme="majorBidi" w:hAnsiTheme="majorBidi" w:cstheme="majorBidi"/>
                <w:sz w:val="12"/>
              </w:rPr>
              <w:t>ty model is distinct from the treatment-failure model.</w:t>
            </w:r>
          </w:p>
        </w:tc>
      </w:tr>
      <w:tr w:rsidR="00936871" w:rsidRPr="00E53029" w14:paraId="3FCEFEFF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95E4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Zhang 2025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5A96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PICC removal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4347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PCT &gt;2 ng/mL; inadequate empirical therapy; ALT management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239E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PCT OR 4.687 (1.195-18.39), P=0.027; inadequate empirical therapy OR 5.509 (1.483-20.473), P=0.011; ALT protective OR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0.276 (0.082-0.927), P=0.037.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7295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Multivariable logistic regression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E17EE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Outcome is PICC removal, not microbiological relapse.</w:t>
            </w:r>
          </w:p>
        </w:tc>
      </w:tr>
      <w:tr w:rsidR="00936871" w:rsidRPr="00E53029" w14:paraId="3F9FC525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195F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 2025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7608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Microbiological relapse after ALT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25FB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CoNS bloodstream infection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278B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OR 2.28 (95% CI 1.00-5.21), P=0.05.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2819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Adjusted model in </w:t>
            </w:r>
            <w:r w:rsidRPr="00E53029">
              <w:rPr>
                <w:rFonts w:asciiTheme="majorBidi" w:hAnsiTheme="majorBidi" w:cstheme="majorBidi"/>
                <w:sz w:val="12"/>
              </w:rPr>
              <w:t>ALT-treated patients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6E5AD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Mixed immunocompromised population; cancer-specific effect not separable.</w:t>
            </w:r>
          </w:p>
        </w:tc>
      </w:tr>
      <w:tr w:rsidR="00936871" w:rsidRPr="00E53029" w14:paraId="65602C72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5B01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Del Pozo 2009, CoNS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5626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 failure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0D1F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Persistent fever during first 48 h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6B49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33.7-fold higher failure risk; P=0.02.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EC88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Cox model; only significant predictor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4A09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Age, sex, </w:t>
            </w:r>
            <w:r w:rsidRPr="00E53029">
              <w:rPr>
                <w:rFonts w:asciiTheme="majorBidi" w:hAnsiTheme="majorBidi" w:cstheme="majorBidi"/>
                <w:sz w:val="12"/>
              </w:rPr>
              <w:t>neutropenia, parenteral nutrition, catheter age, systemic/oral antimicrobial use, route/type of antimicrobial, and lock agent were also evaluated.</w:t>
            </w:r>
          </w:p>
        </w:tc>
      </w:tr>
      <w:tr w:rsidR="00936871" w:rsidRPr="00E53029" w14:paraId="18F212AE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95EB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Lafaurie 2023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830D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Same-CoNS TIVAP-RI relapse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A525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Continuous vs intermittent VLT; systemic antibiotic duration &gt;=5 d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8ECD4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Continuous VLT: cause-specific HR 0.27 (0.07-1.01), P=0.05; systemic antibiotics &gt;=5 d: HR 0.40 (0.15-1.03), P=0.057.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6669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Univariate cause-specific hazard analysis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E450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Cancer-only cohort. Continuous VLT was associated with lower relapse; systemic-duration </w:t>
            </w:r>
            <w:r w:rsidRPr="00E53029">
              <w:rPr>
                <w:rFonts w:asciiTheme="majorBidi" w:hAnsiTheme="majorBidi" w:cstheme="majorBidi"/>
                <w:sz w:val="12"/>
              </w:rPr>
              <w:t>association did not reach the study threshold for statistical significance.</w:t>
            </w:r>
          </w:p>
        </w:tc>
      </w:tr>
      <w:tr w:rsidR="00936871" w:rsidRPr="00E53029" w14:paraId="552A3B90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C351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Wintenberger 2012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1DC0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Cure with catheter preservation in ALT-treated episodes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5DCD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Guideline-compliant indication for conservative treatment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AB118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Associated with cure with catheter </w:t>
            </w:r>
            <w:r w:rsidRPr="00E53029">
              <w:rPr>
                <w:rFonts w:asciiTheme="majorBidi" w:hAnsiTheme="majorBidi" w:cstheme="majorBidi"/>
                <w:sz w:val="12"/>
              </w:rPr>
              <w:t>preservation; P=0.01. Overall cure in the full cohort was also associated with guideline compliance (P=0.03) and adaptation of systemic antimicrobial therapy (P&lt;0.01).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CCF6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Univariate/management association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2074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31 ALT episodes; mixed hospital population. ALT-specif</w:t>
            </w:r>
            <w:r w:rsidRPr="00E53029">
              <w:rPr>
                <w:rFonts w:asciiTheme="majorBidi" w:hAnsiTheme="majorBidi" w:cstheme="majorBidi"/>
                <w:sz w:val="12"/>
              </w:rPr>
              <w:t>ic association is the P=0.01 finding.</w:t>
            </w:r>
          </w:p>
        </w:tc>
      </w:tr>
      <w:tr w:rsidR="00936871" w:rsidRPr="00E53029" w14:paraId="0722B0F4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3BEE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Santarpia 2016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2C80F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CVC removal / failure of CVC saving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5BAC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Methicillin resistance; vancomycin MIC &gt;=1 mg/L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046C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Both were reported to strongly increase the probability of CVC removal; no effect estimate provided. Catheter type did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not affect probability of CVC saving.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C974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Qualitative/descriptive association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8061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Predominantly oncological HPN cohort (127/172 oncological); cancer-specific effect estimate not separable.</w:t>
            </w:r>
          </w:p>
        </w:tc>
      </w:tr>
      <w:tr w:rsidR="00936871" w:rsidRPr="00E53029" w14:paraId="71CCA77B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EB47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Krümpelmann 2021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2692F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Failure of conservative systemic antibiotic + ALT treatm</w:t>
            </w:r>
            <w:r w:rsidRPr="00E53029">
              <w:rPr>
                <w:rFonts w:asciiTheme="majorBidi" w:hAnsiTheme="majorBidi" w:cstheme="majorBidi"/>
                <w:sz w:val="12"/>
              </w:rPr>
              <w:t>ent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E02A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Short interval from port implantation to infection; neutropenia; polymicrobial infection; suboptimal therapy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B824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were more frequent among failures; all 4 patients receiving suboptimal therapy failed treatment.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6CA92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Descriptive/unadjusted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A130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Predominantly neopl</w:t>
            </w:r>
            <w:r w:rsidRPr="00E53029">
              <w:rPr>
                <w:rFonts w:asciiTheme="majorBidi" w:hAnsiTheme="majorBidi" w:cstheme="majorBidi"/>
                <w:sz w:val="12"/>
              </w:rPr>
              <w:t>astic cohort; no adjusted effect estimates reported for these factors.</w:t>
            </w:r>
          </w:p>
        </w:tc>
      </w:tr>
      <w:tr w:rsidR="00936871" w:rsidRPr="00E53029" w14:paraId="351B39AC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4215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Rijnders 2005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46F2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Time to treatment failure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D02D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TPN use; bacterial species; catheter type; neutropenia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5EF3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None was associated with outcome in the multivariable Cox model.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B2F9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Adjusted null findings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1CD4C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Mixed cohort and two pediatric patients; underpowered randomized study.</w:t>
            </w:r>
          </w:p>
        </w:tc>
      </w:tr>
      <w:tr w:rsidR="00936871" w:rsidRPr="00E53029" w14:paraId="33C40EA4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8046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Bookstaver 2010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1CFC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30-day blood/CVC sterilization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0CEB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Longer ALT duration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BAB6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OR 1.367 for each additional treatment day above the mean (~8.9 d); P=0.077. Nine of 10 patients receiving &gt;=10 d AL</w:t>
            </w:r>
            <w:r w:rsidRPr="00E53029">
              <w:rPr>
                <w:rFonts w:asciiTheme="majorBidi" w:hAnsiTheme="majorBidi" w:cstheme="majorBidi"/>
                <w:sz w:val="12"/>
              </w:rPr>
              <w:t>T achieved sterilization.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E7C9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Logistic regression; significant by prespecified alpha=0.10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2627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Contextual/sensitivity evidence only: mixed indication and predominantly pediatric cohort (62% &lt;18 y). Agent-specific sterilization rates are descriptive, not independent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predictors.</w:t>
            </w:r>
          </w:p>
        </w:tc>
      </w:tr>
      <w:tr w:rsidR="00936871" w:rsidRPr="00E53029" w14:paraId="3422B0A8" w14:textId="77777777" w:rsidTr="00E53029">
        <w:trPr>
          <w:cantSplit/>
          <w:jc w:val="center"/>
        </w:trPr>
        <w:tc>
          <w:tcPr>
            <w:tcW w:w="48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7275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Fernández-Hidalgo 2006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0C09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Therapeutic failure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E2F7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Infecting organism</w:t>
            </w:r>
          </w:p>
        </w:tc>
        <w:tc>
          <w:tcPr>
            <w:tcW w:w="118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3B7E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Failure: CoNS 9/56 (16%); S. aureus 9/20 (45%); P. aeruginosa 1/5 (20%); polymicrobial 1/8 (12%).</w:t>
            </w:r>
          </w:p>
        </w:tc>
        <w:tc>
          <w:tcPr>
            <w:tcW w:w="72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737C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Descriptive etiology-specific rates</w:t>
            </w:r>
          </w:p>
        </w:tc>
        <w:tc>
          <w:tcPr>
            <w:tcW w:w="90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8310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Whole mixed adult cohort; cancer-associated </w:t>
            </w:r>
            <w:r w:rsidRPr="00E53029">
              <w:rPr>
                <w:rFonts w:asciiTheme="majorBidi" w:hAnsiTheme="majorBidi" w:cstheme="majorBidi"/>
                <w:sz w:val="12"/>
              </w:rPr>
              <w:t>failure rates were not separately reported, so this is not a cancer-specific independent predictor.</w:t>
            </w:r>
          </w:p>
        </w:tc>
      </w:tr>
    </w:tbl>
    <w:p w14:paraId="31DFFCB7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9B. Broader prognostic analyses not specific to ALT-treated patients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44"/>
        <w:gridCol w:w="2629"/>
        <w:gridCol w:w="2168"/>
        <w:gridCol w:w="2629"/>
        <w:gridCol w:w="2629"/>
        <w:gridCol w:w="2559"/>
      </w:tblGrid>
      <w:tr w:rsidR="00936871" w:rsidRPr="00E53029" w14:paraId="1DB2165A" w14:textId="77777777" w:rsidTr="00E53029">
        <w:trPr>
          <w:cantSplit/>
          <w:tblHeader/>
          <w:jc w:val="center"/>
        </w:trPr>
        <w:tc>
          <w:tcPr>
            <w:tcW w:w="5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EED0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C548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Analysis population</w:t>
            </w:r>
          </w:p>
        </w:tc>
        <w:tc>
          <w:tcPr>
            <w:tcW w:w="7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78B5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Outcome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E512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Factor(s)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02F1E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91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079A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Reason kept separate</w:t>
            </w:r>
          </w:p>
        </w:tc>
      </w:tr>
      <w:tr w:rsidR="00936871" w:rsidRPr="00E53029" w14:paraId="58A4C861" w14:textId="77777777" w:rsidTr="00E53029">
        <w:trPr>
          <w:cantSplit/>
          <w:jc w:val="center"/>
        </w:trPr>
        <w:tc>
          <w:tcPr>
            <w:tcW w:w="5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102D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 xml:space="preserve">Joo </w:t>
            </w:r>
            <w:r w:rsidRPr="00E53029">
              <w:rPr>
                <w:rFonts w:asciiTheme="majorBidi" w:hAnsiTheme="majorBidi" w:cstheme="majorBidi"/>
                <w:sz w:val="13"/>
              </w:rPr>
              <w:t>2011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9FE1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38 initial catheter-salvage attempts in febrile neutropenic cancer patients; only 11/38 received ALT</w:t>
            </w:r>
          </w:p>
        </w:tc>
        <w:tc>
          <w:tcPr>
            <w:tcW w:w="7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997E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Failure of initial catheter salvage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A81F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Gram-negative pathogen; male sex; presence of complication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D1ED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Gram-negative pathogen independently predicted failure: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OR 6.73 (95% CI 1.0-45.37), P&lt;0.05. Male sex, Gram-negative pathogen, and complication were associated with failure in univariate analysis.</w:t>
            </w:r>
          </w:p>
        </w:tc>
        <w:tc>
          <w:tcPr>
            <w:tcW w:w="91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8F5B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Predictor analysis concerns salvage strategy overall, not ALT-treated patients specifically.</w:t>
            </w:r>
          </w:p>
        </w:tc>
      </w:tr>
      <w:tr w:rsidR="00936871" w:rsidRPr="00E53029" w14:paraId="479073A5" w14:textId="77777777" w:rsidTr="00E53029">
        <w:trPr>
          <w:cantSplit/>
          <w:jc w:val="center"/>
        </w:trPr>
        <w:tc>
          <w:tcPr>
            <w:tcW w:w="51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A816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Vidal 2016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645C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97 patient</w:t>
            </w:r>
            <w:r w:rsidRPr="00E53029">
              <w:rPr>
                <w:rFonts w:asciiTheme="majorBidi" w:hAnsiTheme="majorBidi" w:cstheme="majorBidi"/>
                <w:sz w:val="13"/>
              </w:rPr>
              <w:t>s with solid cancer and TIVAP-related infection; 22 received lock therapy</w:t>
            </w:r>
          </w:p>
        </w:tc>
        <w:tc>
          <w:tcPr>
            <w:tcW w:w="7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4DD1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Infectious complications during 12-week follow-up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6B20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Delay in TIVAP removal</w:t>
            </w:r>
          </w:p>
        </w:tc>
        <w:tc>
          <w:tcPr>
            <w:tcW w:w="93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D611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Removal &gt;1 week after removal decision: OR 8.3 (95% CI 2.1-31.8), P=0.002; removal &gt;1 week after clinical sig</w:t>
            </w:r>
            <w:r w:rsidRPr="00E53029">
              <w:rPr>
                <w:rFonts w:asciiTheme="majorBidi" w:hAnsiTheme="majorBidi" w:cstheme="majorBidi"/>
                <w:sz w:val="13"/>
              </w:rPr>
              <w:t>ns: OR 8.9 (1.8-44.2), P=0.007.</w:t>
            </w:r>
          </w:p>
        </w:tc>
        <w:tc>
          <w:tcPr>
            <w:tcW w:w="91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6151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Adjusted analysis applies to the full infection-management cohort, not the lock-treated subgroup.</w:t>
            </w:r>
          </w:p>
        </w:tc>
      </w:tr>
    </w:tbl>
    <w:p w14:paraId="0BB16187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10. Comparative Effectiveness of Specific Active Lock Regimens</w:t>
      </w:r>
    </w:p>
    <w:p w14:paraId="2EF730B1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Three studies provided head-to-head comparisons between active</w:t>
      </w:r>
      <w:r w:rsidRPr="00E53029">
        <w:rPr>
          <w:rFonts w:asciiTheme="majorBidi" w:hAnsiTheme="majorBidi" w:cstheme="majorBidi"/>
        </w:rPr>
        <w:t xml:space="preserve"> lock regimens: Lesens 2024, Del Pozo 2009 (CoNS), and Ranch-Lundin 2021. These comparisons were synthesized narratively and were not formally pooled.</w:t>
      </w:r>
    </w:p>
    <w:p w14:paraId="5C13B610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10. Head-to-head comparisons of active lock regimens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70"/>
        <w:gridCol w:w="1962"/>
        <w:gridCol w:w="2615"/>
        <w:gridCol w:w="1962"/>
        <w:gridCol w:w="2747"/>
        <w:gridCol w:w="3202"/>
      </w:tblGrid>
      <w:tr w:rsidR="00936871" w:rsidRPr="00E53029" w14:paraId="581D227D" w14:textId="77777777" w:rsidTr="00E53029">
        <w:trPr>
          <w:cantSplit/>
          <w:tblHeader/>
          <w:jc w:val="center"/>
        </w:trPr>
        <w:tc>
          <w:tcPr>
            <w:tcW w:w="5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3C73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319B3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1B65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Active-lock comparison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1DD3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Outcome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498C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1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AAB6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Interpretive caveat</w:t>
            </w:r>
          </w:p>
        </w:tc>
      </w:tr>
      <w:tr w:rsidR="00936871" w:rsidRPr="00E53029" w14:paraId="03C8D6B7" w14:textId="77777777" w:rsidTr="00E53029">
        <w:trPr>
          <w:cantSplit/>
          <w:jc w:val="center"/>
        </w:trPr>
        <w:tc>
          <w:tcPr>
            <w:tcW w:w="5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C0EC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 2024 (ETHALOCK)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3720F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Randomized double-blind active-lock trial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F884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40% ethanol-based lock vs vancomycin lock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FE8F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Treatment success / failure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DFFC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Success 18/31 (58.1%) vs 14/30 (46.7%); P=0.37; HR for failure 0.70 (95% CI, 0.34-1.46)</w:t>
            </w:r>
          </w:p>
        </w:tc>
        <w:tc>
          <w:tcPr>
            <w:tcW w:w="11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E4922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cl</w:t>
            </w:r>
            <w:r w:rsidRPr="00E53029">
              <w:rPr>
                <w:rFonts w:asciiTheme="majorBidi" w:hAnsiTheme="majorBidi" w:cstheme="majorBidi"/>
                <w:sz w:val="13"/>
              </w:rPr>
              <w:t>ear efficacy difference; catheter malfunction was more frequent with ethanol (11/31 vs 2/30; P=0.01).</w:t>
            </w:r>
          </w:p>
        </w:tc>
      </w:tr>
      <w:tr w:rsidR="00936871" w:rsidRPr="00E53029" w14:paraId="6561AE4F" w14:textId="77777777" w:rsidTr="00E53029">
        <w:trPr>
          <w:cantSplit/>
          <w:jc w:val="center"/>
        </w:trPr>
        <w:tc>
          <w:tcPr>
            <w:tcW w:w="5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E1E2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 (CoNS)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B949E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sequential active-lock cohort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5584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Teicoplanin vs vancomycin lock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CFC5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Treatment success and port survival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DA90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Success 17/17 (100%) vs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22/27 (81.5%); P=0.13; cumulative port survival 100% vs 77%, log-rank P=0.06</w:t>
            </w:r>
          </w:p>
        </w:tc>
        <w:tc>
          <w:tcPr>
            <w:tcW w:w="11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F40B4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Nonrandomized sequential treatment periods; calendar-time confounding limits causal interpretation.</w:t>
            </w:r>
          </w:p>
        </w:tc>
      </w:tr>
      <w:tr w:rsidR="00936871" w:rsidRPr="00E53029" w14:paraId="68FE3CB6" w14:textId="77777777" w:rsidTr="00E53029">
        <w:trPr>
          <w:cantSplit/>
          <w:jc w:val="center"/>
        </w:trPr>
        <w:tc>
          <w:tcPr>
            <w:tcW w:w="55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68EE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Ranch-Lundin 2021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9D3F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active-lock comparison</w:t>
            </w:r>
          </w:p>
        </w:tc>
        <w:tc>
          <w:tcPr>
            <w:tcW w:w="93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9CF1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Low-concentration vanc</w:t>
            </w:r>
            <w:r w:rsidRPr="00E53029">
              <w:rPr>
                <w:rFonts w:asciiTheme="majorBidi" w:hAnsiTheme="majorBidi" w:cstheme="majorBidi"/>
                <w:sz w:val="13"/>
              </w:rPr>
              <w:t>omycin + heparin vs higher-concentration vancomycin without heparin</w:t>
            </w:r>
          </w:p>
        </w:tc>
        <w:tc>
          <w:tcPr>
            <w:tcW w:w="6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DE02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Infection resolution / catheter removal</w:t>
            </w:r>
          </w:p>
        </w:tc>
        <w:tc>
          <w:tcPr>
            <w:tcW w:w="97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1695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Resolution 6/12 (50.0%) vs 10/13 (76.9%); P=0.23; removal 6/12 vs 4/13; P=0.43</w:t>
            </w:r>
          </w:p>
        </w:tc>
        <w:tc>
          <w:tcPr>
            <w:tcW w:w="114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837A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Regimens differed in both vancomycin concentration and heparin conten</w:t>
            </w:r>
            <w:r w:rsidRPr="00E53029">
              <w:rPr>
                <w:rFonts w:asciiTheme="majorBidi" w:hAnsiTheme="majorBidi" w:cstheme="majorBidi"/>
                <w:sz w:val="13"/>
              </w:rPr>
              <w:t>t; concentration-response inference is not valid.</w:t>
            </w:r>
          </w:p>
        </w:tc>
      </w:tr>
    </w:tbl>
    <w:p w14:paraId="7C6BFA44" w14:textId="77777777" w:rsidR="00936871" w:rsidRPr="00E53029" w:rsidRDefault="005C43B0">
      <w:pPr>
        <w:pStyle w:val="Section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 Analysis Datasets Used for Quantitative Synthesis and Sensitivity Analyses</w:t>
      </w:r>
    </w:p>
    <w:p w14:paraId="556CEEF9" w14:textId="77777777" w:rsidR="00936871" w:rsidRPr="00E53029" w:rsidRDefault="005C43B0">
      <w:pPr>
        <w:pStyle w:val="Framework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This section documents the exact study-level numerators and denominators used in the quantitative analyses. Analyses that chan</w:t>
      </w:r>
      <w:r w:rsidRPr="00E53029">
        <w:rPr>
          <w:rFonts w:asciiTheme="majorBidi" w:hAnsiTheme="majorBidi" w:cstheme="majorBidi"/>
        </w:rPr>
        <w:t>ged only the statistical model or interval estimator used the same study-level dataset as the corresponding primary analysis and are therefore identified without duplicating the raw rows. Leave-one-out analyses sequentially omitted one study from the state</w:t>
      </w:r>
      <w:r w:rsidRPr="00E53029">
        <w:rPr>
          <w:rFonts w:asciiTheme="majorBidi" w:hAnsiTheme="majorBidi" w:cstheme="majorBidi"/>
        </w:rPr>
        <w:t>d primary dataset. Comparative datasets are kept separate by study design and comparator strategy.</w:t>
      </w:r>
    </w:p>
    <w:p w14:paraId="4F18B26E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11.1 Early clinical response</w:t>
      </w:r>
    </w:p>
    <w:p w14:paraId="0181F5FD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11A. Analysis dataset for early clinical response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32"/>
        <w:gridCol w:w="2004"/>
        <w:gridCol w:w="1993"/>
        <w:gridCol w:w="2018"/>
        <w:gridCol w:w="2047"/>
        <w:gridCol w:w="2030"/>
        <w:gridCol w:w="2050"/>
      </w:tblGrid>
      <w:tr w:rsidR="00936871" w:rsidRPr="00E53029" w14:paraId="6E84FBAA" w14:textId="77777777" w:rsidTr="00E53029">
        <w:trPr>
          <w:cantSplit/>
          <w:tblHeader/>
        </w:trPr>
        <w:tc>
          <w:tcPr>
            <w:tcW w:w="717" w:type="pct"/>
          </w:tcPr>
          <w:p w14:paraId="71C69E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Study</w:t>
            </w:r>
          </w:p>
        </w:tc>
        <w:tc>
          <w:tcPr>
            <w:tcW w:w="707" w:type="pct"/>
          </w:tcPr>
          <w:p w14:paraId="6BAB8E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Events</w:t>
            </w:r>
          </w:p>
        </w:tc>
        <w:tc>
          <w:tcPr>
            <w:tcW w:w="703" w:type="pct"/>
          </w:tcPr>
          <w:p w14:paraId="2F7963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Total</w:t>
            </w:r>
          </w:p>
        </w:tc>
        <w:tc>
          <w:tcPr>
            <w:tcW w:w="712" w:type="pct"/>
          </w:tcPr>
          <w:p w14:paraId="5EEE16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Primary GLMM (k=6)</w:t>
            </w:r>
          </w:p>
        </w:tc>
        <w:tc>
          <w:tcPr>
            <w:tcW w:w="722" w:type="pct"/>
          </w:tcPr>
          <w:p w14:paraId="6EF0A8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Directly reported sensitivity</w:t>
            </w:r>
          </w:p>
        </w:tc>
        <w:tc>
          <w:tcPr>
            <w:tcW w:w="716" w:type="pct"/>
          </w:tcPr>
          <w:p w14:paraId="216CE8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Explicit &lt;=7-d timing sensitivity</w:t>
            </w:r>
          </w:p>
        </w:tc>
        <w:tc>
          <w:tcPr>
            <w:tcW w:w="723" w:type="pct"/>
          </w:tcPr>
          <w:p w14:paraId="6A12CE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Comparative data</w:t>
            </w:r>
          </w:p>
        </w:tc>
      </w:tr>
      <w:tr w:rsidR="00936871" w:rsidRPr="00E53029" w14:paraId="2D31BE07" w14:textId="77777777" w:rsidTr="00E53029">
        <w:trPr>
          <w:cantSplit/>
        </w:trPr>
        <w:tc>
          <w:tcPr>
            <w:tcW w:w="717" w:type="pct"/>
          </w:tcPr>
          <w:p w14:paraId="7EB796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Hachem 2018</w:t>
            </w:r>
          </w:p>
        </w:tc>
        <w:tc>
          <w:tcPr>
            <w:tcW w:w="707" w:type="pct"/>
          </w:tcPr>
          <w:p w14:paraId="640557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15</w:t>
            </w:r>
          </w:p>
        </w:tc>
        <w:tc>
          <w:tcPr>
            <w:tcW w:w="703" w:type="pct"/>
          </w:tcPr>
          <w:p w14:paraId="3C0277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</w:t>
            </w:r>
          </w:p>
        </w:tc>
        <w:tc>
          <w:tcPr>
            <w:tcW w:w="712" w:type="pct"/>
          </w:tcPr>
          <w:p w14:paraId="45B00F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0E3EF2A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16" w:type="pct"/>
          </w:tcPr>
          <w:p w14:paraId="1FEF53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3" w:type="pct"/>
          </w:tcPr>
          <w:p w14:paraId="3B725B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15/16 vs 17/17</w:t>
            </w:r>
          </w:p>
        </w:tc>
      </w:tr>
      <w:tr w:rsidR="00936871" w:rsidRPr="00E53029" w14:paraId="61D08701" w14:textId="77777777" w:rsidTr="00E53029">
        <w:trPr>
          <w:cantSplit/>
        </w:trPr>
        <w:tc>
          <w:tcPr>
            <w:tcW w:w="717" w:type="pct"/>
          </w:tcPr>
          <w:p w14:paraId="6853CF2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707" w:type="pct"/>
          </w:tcPr>
          <w:p w14:paraId="723F2F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19</w:t>
            </w:r>
          </w:p>
        </w:tc>
        <w:tc>
          <w:tcPr>
            <w:tcW w:w="703" w:type="pct"/>
          </w:tcPr>
          <w:p w14:paraId="7D162E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19</w:t>
            </w:r>
          </w:p>
        </w:tc>
        <w:tc>
          <w:tcPr>
            <w:tcW w:w="712" w:type="pct"/>
          </w:tcPr>
          <w:p w14:paraId="57013A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652E7E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16" w:type="pct"/>
          </w:tcPr>
          <w:p w14:paraId="43C11F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3" w:type="pct"/>
          </w:tcPr>
          <w:p w14:paraId="62F4BB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19/19 vs 44/45</w:t>
            </w:r>
          </w:p>
        </w:tc>
      </w:tr>
      <w:tr w:rsidR="00936871" w:rsidRPr="00E53029" w14:paraId="3BB64C11" w14:textId="77777777" w:rsidTr="00E53029">
        <w:trPr>
          <w:cantSplit/>
        </w:trPr>
        <w:tc>
          <w:tcPr>
            <w:tcW w:w="717" w:type="pct"/>
          </w:tcPr>
          <w:p w14:paraId="17D823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Vassallo 2017</w:t>
            </w:r>
          </w:p>
        </w:tc>
        <w:tc>
          <w:tcPr>
            <w:tcW w:w="707" w:type="pct"/>
          </w:tcPr>
          <w:p w14:paraId="59CA72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</w:t>
            </w:r>
          </w:p>
        </w:tc>
        <w:tc>
          <w:tcPr>
            <w:tcW w:w="703" w:type="pct"/>
          </w:tcPr>
          <w:p w14:paraId="468B19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</w:t>
            </w:r>
          </w:p>
        </w:tc>
        <w:tc>
          <w:tcPr>
            <w:tcW w:w="712" w:type="pct"/>
          </w:tcPr>
          <w:p w14:paraId="616654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2DC496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16" w:type="pct"/>
          </w:tcPr>
          <w:p w14:paraId="69C4263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- exact fixed day NR</w:t>
            </w:r>
          </w:p>
        </w:tc>
        <w:tc>
          <w:tcPr>
            <w:tcW w:w="723" w:type="pct"/>
          </w:tcPr>
          <w:p w14:paraId="24FA91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direct non-ALT contrast used</w:t>
            </w:r>
          </w:p>
        </w:tc>
      </w:tr>
      <w:tr w:rsidR="00936871" w:rsidRPr="00E53029" w14:paraId="0B4ACE8D" w14:textId="77777777" w:rsidTr="00E53029">
        <w:trPr>
          <w:cantSplit/>
        </w:trPr>
        <w:tc>
          <w:tcPr>
            <w:tcW w:w="717" w:type="pct"/>
          </w:tcPr>
          <w:p w14:paraId="5B90EF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Haag 2011</w:t>
            </w:r>
          </w:p>
        </w:tc>
        <w:tc>
          <w:tcPr>
            <w:tcW w:w="707" w:type="pct"/>
          </w:tcPr>
          <w:p w14:paraId="623E45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20</w:t>
            </w:r>
          </w:p>
        </w:tc>
        <w:tc>
          <w:tcPr>
            <w:tcW w:w="703" w:type="pct"/>
          </w:tcPr>
          <w:p w14:paraId="09F181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24</w:t>
            </w:r>
          </w:p>
        </w:tc>
        <w:tc>
          <w:tcPr>
            <w:tcW w:w="712" w:type="pct"/>
          </w:tcPr>
          <w:p w14:paraId="10F3B3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7035EC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No - </w:t>
            </w:r>
            <w:r w:rsidRPr="00E53029">
              <w:rPr>
                <w:rFonts w:asciiTheme="majorBidi" w:hAnsiTheme="majorBidi" w:cstheme="majorBidi"/>
                <w:sz w:val="13"/>
              </w:rPr>
              <w:t>complement-derived</w:t>
            </w:r>
          </w:p>
        </w:tc>
        <w:tc>
          <w:tcPr>
            <w:tcW w:w="716" w:type="pct"/>
          </w:tcPr>
          <w:p w14:paraId="5FBCF1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3" w:type="pct"/>
          </w:tcPr>
          <w:p w14:paraId="6E9954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</w:tr>
      <w:tr w:rsidR="00936871" w:rsidRPr="00E53029" w14:paraId="212DCAD4" w14:textId="77777777" w:rsidTr="00E53029">
        <w:trPr>
          <w:cantSplit/>
        </w:trPr>
        <w:tc>
          <w:tcPr>
            <w:tcW w:w="717" w:type="pct"/>
          </w:tcPr>
          <w:p w14:paraId="4FE29F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Fernández-Hidalgo 2006</w:t>
            </w:r>
          </w:p>
        </w:tc>
        <w:tc>
          <w:tcPr>
            <w:tcW w:w="707" w:type="pct"/>
          </w:tcPr>
          <w:p w14:paraId="43FAFAE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51</w:t>
            </w:r>
          </w:p>
        </w:tc>
        <w:tc>
          <w:tcPr>
            <w:tcW w:w="703" w:type="pct"/>
          </w:tcPr>
          <w:p w14:paraId="0E7733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54</w:t>
            </w:r>
          </w:p>
        </w:tc>
        <w:tc>
          <w:tcPr>
            <w:tcW w:w="712" w:type="pct"/>
          </w:tcPr>
          <w:p w14:paraId="0DFE89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78EC72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- complement-derived</w:t>
            </w:r>
          </w:p>
        </w:tc>
        <w:tc>
          <w:tcPr>
            <w:tcW w:w="716" w:type="pct"/>
          </w:tcPr>
          <w:p w14:paraId="21E8AB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3" w:type="pct"/>
          </w:tcPr>
          <w:p w14:paraId="76010B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</w:tr>
      <w:tr w:rsidR="00936871" w:rsidRPr="00E53029" w14:paraId="5965A905" w14:textId="77777777" w:rsidTr="00E53029">
        <w:trPr>
          <w:cantSplit/>
        </w:trPr>
        <w:tc>
          <w:tcPr>
            <w:tcW w:w="717" w:type="pct"/>
          </w:tcPr>
          <w:p w14:paraId="74CAF2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 (CoNS)</w:t>
            </w:r>
          </w:p>
        </w:tc>
        <w:tc>
          <w:tcPr>
            <w:tcW w:w="707" w:type="pct"/>
          </w:tcPr>
          <w:p w14:paraId="28C4BC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41</w:t>
            </w:r>
          </w:p>
        </w:tc>
        <w:tc>
          <w:tcPr>
            <w:tcW w:w="703" w:type="pct"/>
          </w:tcPr>
          <w:p w14:paraId="1E6F7C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44</w:t>
            </w:r>
          </w:p>
        </w:tc>
        <w:tc>
          <w:tcPr>
            <w:tcW w:w="712" w:type="pct"/>
          </w:tcPr>
          <w:p w14:paraId="3619F0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2" w:type="pct"/>
          </w:tcPr>
          <w:p w14:paraId="1C336B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- complement-derived</w:t>
            </w:r>
          </w:p>
        </w:tc>
        <w:tc>
          <w:tcPr>
            <w:tcW w:w="716" w:type="pct"/>
          </w:tcPr>
          <w:p w14:paraId="7BAD061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723" w:type="pct"/>
          </w:tcPr>
          <w:p w14:paraId="37D09E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</w:tr>
    </w:tbl>
    <w:p w14:paraId="2C121D27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lastRenderedPageBreak/>
        <w:t>Primary dataset: 167/178 favorable responses across 6 studies. Directly reported sensitivity: Hachem,</w:t>
      </w:r>
      <w:r w:rsidRPr="00E53029">
        <w:rPr>
          <w:rFonts w:asciiTheme="majorBidi" w:hAnsiTheme="majorBidi" w:cstheme="majorBidi"/>
        </w:rPr>
        <w:t xml:space="preserve"> Raad, and Vassallo only (55/56). Explicit-timing sensitivity: all primary studies except Vassallo (146/157). Leave-one-out and alternative two-stage models used the six-study primary dataset. Comparative early clinical evidence was not pooled because only</w:t>
      </w:r>
      <w:r w:rsidRPr="00E53029">
        <w:rPr>
          <w:rFonts w:asciiTheme="majorBidi" w:hAnsiTheme="majorBidi" w:cstheme="majorBidi"/>
        </w:rPr>
        <w:t xml:space="preserve"> Hachem and Raad provided aligned nonrandomized comparisons and failures were very sparse.</w:t>
      </w:r>
    </w:p>
    <w:p w14:paraId="4DF53011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11.2 Early microbiological response</w:t>
      </w:r>
    </w:p>
    <w:p w14:paraId="5241E047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11B. Analysis dataset for early microbiological response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2"/>
        <w:gridCol w:w="1996"/>
        <w:gridCol w:w="1984"/>
        <w:gridCol w:w="2007"/>
        <w:gridCol w:w="2052"/>
        <w:gridCol w:w="2055"/>
        <w:gridCol w:w="2038"/>
      </w:tblGrid>
      <w:tr w:rsidR="00936871" w:rsidRPr="00E53029" w14:paraId="11672149" w14:textId="77777777" w:rsidTr="00E53029">
        <w:trPr>
          <w:cantSplit/>
          <w:tblHeader/>
        </w:trPr>
        <w:tc>
          <w:tcPr>
            <w:tcW w:w="720" w:type="pct"/>
          </w:tcPr>
          <w:p w14:paraId="4445F76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Study</w:t>
            </w:r>
          </w:p>
        </w:tc>
        <w:tc>
          <w:tcPr>
            <w:tcW w:w="704" w:type="pct"/>
          </w:tcPr>
          <w:p w14:paraId="4B3135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Events</w:t>
            </w:r>
          </w:p>
        </w:tc>
        <w:tc>
          <w:tcPr>
            <w:tcW w:w="700" w:type="pct"/>
          </w:tcPr>
          <w:p w14:paraId="39CC75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Total</w:t>
            </w:r>
          </w:p>
        </w:tc>
        <w:tc>
          <w:tcPr>
            <w:tcW w:w="708" w:type="pct"/>
          </w:tcPr>
          <w:p w14:paraId="73C2E5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Primary GLMM (k=9)</w:t>
            </w:r>
          </w:p>
        </w:tc>
        <w:tc>
          <w:tcPr>
            <w:tcW w:w="724" w:type="pct"/>
          </w:tcPr>
          <w:p w14:paraId="16EBD4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Exclude Krümpelmann</w:t>
            </w:r>
          </w:p>
        </w:tc>
        <w:tc>
          <w:tcPr>
            <w:tcW w:w="725" w:type="pct"/>
          </w:tcPr>
          <w:p w14:paraId="705303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Explicit</w:t>
            </w:r>
            <w:r w:rsidRPr="00E53029">
              <w:rPr>
                <w:rFonts w:asciiTheme="majorBidi" w:hAnsiTheme="majorBidi" w:cstheme="majorBidi"/>
                <w:b/>
                <w:sz w:val="12"/>
              </w:rPr>
              <w:t xml:space="preserve"> timing sensitivity</w:t>
            </w:r>
          </w:p>
        </w:tc>
        <w:tc>
          <w:tcPr>
            <w:tcW w:w="719" w:type="pct"/>
          </w:tcPr>
          <w:p w14:paraId="3BC862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Exclude complement-derived outcomes</w:t>
            </w:r>
          </w:p>
        </w:tc>
      </w:tr>
      <w:tr w:rsidR="00936871" w:rsidRPr="00E53029" w14:paraId="0657B52E" w14:textId="77777777" w:rsidTr="00E53029">
        <w:trPr>
          <w:cantSplit/>
        </w:trPr>
        <w:tc>
          <w:tcPr>
            <w:tcW w:w="720" w:type="pct"/>
          </w:tcPr>
          <w:p w14:paraId="3C74B1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Koldehoff &amp; Zakrzewski 2004</w:t>
            </w:r>
          </w:p>
        </w:tc>
        <w:tc>
          <w:tcPr>
            <w:tcW w:w="704" w:type="pct"/>
          </w:tcPr>
          <w:p w14:paraId="63D22B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11</w:t>
            </w:r>
          </w:p>
        </w:tc>
        <w:tc>
          <w:tcPr>
            <w:tcW w:w="700" w:type="pct"/>
          </w:tcPr>
          <w:p w14:paraId="10DA75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11</w:t>
            </w:r>
          </w:p>
        </w:tc>
        <w:tc>
          <w:tcPr>
            <w:tcW w:w="708" w:type="pct"/>
          </w:tcPr>
          <w:p w14:paraId="27E275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35CDF3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38F68D37" w14:textId="77777777" w:rsidR="00936871" w:rsidRPr="00E53029" w:rsidRDefault="005C43B0">
            <w:pPr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</w:rPr>
              <w:t>No - exact clearance day not reported</w:t>
            </w:r>
          </w:p>
        </w:tc>
        <w:tc>
          <w:tcPr>
            <w:tcW w:w="719" w:type="pct"/>
          </w:tcPr>
          <w:p w14:paraId="659453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27374BB7" w14:textId="77777777" w:rsidTr="00E53029">
        <w:trPr>
          <w:cantSplit/>
        </w:trPr>
        <w:tc>
          <w:tcPr>
            <w:tcW w:w="720" w:type="pct"/>
          </w:tcPr>
          <w:p w14:paraId="6DCE59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Sánchez-Muñoz 2005</w:t>
            </w:r>
          </w:p>
        </w:tc>
        <w:tc>
          <w:tcPr>
            <w:tcW w:w="704" w:type="pct"/>
          </w:tcPr>
          <w:p w14:paraId="205477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11</w:t>
            </w:r>
          </w:p>
        </w:tc>
        <w:tc>
          <w:tcPr>
            <w:tcW w:w="700" w:type="pct"/>
          </w:tcPr>
          <w:p w14:paraId="636DE8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13</w:t>
            </w:r>
          </w:p>
        </w:tc>
        <w:tc>
          <w:tcPr>
            <w:tcW w:w="708" w:type="pct"/>
          </w:tcPr>
          <w:p w14:paraId="0A8B8A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2659BC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5B9BEA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0792D66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34AF0C56" w14:textId="77777777" w:rsidTr="00E53029">
        <w:trPr>
          <w:cantSplit/>
        </w:trPr>
        <w:tc>
          <w:tcPr>
            <w:tcW w:w="720" w:type="pct"/>
          </w:tcPr>
          <w:p w14:paraId="0F6064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704" w:type="pct"/>
          </w:tcPr>
          <w:p w14:paraId="7FF6A5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700" w:type="pct"/>
          </w:tcPr>
          <w:p w14:paraId="3432C4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708" w:type="pct"/>
          </w:tcPr>
          <w:p w14:paraId="1AA40D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2295DA2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69DF04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2BCEB9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0E3A00A4" w14:textId="77777777" w:rsidTr="00E53029">
        <w:trPr>
          <w:cantSplit/>
        </w:trPr>
        <w:tc>
          <w:tcPr>
            <w:tcW w:w="720" w:type="pct"/>
          </w:tcPr>
          <w:p w14:paraId="3A7918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Tatarelli 2015</w:t>
            </w:r>
          </w:p>
        </w:tc>
        <w:tc>
          <w:tcPr>
            <w:tcW w:w="704" w:type="pct"/>
          </w:tcPr>
          <w:p w14:paraId="52BB6C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6</w:t>
            </w:r>
          </w:p>
        </w:tc>
        <w:tc>
          <w:tcPr>
            <w:tcW w:w="700" w:type="pct"/>
          </w:tcPr>
          <w:p w14:paraId="7B4581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8</w:t>
            </w:r>
          </w:p>
        </w:tc>
        <w:tc>
          <w:tcPr>
            <w:tcW w:w="708" w:type="pct"/>
          </w:tcPr>
          <w:p w14:paraId="348D30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2786B5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75F9B0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06F8B4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4E902918" w14:textId="77777777" w:rsidTr="00E53029">
        <w:trPr>
          <w:cantSplit/>
        </w:trPr>
        <w:tc>
          <w:tcPr>
            <w:tcW w:w="720" w:type="pct"/>
          </w:tcPr>
          <w:p w14:paraId="623748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Hachem 2018</w:t>
            </w:r>
          </w:p>
        </w:tc>
        <w:tc>
          <w:tcPr>
            <w:tcW w:w="704" w:type="pct"/>
          </w:tcPr>
          <w:p w14:paraId="7DE453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19</w:t>
            </w:r>
          </w:p>
        </w:tc>
        <w:tc>
          <w:tcPr>
            <w:tcW w:w="700" w:type="pct"/>
          </w:tcPr>
          <w:p w14:paraId="3B5C88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20</w:t>
            </w:r>
          </w:p>
        </w:tc>
        <w:tc>
          <w:tcPr>
            <w:tcW w:w="708" w:type="pct"/>
          </w:tcPr>
          <w:p w14:paraId="67F882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43BBEF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1BD1FC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61C49B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652BE171" w14:textId="77777777" w:rsidTr="00E53029">
        <w:trPr>
          <w:cantSplit/>
        </w:trPr>
        <w:tc>
          <w:tcPr>
            <w:tcW w:w="720" w:type="pct"/>
          </w:tcPr>
          <w:p w14:paraId="0B8552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Brescia 2023</w:t>
            </w:r>
          </w:p>
        </w:tc>
        <w:tc>
          <w:tcPr>
            <w:tcW w:w="704" w:type="pct"/>
          </w:tcPr>
          <w:p w14:paraId="14B683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24</w:t>
            </w:r>
          </w:p>
        </w:tc>
        <w:tc>
          <w:tcPr>
            <w:tcW w:w="700" w:type="pct"/>
          </w:tcPr>
          <w:p w14:paraId="38E154B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24</w:t>
            </w:r>
          </w:p>
        </w:tc>
        <w:tc>
          <w:tcPr>
            <w:tcW w:w="708" w:type="pct"/>
          </w:tcPr>
          <w:p w14:paraId="377B0B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067146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42BCFF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67AFFA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20E06480" w14:textId="77777777" w:rsidTr="00E53029">
        <w:trPr>
          <w:cantSplit/>
        </w:trPr>
        <w:tc>
          <w:tcPr>
            <w:tcW w:w="720" w:type="pct"/>
          </w:tcPr>
          <w:p w14:paraId="5F748D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Krümpelmann 2021</w:t>
            </w:r>
          </w:p>
        </w:tc>
        <w:tc>
          <w:tcPr>
            <w:tcW w:w="704" w:type="pct"/>
          </w:tcPr>
          <w:p w14:paraId="155DE0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24</w:t>
            </w:r>
          </w:p>
        </w:tc>
        <w:tc>
          <w:tcPr>
            <w:tcW w:w="700" w:type="pct"/>
          </w:tcPr>
          <w:p w14:paraId="4D81F4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52</w:t>
            </w:r>
          </w:p>
        </w:tc>
        <w:tc>
          <w:tcPr>
            <w:tcW w:w="708" w:type="pct"/>
          </w:tcPr>
          <w:p w14:paraId="0D7CFD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0F07A3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725" w:type="pct"/>
          </w:tcPr>
          <w:p w14:paraId="331338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- exact harmonized clearance timing/construct less aligned</w:t>
            </w:r>
          </w:p>
        </w:tc>
        <w:tc>
          <w:tcPr>
            <w:tcW w:w="719" w:type="pct"/>
          </w:tcPr>
          <w:p w14:paraId="0377AA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</w:tr>
      <w:tr w:rsidR="00936871" w:rsidRPr="00E53029" w14:paraId="73E7A75D" w14:textId="77777777" w:rsidTr="00E53029">
        <w:trPr>
          <w:cantSplit/>
        </w:trPr>
        <w:tc>
          <w:tcPr>
            <w:tcW w:w="720" w:type="pct"/>
          </w:tcPr>
          <w:p w14:paraId="5B7C36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Vassallo 2024</w:t>
            </w:r>
          </w:p>
        </w:tc>
        <w:tc>
          <w:tcPr>
            <w:tcW w:w="704" w:type="pct"/>
          </w:tcPr>
          <w:p w14:paraId="474F28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21</w:t>
            </w:r>
          </w:p>
        </w:tc>
        <w:tc>
          <w:tcPr>
            <w:tcW w:w="700" w:type="pct"/>
          </w:tcPr>
          <w:p w14:paraId="42C10CF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22</w:t>
            </w:r>
          </w:p>
        </w:tc>
        <w:tc>
          <w:tcPr>
            <w:tcW w:w="708" w:type="pct"/>
          </w:tcPr>
          <w:p w14:paraId="031B0B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3F9D36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0D4E656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1395C6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- complement-derived failure endpoint</w:t>
            </w:r>
          </w:p>
        </w:tc>
      </w:tr>
      <w:tr w:rsidR="00936871" w:rsidRPr="00E53029" w14:paraId="60AA3613" w14:textId="77777777" w:rsidTr="00E53029">
        <w:trPr>
          <w:cantSplit/>
        </w:trPr>
        <w:tc>
          <w:tcPr>
            <w:tcW w:w="720" w:type="pct"/>
          </w:tcPr>
          <w:p w14:paraId="190C82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 2025</w:t>
            </w:r>
          </w:p>
        </w:tc>
        <w:tc>
          <w:tcPr>
            <w:tcW w:w="704" w:type="pct"/>
          </w:tcPr>
          <w:p w14:paraId="100517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97</w:t>
            </w:r>
          </w:p>
        </w:tc>
        <w:tc>
          <w:tcPr>
            <w:tcW w:w="700" w:type="pct"/>
          </w:tcPr>
          <w:p w14:paraId="2E5BB5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106</w:t>
            </w:r>
          </w:p>
        </w:tc>
        <w:tc>
          <w:tcPr>
            <w:tcW w:w="708" w:type="pct"/>
          </w:tcPr>
          <w:p w14:paraId="0F5273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4" w:type="pct"/>
          </w:tcPr>
          <w:p w14:paraId="69180D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25" w:type="pct"/>
          </w:tcPr>
          <w:p w14:paraId="5ACFEC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719" w:type="pct"/>
          </w:tcPr>
          <w:p w14:paraId="75B94C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 - complement-derived failure endpoint</w:t>
            </w:r>
          </w:p>
        </w:tc>
      </w:tr>
    </w:tbl>
    <w:p w14:paraId="7CE957A2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dataset: 230/273 favorable responses across 9 studies. Excluding Krümpelmann leaves 206/221 across 8 studies. The explicit-timing sensitivity excluded Koldehoff and Krümpelmann. The comp</w:t>
      </w:r>
      <w:r w:rsidRPr="00E53029">
        <w:rPr>
          <w:rFonts w:asciiTheme="majorBidi" w:hAnsiTheme="majorBidi" w:cstheme="majorBidi"/>
        </w:rPr>
        <w:t>lement-derived sensitivity excluded Vassallo 2024 and Ranganath 2025. Exclusion of the predominantly oncology/HCT mixed Ranganath cohort used the other eight studies. Leave-one-out and alternative model sensitivities used the primary nine-study dataset unl</w:t>
      </w:r>
      <w:r w:rsidRPr="00E53029">
        <w:rPr>
          <w:rFonts w:asciiTheme="majorBidi" w:hAnsiTheme="majorBidi" w:cstheme="majorBidi"/>
        </w:rPr>
        <w:t>ess otherwise specified.</w:t>
      </w:r>
    </w:p>
    <w:p w14:paraId="1ED3CECD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11.3 Sustained infection resolution</w:t>
      </w:r>
    </w:p>
    <w:p w14:paraId="3EB14625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11C. Analysis dataset for sustained infection resolution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7"/>
        <w:gridCol w:w="1999"/>
        <w:gridCol w:w="1988"/>
        <w:gridCol w:w="2012"/>
        <w:gridCol w:w="2033"/>
        <w:gridCol w:w="2009"/>
        <w:gridCol w:w="2106"/>
      </w:tblGrid>
      <w:tr w:rsidR="00936871" w:rsidRPr="00E53029" w14:paraId="5868875C" w14:textId="77777777">
        <w:trPr>
          <w:cantSplit/>
          <w:tblHeader/>
        </w:trPr>
        <w:tc>
          <w:tcPr>
            <w:tcW w:w="2220" w:type="dxa"/>
          </w:tcPr>
          <w:p w14:paraId="31DCD1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Study</w:t>
            </w:r>
          </w:p>
        </w:tc>
        <w:tc>
          <w:tcPr>
            <w:tcW w:w="2220" w:type="dxa"/>
          </w:tcPr>
          <w:p w14:paraId="7F65E58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Events</w:t>
            </w:r>
          </w:p>
        </w:tc>
        <w:tc>
          <w:tcPr>
            <w:tcW w:w="2220" w:type="dxa"/>
          </w:tcPr>
          <w:p w14:paraId="0323E8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Total</w:t>
            </w:r>
          </w:p>
        </w:tc>
        <w:tc>
          <w:tcPr>
            <w:tcW w:w="2220" w:type="dxa"/>
          </w:tcPr>
          <w:p w14:paraId="13A307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Primary GLMM</w:t>
            </w:r>
          </w:p>
        </w:tc>
        <w:tc>
          <w:tcPr>
            <w:tcW w:w="2220" w:type="dxa"/>
          </w:tcPr>
          <w:p w14:paraId="706D19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Exclude Bookstaver</w:t>
            </w:r>
          </w:p>
        </w:tc>
        <w:tc>
          <w:tcPr>
            <w:tcW w:w="2220" w:type="dxa"/>
          </w:tcPr>
          <w:p w14:paraId="248108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Exclude Freire</w:t>
            </w:r>
          </w:p>
        </w:tc>
        <w:tc>
          <w:tcPr>
            <w:tcW w:w="2220" w:type="dxa"/>
          </w:tcPr>
          <w:p w14:paraId="0534DF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Strict combined clinical + microbiological</w:t>
            </w:r>
          </w:p>
        </w:tc>
      </w:tr>
      <w:tr w:rsidR="00936871" w:rsidRPr="00E53029" w14:paraId="383524E6" w14:textId="77777777">
        <w:trPr>
          <w:cantSplit/>
        </w:trPr>
        <w:tc>
          <w:tcPr>
            <w:tcW w:w="2220" w:type="dxa"/>
          </w:tcPr>
          <w:p w14:paraId="3D1DB9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Viale 2003</w:t>
            </w:r>
          </w:p>
        </w:tc>
        <w:tc>
          <w:tcPr>
            <w:tcW w:w="2220" w:type="dxa"/>
          </w:tcPr>
          <w:p w14:paraId="3856BF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2220" w:type="dxa"/>
          </w:tcPr>
          <w:p w14:paraId="72EF3A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2220" w:type="dxa"/>
          </w:tcPr>
          <w:p w14:paraId="5EA4B8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70475C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7CB165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3C80E7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</w:tr>
      <w:tr w:rsidR="00936871" w:rsidRPr="00E53029" w14:paraId="4E30C912" w14:textId="77777777">
        <w:trPr>
          <w:cantSplit/>
        </w:trPr>
        <w:tc>
          <w:tcPr>
            <w:tcW w:w="2220" w:type="dxa"/>
          </w:tcPr>
          <w:p w14:paraId="69D555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Lebeaux 2025</w:t>
            </w:r>
          </w:p>
        </w:tc>
        <w:tc>
          <w:tcPr>
            <w:tcW w:w="2220" w:type="dxa"/>
          </w:tcPr>
          <w:p w14:paraId="383B60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</w:t>
            </w:r>
          </w:p>
        </w:tc>
        <w:tc>
          <w:tcPr>
            <w:tcW w:w="2220" w:type="dxa"/>
          </w:tcPr>
          <w:p w14:paraId="59019F7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2220" w:type="dxa"/>
          </w:tcPr>
          <w:p w14:paraId="2E4F636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36A487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60F154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25411E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</w:tr>
      <w:tr w:rsidR="00936871" w:rsidRPr="00E53029" w14:paraId="1D9083B2" w14:textId="77777777">
        <w:trPr>
          <w:cantSplit/>
        </w:trPr>
        <w:tc>
          <w:tcPr>
            <w:tcW w:w="2220" w:type="dxa"/>
          </w:tcPr>
          <w:p w14:paraId="409E8E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Longuet 2001</w:t>
            </w:r>
          </w:p>
        </w:tc>
        <w:tc>
          <w:tcPr>
            <w:tcW w:w="2220" w:type="dxa"/>
          </w:tcPr>
          <w:p w14:paraId="1DBAAD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2220" w:type="dxa"/>
          </w:tcPr>
          <w:p w14:paraId="1DA7B1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2220" w:type="dxa"/>
          </w:tcPr>
          <w:p w14:paraId="4562C1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78A12A4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59E005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022D43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</w:tr>
      <w:tr w:rsidR="00936871" w:rsidRPr="00E53029" w14:paraId="3BFCB9BC" w14:textId="77777777">
        <w:trPr>
          <w:cantSplit/>
        </w:trPr>
        <w:tc>
          <w:tcPr>
            <w:tcW w:w="2220" w:type="dxa"/>
          </w:tcPr>
          <w:p w14:paraId="4C190F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 (non-CoNS)</w:t>
            </w:r>
          </w:p>
        </w:tc>
        <w:tc>
          <w:tcPr>
            <w:tcW w:w="2220" w:type="dxa"/>
          </w:tcPr>
          <w:p w14:paraId="78715E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15</w:t>
            </w:r>
          </w:p>
        </w:tc>
        <w:tc>
          <w:tcPr>
            <w:tcW w:w="2220" w:type="dxa"/>
          </w:tcPr>
          <w:p w14:paraId="3050A9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</w:t>
            </w:r>
          </w:p>
        </w:tc>
        <w:tc>
          <w:tcPr>
            <w:tcW w:w="2220" w:type="dxa"/>
          </w:tcPr>
          <w:p w14:paraId="2170AD6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7ABA50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58BE25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11A9D9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</w:tr>
      <w:tr w:rsidR="00936871" w:rsidRPr="00E53029" w14:paraId="552311E3" w14:textId="77777777">
        <w:trPr>
          <w:cantSplit/>
        </w:trPr>
        <w:tc>
          <w:tcPr>
            <w:tcW w:w="2220" w:type="dxa"/>
          </w:tcPr>
          <w:p w14:paraId="696E31D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Bookstaver 2010</w:t>
            </w:r>
          </w:p>
        </w:tc>
        <w:tc>
          <w:tcPr>
            <w:tcW w:w="2220" w:type="dxa"/>
          </w:tcPr>
          <w:p w14:paraId="437B0F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</w:t>
            </w:r>
          </w:p>
        </w:tc>
        <w:tc>
          <w:tcPr>
            <w:tcW w:w="2220" w:type="dxa"/>
          </w:tcPr>
          <w:p w14:paraId="630B87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2220" w:type="dxa"/>
          </w:tcPr>
          <w:p w14:paraId="4C69E2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151559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  <w:tc>
          <w:tcPr>
            <w:tcW w:w="2220" w:type="dxa"/>
          </w:tcPr>
          <w:p w14:paraId="6F1800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06C52B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- microbiological-only</w:t>
            </w:r>
          </w:p>
        </w:tc>
      </w:tr>
      <w:tr w:rsidR="00936871" w:rsidRPr="00E53029" w14:paraId="404ADEA7" w14:textId="77777777">
        <w:trPr>
          <w:cantSplit/>
        </w:trPr>
        <w:tc>
          <w:tcPr>
            <w:tcW w:w="2220" w:type="dxa"/>
          </w:tcPr>
          <w:p w14:paraId="3D720E6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Freire 2018</w:t>
            </w:r>
          </w:p>
        </w:tc>
        <w:tc>
          <w:tcPr>
            <w:tcW w:w="2220" w:type="dxa"/>
          </w:tcPr>
          <w:p w14:paraId="5B9E5B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46</w:t>
            </w:r>
          </w:p>
        </w:tc>
        <w:tc>
          <w:tcPr>
            <w:tcW w:w="2220" w:type="dxa"/>
          </w:tcPr>
          <w:p w14:paraId="6530F8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57</w:t>
            </w:r>
          </w:p>
        </w:tc>
        <w:tc>
          <w:tcPr>
            <w:tcW w:w="2220" w:type="dxa"/>
          </w:tcPr>
          <w:p w14:paraId="22BF3C7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1D7E69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2220" w:type="dxa"/>
          </w:tcPr>
          <w:p w14:paraId="15A26B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  <w:tc>
          <w:tcPr>
            <w:tcW w:w="2220" w:type="dxa"/>
          </w:tcPr>
          <w:p w14:paraId="12FE49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No - absence of persistence/recurrence </w:t>
            </w:r>
            <w:r w:rsidRPr="00E53029">
              <w:rPr>
                <w:rFonts w:asciiTheme="majorBidi" w:hAnsiTheme="majorBidi" w:cstheme="majorBidi"/>
                <w:sz w:val="13"/>
              </w:rPr>
              <w:t>construct</w:t>
            </w:r>
          </w:p>
        </w:tc>
      </w:tr>
    </w:tbl>
    <w:p w14:paraId="134C7E31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dataset: 83/101 across 6 studies. Excluding Bookstaver used 5 studies; excluding Freire used 5 studies. The strict combined clinical + microbiological sensitivity comprised Viale, Lebeaux, Longuet, and Del Pozo (32/38). Leave-one-out, Fr</w:t>
      </w:r>
      <w:r w:rsidRPr="00E53029">
        <w:rPr>
          <w:rFonts w:asciiTheme="majorBidi" w:hAnsiTheme="majorBidi" w:cstheme="majorBidi"/>
        </w:rPr>
        <w:t>eeman-Tukey REML, and truncated Knapp-Hartung analyses used the six-study primary dataset. Freire comparative data (46/57 vs 91/155; adjusted OR for failure 0.44, 95% CI 0.21-0.94) were evaluated separately.</w:t>
      </w:r>
    </w:p>
    <w:p w14:paraId="7891E940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11.4 Short-term catheter salvage</w:t>
      </w:r>
    </w:p>
    <w:p w14:paraId="10AE3915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11D. Anal</w:t>
      </w:r>
      <w:r w:rsidRPr="00E53029">
        <w:rPr>
          <w:rFonts w:asciiTheme="majorBidi" w:hAnsiTheme="majorBidi" w:cstheme="majorBidi"/>
        </w:rPr>
        <w:t>ysis dataset for short-term catheter salvage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4"/>
        <w:gridCol w:w="2009"/>
        <w:gridCol w:w="1999"/>
        <w:gridCol w:w="2020"/>
        <w:gridCol w:w="2017"/>
        <w:gridCol w:w="2045"/>
        <w:gridCol w:w="2050"/>
      </w:tblGrid>
      <w:tr w:rsidR="00936871" w:rsidRPr="00E53029" w14:paraId="4CBF9E52" w14:textId="77777777">
        <w:trPr>
          <w:cantSplit/>
          <w:tblHeader/>
        </w:trPr>
        <w:tc>
          <w:tcPr>
            <w:tcW w:w="2220" w:type="dxa"/>
          </w:tcPr>
          <w:p w14:paraId="06D0A5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Study</w:t>
            </w:r>
          </w:p>
        </w:tc>
        <w:tc>
          <w:tcPr>
            <w:tcW w:w="2220" w:type="dxa"/>
          </w:tcPr>
          <w:p w14:paraId="0D74CA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Events</w:t>
            </w:r>
          </w:p>
        </w:tc>
        <w:tc>
          <w:tcPr>
            <w:tcW w:w="2220" w:type="dxa"/>
          </w:tcPr>
          <w:p w14:paraId="548DC4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Total</w:t>
            </w:r>
          </w:p>
        </w:tc>
        <w:tc>
          <w:tcPr>
            <w:tcW w:w="2220" w:type="dxa"/>
          </w:tcPr>
          <w:p w14:paraId="5DB91A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Primary GLMM</w:t>
            </w:r>
          </w:p>
        </w:tc>
        <w:tc>
          <w:tcPr>
            <w:tcW w:w="2220" w:type="dxa"/>
          </w:tcPr>
          <w:p w14:paraId="212F08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Exclude Fortún</w:t>
            </w:r>
          </w:p>
        </w:tc>
        <w:tc>
          <w:tcPr>
            <w:tcW w:w="2220" w:type="dxa"/>
          </w:tcPr>
          <w:p w14:paraId="245FEE7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Cancer-only/cancer-specific subset</w:t>
            </w:r>
          </w:p>
        </w:tc>
        <w:tc>
          <w:tcPr>
            <w:tcW w:w="2220" w:type="dxa"/>
          </w:tcPr>
          <w:p w14:paraId="0F4B09B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Comparative role</w:t>
            </w:r>
          </w:p>
        </w:tc>
      </w:tr>
      <w:tr w:rsidR="00936871" w:rsidRPr="00E53029" w14:paraId="1332D647" w14:textId="77777777">
        <w:trPr>
          <w:cantSplit/>
        </w:trPr>
        <w:tc>
          <w:tcPr>
            <w:tcW w:w="2220" w:type="dxa"/>
          </w:tcPr>
          <w:p w14:paraId="6E2993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Zanwar 2019</w:t>
            </w:r>
          </w:p>
        </w:tc>
        <w:tc>
          <w:tcPr>
            <w:tcW w:w="2220" w:type="dxa"/>
          </w:tcPr>
          <w:p w14:paraId="4C0D26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13</w:t>
            </w:r>
          </w:p>
        </w:tc>
        <w:tc>
          <w:tcPr>
            <w:tcW w:w="2220" w:type="dxa"/>
          </w:tcPr>
          <w:p w14:paraId="2F7B13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15</w:t>
            </w:r>
          </w:p>
        </w:tc>
        <w:tc>
          <w:tcPr>
            <w:tcW w:w="2220" w:type="dxa"/>
          </w:tcPr>
          <w:p w14:paraId="1F94CE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2AB952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22A3BB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7E4E0C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Primary comparative: 13/15 vs 5/9</w:t>
            </w:r>
          </w:p>
        </w:tc>
      </w:tr>
      <w:tr w:rsidR="00936871" w:rsidRPr="00E53029" w14:paraId="51C48D45" w14:textId="77777777">
        <w:trPr>
          <w:cantSplit/>
        </w:trPr>
        <w:tc>
          <w:tcPr>
            <w:tcW w:w="2220" w:type="dxa"/>
          </w:tcPr>
          <w:p w14:paraId="205328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2220" w:type="dxa"/>
          </w:tcPr>
          <w:p w14:paraId="3143A8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12</w:t>
            </w:r>
          </w:p>
        </w:tc>
        <w:tc>
          <w:tcPr>
            <w:tcW w:w="2220" w:type="dxa"/>
          </w:tcPr>
          <w:p w14:paraId="0BA915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2220" w:type="dxa"/>
          </w:tcPr>
          <w:p w14:paraId="7099C1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55AECD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2E0E3A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72D433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06209B9A" w14:textId="77777777">
        <w:trPr>
          <w:cantSplit/>
        </w:trPr>
        <w:tc>
          <w:tcPr>
            <w:tcW w:w="2220" w:type="dxa"/>
          </w:tcPr>
          <w:p w14:paraId="7C6C79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Tejwani &amp; Parry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2011</w:t>
            </w:r>
          </w:p>
        </w:tc>
        <w:tc>
          <w:tcPr>
            <w:tcW w:w="2220" w:type="dxa"/>
          </w:tcPr>
          <w:p w14:paraId="6877E0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26</w:t>
            </w:r>
          </w:p>
        </w:tc>
        <w:tc>
          <w:tcPr>
            <w:tcW w:w="2220" w:type="dxa"/>
          </w:tcPr>
          <w:p w14:paraId="59E531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32</w:t>
            </w:r>
          </w:p>
        </w:tc>
        <w:tc>
          <w:tcPr>
            <w:tcW w:w="2220" w:type="dxa"/>
          </w:tcPr>
          <w:p w14:paraId="48A916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19E06B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517A37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58B07F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084A9A58" w14:textId="77777777">
        <w:trPr>
          <w:cantSplit/>
        </w:trPr>
        <w:tc>
          <w:tcPr>
            <w:tcW w:w="2220" w:type="dxa"/>
          </w:tcPr>
          <w:p w14:paraId="2BFE09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Joo 2011</w:t>
            </w:r>
          </w:p>
        </w:tc>
        <w:tc>
          <w:tcPr>
            <w:tcW w:w="2220" w:type="dxa"/>
          </w:tcPr>
          <w:p w14:paraId="4BC654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9</w:t>
            </w:r>
          </w:p>
        </w:tc>
        <w:tc>
          <w:tcPr>
            <w:tcW w:w="2220" w:type="dxa"/>
          </w:tcPr>
          <w:p w14:paraId="12B392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11</w:t>
            </w:r>
          </w:p>
        </w:tc>
        <w:tc>
          <w:tcPr>
            <w:tcW w:w="2220" w:type="dxa"/>
          </w:tcPr>
          <w:p w14:paraId="0DFEC9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027B0C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458D98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642F5E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Sensitivity comparative: 9/11 vs 11/27; critical RoB</w:t>
            </w:r>
          </w:p>
        </w:tc>
      </w:tr>
      <w:tr w:rsidR="00936871" w:rsidRPr="00E53029" w14:paraId="5B4A1724" w14:textId="77777777">
        <w:trPr>
          <w:cantSplit/>
        </w:trPr>
        <w:tc>
          <w:tcPr>
            <w:tcW w:w="2220" w:type="dxa"/>
          </w:tcPr>
          <w:p w14:paraId="310FDD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lastRenderedPageBreak/>
              <w:t>Hachem 2018</w:t>
            </w:r>
          </w:p>
        </w:tc>
        <w:tc>
          <w:tcPr>
            <w:tcW w:w="2220" w:type="dxa"/>
          </w:tcPr>
          <w:p w14:paraId="489E9B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19</w:t>
            </w:r>
          </w:p>
        </w:tc>
        <w:tc>
          <w:tcPr>
            <w:tcW w:w="2220" w:type="dxa"/>
          </w:tcPr>
          <w:p w14:paraId="07AE14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20</w:t>
            </w:r>
          </w:p>
        </w:tc>
        <w:tc>
          <w:tcPr>
            <w:tcW w:w="2220" w:type="dxa"/>
          </w:tcPr>
          <w:p w14:paraId="3C4F1B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41D767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7F98AD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1F354F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Comparator planned removal; no symmetric salvage contrast</w:t>
            </w:r>
          </w:p>
        </w:tc>
      </w:tr>
      <w:tr w:rsidR="00936871" w:rsidRPr="00E53029" w14:paraId="45C80D25" w14:textId="77777777">
        <w:trPr>
          <w:cantSplit/>
        </w:trPr>
        <w:tc>
          <w:tcPr>
            <w:tcW w:w="2220" w:type="dxa"/>
          </w:tcPr>
          <w:p w14:paraId="44669A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Fortún 2006</w:t>
            </w:r>
          </w:p>
        </w:tc>
        <w:tc>
          <w:tcPr>
            <w:tcW w:w="2220" w:type="dxa"/>
          </w:tcPr>
          <w:p w14:paraId="2F3FBD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16</w:t>
            </w:r>
          </w:p>
        </w:tc>
        <w:tc>
          <w:tcPr>
            <w:tcW w:w="2220" w:type="dxa"/>
          </w:tcPr>
          <w:p w14:paraId="3B47CA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19</w:t>
            </w:r>
          </w:p>
        </w:tc>
        <w:tc>
          <w:tcPr>
            <w:tcW w:w="2220" w:type="dxa"/>
          </w:tcPr>
          <w:p w14:paraId="4C35069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294B68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4CE6DBE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4F8F41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Primary comparative: 16/19 vs </w:t>
            </w:r>
            <w:r w:rsidRPr="00E53029">
              <w:rPr>
                <w:rFonts w:asciiTheme="majorBidi" w:hAnsiTheme="majorBidi" w:cstheme="majorBidi"/>
                <w:sz w:val="12"/>
              </w:rPr>
              <w:t>19/29</w:t>
            </w:r>
          </w:p>
        </w:tc>
      </w:tr>
      <w:tr w:rsidR="00936871" w:rsidRPr="00E53029" w14:paraId="665CA0B2" w14:textId="77777777">
        <w:trPr>
          <w:cantSplit/>
        </w:trPr>
        <w:tc>
          <w:tcPr>
            <w:tcW w:w="2220" w:type="dxa"/>
          </w:tcPr>
          <w:p w14:paraId="26AD21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Fernández-Hidalgo 2006</w:t>
            </w:r>
          </w:p>
        </w:tc>
        <w:tc>
          <w:tcPr>
            <w:tcW w:w="2220" w:type="dxa"/>
          </w:tcPr>
          <w:p w14:paraId="5AF69B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46</w:t>
            </w:r>
          </w:p>
        </w:tc>
        <w:tc>
          <w:tcPr>
            <w:tcW w:w="2220" w:type="dxa"/>
          </w:tcPr>
          <w:p w14:paraId="41C1EC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54</w:t>
            </w:r>
          </w:p>
        </w:tc>
        <w:tc>
          <w:tcPr>
            <w:tcW w:w="2220" w:type="dxa"/>
          </w:tcPr>
          <w:p w14:paraId="4791CC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3F6089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759426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4F8CC4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6971559C" w14:textId="77777777">
        <w:trPr>
          <w:cantSplit/>
        </w:trPr>
        <w:tc>
          <w:tcPr>
            <w:tcW w:w="2220" w:type="dxa"/>
          </w:tcPr>
          <w:p w14:paraId="0A8DC0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Del Pozo 2009 (non-CoNS)</w:t>
            </w:r>
          </w:p>
        </w:tc>
        <w:tc>
          <w:tcPr>
            <w:tcW w:w="2220" w:type="dxa"/>
          </w:tcPr>
          <w:p w14:paraId="7B1368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15</w:t>
            </w:r>
          </w:p>
        </w:tc>
        <w:tc>
          <w:tcPr>
            <w:tcW w:w="2220" w:type="dxa"/>
          </w:tcPr>
          <w:p w14:paraId="329065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2220" w:type="dxa"/>
          </w:tcPr>
          <w:p w14:paraId="6898B9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4617B4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16777B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00C38F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57506968" w14:textId="77777777">
        <w:trPr>
          <w:cantSplit/>
        </w:trPr>
        <w:tc>
          <w:tcPr>
            <w:tcW w:w="2220" w:type="dxa"/>
          </w:tcPr>
          <w:p w14:paraId="3BEE38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Vassallo 2017</w:t>
            </w:r>
          </w:p>
        </w:tc>
        <w:tc>
          <w:tcPr>
            <w:tcW w:w="2220" w:type="dxa"/>
          </w:tcPr>
          <w:p w14:paraId="3CEF3C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16</w:t>
            </w:r>
          </w:p>
        </w:tc>
        <w:tc>
          <w:tcPr>
            <w:tcW w:w="2220" w:type="dxa"/>
          </w:tcPr>
          <w:p w14:paraId="40E516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21</w:t>
            </w:r>
          </w:p>
        </w:tc>
        <w:tc>
          <w:tcPr>
            <w:tcW w:w="2220" w:type="dxa"/>
          </w:tcPr>
          <w:p w14:paraId="2F8C64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37E89E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722871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14A69F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74841009" w14:textId="77777777">
        <w:trPr>
          <w:cantSplit/>
        </w:trPr>
        <w:tc>
          <w:tcPr>
            <w:tcW w:w="2220" w:type="dxa"/>
          </w:tcPr>
          <w:p w14:paraId="42E89F7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Vassallo 2024</w:t>
            </w:r>
          </w:p>
        </w:tc>
        <w:tc>
          <w:tcPr>
            <w:tcW w:w="2220" w:type="dxa"/>
          </w:tcPr>
          <w:p w14:paraId="713B36A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21</w:t>
            </w:r>
          </w:p>
        </w:tc>
        <w:tc>
          <w:tcPr>
            <w:tcW w:w="2220" w:type="dxa"/>
          </w:tcPr>
          <w:p w14:paraId="07AD9A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22</w:t>
            </w:r>
          </w:p>
        </w:tc>
        <w:tc>
          <w:tcPr>
            <w:tcW w:w="2220" w:type="dxa"/>
          </w:tcPr>
          <w:p w14:paraId="2A1AC8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608159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5D5D09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  <w:tc>
          <w:tcPr>
            <w:tcW w:w="2220" w:type="dxa"/>
          </w:tcPr>
          <w:p w14:paraId="553F32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  <w:tr w:rsidR="00936871" w:rsidRPr="00E53029" w14:paraId="23C4C887" w14:textId="77777777">
        <w:trPr>
          <w:cantSplit/>
        </w:trPr>
        <w:tc>
          <w:tcPr>
            <w:tcW w:w="2220" w:type="dxa"/>
          </w:tcPr>
          <w:p w14:paraId="096812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Bookstaver 2010</w:t>
            </w:r>
          </w:p>
        </w:tc>
        <w:tc>
          <w:tcPr>
            <w:tcW w:w="2220" w:type="dxa"/>
          </w:tcPr>
          <w:p w14:paraId="78AA9F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4</w:t>
            </w:r>
          </w:p>
        </w:tc>
        <w:tc>
          <w:tcPr>
            <w:tcW w:w="2220" w:type="dxa"/>
          </w:tcPr>
          <w:p w14:paraId="44BDB08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6</w:t>
            </w:r>
          </w:p>
        </w:tc>
        <w:tc>
          <w:tcPr>
            <w:tcW w:w="2220" w:type="dxa"/>
          </w:tcPr>
          <w:p w14:paraId="3C2A19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362EFF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440F0D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Yes</w:t>
            </w:r>
          </w:p>
        </w:tc>
        <w:tc>
          <w:tcPr>
            <w:tcW w:w="2220" w:type="dxa"/>
          </w:tcPr>
          <w:p w14:paraId="108D9C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No</w:t>
            </w:r>
          </w:p>
        </w:tc>
      </w:tr>
    </w:tbl>
    <w:p w14:paraId="4F4DA009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Primary absolute dataset: 197/234 across 11 </w:t>
      </w:r>
      <w:r w:rsidRPr="00E53029">
        <w:rPr>
          <w:rFonts w:asciiTheme="majorBidi" w:hAnsiTheme="majorBidi" w:cstheme="majorBidi"/>
        </w:rPr>
        <w:t>studies. Excluding Fortún leaves 10 studies. The cancer-only/cancer-specific sensitivity comprised Tejwani &amp; Parry, Joo, Fernández-Hidalgo, Del Pozo non-CoNS, Vassallo 2017, and Bookstaver (116/141). Leave-one-out and Freeman-Tukey REML used the 11-study p</w:t>
      </w:r>
      <w:r w:rsidRPr="00E53029">
        <w:rPr>
          <w:rFonts w:asciiTheme="majorBidi" w:hAnsiTheme="majorBidi" w:cstheme="majorBidi"/>
        </w:rPr>
        <w:t>rimary dataset. The exploratory short-term comparative meta-analysis used Fortún and Zanwar; Joo was added only in a critical-risk-of-bias sensitivity analysis.</w:t>
      </w:r>
    </w:p>
    <w:p w14:paraId="70014D90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11.5 Catheter salvage at approximately 3 months</w:t>
      </w:r>
    </w:p>
    <w:p w14:paraId="7D097469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11E. Primary approximately 3-month cathet</w:t>
      </w:r>
      <w:r w:rsidRPr="00E53029">
        <w:rPr>
          <w:rFonts w:asciiTheme="majorBidi" w:hAnsiTheme="majorBidi" w:cstheme="majorBidi"/>
        </w:rPr>
        <w:t>er-salvage dataset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2"/>
        <w:gridCol w:w="2820"/>
        <w:gridCol w:w="2810"/>
        <w:gridCol w:w="2850"/>
        <w:gridCol w:w="2852"/>
      </w:tblGrid>
      <w:tr w:rsidR="00936871" w:rsidRPr="00E53029" w14:paraId="425D37DB" w14:textId="77777777">
        <w:trPr>
          <w:cantSplit/>
          <w:tblHeader/>
        </w:trPr>
        <w:tc>
          <w:tcPr>
            <w:tcW w:w="3108" w:type="dxa"/>
          </w:tcPr>
          <w:p w14:paraId="6EC3DDF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3108" w:type="dxa"/>
          </w:tcPr>
          <w:p w14:paraId="6B268C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Events</w:t>
            </w:r>
          </w:p>
        </w:tc>
        <w:tc>
          <w:tcPr>
            <w:tcW w:w="3108" w:type="dxa"/>
          </w:tcPr>
          <w:p w14:paraId="40DE0B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Total</w:t>
            </w:r>
          </w:p>
        </w:tc>
        <w:tc>
          <w:tcPr>
            <w:tcW w:w="3108" w:type="dxa"/>
          </w:tcPr>
          <w:p w14:paraId="216068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Data status</w:t>
            </w:r>
          </w:p>
        </w:tc>
        <w:tc>
          <w:tcPr>
            <w:tcW w:w="3108" w:type="dxa"/>
          </w:tcPr>
          <w:p w14:paraId="0A9CF4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Landmark / caveat</w:t>
            </w:r>
          </w:p>
        </w:tc>
      </w:tr>
      <w:tr w:rsidR="00936871" w:rsidRPr="00E53029" w14:paraId="09072C58" w14:textId="77777777">
        <w:trPr>
          <w:cantSplit/>
        </w:trPr>
        <w:tc>
          <w:tcPr>
            <w:tcW w:w="3108" w:type="dxa"/>
          </w:tcPr>
          <w:p w14:paraId="0D34A6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Ranganath 2025</w:t>
            </w:r>
          </w:p>
        </w:tc>
        <w:tc>
          <w:tcPr>
            <w:tcW w:w="3108" w:type="dxa"/>
          </w:tcPr>
          <w:p w14:paraId="37E348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60</w:t>
            </w:r>
          </w:p>
        </w:tc>
        <w:tc>
          <w:tcPr>
            <w:tcW w:w="3108" w:type="dxa"/>
          </w:tcPr>
          <w:p w14:paraId="2564EA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106</w:t>
            </w:r>
          </w:p>
        </w:tc>
        <w:tc>
          <w:tcPr>
            <w:tcW w:w="3108" w:type="dxa"/>
          </w:tcPr>
          <w:p w14:paraId="2B927B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Review-derived</w:t>
            </w:r>
          </w:p>
        </w:tc>
        <w:tc>
          <w:tcPr>
            <w:tcW w:w="3108" w:type="dxa"/>
          </w:tcPr>
          <w:p w14:paraId="2DA409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Explicit 90 d</w:t>
            </w:r>
          </w:p>
        </w:tc>
      </w:tr>
      <w:tr w:rsidR="00936871" w:rsidRPr="00E53029" w14:paraId="40954BC8" w14:textId="77777777">
        <w:trPr>
          <w:cantSplit/>
        </w:trPr>
        <w:tc>
          <w:tcPr>
            <w:tcW w:w="3108" w:type="dxa"/>
          </w:tcPr>
          <w:p w14:paraId="733CE8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Ranch-Lundin 2021</w:t>
            </w:r>
          </w:p>
        </w:tc>
        <w:tc>
          <w:tcPr>
            <w:tcW w:w="3108" w:type="dxa"/>
          </w:tcPr>
          <w:p w14:paraId="02AAFA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15</w:t>
            </w:r>
          </w:p>
        </w:tc>
        <w:tc>
          <w:tcPr>
            <w:tcW w:w="3108" w:type="dxa"/>
          </w:tcPr>
          <w:p w14:paraId="746060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25</w:t>
            </w:r>
          </w:p>
        </w:tc>
        <w:tc>
          <w:tcPr>
            <w:tcW w:w="3108" w:type="dxa"/>
          </w:tcPr>
          <w:p w14:paraId="3060D0D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Review-derived</w:t>
            </w:r>
          </w:p>
        </w:tc>
        <w:tc>
          <w:tcPr>
            <w:tcW w:w="3108" w:type="dxa"/>
          </w:tcPr>
          <w:p w14:paraId="0D3836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Explicit 90 d</w:t>
            </w:r>
          </w:p>
        </w:tc>
      </w:tr>
      <w:tr w:rsidR="00936871" w:rsidRPr="00E53029" w14:paraId="44DFDA60" w14:textId="77777777">
        <w:trPr>
          <w:cantSplit/>
        </w:trPr>
        <w:tc>
          <w:tcPr>
            <w:tcW w:w="3108" w:type="dxa"/>
          </w:tcPr>
          <w:p w14:paraId="3A890A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Zhang 2025</w:t>
            </w:r>
          </w:p>
        </w:tc>
        <w:tc>
          <w:tcPr>
            <w:tcW w:w="3108" w:type="dxa"/>
          </w:tcPr>
          <w:p w14:paraId="3662D2F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26</w:t>
            </w:r>
          </w:p>
        </w:tc>
        <w:tc>
          <w:tcPr>
            <w:tcW w:w="3108" w:type="dxa"/>
          </w:tcPr>
          <w:p w14:paraId="08442A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34</w:t>
            </w:r>
          </w:p>
        </w:tc>
        <w:tc>
          <w:tcPr>
            <w:tcW w:w="3108" w:type="dxa"/>
          </w:tcPr>
          <w:p w14:paraId="3A2D580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Direct ALT arm</w:t>
            </w:r>
          </w:p>
        </w:tc>
        <w:tc>
          <w:tcPr>
            <w:tcW w:w="3108" w:type="dxa"/>
          </w:tcPr>
          <w:p w14:paraId="78969B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Explicit 90 d</w:t>
            </w:r>
          </w:p>
        </w:tc>
      </w:tr>
      <w:tr w:rsidR="00936871" w:rsidRPr="00E53029" w14:paraId="29B7E5C6" w14:textId="77777777">
        <w:trPr>
          <w:cantSplit/>
        </w:trPr>
        <w:tc>
          <w:tcPr>
            <w:tcW w:w="3108" w:type="dxa"/>
          </w:tcPr>
          <w:p w14:paraId="5AC95F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Sánchez-Muñoz 2005</w:t>
            </w:r>
          </w:p>
        </w:tc>
        <w:tc>
          <w:tcPr>
            <w:tcW w:w="3108" w:type="dxa"/>
          </w:tcPr>
          <w:p w14:paraId="7A534F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11</w:t>
            </w:r>
          </w:p>
        </w:tc>
        <w:tc>
          <w:tcPr>
            <w:tcW w:w="3108" w:type="dxa"/>
          </w:tcPr>
          <w:p w14:paraId="690C8C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13</w:t>
            </w:r>
          </w:p>
        </w:tc>
        <w:tc>
          <w:tcPr>
            <w:tcW w:w="3108" w:type="dxa"/>
          </w:tcPr>
          <w:p w14:paraId="216F331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Adult-only</w:t>
            </w:r>
          </w:p>
        </w:tc>
        <w:tc>
          <w:tcPr>
            <w:tcW w:w="3108" w:type="dxa"/>
          </w:tcPr>
          <w:p w14:paraId="420736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Explicit 3 mo</w:t>
            </w:r>
          </w:p>
        </w:tc>
      </w:tr>
      <w:tr w:rsidR="00936871" w:rsidRPr="00E53029" w14:paraId="0478CCC2" w14:textId="77777777">
        <w:trPr>
          <w:cantSplit/>
        </w:trPr>
        <w:tc>
          <w:tcPr>
            <w:tcW w:w="3108" w:type="dxa"/>
          </w:tcPr>
          <w:p w14:paraId="0EF6B8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Lafaurie 2023</w:t>
            </w:r>
          </w:p>
        </w:tc>
        <w:tc>
          <w:tcPr>
            <w:tcW w:w="3108" w:type="dxa"/>
          </w:tcPr>
          <w:p w14:paraId="2A0512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60</w:t>
            </w:r>
          </w:p>
        </w:tc>
        <w:tc>
          <w:tcPr>
            <w:tcW w:w="3108" w:type="dxa"/>
          </w:tcPr>
          <w:p w14:paraId="1FAE5A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93</w:t>
            </w:r>
          </w:p>
        </w:tc>
        <w:tc>
          <w:tcPr>
            <w:tcW w:w="3108" w:type="dxa"/>
          </w:tcPr>
          <w:p w14:paraId="7ED1A9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Review-harmonized</w:t>
            </w:r>
          </w:p>
        </w:tc>
        <w:tc>
          <w:tcPr>
            <w:tcW w:w="3108" w:type="dxa"/>
          </w:tcPr>
          <w:p w14:paraId="4C58C48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 mo; 44/77 retained as stricter complete-case sensitivity</w:t>
            </w:r>
          </w:p>
        </w:tc>
      </w:tr>
      <w:tr w:rsidR="00936871" w:rsidRPr="00E53029" w14:paraId="7ADCD64F" w14:textId="77777777">
        <w:trPr>
          <w:cantSplit/>
        </w:trPr>
        <w:tc>
          <w:tcPr>
            <w:tcW w:w="3108" w:type="dxa"/>
          </w:tcPr>
          <w:p w14:paraId="2953F4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Bayoudh 2024</w:t>
            </w:r>
          </w:p>
        </w:tc>
        <w:tc>
          <w:tcPr>
            <w:tcW w:w="3108" w:type="dxa"/>
          </w:tcPr>
          <w:p w14:paraId="14CA9FE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10</w:t>
            </w:r>
          </w:p>
        </w:tc>
        <w:tc>
          <w:tcPr>
            <w:tcW w:w="3108" w:type="dxa"/>
          </w:tcPr>
          <w:p w14:paraId="3C649C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3108" w:type="dxa"/>
          </w:tcPr>
          <w:p w14:paraId="7AE366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Direct</w:t>
            </w:r>
          </w:p>
        </w:tc>
        <w:tc>
          <w:tcPr>
            <w:tcW w:w="3108" w:type="dxa"/>
          </w:tcPr>
          <w:p w14:paraId="00E561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 mo</w:t>
            </w:r>
          </w:p>
        </w:tc>
      </w:tr>
      <w:tr w:rsidR="00936871" w:rsidRPr="00E53029" w14:paraId="612736B7" w14:textId="77777777">
        <w:trPr>
          <w:cantSplit/>
        </w:trPr>
        <w:tc>
          <w:tcPr>
            <w:tcW w:w="3108" w:type="dxa"/>
          </w:tcPr>
          <w:p w14:paraId="05167E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Tatarelli 2015</w:t>
            </w:r>
          </w:p>
        </w:tc>
        <w:tc>
          <w:tcPr>
            <w:tcW w:w="3108" w:type="dxa"/>
          </w:tcPr>
          <w:p w14:paraId="4AFA06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</w:t>
            </w:r>
          </w:p>
        </w:tc>
        <w:tc>
          <w:tcPr>
            <w:tcW w:w="3108" w:type="dxa"/>
          </w:tcPr>
          <w:p w14:paraId="74C72C3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3108" w:type="dxa"/>
          </w:tcPr>
          <w:p w14:paraId="17F902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Direct</w:t>
            </w:r>
          </w:p>
        </w:tc>
        <w:tc>
          <w:tcPr>
            <w:tcW w:w="3108" w:type="dxa"/>
          </w:tcPr>
          <w:p w14:paraId="46D7D5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 mo</w:t>
            </w:r>
          </w:p>
        </w:tc>
      </w:tr>
      <w:tr w:rsidR="00936871" w:rsidRPr="00E53029" w14:paraId="2FD3B2DF" w14:textId="77777777">
        <w:trPr>
          <w:cantSplit/>
        </w:trPr>
        <w:tc>
          <w:tcPr>
            <w:tcW w:w="3108" w:type="dxa"/>
          </w:tcPr>
          <w:p w14:paraId="386AFD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Lesens 2024</w:t>
            </w:r>
          </w:p>
        </w:tc>
        <w:tc>
          <w:tcPr>
            <w:tcW w:w="3108" w:type="dxa"/>
          </w:tcPr>
          <w:p w14:paraId="7B9743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32</w:t>
            </w:r>
          </w:p>
        </w:tc>
        <w:tc>
          <w:tcPr>
            <w:tcW w:w="3108" w:type="dxa"/>
          </w:tcPr>
          <w:p w14:paraId="7504FE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61</w:t>
            </w:r>
          </w:p>
        </w:tc>
        <w:tc>
          <w:tcPr>
            <w:tcW w:w="3108" w:type="dxa"/>
          </w:tcPr>
          <w:p w14:paraId="5B9446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Combined active-lock arms</w:t>
            </w:r>
          </w:p>
        </w:tc>
        <w:tc>
          <w:tcPr>
            <w:tcW w:w="3108" w:type="dxa"/>
          </w:tcPr>
          <w:p w14:paraId="62569D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Week 14 +/- 4 d; closely</w:t>
            </w:r>
            <w:r w:rsidRPr="00E53029">
              <w:rPr>
                <w:rFonts w:asciiTheme="majorBidi" w:hAnsiTheme="majorBidi" w:cstheme="majorBidi"/>
                <w:sz w:val="14"/>
              </w:rPr>
              <w:t xml:space="preserve"> aligned</w:t>
            </w:r>
          </w:p>
        </w:tc>
      </w:tr>
      <w:tr w:rsidR="00936871" w:rsidRPr="00E53029" w14:paraId="7C96C5AF" w14:textId="77777777">
        <w:trPr>
          <w:cantSplit/>
        </w:trPr>
        <w:tc>
          <w:tcPr>
            <w:tcW w:w="3108" w:type="dxa"/>
          </w:tcPr>
          <w:p w14:paraId="6781E2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Alonso 2020</w:t>
            </w:r>
          </w:p>
        </w:tc>
        <w:tc>
          <w:tcPr>
            <w:tcW w:w="3108" w:type="dxa"/>
          </w:tcPr>
          <w:p w14:paraId="7CE9078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45</w:t>
            </w:r>
          </w:p>
        </w:tc>
        <w:tc>
          <w:tcPr>
            <w:tcW w:w="3108" w:type="dxa"/>
          </w:tcPr>
          <w:p w14:paraId="12D3D9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76</w:t>
            </w:r>
          </w:p>
        </w:tc>
        <w:tc>
          <w:tcPr>
            <w:tcW w:w="3108" w:type="dxa"/>
          </w:tcPr>
          <w:p w14:paraId="644D15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Review-harmonized</w:t>
            </w:r>
          </w:p>
        </w:tc>
        <w:tc>
          <w:tcPr>
            <w:tcW w:w="3108" w:type="dxa"/>
          </w:tcPr>
          <w:p w14:paraId="7C3E49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90 d / end-of-use components</w:t>
            </w:r>
          </w:p>
        </w:tc>
      </w:tr>
    </w:tbl>
    <w:p w14:paraId="3F2AB319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approximately 3-month dataset: 265/433 across 9 studies. The primary GLMM, Freeman-Tukey REML, and truncated Knapp-Hartung analyses all used these same nine study-level dat</w:t>
      </w:r>
      <w:r w:rsidRPr="00E53029">
        <w:rPr>
          <w:rFonts w:asciiTheme="majorBidi" w:hAnsiTheme="majorBidi" w:cstheme="majorBidi"/>
        </w:rPr>
        <w:t>a. A derivation sensitivity for Lafaurie can replace 60/93 with the stricter complete-case 44/77 without altering the remaining studies.</w:t>
      </w:r>
    </w:p>
    <w:p w14:paraId="6425AEE8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11.6 Broad later catheter-salvage dataset retained as supplementary exploratory analysis</w:t>
      </w:r>
    </w:p>
    <w:p w14:paraId="14B3D88B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11F. Broad later-salvage</w:t>
      </w:r>
      <w:r w:rsidRPr="00E53029">
        <w:rPr>
          <w:rFonts w:asciiTheme="majorBidi" w:hAnsiTheme="majorBidi" w:cstheme="majorBidi"/>
        </w:rPr>
        <w:t xml:space="preserve"> dataset (approximately 3 months to variable/extended follow-up)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3"/>
        <w:gridCol w:w="3523"/>
        <w:gridCol w:w="3513"/>
        <w:gridCol w:w="3575"/>
      </w:tblGrid>
      <w:tr w:rsidR="00936871" w:rsidRPr="00E53029" w14:paraId="5341852F" w14:textId="77777777">
        <w:trPr>
          <w:cantSplit/>
          <w:tblHeader/>
        </w:trPr>
        <w:tc>
          <w:tcPr>
            <w:tcW w:w="3885" w:type="dxa"/>
          </w:tcPr>
          <w:p w14:paraId="528713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3885" w:type="dxa"/>
          </w:tcPr>
          <w:p w14:paraId="22FC63C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Events</w:t>
            </w:r>
          </w:p>
        </w:tc>
        <w:tc>
          <w:tcPr>
            <w:tcW w:w="3885" w:type="dxa"/>
          </w:tcPr>
          <w:p w14:paraId="478C14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Total</w:t>
            </w:r>
          </w:p>
        </w:tc>
        <w:tc>
          <w:tcPr>
            <w:tcW w:w="3885" w:type="dxa"/>
          </w:tcPr>
          <w:p w14:paraId="63EE97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 strict approximately 3-month subset?</w:t>
            </w:r>
          </w:p>
        </w:tc>
      </w:tr>
      <w:tr w:rsidR="00936871" w:rsidRPr="00E53029" w14:paraId="30FC3BEA" w14:textId="77777777">
        <w:trPr>
          <w:cantSplit/>
        </w:trPr>
        <w:tc>
          <w:tcPr>
            <w:tcW w:w="3885" w:type="dxa"/>
          </w:tcPr>
          <w:p w14:paraId="139F38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Ranganath 2025</w:t>
            </w:r>
          </w:p>
        </w:tc>
        <w:tc>
          <w:tcPr>
            <w:tcW w:w="3885" w:type="dxa"/>
          </w:tcPr>
          <w:p w14:paraId="5E42FF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60</w:t>
            </w:r>
          </w:p>
        </w:tc>
        <w:tc>
          <w:tcPr>
            <w:tcW w:w="3885" w:type="dxa"/>
          </w:tcPr>
          <w:p w14:paraId="4B4D49F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106</w:t>
            </w:r>
          </w:p>
        </w:tc>
        <w:tc>
          <w:tcPr>
            <w:tcW w:w="3885" w:type="dxa"/>
          </w:tcPr>
          <w:p w14:paraId="6F1C6F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44C1F39F" w14:textId="77777777">
        <w:trPr>
          <w:cantSplit/>
        </w:trPr>
        <w:tc>
          <w:tcPr>
            <w:tcW w:w="3885" w:type="dxa"/>
          </w:tcPr>
          <w:p w14:paraId="579356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Ranch-Lundin 2021</w:t>
            </w:r>
          </w:p>
        </w:tc>
        <w:tc>
          <w:tcPr>
            <w:tcW w:w="3885" w:type="dxa"/>
          </w:tcPr>
          <w:p w14:paraId="4A6C31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15</w:t>
            </w:r>
          </w:p>
        </w:tc>
        <w:tc>
          <w:tcPr>
            <w:tcW w:w="3885" w:type="dxa"/>
          </w:tcPr>
          <w:p w14:paraId="33A81A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25</w:t>
            </w:r>
          </w:p>
        </w:tc>
        <w:tc>
          <w:tcPr>
            <w:tcW w:w="3885" w:type="dxa"/>
          </w:tcPr>
          <w:p w14:paraId="52FCBBE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54B5E6B7" w14:textId="77777777">
        <w:trPr>
          <w:cantSplit/>
        </w:trPr>
        <w:tc>
          <w:tcPr>
            <w:tcW w:w="3885" w:type="dxa"/>
          </w:tcPr>
          <w:p w14:paraId="5FABFF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Zhang 2025</w:t>
            </w:r>
          </w:p>
        </w:tc>
        <w:tc>
          <w:tcPr>
            <w:tcW w:w="3885" w:type="dxa"/>
          </w:tcPr>
          <w:p w14:paraId="646317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26</w:t>
            </w:r>
          </w:p>
        </w:tc>
        <w:tc>
          <w:tcPr>
            <w:tcW w:w="3885" w:type="dxa"/>
          </w:tcPr>
          <w:p w14:paraId="488ECA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34</w:t>
            </w:r>
          </w:p>
        </w:tc>
        <w:tc>
          <w:tcPr>
            <w:tcW w:w="3885" w:type="dxa"/>
          </w:tcPr>
          <w:p w14:paraId="28FEDE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36C63A1B" w14:textId="77777777">
        <w:trPr>
          <w:cantSplit/>
        </w:trPr>
        <w:tc>
          <w:tcPr>
            <w:tcW w:w="3885" w:type="dxa"/>
          </w:tcPr>
          <w:p w14:paraId="6160D3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Sánchez-Muñoz 2005</w:t>
            </w:r>
          </w:p>
        </w:tc>
        <w:tc>
          <w:tcPr>
            <w:tcW w:w="3885" w:type="dxa"/>
          </w:tcPr>
          <w:p w14:paraId="5AA160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11</w:t>
            </w:r>
          </w:p>
        </w:tc>
        <w:tc>
          <w:tcPr>
            <w:tcW w:w="3885" w:type="dxa"/>
          </w:tcPr>
          <w:p w14:paraId="7C09A8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13</w:t>
            </w:r>
          </w:p>
        </w:tc>
        <w:tc>
          <w:tcPr>
            <w:tcW w:w="3885" w:type="dxa"/>
          </w:tcPr>
          <w:p w14:paraId="198C4F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6FF9A3A9" w14:textId="77777777">
        <w:trPr>
          <w:cantSplit/>
        </w:trPr>
        <w:tc>
          <w:tcPr>
            <w:tcW w:w="3885" w:type="dxa"/>
          </w:tcPr>
          <w:p w14:paraId="6DAFDF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Lafaurie 2023</w:t>
            </w:r>
          </w:p>
        </w:tc>
        <w:tc>
          <w:tcPr>
            <w:tcW w:w="3885" w:type="dxa"/>
          </w:tcPr>
          <w:p w14:paraId="0F21B6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60</w:t>
            </w:r>
          </w:p>
        </w:tc>
        <w:tc>
          <w:tcPr>
            <w:tcW w:w="3885" w:type="dxa"/>
          </w:tcPr>
          <w:p w14:paraId="1B62C5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93</w:t>
            </w:r>
          </w:p>
        </w:tc>
        <w:tc>
          <w:tcPr>
            <w:tcW w:w="3885" w:type="dxa"/>
          </w:tcPr>
          <w:p w14:paraId="373B10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69C97931" w14:textId="77777777">
        <w:trPr>
          <w:cantSplit/>
        </w:trPr>
        <w:tc>
          <w:tcPr>
            <w:tcW w:w="3885" w:type="dxa"/>
          </w:tcPr>
          <w:p w14:paraId="57088CE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Bayoudh 2024</w:t>
            </w:r>
          </w:p>
        </w:tc>
        <w:tc>
          <w:tcPr>
            <w:tcW w:w="3885" w:type="dxa"/>
          </w:tcPr>
          <w:p w14:paraId="7E12FD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10</w:t>
            </w:r>
          </w:p>
        </w:tc>
        <w:tc>
          <w:tcPr>
            <w:tcW w:w="3885" w:type="dxa"/>
          </w:tcPr>
          <w:p w14:paraId="398FE6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3885" w:type="dxa"/>
          </w:tcPr>
          <w:p w14:paraId="608502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3668E807" w14:textId="77777777">
        <w:trPr>
          <w:cantSplit/>
        </w:trPr>
        <w:tc>
          <w:tcPr>
            <w:tcW w:w="3885" w:type="dxa"/>
          </w:tcPr>
          <w:p w14:paraId="713B3D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Tatarelli 2015</w:t>
            </w:r>
          </w:p>
        </w:tc>
        <w:tc>
          <w:tcPr>
            <w:tcW w:w="3885" w:type="dxa"/>
          </w:tcPr>
          <w:p w14:paraId="08AA4C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</w:t>
            </w:r>
          </w:p>
        </w:tc>
        <w:tc>
          <w:tcPr>
            <w:tcW w:w="3885" w:type="dxa"/>
          </w:tcPr>
          <w:p w14:paraId="0839E2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3885" w:type="dxa"/>
          </w:tcPr>
          <w:p w14:paraId="2FB7BA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7A8F3437" w14:textId="77777777">
        <w:trPr>
          <w:cantSplit/>
        </w:trPr>
        <w:tc>
          <w:tcPr>
            <w:tcW w:w="3885" w:type="dxa"/>
          </w:tcPr>
          <w:p w14:paraId="719A18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Lesens 2024</w:t>
            </w:r>
          </w:p>
        </w:tc>
        <w:tc>
          <w:tcPr>
            <w:tcW w:w="3885" w:type="dxa"/>
          </w:tcPr>
          <w:p w14:paraId="3FADBCE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32</w:t>
            </w:r>
          </w:p>
        </w:tc>
        <w:tc>
          <w:tcPr>
            <w:tcW w:w="3885" w:type="dxa"/>
          </w:tcPr>
          <w:p w14:paraId="0734F3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61</w:t>
            </w:r>
          </w:p>
        </w:tc>
        <w:tc>
          <w:tcPr>
            <w:tcW w:w="3885" w:type="dxa"/>
          </w:tcPr>
          <w:p w14:paraId="157668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53DD691B" w14:textId="77777777">
        <w:trPr>
          <w:cantSplit/>
        </w:trPr>
        <w:tc>
          <w:tcPr>
            <w:tcW w:w="3885" w:type="dxa"/>
          </w:tcPr>
          <w:p w14:paraId="62D3202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Alonso 2020</w:t>
            </w:r>
          </w:p>
        </w:tc>
        <w:tc>
          <w:tcPr>
            <w:tcW w:w="3885" w:type="dxa"/>
          </w:tcPr>
          <w:p w14:paraId="58859A3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45</w:t>
            </w:r>
          </w:p>
        </w:tc>
        <w:tc>
          <w:tcPr>
            <w:tcW w:w="3885" w:type="dxa"/>
          </w:tcPr>
          <w:p w14:paraId="187AEB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76</w:t>
            </w:r>
          </w:p>
        </w:tc>
        <w:tc>
          <w:tcPr>
            <w:tcW w:w="3885" w:type="dxa"/>
          </w:tcPr>
          <w:p w14:paraId="3EB2290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72253091" w14:textId="77777777">
        <w:trPr>
          <w:cantSplit/>
        </w:trPr>
        <w:tc>
          <w:tcPr>
            <w:tcW w:w="3885" w:type="dxa"/>
          </w:tcPr>
          <w:p w14:paraId="701610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Rijnders 2005</w:t>
            </w:r>
          </w:p>
        </w:tc>
        <w:tc>
          <w:tcPr>
            <w:tcW w:w="3885" w:type="dxa"/>
          </w:tcPr>
          <w:p w14:paraId="19724A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14</w:t>
            </w:r>
          </w:p>
        </w:tc>
        <w:tc>
          <w:tcPr>
            <w:tcW w:w="3885" w:type="dxa"/>
          </w:tcPr>
          <w:p w14:paraId="50A73F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21</w:t>
            </w:r>
          </w:p>
        </w:tc>
        <w:tc>
          <w:tcPr>
            <w:tcW w:w="3885" w:type="dxa"/>
          </w:tcPr>
          <w:p w14:paraId="3B3B6F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~6 mo</w:t>
            </w:r>
          </w:p>
        </w:tc>
      </w:tr>
      <w:tr w:rsidR="00936871" w:rsidRPr="00E53029" w14:paraId="12C70AD0" w14:textId="77777777">
        <w:trPr>
          <w:cantSplit/>
        </w:trPr>
        <w:tc>
          <w:tcPr>
            <w:tcW w:w="3885" w:type="dxa"/>
          </w:tcPr>
          <w:p w14:paraId="17C52A5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Del Pozo 2009 (CoNS)</w:t>
            </w:r>
          </w:p>
        </w:tc>
        <w:tc>
          <w:tcPr>
            <w:tcW w:w="3885" w:type="dxa"/>
          </w:tcPr>
          <w:p w14:paraId="01F6AC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39</w:t>
            </w:r>
          </w:p>
        </w:tc>
        <w:tc>
          <w:tcPr>
            <w:tcW w:w="3885" w:type="dxa"/>
          </w:tcPr>
          <w:p w14:paraId="6F3D6F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44</w:t>
            </w:r>
          </w:p>
        </w:tc>
        <w:tc>
          <w:tcPr>
            <w:tcW w:w="3885" w:type="dxa"/>
          </w:tcPr>
          <w:p w14:paraId="22E3A8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extended</w:t>
            </w:r>
          </w:p>
        </w:tc>
      </w:tr>
      <w:tr w:rsidR="00936871" w:rsidRPr="00E53029" w14:paraId="3A2AEB61" w14:textId="77777777">
        <w:trPr>
          <w:cantSplit/>
        </w:trPr>
        <w:tc>
          <w:tcPr>
            <w:tcW w:w="3885" w:type="dxa"/>
          </w:tcPr>
          <w:p w14:paraId="78F687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Kubiak 2014</w:t>
            </w:r>
          </w:p>
        </w:tc>
        <w:tc>
          <w:tcPr>
            <w:tcW w:w="3885" w:type="dxa"/>
          </w:tcPr>
          <w:p w14:paraId="24AFC3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37</w:t>
            </w:r>
          </w:p>
        </w:tc>
        <w:tc>
          <w:tcPr>
            <w:tcW w:w="3885" w:type="dxa"/>
          </w:tcPr>
          <w:p w14:paraId="05EE94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45</w:t>
            </w:r>
          </w:p>
        </w:tc>
        <w:tc>
          <w:tcPr>
            <w:tcW w:w="3885" w:type="dxa"/>
          </w:tcPr>
          <w:p w14:paraId="2CCC71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variable</w:t>
            </w:r>
          </w:p>
        </w:tc>
      </w:tr>
      <w:tr w:rsidR="00936871" w:rsidRPr="00E53029" w14:paraId="135A3EF2" w14:textId="77777777">
        <w:trPr>
          <w:cantSplit/>
        </w:trPr>
        <w:tc>
          <w:tcPr>
            <w:tcW w:w="3885" w:type="dxa"/>
          </w:tcPr>
          <w:p w14:paraId="1B94C4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Ahmad 2019</w:t>
            </w:r>
          </w:p>
        </w:tc>
        <w:tc>
          <w:tcPr>
            <w:tcW w:w="3885" w:type="dxa"/>
          </w:tcPr>
          <w:p w14:paraId="354AE6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43</w:t>
            </w:r>
          </w:p>
        </w:tc>
        <w:tc>
          <w:tcPr>
            <w:tcW w:w="3885" w:type="dxa"/>
          </w:tcPr>
          <w:p w14:paraId="15762C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71</w:t>
            </w:r>
          </w:p>
        </w:tc>
        <w:tc>
          <w:tcPr>
            <w:tcW w:w="3885" w:type="dxa"/>
          </w:tcPr>
          <w:p w14:paraId="719F9D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variable</w:t>
            </w:r>
          </w:p>
        </w:tc>
      </w:tr>
      <w:tr w:rsidR="00936871" w:rsidRPr="00E53029" w14:paraId="47279BD2" w14:textId="77777777">
        <w:trPr>
          <w:cantSplit/>
        </w:trPr>
        <w:tc>
          <w:tcPr>
            <w:tcW w:w="3885" w:type="dxa"/>
          </w:tcPr>
          <w:p w14:paraId="082D77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Wintenberger 2012</w:t>
            </w:r>
          </w:p>
        </w:tc>
        <w:tc>
          <w:tcPr>
            <w:tcW w:w="3885" w:type="dxa"/>
          </w:tcPr>
          <w:p w14:paraId="534A41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3885" w:type="dxa"/>
          </w:tcPr>
          <w:p w14:paraId="62B9BD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31</w:t>
            </w:r>
          </w:p>
        </w:tc>
        <w:tc>
          <w:tcPr>
            <w:tcW w:w="3885" w:type="dxa"/>
          </w:tcPr>
          <w:p w14:paraId="0A99BE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variable</w:t>
            </w:r>
          </w:p>
        </w:tc>
      </w:tr>
      <w:tr w:rsidR="00936871" w:rsidRPr="00E53029" w14:paraId="2C640879" w14:textId="77777777">
        <w:trPr>
          <w:cantSplit/>
        </w:trPr>
        <w:tc>
          <w:tcPr>
            <w:tcW w:w="3885" w:type="dxa"/>
          </w:tcPr>
          <w:p w14:paraId="559192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Haag 2011</w:t>
            </w:r>
          </w:p>
        </w:tc>
        <w:tc>
          <w:tcPr>
            <w:tcW w:w="3885" w:type="dxa"/>
          </w:tcPr>
          <w:p w14:paraId="4C9D7A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16</w:t>
            </w:r>
          </w:p>
        </w:tc>
        <w:tc>
          <w:tcPr>
            <w:tcW w:w="3885" w:type="dxa"/>
          </w:tcPr>
          <w:p w14:paraId="507748C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24</w:t>
            </w:r>
          </w:p>
        </w:tc>
        <w:tc>
          <w:tcPr>
            <w:tcW w:w="3885" w:type="dxa"/>
          </w:tcPr>
          <w:p w14:paraId="0B2F30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timing incompletely fixed</w:t>
            </w:r>
          </w:p>
        </w:tc>
      </w:tr>
      <w:tr w:rsidR="00936871" w:rsidRPr="00E53029" w14:paraId="647D0E3B" w14:textId="77777777">
        <w:trPr>
          <w:cantSplit/>
        </w:trPr>
        <w:tc>
          <w:tcPr>
            <w:tcW w:w="3885" w:type="dxa"/>
          </w:tcPr>
          <w:p w14:paraId="14A5D4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Santarpia 2016</w:t>
            </w:r>
          </w:p>
        </w:tc>
        <w:tc>
          <w:tcPr>
            <w:tcW w:w="3885" w:type="dxa"/>
          </w:tcPr>
          <w:p w14:paraId="38D0B5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22</w:t>
            </w:r>
          </w:p>
        </w:tc>
        <w:tc>
          <w:tcPr>
            <w:tcW w:w="3885" w:type="dxa"/>
          </w:tcPr>
          <w:p w14:paraId="39CCCE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33</w:t>
            </w:r>
          </w:p>
        </w:tc>
        <w:tc>
          <w:tcPr>
            <w:tcW w:w="3885" w:type="dxa"/>
          </w:tcPr>
          <w:p w14:paraId="011D84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timing NR</w:t>
            </w:r>
          </w:p>
        </w:tc>
      </w:tr>
      <w:tr w:rsidR="00936871" w:rsidRPr="00E53029" w14:paraId="6EE1145F" w14:textId="77777777">
        <w:trPr>
          <w:cantSplit/>
        </w:trPr>
        <w:tc>
          <w:tcPr>
            <w:tcW w:w="3885" w:type="dxa"/>
          </w:tcPr>
          <w:p w14:paraId="2C97D2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Santarpia 2010</w:t>
            </w:r>
          </w:p>
        </w:tc>
        <w:tc>
          <w:tcPr>
            <w:tcW w:w="3885" w:type="dxa"/>
          </w:tcPr>
          <w:p w14:paraId="576572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103</w:t>
            </w:r>
          </w:p>
        </w:tc>
        <w:tc>
          <w:tcPr>
            <w:tcW w:w="3885" w:type="dxa"/>
          </w:tcPr>
          <w:p w14:paraId="69F277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139</w:t>
            </w:r>
          </w:p>
        </w:tc>
        <w:tc>
          <w:tcPr>
            <w:tcW w:w="3885" w:type="dxa"/>
          </w:tcPr>
          <w:p w14:paraId="15D386A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variable</w:t>
            </w:r>
          </w:p>
        </w:tc>
      </w:tr>
      <w:tr w:rsidR="00936871" w:rsidRPr="00E53029" w14:paraId="0C1259DC" w14:textId="77777777">
        <w:trPr>
          <w:cantSplit/>
        </w:trPr>
        <w:tc>
          <w:tcPr>
            <w:tcW w:w="3885" w:type="dxa"/>
          </w:tcPr>
          <w:p w14:paraId="4BD775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lastRenderedPageBreak/>
              <w:t>Koldehoff &amp; Zakrzewski 2004</w:t>
            </w:r>
          </w:p>
        </w:tc>
        <w:tc>
          <w:tcPr>
            <w:tcW w:w="3885" w:type="dxa"/>
          </w:tcPr>
          <w:p w14:paraId="23CB31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3885" w:type="dxa"/>
          </w:tcPr>
          <w:p w14:paraId="4529E9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11</w:t>
            </w:r>
          </w:p>
        </w:tc>
        <w:tc>
          <w:tcPr>
            <w:tcW w:w="3885" w:type="dxa"/>
          </w:tcPr>
          <w:p w14:paraId="73F4A9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recurrence window 2-4 mo</w:t>
            </w:r>
          </w:p>
        </w:tc>
      </w:tr>
    </w:tbl>
    <w:p w14:paraId="370E172D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Broad later-salvage dataset: 18 studies, N=852. </w:t>
      </w:r>
      <w:r w:rsidRPr="00E53029">
        <w:rPr>
          <w:rFonts w:asciiTheme="majorBidi" w:hAnsiTheme="majorBidi" w:cstheme="majorBidi"/>
        </w:rPr>
        <w:t>This dataset generated the supplementary exploratory GLMM estimate of 66.4%. The nine rows flagged Yes form the more clinically interpretable approximately 3-month analysis used in the main manuscript. Exclusion of Wintenberger and leave-one-out analyses u</w:t>
      </w:r>
      <w:r w:rsidRPr="00E53029">
        <w:rPr>
          <w:rFonts w:asciiTheme="majorBidi" w:hAnsiTheme="majorBidi" w:cstheme="majorBidi"/>
        </w:rPr>
        <w:t>sed this 18-study dataset; exploratory lock-class subgroup analyses also arose from this broad dataset and were not interpreted as comparative effectiveness estimates.</w:t>
      </w:r>
    </w:p>
    <w:p w14:paraId="329BF36A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11.7 Same-organism relapse within approximately 30 days</w:t>
      </w:r>
    </w:p>
    <w:p w14:paraId="23D5E9B9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Table 11G. Analysis dataset for </w:t>
      </w:r>
      <w:r w:rsidRPr="00E53029">
        <w:rPr>
          <w:rFonts w:asciiTheme="majorBidi" w:hAnsiTheme="majorBidi" w:cstheme="majorBidi"/>
        </w:rPr>
        <w:t>short-term same-organism relapse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7"/>
        <w:gridCol w:w="2829"/>
        <w:gridCol w:w="2811"/>
        <w:gridCol w:w="2833"/>
        <w:gridCol w:w="2854"/>
      </w:tblGrid>
      <w:tr w:rsidR="00936871" w:rsidRPr="00E53029" w14:paraId="49F5F71D" w14:textId="77777777">
        <w:trPr>
          <w:cantSplit/>
          <w:tblHeader/>
        </w:trPr>
        <w:tc>
          <w:tcPr>
            <w:tcW w:w="3108" w:type="dxa"/>
          </w:tcPr>
          <w:p w14:paraId="60742B3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3108" w:type="dxa"/>
          </w:tcPr>
          <w:p w14:paraId="63AB6C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Relapse events</w:t>
            </w:r>
          </w:p>
        </w:tc>
        <w:tc>
          <w:tcPr>
            <w:tcW w:w="3108" w:type="dxa"/>
          </w:tcPr>
          <w:p w14:paraId="4260AEF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Total</w:t>
            </w:r>
          </w:p>
        </w:tc>
        <w:tc>
          <w:tcPr>
            <w:tcW w:w="3108" w:type="dxa"/>
          </w:tcPr>
          <w:p w14:paraId="122621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Primary GLMM</w:t>
            </w:r>
          </w:p>
        </w:tc>
        <w:tc>
          <w:tcPr>
            <w:tcW w:w="3108" w:type="dxa"/>
          </w:tcPr>
          <w:p w14:paraId="5BD308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Exclude review-derived Fernández-Hidalgo</w:t>
            </w:r>
          </w:p>
        </w:tc>
      </w:tr>
      <w:tr w:rsidR="00936871" w:rsidRPr="00E53029" w14:paraId="76D9B9EC" w14:textId="77777777">
        <w:trPr>
          <w:cantSplit/>
        </w:trPr>
        <w:tc>
          <w:tcPr>
            <w:tcW w:w="3108" w:type="dxa"/>
          </w:tcPr>
          <w:p w14:paraId="7C15E7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Sánchez-Muñoz 2005</w:t>
            </w:r>
          </w:p>
        </w:tc>
        <w:tc>
          <w:tcPr>
            <w:tcW w:w="3108" w:type="dxa"/>
          </w:tcPr>
          <w:p w14:paraId="6F4BF8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</w:t>
            </w:r>
          </w:p>
        </w:tc>
        <w:tc>
          <w:tcPr>
            <w:tcW w:w="3108" w:type="dxa"/>
          </w:tcPr>
          <w:p w14:paraId="508AA4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13</w:t>
            </w:r>
          </w:p>
        </w:tc>
        <w:tc>
          <w:tcPr>
            <w:tcW w:w="3108" w:type="dxa"/>
          </w:tcPr>
          <w:p w14:paraId="71DA1D2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579E81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71176344" w14:textId="77777777">
        <w:trPr>
          <w:cantSplit/>
        </w:trPr>
        <w:tc>
          <w:tcPr>
            <w:tcW w:w="3108" w:type="dxa"/>
          </w:tcPr>
          <w:p w14:paraId="19BE91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Fernández-Hidalgo 2006</w:t>
            </w:r>
          </w:p>
        </w:tc>
        <w:tc>
          <w:tcPr>
            <w:tcW w:w="3108" w:type="dxa"/>
          </w:tcPr>
          <w:p w14:paraId="3ECFF6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</w:t>
            </w:r>
          </w:p>
        </w:tc>
        <w:tc>
          <w:tcPr>
            <w:tcW w:w="3108" w:type="dxa"/>
          </w:tcPr>
          <w:p w14:paraId="4B2683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54</w:t>
            </w:r>
          </w:p>
        </w:tc>
        <w:tc>
          <w:tcPr>
            <w:tcW w:w="3108" w:type="dxa"/>
          </w:tcPr>
          <w:p w14:paraId="1F9A99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08EC6C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No - review-derived subgroup</w:t>
            </w:r>
          </w:p>
        </w:tc>
      </w:tr>
      <w:tr w:rsidR="00936871" w:rsidRPr="00E53029" w14:paraId="08A40FDC" w14:textId="77777777">
        <w:trPr>
          <w:cantSplit/>
        </w:trPr>
        <w:tc>
          <w:tcPr>
            <w:tcW w:w="3108" w:type="dxa"/>
          </w:tcPr>
          <w:p w14:paraId="294823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Fortún 2006</w:t>
            </w:r>
          </w:p>
        </w:tc>
        <w:tc>
          <w:tcPr>
            <w:tcW w:w="3108" w:type="dxa"/>
          </w:tcPr>
          <w:p w14:paraId="4F8BE8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</w:t>
            </w:r>
          </w:p>
        </w:tc>
        <w:tc>
          <w:tcPr>
            <w:tcW w:w="3108" w:type="dxa"/>
          </w:tcPr>
          <w:p w14:paraId="456256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19</w:t>
            </w:r>
          </w:p>
        </w:tc>
        <w:tc>
          <w:tcPr>
            <w:tcW w:w="3108" w:type="dxa"/>
          </w:tcPr>
          <w:p w14:paraId="688A3B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1A13E7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1FC1A6D0" w14:textId="77777777">
        <w:trPr>
          <w:cantSplit/>
        </w:trPr>
        <w:tc>
          <w:tcPr>
            <w:tcW w:w="3108" w:type="dxa"/>
          </w:tcPr>
          <w:p w14:paraId="19012AE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Broom 2008</w:t>
            </w:r>
          </w:p>
        </w:tc>
        <w:tc>
          <w:tcPr>
            <w:tcW w:w="3108" w:type="dxa"/>
          </w:tcPr>
          <w:p w14:paraId="5CD80B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</w:t>
            </w:r>
          </w:p>
        </w:tc>
        <w:tc>
          <w:tcPr>
            <w:tcW w:w="3108" w:type="dxa"/>
          </w:tcPr>
          <w:p w14:paraId="672FCC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3108" w:type="dxa"/>
          </w:tcPr>
          <w:p w14:paraId="2FCCD5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6025A8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7B753613" w14:textId="77777777">
        <w:trPr>
          <w:cantSplit/>
        </w:trPr>
        <w:tc>
          <w:tcPr>
            <w:tcW w:w="3108" w:type="dxa"/>
          </w:tcPr>
          <w:p w14:paraId="63293A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Del Pozo 2009 (non-CoNS)</w:t>
            </w:r>
          </w:p>
        </w:tc>
        <w:tc>
          <w:tcPr>
            <w:tcW w:w="3108" w:type="dxa"/>
          </w:tcPr>
          <w:p w14:paraId="3FA2F3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</w:t>
            </w:r>
          </w:p>
        </w:tc>
        <w:tc>
          <w:tcPr>
            <w:tcW w:w="3108" w:type="dxa"/>
          </w:tcPr>
          <w:p w14:paraId="6974DA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3108" w:type="dxa"/>
          </w:tcPr>
          <w:p w14:paraId="42FB1FE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3702A4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  <w:tr w:rsidR="00936871" w:rsidRPr="00E53029" w14:paraId="6BE6566B" w14:textId="77777777">
        <w:trPr>
          <w:cantSplit/>
        </w:trPr>
        <w:tc>
          <w:tcPr>
            <w:tcW w:w="3108" w:type="dxa"/>
          </w:tcPr>
          <w:p w14:paraId="5AA868F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Vassallo 2017</w:t>
            </w:r>
          </w:p>
        </w:tc>
        <w:tc>
          <w:tcPr>
            <w:tcW w:w="3108" w:type="dxa"/>
          </w:tcPr>
          <w:p w14:paraId="09CED1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3</w:t>
            </w:r>
          </w:p>
        </w:tc>
        <w:tc>
          <w:tcPr>
            <w:tcW w:w="3108" w:type="dxa"/>
          </w:tcPr>
          <w:p w14:paraId="5E3792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21</w:t>
            </w:r>
          </w:p>
        </w:tc>
        <w:tc>
          <w:tcPr>
            <w:tcW w:w="3108" w:type="dxa"/>
          </w:tcPr>
          <w:p w14:paraId="14FB44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  <w:tc>
          <w:tcPr>
            <w:tcW w:w="3108" w:type="dxa"/>
          </w:tcPr>
          <w:p w14:paraId="068308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4"/>
              </w:rPr>
              <w:t>Yes</w:t>
            </w:r>
          </w:p>
        </w:tc>
      </w:tr>
    </w:tbl>
    <w:p w14:paraId="7E8E4280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Primary dataset: 11/141 across 6 studies. Excluding Fernández-Hidalgo leaves 8/87 across 5 studies. Logit-REML, Freeman-Tukey REML, and leave-one-out analyses otherwise used the </w:t>
      </w:r>
      <w:r w:rsidRPr="00E53029">
        <w:rPr>
          <w:rFonts w:asciiTheme="majorBidi" w:hAnsiTheme="majorBidi" w:cstheme="majorBidi"/>
        </w:rPr>
        <w:t>six-study primary dataset.</w:t>
      </w:r>
    </w:p>
    <w:p w14:paraId="329A1D9D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11.8 Same-organism relapse during 31-100 days and broader extended follow-up</w:t>
      </w:r>
    </w:p>
    <w:p w14:paraId="5D6EE647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11H. Later-relapse analysis dataset and strict-window membership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8"/>
        <w:gridCol w:w="2826"/>
        <w:gridCol w:w="2810"/>
        <w:gridCol w:w="2829"/>
        <w:gridCol w:w="2851"/>
      </w:tblGrid>
      <w:tr w:rsidR="00936871" w:rsidRPr="00E53029" w14:paraId="15A093F6" w14:textId="77777777">
        <w:trPr>
          <w:cantSplit/>
          <w:tblHeader/>
        </w:trPr>
        <w:tc>
          <w:tcPr>
            <w:tcW w:w="3108" w:type="dxa"/>
          </w:tcPr>
          <w:p w14:paraId="02850E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Study</w:t>
            </w:r>
          </w:p>
        </w:tc>
        <w:tc>
          <w:tcPr>
            <w:tcW w:w="3108" w:type="dxa"/>
          </w:tcPr>
          <w:p w14:paraId="4580B2F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Relapse events</w:t>
            </w:r>
          </w:p>
        </w:tc>
        <w:tc>
          <w:tcPr>
            <w:tcW w:w="3108" w:type="dxa"/>
          </w:tcPr>
          <w:p w14:paraId="755FC3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Total</w:t>
            </w:r>
          </w:p>
        </w:tc>
        <w:tc>
          <w:tcPr>
            <w:tcW w:w="3108" w:type="dxa"/>
          </w:tcPr>
          <w:p w14:paraId="75D213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Strict 31-100-d primary set</w:t>
            </w:r>
          </w:p>
        </w:tc>
        <w:tc>
          <w:tcPr>
            <w:tcW w:w="3108" w:type="dxa"/>
          </w:tcPr>
          <w:p w14:paraId="1750E6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Caveat</w:t>
            </w:r>
          </w:p>
        </w:tc>
      </w:tr>
      <w:tr w:rsidR="00936871" w:rsidRPr="00E53029" w14:paraId="0962F3CF" w14:textId="77777777">
        <w:trPr>
          <w:cantSplit/>
        </w:trPr>
        <w:tc>
          <w:tcPr>
            <w:tcW w:w="3108" w:type="dxa"/>
          </w:tcPr>
          <w:p w14:paraId="4C58F2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3108" w:type="dxa"/>
          </w:tcPr>
          <w:p w14:paraId="0B5714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</w:t>
            </w:r>
          </w:p>
        </w:tc>
        <w:tc>
          <w:tcPr>
            <w:tcW w:w="3108" w:type="dxa"/>
          </w:tcPr>
          <w:p w14:paraId="26BD6B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106</w:t>
            </w:r>
          </w:p>
        </w:tc>
        <w:tc>
          <w:tcPr>
            <w:tcW w:w="3108" w:type="dxa"/>
          </w:tcPr>
          <w:p w14:paraId="4BCFF4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03D1241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90 d</w:t>
            </w:r>
          </w:p>
        </w:tc>
      </w:tr>
      <w:tr w:rsidR="00936871" w:rsidRPr="00E53029" w14:paraId="7C3FBD68" w14:textId="77777777">
        <w:trPr>
          <w:cantSplit/>
        </w:trPr>
        <w:tc>
          <w:tcPr>
            <w:tcW w:w="3108" w:type="dxa"/>
          </w:tcPr>
          <w:p w14:paraId="342FF1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3108" w:type="dxa"/>
          </w:tcPr>
          <w:p w14:paraId="2E3FDA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3108" w:type="dxa"/>
          </w:tcPr>
          <w:p w14:paraId="62B75C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26</w:t>
            </w:r>
          </w:p>
        </w:tc>
        <w:tc>
          <w:tcPr>
            <w:tcW w:w="3108" w:type="dxa"/>
          </w:tcPr>
          <w:p w14:paraId="2F524A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02FE98F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Conditional denominator among retained PICCs</w:t>
            </w:r>
          </w:p>
        </w:tc>
      </w:tr>
      <w:tr w:rsidR="00936871" w:rsidRPr="00E53029" w14:paraId="0B713B24" w14:textId="77777777">
        <w:trPr>
          <w:cantSplit/>
        </w:trPr>
        <w:tc>
          <w:tcPr>
            <w:tcW w:w="3108" w:type="dxa"/>
          </w:tcPr>
          <w:p w14:paraId="345232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Bayoudh 2024</w:t>
            </w:r>
          </w:p>
        </w:tc>
        <w:tc>
          <w:tcPr>
            <w:tcW w:w="3108" w:type="dxa"/>
          </w:tcPr>
          <w:p w14:paraId="5055E8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3108" w:type="dxa"/>
          </w:tcPr>
          <w:p w14:paraId="0ACBD5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</w:t>
            </w:r>
          </w:p>
        </w:tc>
        <w:tc>
          <w:tcPr>
            <w:tcW w:w="3108" w:type="dxa"/>
          </w:tcPr>
          <w:p w14:paraId="48D689C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697012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~90 d</w:t>
            </w:r>
          </w:p>
        </w:tc>
      </w:tr>
      <w:tr w:rsidR="00936871" w:rsidRPr="00E53029" w14:paraId="2161A3A6" w14:textId="77777777">
        <w:trPr>
          <w:cantSplit/>
        </w:trPr>
        <w:tc>
          <w:tcPr>
            <w:tcW w:w="3108" w:type="dxa"/>
          </w:tcPr>
          <w:p w14:paraId="11F693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Bookstaver 2010</w:t>
            </w:r>
          </w:p>
        </w:tc>
        <w:tc>
          <w:tcPr>
            <w:tcW w:w="3108" w:type="dxa"/>
          </w:tcPr>
          <w:p w14:paraId="3B7E6F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</w:t>
            </w:r>
          </w:p>
        </w:tc>
        <w:tc>
          <w:tcPr>
            <w:tcW w:w="3108" w:type="dxa"/>
          </w:tcPr>
          <w:p w14:paraId="7C99C2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3108" w:type="dxa"/>
          </w:tcPr>
          <w:p w14:paraId="31BC01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148730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30-90 d</w:t>
            </w:r>
          </w:p>
        </w:tc>
      </w:tr>
      <w:tr w:rsidR="00936871" w:rsidRPr="00E53029" w14:paraId="7DA74A7F" w14:textId="77777777">
        <w:trPr>
          <w:cantSplit/>
        </w:trPr>
        <w:tc>
          <w:tcPr>
            <w:tcW w:w="3108" w:type="dxa"/>
          </w:tcPr>
          <w:p w14:paraId="39CFE7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Viale 2003</w:t>
            </w:r>
          </w:p>
        </w:tc>
        <w:tc>
          <w:tcPr>
            <w:tcW w:w="3108" w:type="dxa"/>
          </w:tcPr>
          <w:p w14:paraId="77E77B2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</w:t>
            </w:r>
          </w:p>
        </w:tc>
        <w:tc>
          <w:tcPr>
            <w:tcW w:w="3108" w:type="dxa"/>
          </w:tcPr>
          <w:p w14:paraId="066D9A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3108" w:type="dxa"/>
          </w:tcPr>
          <w:p w14:paraId="35C77E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4151E4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~28-90 d</w:t>
            </w:r>
          </w:p>
        </w:tc>
      </w:tr>
      <w:tr w:rsidR="00936871" w:rsidRPr="00E53029" w14:paraId="7775C35A" w14:textId="77777777">
        <w:trPr>
          <w:cantSplit/>
        </w:trPr>
        <w:tc>
          <w:tcPr>
            <w:tcW w:w="3108" w:type="dxa"/>
          </w:tcPr>
          <w:p w14:paraId="15E1E0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Lebeaux 2025</w:t>
            </w:r>
          </w:p>
        </w:tc>
        <w:tc>
          <w:tcPr>
            <w:tcW w:w="3108" w:type="dxa"/>
          </w:tcPr>
          <w:p w14:paraId="15750E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</w:t>
            </w:r>
          </w:p>
        </w:tc>
        <w:tc>
          <w:tcPr>
            <w:tcW w:w="3108" w:type="dxa"/>
          </w:tcPr>
          <w:p w14:paraId="46AB2A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6</w:t>
            </w:r>
          </w:p>
        </w:tc>
        <w:tc>
          <w:tcPr>
            <w:tcW w:w="3108" w:type="dxa"/>
          </w:tcPr>
          <w:p w14:paraId="2F7830E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30F9BA8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Day 40 to ~100 d</w:t>
            </w:r>
          </w:p>
        </w:tc>
      </w:tr>
      <w:tr w:rsidR="00936871" w:rsidRPr="00E53029" w14:paraId="7CAD2DF2" w14:textId="77777777">
        <w:trPr>
          <w:cantSplit/>
        </w:trPr>
        <w:tc>
          <w:tcPr>
            <w:tcW w:w="3108" w:type="dxa"/>
          </w:tcPr>
          <w:p w14:paraId="7BD44C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Lafaurie 2023</w:t>
            </w:r>
          </w:p>
        </w:tc>
        <w:tc>
          <w:tcPr>
            <w:tcW w:w="3108" w:type="dxa"/>
          </w:tcPr>
          <w:p w14:paraId="1A8C9C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15</w:t>
            </w:r>
          </w:p>
        </w:tc>
        <w:tc>
          <w:tcPr>
            <w:tcW w:w="3108" w:type="dxa"/>
          </w:tcPr>
          <w:p w14:paraId="1F6CDA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77</w:t>
            </w:r>
          </w:p>
        </w:tc>
        <w:tc>
          <w:tcPr>
            <w:tcW w:w="3108" w:type="dxa"/>
          </w:tcPr>
          <w:p w14:paraId="2E15DF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Yes</w:t>
            </w:r>
          </w:p>
        </w:tc>
        <w:tc>
          <w:tcPr>
            <w:tcW w:w="3108" w:type="dxa"/>
          </w:tcPr>
          <w:p w14:paraId="181BC6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3 mo evaluable </w:t>
            </w:r>
            <w:r w:rsidRPr="00E53029">
              <w:rPr>
                <w:rFonts w:asciiTheme="majorBidi" w:hAnsiTheme="majorBidi" w:cstheme="majorBidi"/>
                <w:sz w:val="13"/>
              </w:rPr>
              <w:t>denominator</w:t>
            </w:r>
          </w:p>
        </w:tc>
      </w:tr>
      <w:tr w:rsidR="00936871" w:rsidRPr="00E53029" w14:paraId="2501EBAD" w14:textId="77777777">
        <w:trPr>
          <w:cantSplit/>
        </w:trPr>
        <w:tc>
          <w:tcPr>
            <w:tcW w:w="3108" w:type="dxa"/>
          </w:tcPr>
          <w:p w14:paraId="1AC8A7E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Rijnders 2005</w:t>
            </w:r>
          </w:p>
        </w:tc>
        <w:tc>
          <w:tcPr>
            <w:tcW w:w="3108" w:type="dxa"/>
          </w:tcPr>
          <w:p w14:paraId="1EDE47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3108" w:type="dxa"/>
          </w:tcPr>
          <w:p w14:paraId="50577F8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</w:t>
            </w:r>
          </w:p>
        </w:tc>
        <w:tc>
          <w:tcPr>
            <w:tcW w:w="3108" w:type="dxa"/>
          </w:tcPr>
          <w:p w14:paraId="47C544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  <w:tc>
          <w:tcPr>
            <w:tcW w:w="3108" w:type="dxa"/>
          </w:tcPr>
          <w:p w14:paraId="75D91B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Extended ~6 mo</w:t>
            </w:r>
          </w:p>
        </w:tc>
      </w:tr>
      <w:tr w:rsidR="00936871" w:rsidRPr="00E53029" w14:paraId="17683C5D" w14:textId="77777777">
        <w:trPr>
          <w:cantSplit/>
        </w:trPr>
        <w:tc>
          <w:tcPr>
            <w:tcW w:w="3108" w:type="dxa"/>
          </w:tcPr>
          <w:p w14:paraId="55BB19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 (CoNS)</w:t>
            </w:r>
          </w:p>
        </w:tc>
        <w:tc>
          <w:tcPr>
            <w:tcW w:w="3108" w:type="dxa"/>
          </w:tcPr>
          <w:p w14:paraId="05CA37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3108" w:type="dxa"/>
          </w:tcPr>
          <w:p w14:paraId="39CC3DF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44</w:t>
            </w:r>
          </w:p>
        </w:tc>
        <w:tc>
          <w:tcPr>
            <w:tcW w:w="3108" w:type="dxa"/>
          </w:tcPr>
          <w:p w14:paraId="6B7316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  <w:tc>
          <w:tcPr>
            <w:tcW w:w="3108" w:type="dxa"/>
          </w:tcPr>
          <w:p w14:paraId="393DEA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Extended</w:t>
            </w:r>
          </w:p>
        </w:tc>
      </w:tr>
      <w:tr w:rsidR="00936871" w:rsidRPr="00E53029" w14:paraId="69EE7635" w14:textId="77777777">
        <w:trPr>
          <w:cantSplit/>
        </w:trPr>
        <w:tc>
          <w:tcPr>
            <w:tcW w:w="3108" w:type="dxa"/>
          </w:tcPr>
          <w:p w14:paraId="14E07C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Wintenberger 2012</w:t>
            </w:r>
          </w:p>
        </w:tc>
        <w:tc>
          <w:tcPr>
            <w:tcW w:w="3108" w:type="dxa"/>
          </w:tcPr>
          <w:p w14:paraId="032737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</w:t>
            </w:r>
          </w:p>
        </w:tc>
        <w:tc>
          <w:tcPr>
            <w:tcW w:w="3108" w:type="dxa"/>
          </w:tcPr>
          <w:p w14:paraId="128311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31</w:t>
            </w:r>
          </w:p>
        </w:tc>
        <w:tc>
          <w:tcPr>
            <w:tcW w:w="3108" w:type="dxa"/>
          </w:tcPr>
          <w:p w14:paraId="494215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</w:t>
            </w:r>
          </w:p>
        </w:tc>
        <w:tc>
          <w:tcPr>
            <w:tcW w:w="3108" w:type="dxa"/>
          </w:tcPr>
          <w:p w14:paraId="072D24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Variable long-term</w:t>
            </w:r>
          </w:p>
        </w:tc>
      </w:tr>
    </w:tbl>
    <w:p w14:paraId="7C39AE7C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Strict 31-100-day dataset: 43/247 across 7 studies. Excluding Zhang leaves 41/221 across 6 studies. The Freeman-Tukey </w:t>
      </w:r>
      <w:r w:rsidRPr="00E53029">
        <w:rPr>
          <w:rFonts w:asciiTheme="majorBidi" w:hAnsiTheme="majorBidi" w:cstheme="majorBidi"/>
        </w:rPr>
        <w:t>REML analysis used the same seven-study strict dataset. The broader exploratory dataset comprised all 10 rows (52/343) and was retained only in supplementary analyses.</w:t>
      </w:r>
    </w:p>
    <w:p w14:paraId="4BE7C614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11.9 Comparative microbiological relapse</w:t>
      </w:r>
    </w:p>
    <w:p w14:paraId="15A6D100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 xml:space="preserve">Table 11I. Comparator-specific datasets for </w:t>
      </w:r>
      <w:r w:rsidRPr="00E53029">
        <w:rPr>
          <w:rFonts w:asciiTheme="majorBidi" w:hAnsiTheme="majorBidi" w:cstheme="majorBidi"/>
        </w:rPr>
        <w:t>comparative microbiological relapse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5"/>
        <w:gridCol w:w="2086"/>
        <w:gridCol w:w="2001"/>
        <w:gridCol w:w="2001"/>
        <w:gridCol w:w="2004"/>
        <w:gridCol w:w="2004"/>
        <w:gridCol w:w="2033"/>
      </w:tblGrid>
      <w:tr w:rsidR="00936871" w:rsidRPr="00E53029" w14:paraId="513641B8" w14:textId="77777777" w:rsidTr="00E53029">
        <w:trPr>
          <w:cantSplit/>
          <w:tblHeader/>
        </w:trPr>
        <w:tc>
          <w:tcPr>
            <w:tcW w:w="721" w:type="pct"/>
          </w:tcPr>
          <w:p w14:paraId="3BAC97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Study</w:t>
            </w:r>
          </w:p>
        </w:tc>
        <w:tc>
          <w:tcPr>
            <w:tcW w:w="736" w:type="pct"/>
          </w:tcPr>
          <w:p w14:paraId="673969A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Comparator stratum</w:t>
            </w:r>
          </w:p>
        </w:tc>
        <w:tc>
          <w:tcPr>
            <w:tcW w:w="706" w:type="pct"/>
          </w:tcPr>
          <w:p w14:paraId="209691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ALT relapse</w:t>
            </w:r>
          </w:p>
        </w:tc>
        <w:tc>
          <w:tcPr>
            <w:tcW w:w="706" w:type="pct"/>
          </w:tcPr>
          <w:p w14:paraId="4B67C5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ALT no relapse</w:t>
            </w:r>
          </w:p>
        </w:tc>
        <w:tc>
          <w:tcPr>
            <w:tcW w:w="707" w:type="pct"/>
          </w:tcPr>
          <w:p w14:paraId="670E9C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Control relapse</w:t>
            </w:r>
          </w:p>
        </w:tc>
        <w:tc>
          <w:tcPr>
            <w:tcW w:w="707" w:type="pct"/>
          </w:tcPr>
          <w:p w14:paraId="369C7E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Control no relapse</w:t>
            </w:r>
          </w:p>
        </w:tc>
        <w:tc>
          <w:tcPr>
            <w:tcW w:w="718" w:type="pct"/>
          </w:tcPr>
          <w:p w14:paraId="2CA5017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Analysis role</w:t>
            </w:r>
          </w:p>
        </w:tc>
      </w:tr>
      <w:tr w:rsidR="00936871" w:rsidRPr="00E53029" w14:paraId="7BD9223B" w14:textId="77777777" w:rsidTr="00E53029">
        <w:trPr>
          <w:cantSplit/>
        </w:trPr>
        <w:tc>
          <w:tcPr>
            <w:tcW w:w="721" w:type="pct"/>
          </w:tcPr>
          <w:p w14:paraId="2984039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Rijnders 2005</w:t>
            </w:r>
          </w:p>
        </w:tc>
        <w:tc>
          <w:tcPr>
            <w:tcW w:w="736" w:type="pct"/>
          </w:tcPr>
          <w:p w14:paraId="488B7AB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Placebo-lock RCT</w:t>
            </w:r>
          </w:p>
        </w:tc>
        <w:tc>
          <w:tcPr>
            <w:tcW w:w="706" w:type="pct"/>
          </w:tcPr>
          <w:p w14:paraId="29EFD9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706" w:type="pct"/>
          </w:tcPr>
          <w:p w14:paraId="7169C3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18</w:t>
            </w:r>
          </w:p>
        </w:tc>
        <w:tc>
          <w:tcPr>
            <w:tcW w:w="707" w:type="pct"/>
          </w:tcPr>
          <w:p w14:paraId="01817A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9</w:t>
            </w:r>
          </w:p>
        </w:tc>
        <w:tc>
          <w:tcPr>
            <w:tcW w:w="707" w:type="pct"/>
          </w:tcPr>
          <w:p w14:paraId="5F4C44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14</w:t>
            </w:r>
          </w:p>
        </w:tc>
        <w:tc>
          <w:tcPr>
            <w:tcW w:w="718" w:type="pct"/>
          </w:tcPr>
          <w:p w14:paraId="0BF61D9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Reported separately; not pooled with NRSI</w:t>
            </w:r>
          </w:p>
        </w:tc>
      </w:tr>
      <w:tr w:rsidR="00936871" w:rsidRPr="00E53029" w14:paraId="17DFD5A5" w14:textId="77777777" w:rsidTr="00E53029">
        <w:trPr>
          <w:cantSplit/>
        </w:trPr>
        <w:tc>
          <w:tcPr>
            <w:tcW w:w="721" w:type="pct"/>
          </w:tcPr>
          <w:p w14:paraId="54033A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736" w:type="pct"/>
          </w:tcPr>
          <w:p w14:paraId="1AE73C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Catheter </w:t>
            </w:r>
            <w:r w:rsidRPr="00E53029">
              <w:rPr>
                <w:rFonts w:asciiTheme="majorBidi" w:hAnsiTheme="majorBidi" w:cstheme="majorBidi"/>
                <w:sz w:val="13"/>
              </w:rPr>
              <w:t>removal/reinsertion</w:t>
            </w:r>
          </w:p>
        </w:tc>
        <w:tc>
          <w:tcPr>
            <w:tcW w:w="706" w:type="pct"/>
          </w:tcPr>
          <w:p w14:paraId="34108B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21</w:t>
            </w:r>
          </w:p>
        </w:tc>
        <w:tc>
          <w:tcPr>
            <w:tcW w:w="706" w:type="pct"/>
          </w:tcPr>
          <w:p w14:paraId="79D0ED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85</w:t>
            </w:r>
          </w:p>
        </w:tc>
        <w:tc>
          <w:tcPr>
            <w:tcW w:w="707" w:type="pct"/>
          </w:tcPr>
          <w:p w14:paraId="5F37FF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12</w:t>
            </w:r>
          </w:p>
        </w:tc>
        <w:tc>
          <w:tcPr>
            <w:tcW w:w="707" w:type="pct"/>
          </w:tcPr>
          <w:p w14:paraId="02524B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169</w:t>
            </w:r>
          </w:p>
        </w:tc>
        <w:tc>
          <w:tcPr>
            <w:tcW w:w="718" w:type="pct"/>
          </w:tcPr>
          <w:p w14:paraId="2A22E6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NRSI removal-strategy meta-analysis</w:t>
            </w:r>
          </w:p>
        </w:tc>
      </w:tr>
      <w:tr w:rsidR="00936871" w:rsidRPr="00E53029" w14:paraId="617E0985" w14:textId="77777777" w:rsidTr="00E53029">
        <w:trPr>
          <w:cantSplit/>
        </w:trPr>
        <w:tc>
          <w:tcPr>
            <w:tcW w:w="721" w:type="pct"/>
          </w:tcPr>
          <w:p w14:paraId="0113D46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Vidal 2016</w:t>
            </w:r>
          </w:p>
        </w:tc>
        <w:tc>
          <w:tcPr>
            <w:tcW w:w="736" w:type="pct"/>
          </w:tcPr>
          <w:p w14:paraId="70C8A6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removal/reinsertion</w:t>
            </w:r>
          </w:p>
        </w:tc>
        <w:tc>
          <w:tcPr>
            <w:tcW w:w="706" w:type="pct"/>
          </w:tcPr>
          <w:p w14:paraId="5C9CB52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</w:t>
            </w:r>
          </w:p>
        </w:tc>
        <w:tc>
          <w:tcPr>
            <w:tcW w:w="706" w:type="pct"/>
          </w:tcPr>
          <w:p w14:paraId="02DDF7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18</w:t>
            </w:r>
          </w:p>
        </w:tc>
        <w:tc>
          <w:tcPr>
            <w:tcW w:w="707" w:type="pct"/>
          </w:tcPr>
          <w:p w14:paraId="186DBA8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</w:t>
            </w:r>
          </w:p>
        </w:tc>
        <w:tc>
          <w:tcPr>
            <w:tcW w:w="707" w:type="pct"/>
          </w:tcPr>
          <w:p w14:paraId="4499A7A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74</w:t>
            </w:r>
          </w:p>
        </w:tc>
        <w:tc>
          <w:tcPr>
            <w:tcW w:w="718" w:type="pct"/>
          </w:tcPr>
          <w:p w14:paraId="55C0D3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Secondary clinician-directed exposure contrast</w:t>
            </w:r>
          </w:p>
        </w:tc>
      </w:tr>
      <w:tr w:rsidR="00936871" w:rsidRPr="00E53029" w14:paraId="05D8F38C" w14:textId="77777777" w:rsidTr="00E53029">
        <w:trPr>
          <w:cantSplit/>
        </w:trPr>
        <w:tc>
          <w:tcPr>
            <w:tcW w:w="721" w:type="pct"/>
          </w:tcPr>
          <w:p w14:paraId="3B402C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736" w:type="pct"/>
          </w:tcPr>
          <w:p w14:paraId="27F713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removal/reinsertion</w:t>
            </w:r>
          </w:p>
        </w:tc>
        <w:tc>
          <w:tcPr>
            <w:tcW w:w="706" w:type="pct"/>
          </w:tcPr>
          <w:p w14:paraId="4CA64F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</w:t>
            </w:r>
          </w:p>
        </w:tc>
        <w:tc>
          <w:tcPr>
            <w:tcW w:w="706" w:type="pct"/>
          </w:tcPr>
          <w:p w14:paraId="2347B2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30</w:t>
            </w:r>
          </w:p>
        </w:tc>
        <w:tc>
          <w:tcPr>
            <w:tcW w:w="707" w:type="pct"/>
          </w:tcPr>
          <w:p w14:paraId="1089CC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707" w:type="pct"/>
          </w:tcPr>
          <w:p w14:paraId="117AC1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57</w:t>
            </w:r>
          </w:p>
        </w:tc>
        <w:tc>
          <w:tcPr>
            <w:tcW w:w="718" w:type="pct"/>
          </w:tcPr>
          <w:p w14:paraId="2D6E91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NRSI removal-strategy meta-analysis</w:t>
            </w:r>
          </w:p>
        </w:tc>
      </w:tr>
      <w:tr w:rsidR="00936871" w:rsidRPr="00E53029" w14:paraId="7761AC63" w14:textId="77777777" w:rsidTr="00E53029">
        <w:trPr>
          <w:cantSplit/>
        </w:trPr>
        <w:tc>
          <w:tcPr>
            <w:tcW w:w="721" w:type="pct"/>
          </w:tcPr>
          <w:p w14:paraId="6F0402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Fortún 2006</w:t>
            </w:r>
          </w:p>
        </w:tc>
        <w:tc>
          <w:tcPr>
            <w:tcW w:w="736" w:type="pct"/>
          </w:tcPr>
          <w:p w14:paraId="07D05F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Systemic/no active ALT</w:t>
            </w:r>
          </w:p>
        </w:tc>
        <w:tc>
          <w:tcPr>
            <w:tcW w:w="706" w:type="pct"/>
          </w:tcPr>
          <w:p w14:paraId="5FFCFC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706" w:type="pct"/>
          </w:tcPr>
          <w:p w14:paraId="077B78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</w:t>
            </w:r>
          </w:p>
        </w:tc>
        <w:tc>
          <w:tcPr>
            <w:tcW w:w="707" w:type="pct"/>
          </w:tcPr>
          <w:p w14:paraId="26D438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</w:t>
            </w:r>
          </w:p>
        </w:tc>
        <w:tc>
          <w:tcPr>
            <w:tcW w:w="707" w:type="pct"/>
          </w:tcPr>
          <w:p w14:paraId="368DAB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26</w:t>
            </w:r>
          </w:p>
        </w:tc>
        <w:tc>
          <w:tcPr>
            <w:tcW w:w="718" w:type="pct"/>
          </w:tcPr>
          <w:p w14:paraId="740177E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No-active-lock meta-analysis</w:t>
            </w:r>
          </w:p>
        </w:tc>
      </w:tr>
      <w:tr w:rsidR="00936871" w:rsidRPr="00E53029" w14:paraId="5783F086" w14:textId="77777777" w:rsidTr="00E53029">
        <w:trPr>
          <w:cantSplit/>
        </w:trPr>
        <w:tc>
          <w:tcPr>
            <w:tcW w:w="721" w:type="pct"/>
          </w:tcPr>
          <w:p w14:paraId="791F39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736" w:type="pct"/>
          </w:tcPr>
          <w:p w14:paraId="3DE5B8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Systemic/no active ALT</w:t>
            </w:r>
          </w:p>
        </w:tc>
        <w:tc>
          <w:tcPr>
            <w:tcW w:w="706" w:type="pct"/>
          </w:tcPr>
          <w:p w14:paraId="30DC5BE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706" w:type="pct"/>
          </w:tcPr>
          <w:p w14:paraId="10BDB4E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24</w:t>
            </w:r>
          </w:p>
        </w:tc>
        <w:tc>
          <w:tcPr>
            <w:tcW w:w="707" w:type="pct"/>
          </w:tcPr>
          <w:p w14:paraId="58D11C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</w:t>
            </w:r>
          </w:p>
        </w:tc>
        <w:tc>
          <w:tcPr>
            <w:tcW w:w="707" w:type="pct"/>
          </w:tcPr>
          <w:p w14:paraId="693AFD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16</w:t>
            </w:r>
          </w:p>
        </w:tc>
        <w:tc>
          <w:tcPr>
            <w:tcW w:w="718" w:type="pct"/>
          </w:tcPr>
          <w:p w14:paraId="1719E5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Conditional retained-PICC denominator</w:t>
            </w:r>
          </w:p>
        </w:tc>
      </w:tr>
      <w:tr w:rsidR="00936871" w:rsidRPr="00E53029" w14:paraId="581181FA" w14:textId="77777777" w:rsidTr="00E53029">
        <w:trPr>
          <w:cantSplit/>
        </w:trPr>
        <w:tc>
          <w:tcPr>
            <w:tcW w:w="721" w:type="pct"/>
          </w:tcPr>
          <w:p w14:paraId="7BAF21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Wintenberger 2012</w:t>
            </w:r>
          </w:p>
        </w:tc>
        <w:tc>
          <w:tcPr>
            <w:tcW w:w="736" w:type="pct"/>
          </w:tcPr>
          <w:p w14:paraId="08AB608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Systemic/no active ALT</w:t>
            </w:r>
          </w:p>
        </w:tc>
        <w:tc>
          <w:tcPr>
            <w:tcW w:w="706" w:type="pct"/>
          </w:tcPr>
          <w:p w14:paraId="31A413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4</w:t>
            </w:r>
          </w:p>
        </w:tc>
        <w:tc>
          <w:tcPr>
            <w:tcW w:w="706" w:type="pct"/>
          </w:tcPr>
          <w:p w14:paraId="7E94E4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27</w:t>
            </w:r>
          </w:p>
        </w:tc>
        <w:tc>
          <w:tcPr>
            <w:tcW w:w="707" w:type="pct"/>
          </w:tcPr>
          <w:p w14:paraId="311711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</w:t>
            </w:r>
          </w:p>
        </w:tc>
        <w:tc>
          <w:tcPr>
            <w:tcW w:w="707" w:type="pct"/>
          </w:tcPr>
          <w:p w14:paraId="5D11DC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18</w:t>
            </w:r>
          </w:p>
        </w:tc>
        <w:tc>
          <w:tcPr>
            <w:tcW w:w="718" w:type="pct"/>
          </w:tcPr>
          <w:p w14:paraId="113C79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Review-derived comparator; variable follow-up</w:t>
            </w:r>
          </w:p>
        </w:tc>
      </w:tr>
    </w:tbl>
    <w:p w14:paraId="32B431C8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Randomized evidence (Rijnders) was kept separate. The catheter-removal/reinsertion exploratory NRSI synthesis used Ranganath, Vidal, and Raad and yielded the previously reported highly imprecise mKH estimate. The no-active-lock exploratory synthesis used F</w:t>
      </w:r>
      <w:r w:rsidRPr="00E53029">
        <w:rPr>
          <w:rFonts w:asciiTheme="majorBidi" w:hAnsiTheme="majorBidi" w:cstheme="majorBidi"/>
        </w:rPr>
        <w:t>ortún, Zhang, and Wintenberger. No overall effect was calculated across comparator strata.</w:t>
      </w:r>
    </w:p>
    <w:p w14:paraId="45E696F4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11.10 Infection-attributable mortality - absolute analysis</w:t>
      </w:r>
    </w:p>
    <w:p w14:paraId="3A39EB8D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11J. Primary 16-study infection-attributable mortality dataset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25"/>
        <w:gridCol w:w="4723"/>
        <w:gridCol w:w="4726"/>
      </w:tblGrid>
      <w:tr w:rsidR="00936871" w:rsidRPr="00E53029" w14:paraId="5AC7163E" w14:textId="77777777" w:rsidTr="00E53029">
        <w:trPr>
          <w:cantSplit/>
          <w:tblHeader/>
        </w:trPr>
        <w:tc>
          <w:tcPr>
            <w:tcW w:w="1667" w:type="pct"/>
          </w:tcPr>
          <w:p w14:paraId="5B0E63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Study</w:t>
            </w:r>
          </w:p>
        </w:tc>
        <w:tc>
          <w:tcPr>
            <w:tcW w:w="1666" w:type="pct"/>
          </w:tcPr>
          <w:p w14:paraId="51FAD9F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ALT-treated infection-attributa</w:t>
            </w:r>
            <w:r w:rsidRPr="00E53029">
              <w:rPr>
                <w:rFonts w:asciiTheme="majorBidi" w:hAnsiTheme="majorBidi" w:cstheme="majorBidi"/>
                <w:b/>
                <w:sz w:val="13"/>
              </w:rPr>
              <w:t>ble mortality</w:t>
            </w:r>
          </w:p>
        </w:tc>
        <w:tc>
          <w:tcPr>
            <w:tcW w:w="1667" w:type="pct"/>
          </w:tcPr>
          <w:p w14:paraId="1F88B6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Key data-status caveat</w:t>
            </w:r>
          </w:p>
        </w:tc>
      </w:tr>
      <w:tr w:rsidR="00936871" w:rsidRPr="00E53029" w14:paraId="07418F7F" w14:textId="77777777" w:rsidTr="00E53029">
        <w:trPr>
          <w:cantSplit/>
        </w:trPr>
        <w:tc>
          <w:tcPr>
            <w:tcW w:w="1667" w:type="pct"/>
          </w:tcPr>
          <w:p w14:paraId="22AD3A0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1666" w:type="pct"/>
          </w:tcPr>
          <w:p w14:paraId="6A9872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1/106 (0.9%)</w:t>
            </w:r>
          </w:p>
        </w:tc>
        <w:tc>
          <w:tcPr>
            <w:tcW w:w="1667" w:type="pct"/>
          </w:tcPr>
          <w:p w14:paraId="7570E6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source attribution; cancer-specific outcome not separable.</w:t>
            </w:r>
          </w:p>
        </w:tc>
      </w:tr>
      <w:tr w:rsidR="00936871" w:rsidRPr="00E53029" w14:paraId="5A9DE58D" w14:textId="77777777" w:rsidTr="00E53029">
        <w:trPr>
          <w:cantSplit/>
        </w:trPr>
        <w:tc>
          <w:tcPr>
            <w:tcW w:w="1667" w:type="pct"/>
          </w:tcPr>
          <w:p w14:paraId="792AA03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Freire 2018</w:t>
            </w:r>
          </w:p>
        </w:tc>
        <w:tc>
          <w:tcPr>
            <w:tcW w:w="1666" w:type="pct"/>
          </w:tcPr>
          <w:p w14:paraId="7351A7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1/62 (1.6%)</w:t>
            </w:r>
          </w:p>
        </w:tc>
        <w:tc>
          <w:tcPr>
            <w:tcW w:w="1667" w:type="pct"/>
          </w:tcPr>
          <w:p w14:paraId="1E9524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Study-defined infection-related mortality; all-cause mortality kept separate.</w:t>
            </w:r>
          </w:p>
        </w:tc>
      </w:tr>
      <w:tr w:rsidR="00936871" w:rsidRPr="00E53029" w14:paraId="35817F1A" w14:textId="77777777" w:rsidTr="00E53029">
        <w:trPr>
          <w:cantSplit/>
        </w:trPr>
        <w:tc>
          <w:tcPr>
            <w:tcW w:w="1667" w:type="pct"/>
          </w:tcPr>
          <w:p w14:paraId="767C34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1666" w:type="pct"/>
          </w:tcPr>
          <w:p w14:paraId="15FDC4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0/30</w:t>
            </w:r>
          </w:p>
        </w:tc>
        <w:tc>
          <w:tcPr>
            <w:tcW w:w="1667" w:type="pct"/>
          </w:tcPr>
          <w:p w14:paraId="436C86F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Bacteremia-related deaths explicitly zero in both groups.</w:t>
            </w:r>
          </w:p>
        </w:tc>
      </w:tr>
      <w:tr w:rsidR="00936871" w:rsidRPr="00E53029" w14:paraId="7C29ABC7" w14:textId="77777777" w:rsidTr="00E53029">
        <w:trPr>
          <w:cantSplit/>
        </w:trPr>
        <w:tc>
          <w:tcPr>
            <w:tcW w:w="1667" w:type="pct"/>
          </w:tcPr>
          <w:p w14:paraId="43F5E1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Haag 2011</w:t>
            </w:r>
          </w:p>
        </w:tc>
        <w:tc>
          <w:tcPr>
            <w:tcW w:w="1666" w:type="pct"/>
          </w:tcPr>
          <w:p w14:paraId="4AC8DE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0/24</w:t>
            </w:r>
          </w:p>
        </w:tc>
        <w:tc>
          <w:tcPr>
            <w:tcW w:w="1667" w:type="pct"/>
          </w:tcPr>
          <w:p w14:paraId="17037EF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source report of no CRBSI-attributable death.</w:t>
            </w:r>
          </w:p>
        </w:tc>
      </w:tr>
      <w:tr w:rsidR="00936871" w:rsidRPr="00E53029" w14:paraId="60BBDF83" w14:textId="77777777" w:rsidTr="00E53029">
        <w:trPr>
          <w:cantSplit/>
        </w:trPr>
        <w:tc>
          <w:tcPr>
            <w:tcW w:w="1667" w:type="pct"/>
          </w:tcPr>
          <w:p w14:paraId="65AFF5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Vidal 2016</w:t>
            </w:r>
          </w:p>
        </w:tc>
        <w:tc>
          <w:tcPr>
            <w:tcW w:w="1666" w:type="pct"/>
          </w:tcPr>
          <w:p w14:paraId="2A65E02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1/22 (4.5%)</w:t>
            </w:r>
          </w:p>
        </w:tc>
        <w:tc>
          <w:tcPr>
            <w:tcW w:w="1667" w:type="pct"/>
          </w:tcPr>
          <w:p w14:paraId="21554E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Lock-group count direct; non-lock value reconstructed from the reported overall attributable deaths.</w:t>
            </w:r>
          </w:p>
        </w:tc>
      </w:tr>
      <w:tr w:rsidR="00936871" w:rsidRPr="00E53029" w14:paraId="4DA90DFB" w14:textId="77777777" w:rsidTr="00E53029">
        <w:trPr>
          <w:cantSplit/>
        </w:trPr>
        <w:tc>
          <w:tcPr>
            <w:tcW w:w="1667" w:type="pct"/>
          </w:tcPr>
          <w:p w14:paraId="227A9F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Laf</w:t>
            </w:r>
            <w:r w:rsidRPr="00E53029">
              <w:rPr>
                <w:rFonts w:asciiTheme="majorBidi" w:hAnsiTheme="majorBidi" w:cstheme="majorBidi"/>
                <w:sz w:val="13"/>
              </w:rPr>
              <w:t>aurie 2023</w:t>
            </w:r>
          </w:p>
        </w:tc>
        <w:tc>
          <w:tcPr>
            <w:tcW w:w="1666" w:type="pct"/>
          </w:tcPr>
          <w:p w14:paraId="55503A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1/100 (1.0%)</w:t>
            </w:r>
          </w:p>
        </w:tc>
        <w:tc>
          <w:tcPr>
            <w:tcW w:w="1667" w:type="pct"/>
          </w:tcPr>
          <w:p w14:paraId="01D118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full-cohort attributable mortality.</w:t>
            </w:r>
          </w:p>
        </w:tc>
      </w:tr>
      <w:tr w:rsidR="00936871" w:rsidRPr="00E53029" w14:paraId="08B111B9" w14:textId="77777777" w:rsidTr="00E53029">
        <w:trPr>
          <w:cantSplit/>
        </w:trPr>
        <w:tc>
          <w:tcPr>
            <w:tcW w:w="1667" w:type="pct"/>
          </w:tcPr>
          <w:p w14:paraId="698A27B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Bayoudh 2024</w:t>
            </w:r>
          </w:p>
        </w:tc>
        <w:tc>
          <w:tcPr>
            <w:tcW w:w="1666" w:type="pct"/>
          </w:tcPr>
          <w:p w14:paraId="74222D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0/17</w:t>
            </w:r>
          </w:p>
        </w:tc>
        <w:tc>
          <w:tcPr>
            <w:tcW w:w="1667" w:type="pct"/>
          </w:tcPr>
          <w:p w14:paraId="5E2D3E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BSI-related death in the all-zero parent cohort.</w:t>
            </w:r>
          </w:p>
        </w:tc>
      </w:tr>
      <w:tr w:rsidR="00936871" w:rsidRPr="00E53029" w14:paraId="34CF4439" w14:textId="77777777" w:rsidTr="00E53029">
        <w:trPr>
          <w:cantSplit/>
        </w:trPr>
        <w:tc>
          <w:tcPr>
            <w:tcW w:w="1667" w:type="pct"/>
          </w:tcPr>
          <w:p w14:paraId="0C0199C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 2024</w:t>
            </w:r>
          </w:p>
        </w:tc>
        <w:tc>
          <w:tcPr>
            <w:tcW w:w="1666" w:type="pct"/>
          </w:tcPr>
          <w:p w14:paraId="3474801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0/61 across active-lock arms</w:t>
            </w:r>
          </w:p>
        </w:tc>
        <w:tc>
          <w:tcPr>
            <w:tcW w:w="1667" w:type="pct"/>
          </w:tcPr>
          <w:p w14:paraId="7463D42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All reported deaths were attributed to underlying disease rather than TIVAD </w:t>
            </w:r>
            <w:r w:rsidRPr="00E53029">
              <w:rPr>
                <w:rFonts w:asciiTheme="majorBidi" w:hAnsiTheme="majorBidi" w:cstheme="majorBidi"/>
                <w:sz w:val="13"/>
              </w:rPr>
              <w:t>infection.</w:t>
            </w:r>
          </w:p>
        </w:tc>
      </w:tr>
      <w:tr w:rsidR="00936871" w:rsidRPr="00E53029" w14:paraId="015AC6E4" w14:textId="77777777" w:rsidTr="00E53029">
        <w:trPr>
          <w:cantSplit/>
        </w:trPr>
        <w:tc>
          <w:tcPr>
            <w:tcW w:w="1667" w:type="pct"/>
          </w:tcPr>
          <w:p w14:paraId="0E7907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</w:t>
            </w:r>
          </w:p>
        </w:tc>
        <w:tc>
          <w:tcPr>
            <w:tcW w:w="1666" w:type="pct"/>
          </w:tcPr>
          <w:p w14:paraId="540EE2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0/13</w:t>
            </w:r>
          </w:p>
        </w:tc>
        <w:tc>
          <w:tcPr>
            <w:tcW w:w="1667" w:type="pct"/>
          </w:tcPr>
          <w:p w14:paraId="5A1F64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Adult-only zero-event estimate after exclusion of one pediatric participant.</w:t>
            </w:r>
          </w:p>
        </w:tc>
      </w:tr>
      <w:tr w:rsidR="00936871" w:rsidRPr="00E53029" w14:paraId="7FD79111" w14:textId="77777777" w:rsidTr="00E53029">
        <w:trPr>
          <w:cantSplit/>
        </w:trPr>
        <w:tc>
          <w:tcPr>
            <w:tcW w:w="1667" w:type="pct"/>
          </w:tcPr>
          <w:p w14:paraId="128CD0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Fortún 2006</w:t>
            </w:r>
          </w:p>
        </w:tc>
        <w:tc>
          <w:tcPr>
            <w:tcW w:w="1666" w:type="pct"/>
          </w:tcPr>
          <w:p w14:paraId="3F2D56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1/19 (5.3%)</w:t>
            </w:r>
          </w:p>
        </w:tc>
        <w:tc>
          <w:tcPr>
            <w:tcW w:w="1667" w:type="pct"/>
          </w:tcPr>
          <w:p w14:paraId="495C95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attributable-mortality comparison; cancer-specific values not separable.</w:t>
            </w:r>
          </w:p>
        </w:tc>
      </w:tr>
      <w:tr w:rsidR="00936871" w:rsidRPr="00E53029" w14:paraId="53FE230F" w14:textId="77777777" w:rsidTr="00E53029">
        <w:trPr>
          <w:cantSplit/>
        </w:trPr>
        <w:tc>
          <w:tcPr>
            <w:tcW w:w="1667" w:type="pct"/>
          </w:tcPr>
          <w:p w14:paraId="0BE535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Wintenberger 2012</w:t>
            </w:r>
          </w:p>
        </w:tc>
        <w:tc>
          <w:tcPr>
            <w:tcW w:w="1666" w:type="pct"/>
          </w:tcPr>
          <w:p w14:paraId="7352D5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1/31 (3.2%)</w:t>
            </w:r>
          </w:p>
        </w:tc>
        <w:tc>
          <w:tcPr>
            <w:tcW w:w="1667" w:type="pct"/>
          </w:tcPr>
          <w:p w14:paraId="4BE60F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cou</w:t>
            </w:r>
            <w:r w:rsidRPr="00E53029">
              <w:rPr>
                <w:rFonts w:asciiTheme="majorBidi" w:hAnsiTheme="majorBidi" w:cstheme="majorBidi"/>
                <w:sz w:val="13"/>
              </w:rPr>
              <w:t>nt direct; comparator reconstructed by subtraction from conservative-treatment totals.</w:t>
            </w:r>
          </w:p>
        </w:tc>
      </w:tr>
      <w:tr w:rsidR="00936871" w:rsidRPr="00E53029" w14:paraId="48367F0E" w14:textId="77777777" w:rsidTr="00E53029">
        <w:trPr>
          <w:cantSplit/>
        </w:trPr>
        <w:tc>
          <w:tcPr>
            <w:tcW w:w="1667" w:type="pct"/>
          </w:tcPr>
          <w:p w14:paraId="5793CB1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Zhang 2025</w:t>
            </w:r>
          </w:p>
        </w:tc>
        <w:tc>
          <w:tcPr>
            <w:tcW w:w="1666" w:type="pct"/>
          </w:tcPr>
          <w:p w14:paraId="5BE421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3/34 (8.8%)</w:t>
            </w:r>
          </w:p>
        </w:tc>
        <w:tc>
          <w:tcPr>
            <w:tcW w:w="1667" w:type="pct"/>
          </w:tcPr>
          <w:p w14:paraId="59E52E8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comparative mortality counts.</w:t>
            </w:r>
          </w:p>
        </w:tc>
      </w:tr>
      <w:tr w:rsidR="00936871" w:rsidRPr="00E53029" w14:paraId="6A205DA7" w14:textId="77777777" w:rsidTr="00E53029">
        <w:trPr>
          <w:cantSplit/>
        </w:trPr>
        <w:tc>
          <w:tcPr>
            <w:tcW w:w="1667" w:type="pct"/>
          </w:tcPr>
          <w:p w14:paraId="6DB514A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Alonso 2020</w:t>
            </w:r>
          </w:p>
        </w:tc>
        <w:tc>
          <w:tcPr>
            <w:tcW w:w="1666" w:type="pct"/>
          </w:tcPr>
          <w:p w14:paraId="56E618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1/76 (1.3%)</w:t>
            </w:r>
          </w:p>
        </w:tc>
        <w:tc>
          <w:tcPr>
            <w:tcW w:w="1667" w:type="pct"/>
          </w:tcPr>
          <w:p w14:paraId="5458B4E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Direct overall attributable mortality; cancer status of the single death was not </w:t>
            </w:r>
            <w:r w:rsidRPr="00E53029">
              <w:rPr>
                <w:rFonts w:asciiTheme="majorBidi" w:hAnsiTheme="majorBidi" w:cstheme="majorBidi"/>
                <w:sz w:val="13"/>
              </w:rPr>
              <w:t>reported, so no cancer-only numerator was derived.</w:t>
            </w:r>
          </w:p>
        </w:tc>
      </w:tr>
      <w:tr w:rsidR="00936871" w:rsidRPr="00E53029" w14:paraId="7370A3CD" w14:textId="77777777" w:rsidTr="00E53029">
        <w:trPr>
          <w:cantSplit/>
        </w:trPr>
        <w:tc>
          <w:tcPr>
            <w:tcW w:w="1667" w:type="pct"/>
          </w:tcPr>
          <w:p w14:paraId="76B5AC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Zanwar 2019</w:t>
            </w:r>
          </w:p>
        </w:tc>
        <w:tc>
          <w:tcPr>
            <w:tcW w:w="1666" w:type="pct"/>
          </w:tcPr>
          <w:p w14:paraId="32B32C3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0/15</w:t>
            </w:r>
          </w:p>
        </w:tc>
        <w:tc>
          <w:tcPr>
            <w:tcW w:w="1667" w:type="pct"/>
          </w:tcPr>
          <w:p w14:paraId="1EB3D14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CRBSI-attributable deaths in either CRBSI group; mixed-age HSCT cohort.</w:t>
            </w:r>
          </w:p>
        </w:tc>
      </w:tr>
      <w:tr w:rsidR="00936871" w:rsidRPr="00E53029" w14:paraId="1EEADB64" w14:textId="77777777" w:rsidTr="00E53029">
        <w:trPr>
          <w:cantSplit/>
        </w:trPr>
        <w:tc>
          <w:tcPr>
            <w:tcW w:w="1667" w:type="pct"/>
          </w:tcPr>
          <w:p w14:paraId="4348D7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Fernández-Hidalgo 2006</w:t>
            </w:r>
          </w:p>
        </w:tc>
        <w:tc>
          <w:tcPr>
            <w:tcW w:w="1666" w:type="pct"/>
          </w:tcPr>
          <w:p w14:paraId="5C8D7AB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0/54</w:t>
            </w:r>
          </w:p>
        </w:tc>
        <w:tc>
          <w:tcPr>
            <w:tcW w:w="1667" w:type="pct"/>
          </w:tcPr>
          <w:p w14:paraId="3AA9CB5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Review-derived cancer-associated subgroup; the single CRB-related death in the </w:t>
            </w:r>
            <w:r w:rsidRPr="00E53029">
              <w:rPr>
                <w:rFonts w:asciiTheme="majorBidi" w:hAnsiTheme="majorBidi" w:cstheme="majorBidi"/>
                <w:sz w:val="13"/>
              </w:rPr>
              <w:t>parent cohort occurred outside this subgroup.</w:t>
            </w:r>
          </w:p>
        </w:tc>
      </w:tr>
      <w:tr w:rsidR="00936871" w:rsidRPr="00E53029" w14:paraId="29FE2C35" w14:textId="77777777" w:rsidTr="00E53029">
        <w:trPr>
          <w:cantSplit/>
        </w:trPr>
        <w:tc>
          <w:tcPr>
            <w:tcW w:w="1667" w:type="pct"/>
          </w:tcPr>
          <w:p w14:paraId="32EF5EC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Viale 2003</w:t>
            </w:r>
          </w:p>
        </w:tc>
        <w:tc>
          <w:tcPr>
            <w:tcW w:w="1666" w:type="pct"/>
          </w:tcPr>
          <w:p w14:paraId="24149F4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0/9</w:t>
            </w:r>
          </w:p>
        </w:tc>
        <w:tc>
          <w:tcPr>
            <w:tcW w:w="1667" w:type="pct"/>
          </w:tcPr>
          <w:p w14:paraId="462F91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Cancer-subgroup zero-event inference from an all-zero parent cohort.</w:t>
            </w:r>
          </w:p>
        </w:tc>
      </w:tr>
    </w:tbl>
    <w:p w14:paraId="16F2B171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Primary absolute dataset: 16 studies, N=673, 10 infection-attributable deaths. The primary binomial-logit GLMM, Bayesian hie</w:t>
      </w:r>
      <w:r w:rsidRPr="00E53029">
        <w:rPr>
          <w:rFonts w:asciiTheme="majorBidi" w:hAnsiTheme="majorBidi" w:cstheme="majorBidi"/>
        </w:rPr>
        <w:t>rarchical sensitivity models, and Freeman-Tukey REML sensitivity analysis used this same 16-study dataset. No mortality analysis in this file is stratified by follow-up duration, because the available reports did not support a sufficiently consistent infec</w:t>
      </w:r>
      <w:r w:rsidRPr="00E53029">
        <w:rPr>
          <w:rFonts w:asciiTheme="majorBidi" w:hAnsiTheme="majorBidi" w:cstheme="majorBidi"/>
        </w:rPr>
        <w:t>tion-attributable follow-up framework.</w:t>
      </w:r>
    </w:p>
    <w:p w14:paraId="778DFAC3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11.11 Comparative infection-attributable mortality</w:t>
      </w:r>
    </w:p>
    <w:p w14:paraId="1CDA0C52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11K. Comparator-specific mortality datasets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3"/>
        <w:gridCol w:w="2072"/>
        <w:gridCol w:w="1988"/>
        <w:gridCol w:w="2008"/>
        <w:gridCol w:w="1997"/>
        <w:gridCol w:w="2008"/>
        <w:gridCol w:w="2068"/>
      </w:tblGrid>
      <w:tr w:rsidR="00936871" w:rsidRPr="00E53029" w14:paraId="6747C6B7" w14:textId="77777777">
        <w:trPr>
          <w:cantSplit/>
          <w:tblHeader/>
        </w:trPr>
        <w:tc>
          <w:tcPr>
            <w:tcW w:w="2220" w:type="dxa"/>
          </w:tcPr>
          <w:p w14:paraId="7417547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Study</w:t>
            </w:r>
          </w:p>
        </w:tc>
        <w:tc>
          <w:tcPr>
            <w:tcW w:w="2220" w:type="dxa"/>
          </w:tcPr>
          <w:p w14:paraId="3E105F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Comparator stratum</w:t>
            </w:r>
          </w:p>
        </w:tc>
        <w:tc>
          <w:tcPr>
            <w:tcW w:w="2220" w:type="dxa"/>
          </w:tcPr>
          <w:p w14:paraId="15325E6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ALT deaths</w:t>
            </w:r>
          </w:p>
        </w:tc>
        <w:tc>
          <w:tcPr>
            <w:tcW w:w="2220" w:type="dxa"/>
          </w:tcPr>
          <w:p w14:paraId="485CCCB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ALT survivors</w:t>
            </w:r>
          </w:p>
        </w:tc>
        <w:tc>
          <w:tcPr>
            <w:tcW w:w="2220" w:type="dxa"/>
          </w:tcPr>
          <w:p w14:paraId="2B2587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Control deaths</w:t>
            </w:r>
          </w:p>
        </w:tc>
        <w:tc>
          <w:tcPr>
            <w:tcW w:w="2220" w:type="dxa"/>
          </w:tcPr>
          <w:p w14:paraId="59C76F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Control survivors</w:t>
            </w:r>
          </w:p>
        </w:tc>
        <w:tc>
          <w:tcPr>
            <w:tcW w:w="2220" w:type="dxa"/>
          </w:tcPr>
          <w:p w14:paraId="5307A4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2"/>
              </w:rPr>
              <w:t>Analysis role / caveat</w:t>
            </w:r>
          </w:p>
        </w:tc>
      </w:tr>
      <w:tr w:rsidR="00936871" w:rsidRPr="00E53029" w14:paraId="3F355638" w14:textId="77777777">
        <w:trPr>
          <w:cantSplit/>
        </w:trPr>
        <w:tc>
          <w:tcPr>
            <w:tcW w:w="2220" w:type="dxa"/>
          </w:tcPr>
          <w:p w14:paraId="479F557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2025</w:t>
            </w:r>
          </w:p>
        </w:tc>
        <w:tc>
          <w:tcPr>
            <w:tcW w:w="2220" w:type="dxa"/>
          </w:tcPr>
          <w:p w14:paraId="469D864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removal/reinsertion</w:t>
            </w:r>
          </w:p>
        </w:tc>
        <w:tc>
          <w:tcPr>
            <w:tcW w:w="2220" w:type="dxa"/>
          </w:tcPr>
          <w:p w14:paraId="2435FE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</w:t>
            </w:r>
          </w:p>
        </w:tc>
        <w:tc>
          <w:tcPr>
            <w:tcW w:w="2220" w:type="dxa"/>
          </w:tcPr>
          <w:p w14:paraId="4681CA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105</w:t>
            </w:r>
          </w:p>
        </w:tc>
        <w:tc>
          <w:tcPr>
            <w:tcW w:w="2220" w:type="dxa"/>
          </w:tcPr>
          <w:p w14:paraId="7C4EDCB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4</w:t>
            </w:r>
          </w:p>
        </w:tc>
        <w:tc>
          <w:tcPr>
            <w:tcW w:w="2220" w:type="dxa"/>
          </w:tcPr>
          <w:p w14:paraId="787721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177</w:t>
            </w:r>
          </w:p>
        </w:tc>
        <w:tc>
          <w:tcPr>
            <w:tcW w:w="2220" w:type="dxa"/>
          </w:tcPr>
          <w:p w14:paraId="0D4F88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comparison; descriptive comparator-specific evidence</w:t>
            </w:r>
          </w:p>
        </w:tc>
      </w:tr>
      <w:tr w:rsidR="00936871" w:rsidRPr="00E53029" w14:paraId="45CBD186" w14:textId="77777777">
        <w:trPr>
          <w:cantSplit/>
        </w:trPr>
        <w:tc>
          <w:tcPr>
            <w:tcW w:w="2220" w:type="dxa"/>
          </w:tcPr>
          <w:p w14:paraId="7C397E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2220" w:type="dxa"/>
          </w:tcPr>
          <w:p w14:paraId="44B704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removal/reinsertion</w:t>
            </w:r>
          </w:p>
        </w:tc>
        <w:tc>
          <w:tcPr>
            <w:tcW w:w="2220" w:type="dxa"/>
          </w:tcPr>
          <w:p w14:paraId="3C3D937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214EF6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30</w:t>
            </w:r>
          </w:p>
        </w:tc>
        <w:tc>
          <w:tcPr>
            <w:tcW w:w="2220" w:type="dxa"/>
          </w:tcPr>
          <w:p w14:paraId="6D5A186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3466DAD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60</w:t>
            </w:r>
          </w:p>
        </w:tc>
        <w:tc>
          <w:tcPr>
            <w:tcW w:w="2220" w:type="dxa"/>
          </w:tcPr>
          <w:p w14:paraId="68E575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Double-zero; no estimable RR</w:t>
            </w:r>
          </w:p>
        </w:tc>
      </w:tr>
      <w:tr w:rsidR="00936871" w:rsidRPr="00E53029" w14:paraId="4816B1C8" w14:textId="77777777">
        <w:trPr>
          <w:cantSplit/>
        </w:trPr>
        <w:tc>
          <w:tcPr>
            <w:tcW w:w="2220" w:type="dxa"/>
          </w:tcPr>
          <w:p w14:paraId="3731ED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Vidal 2016</w:t>
            </w:r>
          </w:p>
        </w:tc>
        <w:tc>
          <w:tcPr>
            <w:tcW w:w="2220" w:type="dxa"/>
          </w:tcPr>
          <w:p w14:paraId="1176EFB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removal/reinsertion</w:t>
            </w:r>
          </w:p>
        </w:tc>
        <w:tc>
          <w:tcPr>
            <w:tcW w:w="2220" w:type="dxa"/>
          </w:tcPr>
          <w:p w14:paraId="1AD632D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</w:t>
            </w:r>
          </w:p>
        </w:tc>
        <w:tc>
          <w:tcPr>
            <w:tcW w:w="2220" w:type="dxa"/>
          </w:tcPr>
          <w:p w14:paraId="26693E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21</w:t>
            </w:r>
          </w:p>
        </w:tc>
        <w:tc>
          <w:tcPr>
            <w:tcW w:w="2220" w:type="dxa"/>
          </w:tcPr>
          <w:p w14:paraId="2E86A0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</w:t>
            </w:r>
          </w:p>
        </w:tc>
        <w:tc>
          <w:tcPr>
            <w:tcW w:w="2220" w:type="dxa"/>
          </w:tcPr>
          <w:p w14:paraId="7DCB1A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72</w:t>
            </w:r>
          </w:p>
        </w:tc>
        <w:tc>
          <w:tcPr>
            <w:tcW w:w="2220" w:type="dxa"/>
          </w:tcPr>
          <w:p w14:paraId="73C42D9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Secondary/review-derived comparator; not treated as direct primary evidence</w:t>
            </w:r>
          </w:p>
        </w:tc>
      </w:tr>
      <w:tr w:rsidR="00936871" w:rsidRPr="00E53029" w14:paraId="375EBD3A" w14:textId="77777777">
        <w:trPr>
          <w:cantSplit/>
        </w:trPr>
        <w:tc>
          <w:tcPr>
            <w:tcW w:w="2220" w:type="dxa"/>
          </w:tcPr>
          <w:p w14:paraId="29AF26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Bayoudh 2024</w:t>
            </w:r>
          </w:p>
        </w:tc>
        <w:tc>
          <w:tcPr>
            <w:tcW w:w="2220" w:type="dxa"/>
          </w:tcPr>
          <w:p w14:paraId="3F5511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Catheter removal</w:t>
            </w:r>
          </w:p>
        </w:tc>
        <w:tc>
          <w:tcPr>
            <w:tcW w:w="2220" w:type="dxa"/>
          </w:tcPr>
          <w:p w14:paraId="3D8A70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031CA2E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2220" w:type="dxa"/>
          </w:tcPr>
          <w:p w14:paraId="7CA326D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1A16615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7</w:t>
            </w:r>
          </w:p>
        </w:tc>
        <w:tc>
          <w:tcPr>
            <w:tcW w:w="2220" w:type="dxa"/>
          </w:tcPr>
          <w:p w14:paraId="67A170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Descriptive device-driven pathways; double-zero</w:t>
            </w:r>
          </w:p>
        </w:tc>
      </w:tr>
      <w:tr w:rsidR="00936871" w:rsidRPr="00E53029" w14:paraId="60BC0EDE" w14:textId="77777777">
        <w:trPr>
          <w:cantSplit/>
        </w:trPr>
        <w:tc>
          <w:tcPr>
            <w:tcW w:w="2220" w:type="dxa"/>
          </w:tcPr>
          <w:p w14:paraId="488E1F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Fortún 2006</w:t>
            </w:r>
          </w:p>
        </w:tc>
        <w:tc>
          <w:tcPr>
            <w:tcW w:w="2220" w:type="dxa"/>
          </w:tcPr>
          <w:p w14:paraId="0F67E5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</w:t>
            </w:r>
          </w:p>
        </w:tc>
        <w:tc>
          <w:tcPr>
            <w:tcW w:w="2220" w:type="dxa"/>
          </w:tcPr>
          <w:p w14:paraId="1FEE791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</w:t>
            </w:r>
          </w:p>
        </w:tc>
        <w:tc>
          <w:tcPr>
            <w:tcW w:w="2220" w:type="dxa"/>
          </w:tcPr>
          <w:p w14:paraId="1AA950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18</w:t>
            </w:r>
          </w:p>
        </w:tc>
        <w:tc>
          <w:tcPr>
            <w:tcW w:w="2220" w:type="dxa"/>
          </w:tcPr>
          <w:p w14:paraId="6C8DF8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</w:t>
            </w:r>
          </w:p>
        </w:tc>
        <w:tc>
          <w:tcPr>
            <w:tcW w:w="2220" w:type="dxa"/>
          </w:tcPr>
          <w:p w14:paraId="1D7114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27</w:t>
            </w:r>
          </w:p>
        </w:tc>
        <w:tc>
          <w:tcPr>
            <w:tcW w:w="2220" w:type="dxa"/>
          </w:tcPr>
          <w:p w14:paraId="163740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Included in exploratory RR meta-analysis</w:t>
            </w:r>
          </w:p>
        </w:tc>
      </w:tr>
      <w:tr w:rsidR="00936871" w:rsidRPr="00E53029" w14:paraId="4F323F1D" w14:textId="77777777">
        <w:trPr>
          <w:cantSplit/>
        </w:trPr>
        <w:tc>
          <w:tcPr>
            <w:tcW w:w="2220" w:type="dxa"/>
          </w:tcPr>
          <w:p w14:paraId="299343E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Zhang 2025</w:t>
            </w:r>
          </w:p>
        </w:tc>
        <w:tc>
          <w:tcPr>
            <w:tcW w:w="2220" w:type="dxa"/>
          </w:tcPr>
          <w:p w14:paraId="11A196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</w:t>
            </w:r>
          </w:p>
        </w:tc>
        <w:tc>
          <w:tcPr>
            <w:tcW w:w="2220" w:type="dxa"/>
          </w:tcPr>
          <w:p w14:paraId="7F1541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</w:t>
            </w:r>
          </w:p>
        </w:tc>
        <w:tc>
          <w:tcPr>
            <w:tcW w:w="2220" w:type="dxa"/>
          </w:tcPr>
          <w:p w14:paraId="6D7E73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31</w:t>
            </w:r>
          </w:p>
        </w:tc>
        <w:tc>
          <w:tcPr>
            <w:tcW w:w="2220" w:type="dxa"/>
          </w:tcPr>
          <w:p w14:paraId="272DC1E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4</w:t>
            </w:r>
          </w:p>
        </w:tc>
        <w:tc>
          <w:tcPr>
            <w:tcW w:w="2220" w:type="dxa"/>
          </w:tcPr>
          <w:p w14:paraId="2174EF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29</w:t>
            </w:r>
          </w:p>
        </w:tc>
        <w:tc>
          <w:tcPr>
            <w:tcW w:w="2220" w:type="dxa"/>
          </w:tcPr>
          <w:p w14:paraId="1E0C0BE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Included in exploratory RR meta-analysis</w:t>
            </w:r>
          </w:p>
        </w:tc>
      </w:tr>
      <w:tr w:rsidR="00936871" w:rsidRPr="00E53029" w14:paraId="3D70C408" w14:textId="77777777">
        <w:trPr>
          <w:cantSplit/>
        </w:trPr>
        <w:tc>
          <w:tcPr>
            <w:tcW w:w="2220" w:type="dxa"/>
          </w:tcPr>
          <w:p w14:paraId="55AC285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Freire 2018</w:t>
            </w:r>
          </w:p>
        </w:tc>
        <w:tc>
          <w:tcPr>
            <w:tcW w:w="2220" w:type="dxa"/>
          </w:tcPr>
          <w:p w14:paraId="489414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</w:t>
            </w:r>
          </w:p>
        </w:tc>
        <w:tc>
          <w:tcPr>
            <w:tcW w:w="2220" w:type="dxa"/>
          </w:tcPr>
          <w:p w14:paraId="73EFDB9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</w:t>
            </w:r>
          </w:p>
        </w:tc>
        <w:tc>
          <w:tcPr>
            <w:tcW w:w="2220" w:type="dxa"/>
          </w:tcPr>
          <w:p w14:paraId="53C7E9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54</w:t>
            </w:r>
          </w:p>
        </w:tc>
        <w:tc>
          <w:tcPr>
            <w:tcW w:w="2220" w:type="dxa"/>
          </w:tcPr>
          <w:p w14:paraId="37603A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47</w:t>
            </w:r>
          </w:p>
        </w:tc>
        <w:tc>
          <w:tcPr>
            <w:tcW w:w="2220" w:type="dxa"/>
          </w:tcPr>
          <w:p w14:paraId="01B13E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108</w:t>
            </w:r>
          </w:p>
        </w:tc>
        <w:tc>
          <w:tcPr>
            <w:tcW w:w="2220" w:type="dxa"/>
          </w:tcPr>
          <w:p w14:paraId="07A76F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Review-level 30-d infection-related mortality contrast reconstructed from Table 6; adjusted HR 0.29 (0.09-0.94)</w:t>
            </w:r>
          </w:p>
        </w:tc>
      </w:tr>
      <w:tr w:rsidR="00936871" w:rsidRPr="00E53029" w14:paraId="25DF272C" w14:textId="77777777">
        <w:trPr>
          <w:cantSplit/>
        </w:trPr>
        <w:tc>
          <w:tcPr>
            <w:tcW w:w="2220" w:type="dxa"/>
          </w:tcPr>
          <w:p w14:paraId="2A1D3F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Wintenberger 2012</w:t>
            </w:r>
          </w:p>
        </w:tc>
        <w:tc>
          <w:tcPr>
            <w:tcW w:w="2220" w:type="dxa"/>
          </w:tcPr>
          <w:p w14:paraId="3F0738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</w:t>
            </w:r>
          </w:p>
        </w:tc>
        <w:tc>
          <w:tcPr>
            <w:tcW w:w="2220" w:type="dxa"/>
          </w:tcPr>
          <w:p w14:paraId="12FD01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</w:t>
            </w:r>
          </w:p>
        </w:tc>
        <w:tc>
          <w:tcPr>
            <w:tcW w:w="2220" w:type="dxa"/>
          </w:tcPr>
          <w:p w14:paraId="0F2290F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30</w:t>
            </w:r>
          </w:p>
        </w:tc>
        <w:tc>
          <w:tcPr>
            <w:tcW w:w="2220" w:type="dxa"/>
          </w:tcPr>
          <w:p w14:paraId="3C1EF1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</w:t>
            </w:r>
          </w:p>
        </w:tc>
        <w:tc>
          <w:tcPr>
            <w:tcW w:w="2220" w:type="dxa"/>
          </w:tcPr>
          <w:p w14:paraId="0A160D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17</w:t>
            </w:r>
          </w:p>
        </w:tc>
        <w:tc>
          <w:tcPr>
            <w:tcW w:w="2220" w:type="dxa"/>
          </w:tcPr>
          <w:p w14:paraId="0B1E563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Review-derived comparator; included in exploratory RR meta-analysis</w:t>
            </w:r>
          </w:p>
        </w:tc>
      </w:tr>
      <w:tr w:rsidR="00936871" w:rsidRPr="00E53029" w14:paraId="49943789" w14:textId="77777777">
        <w:trPr>
          <w:cantSplit/>
        </w:trPr>
        <w:tc>
          <w:tcPr>
            <w:tcW w:w="2220" w:type="dxa"/>
          </w:tcPr>
          <w:p w14:paraId="7CEE819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Zanwar 2019</w:t>
            </w:r>
          </w:p>
        </w:tc>
        <w:tc>
          <w:tcPr>
            <w:tcW w:w="2220" w:type="dxa"/>
          </w:tcPr>
          <w:p w14:paraId="64EFAB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Systemic/no active ALT</w:t>
            </w:r>
          </w:p>
        </w:tc>
        <w:tc>
          <w:tcPr>
            <w:tcW w:w="2220" w:type="dxa"/>
          </w:tcPr>
          <w:p w14:paraId="598A4F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2A1149F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15</w:t>
            </w:r>
          </w:p>
        </w:tc>
        <w:tc>
          <w:tcPr>
            <w:tcW w:w="2220" w:type="dxa"/>
          </w:tcPr>
          <w:p w14:paraId="745042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</w:p>
        </w:tc>
        <w:tc>
          <w:tcPr>
            <w:tcW w:w="2220" w:type="dxa"/>
          </w:tcPr>
          <w:p w14:paraId="462389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9</w:t>
            </w:r>
          </w:p>
        </w:tc>
        <w:tc>
          <w:tcPr>
            <w:tcW w:w="2220" w:type="dxa"/>
          </w:tcPr>
          <w:p w14:paraId="5C5F28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Double-zero; not estimable for RR</w:t>
            </w:r>
          </w:p>
        </w:tc>
      </w:tr>
    </w:tbl>
    <w:p w14:paraId="562354AA" w14:textId="77777777" w:rsidR="00936871" w:rsidRPr="00E53029" w:rsidRDefault="005C43B0">
      <w:pPr>
        <w:pStyle w:val="Contribution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lastRenderedPageBreak/>
        <w:t xml:space="preserve">The exploratory no-active-lock RR meta-analysis used the </w:t>
      </w:r>
      <w:r w:rsidRPr="00E53029">
        <w:rPr>
          <w:rFonts w:asciiTheme="majorBidi" w:hAnsiTheme="majorBidi" w:cstheme="majorBidi"/>
        </w:rPr>
        <w:t xml:space="preserve">four estimable studies Fortún, Zhang, Freire, and Wintenberger; Zanwar was double-zero and therefore did not contribute an estimable RR. Leave-one-out analysis used these four studies sequentially. Exclusion of Freire left Fortún, Zhang, and Wintenberger. </w:t>
      </w:r>
      <w:r w:rsidRPr="00E53029">
        <w:rPr>
          <w:rFonts w:asciiTheme="majorBidi" w:hAnsiTheme="majorBidi" w:cstheme="majorBidi"/>
        </w:rPr>
        <w:t>Catheter-removal/reinsertion comparisons were interpreted separately and were not combined with the no-active-lock estimand.</w:t>
      </w:r>
    </w:p>
    <w:p w14:paraId="2473EC0E" w14:textId="77777777" w:rsidR="00936871" w:rsidRPr="00E53029" w:rsidRDefault="005C43B0">
      <w:pPr>
        <w:pStyle w:val="SubHead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11.12 Outcomes synthesized narratively rather than meta-analyzed</w:t>
      </w:r>
    </w:p>
    <w:p w14:paraId="0E3396F4" w14:textId="77777777" w:rsidR="00936871" w:rsidRPr="00E53029" w:rsidRDefault="005C43B0">
      <w:pPr>
        <w:pStyle w:val="TableTitleBMC"/>
        <w:spacing w:after="60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11L. Quantitative-analysis status of remaining main-manuscri</w:t>
      </w:r>
      <w:r w:rsidRPr="00E53029">
        <w:rPr>
          <w:rFonts w:asciiTheme="majorBidi" w:hAnsiTheme="majorBidi" w:cstheme="majorBidi"/>
        </w:rPr>
        <w:t>pt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4"/>
        <w:gridCol w:w="3504"/>
        <w:gridCol w:w="3532"/>
        <w:gridCol w:w="3544"/>
      </w:tblGrid>
      <w:tr w:rsidR="00936871" w:rsidRPr="00E53029" w14:paraId="78369A1D" w14:textId="77777777">
        <w:trPr>
          <w:cantSplit/>
          <w:tblHeader/>
        </w:trPr>
        <w:tc>
          <w:tcPr>
            <w:tcW w:w="3885" w:type="dxa"/>
          </w:tcPr>
          <w:p w14:paraId="6C32B5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Outcome</w:t>
            </w:r>
          </w:p>
        </w:tc>
        <w:tc>
          <w:tcPr>
            <w:tcW w:w="3885" w:type="dxa"/>
          </w:tcPr>
          <w:p w14:paraId="705C80F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Meta-analysis status</w:t>
            </w:r>
          </w:p>
        </w:tc>
        <w:tc>
          <w:tcPr>
            <w:tcW w:w="3885" w:type="dxa"/>
          </w:tcPr>
          <w:p w14:paraId="27CB8D6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Data retained</w:t>
            </w:r>
          </w:p>
        </w:tc>
        <w:tc>
          <w:tcPr>
            <w:tcW w:w="3885" w:type="dxa"/>
          </w:tcPr>
          <w:p w14:paraId="46FD23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3"/>
              </w:rPr>
              <w:t>Reason</w:t>
            </w:r>
          </w:p>
        </w:tc>
      </w:tr>
      <w:tr w:rsidR="00936871" w:rsidRPr="00E53029" w14:paraId="4FDA7C5C" w14:textId="77777777">
        <w:trPr>
          <w:cantSplit/>
        </w:trPr>
        <w:tc>
          <w:tcPr>
            <w:tcW w:w="3885" w:type="dxa"/>
          </w:tcPr>
          <w:p w14:paraId="61C3360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Hospital length of stay</w:t>
            </w:r>
          </w:p>
        </w:tc>
        <w:tc>
          <w:tcPr>
            <w:tcW w:w="3885" w:type="dxa"/>
          </w:tcPr>
          <w:p w14:paraId="18FDAA1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pooled dataset</w:t>
            </w:r>
          </w:p>
        </w:tc>
        <w:tc>
          <w:tcPr>
            <w:tcW w:w="3885" w:type="dxa"/>
          </w:tcPr>
          <w:p w14:paraId="56737A5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comparative; Alonso descriptive</w:t>
            </w:r>
          </w:p>
        </w:tc>
        <w:tc>
          <w:tcPr>
            <w:tcW w:w="3885" w:type="dxa"/>
          </w:tcPr>
          <w:p w14:paraId="27284B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Different populations and only one direct comparative study</w:t>
            </w:r>
          </w:p>
        </w:tc>
      </w:tr>
      <w:tr w:rsidR="00936871" w:rsidRPr="00E53029" w14:paraId="27205D6B" w14:textId="77777777">
        <w:trPr>
          <w:cantSplit/>
        </w:trPr>
        <w:tc>
          <w:tcPr>
            <w:tcW w:w="3885" w:type="dxa"/>
          </w:tcPr>
          <w:p w14:paraId="0BE1A72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Systemic antimicrobial duration</w:t>
            </w:r>
          </w:p>
        </w:tc>
        <w:tc>
          <w:tcPr>
            <w:tcW w:w="3885" w:type="dxa"/>
          </w:tcPr>
          <w:p w14:paraId="6AD6FC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No pooled </w:t>
            </w:r>
            <w:r w:rsidRPr="00E53029">
              <w:rPr>
                <w:rFonts w:asciiTheme="majorBidi" w:hAnsiTheme="majorBidi" w:cstheme="majorBidi"/>
                <w:sz w:val="13"/>
              </w:rPr>
              <w:t>dataset</w:t>
            </w:r>
          </w:p>
        </w:tc>
        <w:tc>
          <w:tcPr>
            <w:tcW w:w="3885" w:type="dxa"/>
          </w:tcPr>
          <w:p w14:paraId="54B3F34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Ranganath; Raad; Hachem; Zanwar comparative; additional single-arm descriptive studies</w:t>
            </w:r>
          </w:p>
        </w:tc>
        <w:tc>
          <w:tcPr>
            <w:tcW w:w="3885" w:type="dxa"/>
          </w:tcPr>
          <w:p w14:paraId="16892A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Different comparator strategies and summary metrics</w:t>
            </w:r>
          </w:p>
        </w:tc>
      </w:tr>
      <w:tr w:rsidR="00936871" w:rsidRPr="00E53029" w14:paraId="3ADC2D34" w14:textId="77777777">
        <w:trPr>
          <w:cantSplit/>
        </w:trPr>
        <w:tc>
          <w:tcPr>
            <w:tcW w:w="3885" w:type="dxa"/>
          </w:tcPr>
          <w:p w14:paraId="1FAC9A0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Mechanical/procedure-related complications</w:t>
            </w:r>
          </w:p>
        </w:tc>
        <w:tc>
          <w:tcPr>
            <w:tcW w:w="3885" w:type="dxa"/>
          </w:tcPr>
          <w:p w14:paraId="3B9DD5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pooled dataset</w:t>
            </w:r>
          </w:p>
        </w:tc>
        <w:tc>
          <w:tcPr>
            <w:tcW w:w="3885" w:type="dxa"/>
          </w:tcPr>
          <w:p w14:paraId="310D1E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counts retained in Table 8A</w:t>
            </w:r>
          </w:p>
        </w:tc>
        <w:tc>
          <w:tcPr>
            <w:tcW w:w="3885" w:type="dxa"/>
          </w:tcPr>
          <w:p w14:paraId="5F5AD6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Clinica</w:t>
            </w:r>
            <w:r w:rsidRPr="00E53029">
              <w:rPr>
                <w:rFonts w:asciiTheme="majorBidi" w:hAnsiTheme="majorBidi" w:cstheme="majorBidi"/>
                <w:sz w:val="13"/>
              </w:rPr>
              <w:t>lly distinct in-situ device events and procedure-related harms</w:t>
            </w:r>
          </w:p>
        </w:tc>
      </w:tr>
      <w:tr w:rsidR="00936871" w:rsidRPr="00E53029" w14:paraId="4C13BC59" w14:textId="77777777">
        <w:trPr>
          <w:cantSplit/>
        </w:trPr>
        <w:tc>
          <w:tcPr>
            <w:tcW w:w="3885" w:type="dxa"/>
          </w:tcPr>
          <w:p w14:paraId="2BBEE69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Lock-related adverse events/tolerability</w:t>
            </w:r>
          </w:p>
        </w:tc>
        <w:tc>
          <w:tcPr>
            <w:tcW w:w="3885" w:type="dxa"/>
          </w:tcPr>
          <w:p w14:paraId="55A0889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pooled dataset</w:t>
            </w:r>
          </w:p>
        </w:tc>
        <w:tc>
          <w:tcPr>
            <w:tcW w:w="3885" w:type="dxa"/>
          </w:tcPr>
          <w:p w14:paraId="0AA403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Study-level counts retained in Table 8B</w:t>
            </w:r>
          </w:p>
        </w:tc>
        <w:tc>
          <w:tcPr>
            <w:tcW w:w="3885" w:type="dxa"/>
          </w:tcPr>
          <w:p w14:paraId="512679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Heterogeneous ascertainment, formulations, and reporting thresholds</w:t>
            </w:r>
          </w:p>
        </w:tc>
      </w:tr>
      <w:tr w:rsidR="00936871" w:rsidRPr="00E53029" w14:paraId="7F027214" w14:textId="77777777">
        <w:trPr>
          <w:cantSplit/>
        </w:trPr>
        <w:tc>
          <w:tcPr>
            <w:tcW w:w="3885" w:type="dxa"/>
          </w:tcPr>
          <w:p w14:paraId="2C2D6D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Prognostic factors / tre</w:t>
            </w:r>
            <w:r w:rsidRPr="00E53029">
              <w:rPr>
                <w:rFonts w:asciiTheme="majorBidi" w:hAnsiTheme="majorBidi" w:cstheme="majorBidi"/>
                <w:sz w:val="13"/>
              </w:rPr>
              <w:t>atment-outcome associations</w:t>
            </w:r>
          </w:p>
        </w:tc>
        <w:tc>
          <w:tcPr>
            <w:tcW w:w="3885" w:type="dxa"/>
          </w:tcPr>
          <w:p w14:paraId="65BCCF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pooled dataset</w:t>
            </w:r>
          </w:p>
        </w:tc>
        <w:tc>
          <w:tcPr>
            <w:tcW w:w="3885" w:type="dxa"/>
          </w:tcPr>
          <w:p w14:paraId="177BF9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Adjusted study-specific models retained</w:t>
            </w:r>
          </w:p>
        </w:tc>
        <w:tc>
          <w:tcPr>
            <w:tcW w:w="3885" w:type="dxa"/>
          </w:tcPr>
          <w:p w14:paraId="0A1FBF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Different predictors, endpoints, and adjustment models</w:t>
            </w:r>
          </w:p>
        </w:tc>
      </w:tr>
      <w:tr w:rsidR="00936871" w:rsidRPr="00E53029" w14:paraId="3982BE21" w14:textId="77777777">
        <w:trPr>
          <w:cantSplit/>
        </w:trPr>
        <w:tc>
          <w:tcPr>
            <w:tcW w:w="3885" w:type="dxa"/>
          </w:tcPr>
          <w:p w14:paraId="1BDF6E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Active-lock regimen comparisons</w:t>
            </w:r>
          </w:p>
        </w:tc>
        <w:tc>
          <w:tcPr>
            <w:tcW w:w="3885" w:type="dxa"/>
          </w:tcPr>
          <w:p w14:paraId="65A4495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No pooled dataset</w:t>
            </w:r>
          </w:p>
        </w:tc>
        <w:tc>
          <w:tcPr>
            <w:tcW w:w="3885" w:type="dxa"/>
          </w:tcPr>
          <w:p w14:paraId="6A9E7E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Lesens; Del Pozo CoNS; Ranch-Lundin</w:t>
            </w:r>
          </w:p>
        </w:tc>
        <w:tc>
          <w:tcPr>
            <w:tcW w:w="3885" w:type="dxa"/>
          </w:tcPr>
          <w:p w14:paraId="5D69A8E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Distinct formulations and </w:t>
            </w:r>
            <w:r w:rsidRPr="00E53029">
              <w:rPr>
                <w:rFonts w:asciiTheme="majorBidi" w:hAnsiTheme="majorBidi" w:cstheme="majorBidi"/>
                <w:sz w:val="13"/>
              </w:rPr>
              <w:t>non-comparable treatment contrasts</w:t>
            </w:r>
          </w:p>
        </w:tc>
      </w:tr>
    </w:tbl>
    <w:p w14:paraId="67C4C1A4" w14:textId="77777777" w:rsidR="00936871" w:rsidRPr="00E53029" w:rsidRDefault="005C43B0">
      <w:pPr>
        <w:pStyle w:val="Section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 Additional Harmonized Outcomes Retained for Supplementary Completeness</w:t>
      </w:r>
    </w:p>
    <w:p w14:paraId="02459FA0" w14:textId="77777777" w:rsidR="00936871" w:rsidRPr="00E53029" w:rsidRDefault="005C43B0">
      <w:pPr>
        <w:pStyle w:val="FrameworkBMC"/>
        <w:keepNext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The outcomes in this section were extracted and harmonized but were not emphasized as principal outcome sections in the main Results. They are re</w:t>
      </w:r>
      <w:r w:rsidRPr="00E53029">
        <w:rPr>
          <w:rFonts w:asciiTheme="majorBidi" w:hAnsiTheme="majorBidi" w:cstheme="majorBidi"/>
        </w:rPr>
        <w:t>tained to preserve study-level information and to prevent recurrence, infectious complications, or catheter-duration data from being lost or inappropriately merged with the main estimands.</w:t>
      </w:r>
    </w:p>
    <w:p w14:paraId="440977F2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12.1 Same-organism relapse with longer or variable follow-up</w:t>
      </w:r>
    </w:p>
    <w:p w14:paraId="3A4B48F2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Four s</w:t>
      </w:r>
      <w:r w:rsidRPr="00E53029">
        <w:rPr>
          <w:rFonts w:asciiTheme="majorBidi" w:hAnsiTheme="majorBidi" w:cstheme="majorBidi"/>
        </w:rPr>
        <w:t>tudies reported same-organism relapse beyond the two primary relapse windows or with longer/variable follow-up: Rijnders 2005, Del Pozo 2009 (CoNS), Wintenberger 2012, and Sánchez-Muñoz 2005.</w:t>
      </w:r>
    </w:p>
    <w:p w14:paraId="753A4813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12A. Longer/variable same-organism relapse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4"/>
        <w:gridCol w:w="1833"/>
        <w:gridCol w:w="1563"/>
        <w:gridCol w:w="3259"/>
        <w:gridCol w:w="2173"/>
        <w:gridCol w:w="3666"/>
      </w:tblGrid>
      <w:tr w:rsidR="00936871" w:rsidRPr="00E53029" w14:paraId="1C0AA8C3" w14:textId="77777777" w:rsidTr="00E53029">
        <w:trPr>
          <w:cantSplit/>
          <w:tblHeader/>
          <w:jc w:val="center"/>
        </w:trPr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EBEA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9AA11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22F6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</w:t>
            </w:r>
            <w:r w:rsidRPr="00E53029">
              <w:rPr>
                <w:rFonts w:asciiTheme="majorBidi" w:hAnsiTheme="majorBidi" w:cstheme="majorBidi"/>
                <w:b/>
                <w:sz w:val="14"/>
              </w:rPr>
              <w:t>me point</w:t>
            </w:r>
          </w:p>
        </w:tc>
        <w:tc>
          <w:tcPr>
            <w:tcW w:w="115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58669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Recurrence definition used in this review</w:t>
            </w:r>
          </w:p>
        </w:tc>
        <w:tc>
          <w:tcPr>
            <w:tcW w:w="7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64AE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30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99C43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79D4A49D" w14:textId="77777777" w:rsidTr="00E53029">
        <w:trPr>
          <w:cantSplit/>
          <w:jc w:val="center"/>
        </w:trPr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F90EB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Rijnders 2005</w:t>
            </w:r>
          </w:p>
        </w:tc>
        <w:tc>
          <w:tcPr>
            <w:tcW w:w="6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B56B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Randomized blinded placebo-controlled trial</w:t>
            </w:r>
          </w:p>
        </w:tc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ECC6F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Up to 180 d</w:t>
            </w:r>
          </w:p>
        </w:tc>
        <w:tc>
          <w:tcPr>
            <w:tcW w:w="115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9A90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Recurrent bacteremia due to the same phenotypic strain (same species and antibiogram), with the catheter as </w:t>
            </w:r>
            <w:r w:rsidRPr="00E53029">
              <w:rPr>
                <w:rFonts w:asciiTheme="majorBidi" w:hAnsiTheme="majorBidi" w:cstheme="majorBidi"/>
                <w:sz w:val="13"/>
              </w:rPr>
              <w:t>presumed focus.</w:t>
            </w:r>
          </w:p>
        </w:tc>
        <w:tc>
          <w:tcPr>
            <w:tcW w:w="7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AB5D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Antibiotic lock 3/21 (14.3%) vs placebo 9/23 (39.1%), P=0.06</w:t>
            </w:r>
          </w:p>
        </w:tc>
        <w:tc>
          <w:tcPr>
            <w:tcW w:w="130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34E8D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comparative relapse outcome; mixed oncology/non-oncology population and 2 pediatric participants.</w:t>
            </w:r>
          </w:p>
        </w:tc>
      </w:tr>
      <w:tr w:rsidR="00936871" w:rsidRPr="00E53029" w14:paraId="7170EF87" w14:textId="77777777" w:rsidTr="00E53029">
        <w:trPr>
          <w:cantSplit/>
          <w:jc w:val="center"/>
        </w:trPr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BC238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CoNS</w:t>
            </w:r>
          </w:p>
        </w:tc>
        <w:tc>
          <w:tcPr>
            <w:tcW w:w="6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ACD6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sequential active-lock cohort</w:t>
            </w:r>
          </w:p>
        </w:tc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B2A2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Minimum 12 </w:t>
            </w:r>
            <w:r w:rsidRPr="00E53029">
              <w:rPr>
                <w:rFonts w:asciiTheme="majorBidi" w:hAnsiTheme="majorBidi" w:cstheme="majorBidi"/>
                <w:sz w:val="13"/>
              </w:rPr>
              <w:t>mo or until port removal/death</w:t>
            </w:r>
          </w:p>
        </w:tc>
        <w:tc>
          <w:tcPr>
            <w:tcW w:w="115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0EE5F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Same-index CoNS relapse after initial clinical/microbiological response.</w:t>
            </w:r>
          </w:p>
        </w:tc>
        <w:tc>
          <w:tcPr>
            <w:tcW w:w="7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9882C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Overall 2/44 (4.5%); teicoplanin 0/17 vs vancomycin 2/27 (7.4%)</w:t>
            </w:r>
          </w:p>
        </w:tc>
        <w:tc>
          <w:tcPr>
            <w:tcW w:w="130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DCFA0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All cancer. Relapses occurred at widely separated times (including early and late events</w:t>
            </w:r>
            <w:r w:rsidRPr="00E53029">
              <w:rPr>
                <w:rFonts w:asciiTheme="majorBidi" w:hAnsiTheme="majorBidi" w:cstheme="majorBidi"/>
                <w:sz w:val="13"/>
              </w:rPr>
              <w:t>), so retained under the study's long-term follow-up framework.</w:t>
            </w:r>
          </w:p>
        </w:tc>
      </w:tr>
      <w:tr w:rsidR="00936871" w:rsidRPr="00E53029" w14:paraId="31F338AA" w14:textId="77777777" w:rsidTr="00E53029">
        <w:trPr>
          <w:cantSplit/>
          <w:jc w:val="center"/>
        </w:trPr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A1FA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Wintenberger 2012</w:t>
            </w:r>
          </w:p>
        </w:tc>
        <w:tc>
          <w:tcPr>
            <w:tcW w:w="6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041B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Retrospective nonrandomized comparative cohort</w:t>
            </w:r>
          </w:p>
        </w:tc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99FBA7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Variable long-term / common study end</w:t>
            </w:r>
          </w:p>
        </w:tc>
        <w:tc>
          <w:tcPr>
            <w:tcW w:w="115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C248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Reappearance of bacteremia with the same organism and susceptibility pattern after initi</w:t>
            </w:r>
            <w:r w:rsidRPr="00E53029">
              <w:rPr>
                <w:rFonts w:asciiTheme="majorBidi" w:hAnsiTheme="majorBidi" w:cstheme="majorBidi"/>
                <w:sz w:val="13"/>
              </w:rPr>
              <w:t>al cure.</w:t>
            </w:r>
          </w:p>
        </w:tc>
        <w:tc>
          <w:tcPr>
            <w:tcW w:w="7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539B4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4/31 (12.9%) vs no-ALT conservative 2/20 (10.0%)</w:t>
            </w:r>
          </w:p>
        </w:tc>
        <w:tc>
          <w:tcPr>
            <w:tcW w:w="130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78CA3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Mixed population; no-ALT count is review-derived from the conservative-treatment totals. Exploratory only.</w:t>
            </w:r>
          </w:p>
        </w:tc>
      </w:tr>
      <w:tr w:rsidR="00936871" w:rsidRPr="00E53029" w14:paraId="1E616CC7" w14:textId="77777777" w:rsidTr="00E53029">
        <w:trPr>
          <w:cantSplit/>
          <w:jc w:val="center"/>
        </w:trPr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D1959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</w:t>
            </w:r>
          </w:p>
        </w:tc>
        <w:tc>
          <w:tcPr>
            <w:tcW w:w="6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63C44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Prospective single-arm oncology series</w:t>
            </w:r>
          </w:p>
        </w:tc>
        <w:tc>
          <w:tcPr>
            <w:tcW w:w="55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6DA12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At least 4 mo follow-up </w:t>
            </w:r>
            <w:r w:rsidRPr="00E53029">
              <w:rPr>
                <w:rFonts w:asciiTheme="majorBidi" w:hAnsiTheme="majorBidi" w:cstheme="majorBidi"/>
                <w:sz w:val="13"/>
              </w:rPr>
              <w:t>after successful salvage</w:t>
            </w:r>
          </w:p>
        </w:tc>
        <w:tc>
          <w:tcPr>
            <w:tcW w:w="115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CC01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Breakthrough/recurrent bacteremia after successful initial response and catheter salvage.</w:t>
            </w:r>
          </w:p>
        </w:tc>
        <w:tc>
          <w:tcPr>
            <w:tcW w:w="773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749F2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Adult successful responders: 0/11</w:t>
            </w:r>
          </w:p>
        </w:tc>
        <w:tc>
          <w:tcPr>
            <w:tcW w:w="130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09572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Conditional durability estimate, not an unconditional recurrence risk; denominator is adult patients who fi</w:t>
            </w:r>
            <w:r w:rsidRPr="00E53029">
              <w:rPr>
                <w:rFonts w:asciiTheme="majorBidi" w:hAnsiTheme="majorBidi" w:cstheme="majorBidi"/>
                <w:sz w:val="13"/>
              </w:rPr>
              <w:t>rst achieved successful salvage.</w:t>
            </w:r>
          </w:p>
        </w:tc>
      </w:tr>
    </w:tbl>
    <w:p w14:paraId="1A96E091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12.2 Reinfection, new-pathogen bloodstream infection, and incompletely classified recurrence</w:t>
      </w:r>
    </w:p>
    <w:p w14:paraId="2931DF16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Twelve studies reported reinfection/new-pathogen BSI or recurrence that could not be uniformly classified as strict same-organism</w:t>
      </w:r>
      <w:r w:rsidRPr="00E53029">
        <w:rPr>
          <w:rFonts w:asciiTheme="majorBidi" w:hAnsiTheme="majorBidi" w:cstheme="majorBidi"/>
        </w:rPr>
        <w:t xml:space="preserve"> relapse.</w:t>
      </w:r>
    </w:p>
    <w:p w14:paraId="7948229C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12B. Reinfection/new-pathogen BSI and incompletely classified recurrence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766"/>
        <w:gridCol w:w="1493"/>
        <w:gridCol w:w="3329"/>
        <w:gridCol w:w="2241"/>
        <w:gridCol w:w="3737"/>
      </w:tblGrid>
      <w:tr w:rsidR="00936871" w:rsidRPr="00E53029" w14:paraId="0B46742C" w14:textId="77777777" w:rsidTr="00E53029">
        <w:trPr>
          <w:cantSplit/>
          <w:tblHeader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64AF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B888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Design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504E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point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EBEDD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Recurrence definition used in this review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10CD2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9B9F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1223AD86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E3805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Ranganath 2025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BE967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comparative cohort with IPTW analysis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9E3FE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90 d after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therapy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07168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Recurrent BSI = isolation of a different pathogen after completing therapy.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F812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18/106 (17%) vs line removal 22/181 (12%); IPTW OR 0.84 (95% CI 0.39-1.79), P=0.64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D99B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Direct adjusted reinfection/new-pathogen outcome; mixed population.</w:t>
            </w:r>
          </w:p>
        </w:tc>
      </w:tr>
      <w:tr w:rsidR="00936871" w:rsidRPr="00E53029" w14:paraId="06864F78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C4B7C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lastRenderedPageBreak/>
              <w:t>Lesens 2024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CB662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Randomized double-blind active-lock trial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1A88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Week 14 +/- 4 d / end of TIVAD use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EA3EB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Superinfection = subsequent TIVAD infection due to a different pathogen.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73E9A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6/31 (19.4%) vs VLT 7/30 (23.3%), P=0.70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D7DE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Primary-paper arm counts; 57/61 had cancer, but outcomes are </w:t>
            </w:r>
            <w:r w:rsidRPr="00E53029">
              <w:rPr>
                <w:rFonts w:asciiTheme="majorBidi" w:hAnsiTheme="majorBidi" w:cstheme="majorBidi"/>
                <w:sz w:val="12"/>
              </w:rPr>
              <w:t>not cancer-separable.</w:t>
            </w:r>
          </w:p>
        </w:tc>
      </w:tr>
      <w:tr w:rsidR="00936871" w:rsidRPr="00E53029" w14:paraId="0C9FF7D6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A3600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Lafaurie 2023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A881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multicentre single-arm cancer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84AB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 mo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C5C0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TIVAP-RI recurrence after VLT, classified as relapse (same CoNS) or reinfection (different CoNS/organism).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75E66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22/77 evaluable (28.6%): 15 relapse (19.5%) + 7 reinfectio</w:t>
            </w:r>
            <w:r w:rsidRPr="00E53029">
              <w:rPr>
                <w:rFonts w:asciiTheme="majorBidi" w:hAnsiTheme="majorBidi" w:cstheme="majorBidi"/>
                <w:sz w:val="12"/>
              </w:rPr>
              <w:t>n (9.1%)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15E93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The 3-month evaluable denominator is 77 (44 successes + 33 failures; 16 event-free deaths and 7 missing excluded). The 33 are total treatment failures, not 33 recurrences. Among the 33 failures, 22 involved recurrence; the paper notes that these 2</w:t>
            </w:r>
            <w:r w:rsidRPr="00E53029">
              <w:rPr>
                <w:rFonts w:asciiTheme="majorBidi" w:hAnsiTheme="majorBidi" w:cstheme="majorBidi"/>
                <w:sz w:val="12"/>
              </w:rPr>
              <w:t>2 recurrences occurred among the 51 ports reused after VLT.</w:t>
            </w:r>
          </w:p>
        </w:tc>
      </w:tr>
      <w:tr w:rsidR="00936871" w:rsidRPr="00E53029" w14:paraId="33B5F1FF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F389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Ahmad 2019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00653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hematology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3756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Variable follow-up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03372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Secondary catheter-associated infection after HCl treatment; distinct from antibacterial treatment failure of the index infection.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66C24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9/</w:t>
            </w:r>
            <w:r w:rsidRPr="00E53029">
              <w:rPr>
                <w:rFonts w:asciiTheme="majorBidi" w:hAnsiTheme="majorBidi" w:cstheme="majorBidi"/>
                <w:sz w:val="12"/>
              </w:rPr>
              <w:t>71 (12.7%)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372C9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Predominantly malignant hematology (66/71 acute leukemia); small non-malignant subset inseparable.</w:t>
            </w:r>
          </w:p>
        </w:tc>
      </w:tr>
      <w:tr w:rsidR="00936871" w:rsidRPr="00E53029" w14:paraId="7C179130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11A1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689C4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multicentre pilot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3FC5F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Post-treatment; variable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9AE98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New catheter infection caused by a different organism after index treatment.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FDB47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6/17 completers (35.3%)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01EE1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18/19 enrolled had hematologic malignancy; one pediatric ESRF patient inseparable. In addition, a day-41 same-species P. aeruginosa episode had a different susceptibility pattern and was interpreted by the authors as probable reinfe</w:t>
            </w:r>
            <w:r w:rsidRPr="00E53029">
              <w:rPr>
                <w:rFonts w:asciiTheme="majorBidi" w:hAnsiTheme="majorBidi" w:cstheme="majorBidi"/>
                <w:sz w:val="12"/>
              </w:rPr>
              <w:t>ction rather than relapse.</w:t>
            </w:r>
          </w:p>
        </w:tc>
      </w:tr>
      <w:tr w:rsidR="00936871" w:rsidRPr="00E53029" w14:paraId="5765E563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29DE6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Zanwar 2019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4682B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HSCT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118A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10 d after completing 14-d ALT course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ED2A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New CRBSI caused by a different organism after treatment.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8AC6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1/15 ALT-treated CRBSI cases (6.7%)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F4AB8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Hematologic malignancy/HSCT population but mixed ages </w:t>
            </w:r>
            <w:r w:rsidRPr="00E53029">
              <w:rPr>
                <w:rFonts w:asciiTheme="majorBidi" w:hAnsiTheme="majorBidi" w:cstheme="majorBidi"/>
                <w:sz w:val="12"/>
              </w:rPr>
              <w:t>(including pediatric patients); sensitivity/descriptive evidence.</w:t>
            </w:r>
          </w:p>
        </w:tc>
      </w:tr>
      <w:tr w:rsidR="00936871" w:rsidRPr="00E53029" w14:paraId="691DE64B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1DE4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Brescia 2023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D00A4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single-arm cancer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27FF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Day 25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8259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Recurrent CRBSI after documented early clinical/microbiological cure; same species reported but strain typing not available.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A0EE8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1/24 </w:t>
            </w:r>
            <w:r w:rsidRPr="00E53029">
              <w:rPr>
                <w:rFonts w:asciiTheme="majorBidi" w:hAnsiTheme="majorBidi" w:cstheme="majorBidi"/>
                <w:sz w:val="12"/>
              </w:rPr>
              <w:t>CRBSI (4.2%)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EB47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cancer. Recurrent E. coli episode responded to repeat taurolidine lock; port remained usable &gt;4 mo.</w:t>
            </w:r>
          </w:p>
        </w:tc>
      </w:tr>
      <w:tr w:rsidR="00936871" w:rsidRPr="00E53029" w14:paraId="7A9D7884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18C2E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Koldehoff &amp; Zakrzewski 2004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FA1B3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pilot case series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F209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2-4 mo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6855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Recurrent CRBSI after initial complete recovery; same/new organism distin</w:t>
            </w:r>
            <w:r w:rsidRPr="00E53029">
              <w:rPr>
                <w:rFonts w:asciiTheme="majorBidi" w:hAnsiTheme="majorBidi" w:cstheme="majorBidi"/>
                <w:sz w:val="12"/>
              </w:rPr>
              <w:t>ction not sufficiently standardized for strict relapse classification.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ADC4A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3/11 (27.3%)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5EB6F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oncologic; all recurrences were successfully retreated.</w:t>
            </w:r>
          </w:p>
        </w:tc>
      </w:tr>
      <w:tr w:rsidR="00936871" w:rsidRPr="00E53029" w14:paraId="4AD5B6C8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2563E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Kubiak 2014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7669C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single-arm CLABSI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C622A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Days 51 and 115 / variable FU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2D706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Late recurrent bacteremia afte</w:t>
            </w:r>
            <w:r w:rsidRPr="00E53029">
              <w:rPr>
                <w:rFonts w:asciiTheme="majorBidi" w:hAnsiTheme="majorBidi" w:cstheme="majorBidi"/>
                <w:sz w:val="12"/>
              </w:rPr>
              <w:t>r initial management; organism/strain attribution not sufficiently standardized for strict same-index relapse.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3E480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2/45 (4.4%)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5D42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Mixed cohort (34/45 malignancy). Three additional persistent bacteremias were early non-clearance and are not recurrence.</w:t>
            </w:r>
          </w:p>
        </w:tc>
      </w:tr>
      <w:tr w:rsidR="00936871" w:rsidRPr="00E53029" w14:paraId="2716B190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D1EF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Vidal 2016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CA8C6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nonrandomized comparative cancer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078DDC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Approx. 12 wk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E0E2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Study-reported relapse during follow-up; accessible extraction does not establish a uniform same-strain rule.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4BEC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4/22 (18.2%) vs catheter-removal strategy 1/75 (1.3%)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0A9A47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All solid-tumor </w:t>
            </w:r>
            <w:r w:rsidRPr="00E53029">
              <w:rPr>
                <w:rFonts w:asciiTheme="majorBidi" w:hAnsiTheme="majorBidi" w:cstheme="majorBidi"/>
                <w:sz w:val="12"/>
              </w:rPr>
              <w:t>cancer; strong confounding by indication and management strategy.</w:t>
            </w:r>
          </w:p>
        </w:tc>
      </w:tr>
      <w:tr w:rsidR="00936871" w:rsidRPr="00E53029" w14:paraId="3EA17337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A696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Haag 2011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E338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Retrospective cancer case series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F531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Follow-up NR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6C87C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Study-reported recurrence after conservative treatment; organism identity/time not sufficiently specified for strict relapse grouping</w:t>
            </w:r>
            <w:r w:rsidRPr="00E53029">
              <w:rPr>
                <w:rFonts w:asciiTheme="majorBidi" w:hAnsiTheme="majorBidi" w:cstheme="majorBidi"/>
                <w:sz w:val="12"/>
              </w:rPr>
              <w:t>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A2B85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1/24 (4.2%)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8789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cancer; descriptive only.</w:t>
            </w:r>
          </w:p>
        </w:tc>
      </w:tr>
      <w:tr w:rsidR="00936871" w:rsidRPr="00E53029" w14:paraId="714FFC5C" w14:textId="77777777" w:rsidTr="00E53029">
        <w:trPr>
          <w:cantSplit/>
          <w:jc w:val="center"/>
        </w:trPr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CDE75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62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31A13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Prospective nonrandomized comparative cancer cohort</w:t>
            </w:r>
          </w:p>
        </w:tc>
        <w:tc>
          <w:tcPr>
            <w:tcW w:w="53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02B14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 follow-up; fixed relapse landmark NR</w:t>
            </w:r>
          </w:p>
        </w:tc>
        <w:tc>
          <w:tcPr>
            <w:tcW w:w="118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585CD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Study-reported relapse during follow-up; the paper reports relapse as an infectious complication but does </w:t>
            </w:r>
            <w:r w:rsidRPr="00E53029">
              <w:rPr>
                <w:rFonts w:asciiTheme="majorBidi" w:hAnsiTheme="majorBidi" w:cstheme="majorBidi"/>
                <w:sz w:val="12"/>
              </w:rPr>
              <w:t>not provide a sufficiently explicit same-organism definition for strict microbiological-relapse pooling.</w:t>
            </w:r>
          </w:p>
        </w:tc>
        <w:tc>
          <w:tcPr>
            <w:tcW w:w="79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5ED9E3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 0/30 (0%) vs CVC removal/reinsertion 3/60 (5.0%)</w:t>
            </w:r>
          </w:p>
        </w:tc>
        <w:tc>
          <w:tcPr>
            <w:tcW w:w="132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DB40C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 cancer. Retained as undifferentiated study-reported relapse/recurrence rather than strict sam</w:t>
            </w:r>
            <w:r w:rsidRPr="00E53029">
              <w:rPr>
                <w:rFonts w:asciiTheme="majorBidi" w:hAnsiTheme="majorBidi" w:cstheme="majorBidi"/>
                <w:sz w:val="12"/>
              </w:rPr>
              <w:t>e-index relapse.</w:t>
            </w:r>
          </w:p>
        </w:tc>
      </w:tr>
    </w:tbl>
    <w:p w14:paraId="249143DE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12.3 Reported time to relapse or recurrent bloodstream infection</w:t>
      </w:r>
    </w:p>
    <w:p w14:paraId="73E56B98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12C. Time-to-recurrence metrics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11"/>
        <w:gridCol w:w="2103"/>
        <w:gridCol w:w="3022"/>
        <w:gridCol w:w="2103"/>
        <w:gridCol w:w="2232"/>
        <w:gridCol w:w="3087"/>
      </w:tblGrid>
      <w:tr w:rsidR="00936871" w:rsidRPr="00E53029" w14:paraId="51D4601A" w14:textId="77777777" w:rsidTr="00E53029">
        <w:trPr>
          <w:cantSplit/>
          <w:tblHeader/>
          <w:jc w:val="center"/>
        </w:trPr>
        <w:tc>
          <w:tcPr>
            <w:tcW w:w="5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5D9F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AF7B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Event</w:t>
            </w:r>
          </w:p>
        </w:tc>
        <w:tc>
          <w:tcPr>
            <w:tcW w:w="107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2594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comparison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AC4BF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metric</w:t>
            </w:r>
          </w:p>
        </w:tc>
        <w:tc>
          <w:tcPr>
            <w:tcW w:w="7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EB663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Reported value</w:t>
            </w:r>
          </w:p>
        </w:tc>
        <w:tc>
          <w:tcPr>
            <w:tcW w:w="10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BD7F9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Interpretation / caveat</w:t>
            </w:r>
          </w:p>
        </w:tc>
      </w:tr>
      <w:tr w:rsidR="00936871" w:rsidRPr="00E53029" w14:paraId="03B5CC38" w14:textId="77777777" w:rsidTr="00E53029">
        <w:trPr>
          <w:cantSplit/>
          <w:jc w:val="center"/>
        </w:trPr>
        <w:tc>
          <w:tcPr>
            <w:tcW w:w="5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77B1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E6C5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Microbiological relapse</w:t>
            </w:r>
          </w:p>
        </w:tc>
        <w:tc>
          <w:tcPr>
            <w:tcW w:w="107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33D9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ALT vs </w:t>
            </w:r>
            <w:r w:rsidRPr="00E53029">
              <w:rPr>
                <w:rFonts w:asciiTheme="majorBidi" w:hAnsiTheme="majorBidi" w:cstheme="majorBidi"/>
                <w:sz w:val="13"/>
              </w:rPr>
              <w:t>line removal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2821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time to event</w:t>
            </w:r>
          </w:p>
        </w:tc>
        <w:tc>
          <w:tcPr>
            <w:tcW w:w="7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A1D5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23 d (IQR 7-55) vs 26 d (7-58.5); adjusted P=0.95</w:t>
            </w:r>
          </w:p>
        </w:tc>
        <w:tc>
          <w:tcPr>
            <w:tcW w:w="10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900FA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Same-index organism relapse within 90 d; no meaningful difference in time to relapse.</w:t>
            </w:r>
          </w:p>
        </w:tc>
      </w:tr>
      <w:tr w:rsidR="00936871" w:rsidRPr="00E53029" w14:paraId="11F1D771" w14:textId="77777777" w:rsidTr="00E53029">
        <w:trPr>
          <w:cantSplit/>
          <w:jc w:val="center"/>
        </w:trPr>
        <w:tc>
          <w:tcPr>
            <w:tcW w:w="5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6843B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FA358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Recurrent BSI (different pathogen)</w:t>
            </w:r>
          </w:p>
        </w:tc>
        <w:tc>
          <w:tcPr>
            <w:tcW w:w="107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E4F7B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ALT vs line removal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00798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Median time to </w:t>
            </w:r>
            <w:r w:rsidRPr="00E53029">
              <w:rPr>
                <w:rFonts w:asciiTheme="majorBidi" w:hAnsiTheme="majorBidi" w:cstheme="majorBidi"/>
                <w:sz w:val="13"/>
              </w:rPr>
              <w:t>event</w:t>
            </w:r>
          </w:p>
        </w:tc>
        <w:tc>
          <w:tcPr>
            <w:tcW w:w="7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42290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35 d (IQR 27-50) vs 43 d (22-71); adjusted P=0.07</w:t>
            </w:r>
          </w:p>
        </w:tc>
        <w:tc>
          <w:tcPr>
            <w:tcW w:w="10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2C98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Different-pathogen recurrent BSI within 90 d.</w:t>
            </w:r>
          </w:p>
        </w:tc>
      </w:tr>
      <w:tr w:rsidR="00936871" w:rsidRPr="00E53029" w14:paraId="2C4E5979" w14:textId="77777777" w:rsidTr="00E53029">
        <w:trPr>
          <w:cantSplit/>
          <w:jc w:val="center"/>
        </w:trPr>
        <w:tc>
          <w:tcPr>
            <w:tcW w:w="537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E2CC8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Lafaurie 2023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CC9B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TIVAP-related relapse</w:t>
            </w:r>
          </w:p>
        </w:tc>
        <w:tc>
          <w:tcPr>
            <w:tcW w:w="107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83C10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patients with recurrence after VLT</w:t>
            </w:r>
          </w:p>
        </w:tc>
        <w:tc>
          <w:tcPr>
            <w:tcW w:w="74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900F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delay after last VLT day</w:t>
            </w:r>
          </w:p>
        </w:tc>
        <w:tc>
          <w:tcPr>
            <w:tcW w:w="794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BA9CB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12 d (95% CI 11-13)</w:t>
            </w:r>
          </w:p>
        </w:tc>
        <w:tc>
          <w:tcPr>
            <w:tcW w:w="1098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1AD4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Subtype timing pertains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to relapse after completion of VLT; high competing mortality limits long-term observation.</w:t>
            </w:r>
          </w:p>
        </w:tc>
      </w:tr>
    </w:tbl>
    <w:p w14:paraId="54CB3AEB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12.4 Infection-related complications</w:t>
      </w:r>
    </w:p>
    <w:p w14:paraId="13A0198C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Eleven studies reported extractable infection-related complication data. Recurrence/reinfection and infection-attributable mor</w:t>
      </w:r>
      <w:r w:rsidRPr="00E53029">
        <w:rPr>
          <w:rFonts w:asciiTheme="majorBidi" w:hAnsiTheme="majorBidi" w:cstheme="majorBidi"/>
        </w:rPr>
        <w:t>tality remain separate domains and should not be summed with these complication events.</w:t>
      </w:r>
    </w:p>
    <w:p w14:paraId="0000D0FA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12D. Infection-related complications after lock-based conservative management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31"/>
        <w:gridCol w:w="2604"/>
        <w:gridCol w:w="1757"/>
        <w:gridCol w:w="2865"/>
        <w:gridCol w:w="2083"/>
        <w:gridCol w:w="3318"/>
      </w:tblGrid>
      <w:tr w:rsidR="00936871" w:rsidRPr="00E53029" w14:paraId="2807795D" w14:textId="77777777" w:rsidTr="00E53029">
        <w:trPr>
          <w:cantSplit/>
          <w:tblHeader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5DB4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DDB1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 / comparison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EF4E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Assessment window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B567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Infectious complication endpoint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47A0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E43D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60FEEDF5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C7A38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lastRenderedPageBreak/>
              <w:t>Fernández-Hidalgo 2006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D840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Cancer/chemotherapy-associated episodes; ALT + systemic therapy; review-derived subgroup n=54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339C1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During treatment; event at day 4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F78B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Subcutaneous tunnel infection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A8C3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1/54 (1.9%)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36A530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Include; review-derived cancer-specific </w:t>
            </w:r>
            <w:r w:rsidRPr="00E53029">
              <w:rPr>
                <w:rFonts w:asciiTheme="majorBidi" w:hAnsiTheme="majorBidi" w:cstheme="majorBidi"/>
                <w:sz w:val="12"/>
              </w:rPr>
              <w:t>episode. The second tunnel infection in the parent cohort occurred in an HD-associated episode and is excluded.</w:t>
            </w:r>
          </w:p>
        </w:tc>
      </w:tr>
      <w:tr w:rsidR="00936871" w:rsidRPr="00E53029" w14:paraId="6575C94F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FBAA5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Broom 2008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C3B43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Ethanol lock + systemic therapy; 17 treatment completers; parent cohort 18/19 adult hematological malignancy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E644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Post-ELT; events </w:t>
            </w:r>
            <w:r w:rsidRPr="00E53029">
              <w:rPr>
                <w:rFonts w:asciiTheme="majorBidi" w:hAnsiTheme="majorBidi" w:cstheme="majorBidi"/>
                <w:sz w:val="12"/>
              </w:rPr>
              <w:t>reported from day 6 to day 41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E67E3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Exit-site infection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85C3B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3/17 (17.6%)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B1863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Include descriptively. Events included Mycobacterium exit-site infection, Pseudomonas sepsis with exit-site infection, and Pseudomonas bacteremia with exit-site infection. These events overlap </w:t>
            </w:r>
            <w:r w:rsidRPr="00E53029">
              <w:rPr>
                <w:rFonts w:asciiTheme="majorBidi" w:hAnsiTheme="majorBidi" w:cstheme="majorBidi"/>
                <w:sz w:val="12"/>
              </w:rPr>
              <w:t>with reinfection outcomes and should not be summed with recurrence.</w:t>
            </w:r>
          </w:p>
        </w:tc>
      </w:tr>
      <w:tr w:rsidR="00936871" w:rsidRPr="00E53029" w14:paraId="3D7496EE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2B8CE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Haag 2011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E4D51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patients; taurolidine lock + systemic antibiotics; n=24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CFC74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During conservative treatment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1C7B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Septic complications (SIRS, endocarditis, septic embolism, septic osteomyelitis)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C765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</w:t>
            </w:r>
            <w:r w:rsidRPr="00E53029">
              <w:rPr>
                <w:rFonts w:asciiTheme="majorBidi" w:hAnsiTheme="majorBidi" w:cstheme="majorBidi"/>
                <w:sz w:val="12"/>
              </w:rPr>
              <w:t>4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7DB42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Include; no septic complication, hemodynamic instability, or ICU transfer was reported during treatment.</w:t>
            </w:r>
          </w:p>
        </w:tc>
      </w:tr>
      <w:tr w:rsidR="00936871" w:rsidRPr="00E53029" w14:paraId="1181BBBB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CEF7B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Raad 2016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02C7E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patients; M-EDTA/EtOH lock n=30 vs CVC removal/reinsertion n=60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BAE1B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 through approximately 1 month after last lock dose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73428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Septic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thrombophlebitis and deep-seated infection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CB8B8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0/30 vs control 5/60 (3 septic thrombophlebitis; 2 deep-seated infections)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B4C8A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Include; non-recurrence infectious complications are review-derived from source components. The source composite of 7/60 patients </w:t>
            </w:r>
            <w:r w:rsidRPr="00E53029">
              <w:rPr>
                <w:rFonts w:asciiTheme="majorBidi" w:hAnsiTheme="majorBidi" w:cstheme="majorBidi"/>
                <w:sz w:val="12"/>
              </w:rPr>
              <w:t>also included 3 relapses and is not used here to avoid double counting.</w:t>
            </w:r>
          </w:p>
        </w:tc>
      </w:tr>
      <w:tr w:rsidR="00936871" w:rsidRPr="00E53029" w14:paraId="4495E78A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0BB6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Hachem 2018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64FD8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Lock n=20 vs CVC removal/reinsertion n=24; mixed but predominantly cancer population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5E0FC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During lock therapy and 30 d after completion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8F73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Deep-seated / infectious complications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5934C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</w:t>
            </w:r>
            <w:r w:rsidRPr="00E53029">
              <w:rPr>
                <w:rFonts w:asciiTheme="majorBidi" w:hAnsiTheme="majorBidi" w:cstheme="majorBidi"/>
                <w:sz w:val="12"/>
              </w:rPr>
              <w:t>/20 vs 0/24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4B1CA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Include; zero events were reported in both groups over the specified safety follow-up.</w:t>
            </w:r>
          </w:p>
        </w:tc>
      </w:tr>
      <w:tr w:rsidR="00936871" w:rsidRPr="00E53029" w14:paraId="38C530BD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E0629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Vassallo 2017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32087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Cancer patients; daptomycin lock + systemic therapy; n=21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7B115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Treatment through approximately 30 d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5466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Metastatic infectious focus or endocarditis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DC1D2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0/2</w:t>
            </w:r>
            <w:r w:rsidRPr="00E53029">
              <w:rPr>
                <w:rFonts w:asciiTheme="majorBidi" w:hAnsiTheme="majorBidi" w:cstheme="majorBidi"/>
                <w:sz w:val="12"/>
              </w:rPr>
              <w:t>1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58050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Include; no infection-related metastatic complication or endocarditis occurred, including among treatment failures.</w:t>
            </w:r>
          </w:p>
        </w:tc>
      </w:tr>
      <w:tr w:rsidR="00936871" w:rsidRPr="00E53029" w14:paraId="2439E66B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EB9BA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Bayoudh 2024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C00D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Allo-HCT; conservative port strategy with ALT n=17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D660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Within 3 mo; cellulitis occurred with recurrent BSI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46B7B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Port-site cellulitis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03BC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1/17 (5.9%)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5147B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Include, but overlapping event: cellulitis occurred in the same patient as recurrent VAD-BSI. Do not add this event to the recurrence count when summarizing total complications.</w:t>
            </w:r>
          </w:p>
        </w:tc>
      </w:tr>
      <w:tr w:rsidR="00936871" w:rsidRPr="00E53029" w14:paraId="1C1BF871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4958A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Vidal 2016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DB114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Solid cancer; lock n=22 vs no-lock n=75; review-derive</w:t>
            </w:r>
            <w:r w:rsidRPr="00E53029">
              <w:rPr>
                <w:rFonts w:asciiTheme="majorBidi" w:hAnsiTheme="majorBidi" w:cstheme="majorBidi"/>
                <w:sz w:val="12"/>
              </w:rPr>
              <w:t>d arm attribution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333A2DE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12 wk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FC0E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Local abscess, TIVAP exteriorization, or spondylitis (excluding relapse and infection-related death)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B47FD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ALT 0/22 vs no-ALT 4/75 (2 local abscesses; 1 TIVAP exteriorization; 1 spondylitis)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99108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 as component-based review-derived compa</w:t>
            </w:r>
            <w:r w:rsidRPr="00E53029">
              <w:rPr>
                <w:rFonts w:asciiTheme="majorBidi" w:hAnsiTheme="majorBidi" w:cstheme="majorBidi"/>
                <w:sz w:val="12"/>
              </w:rPr>
              <w:t>rison. All 5 complications explicitly reported in the lock group were 4 relapses and 1 infection-related death; the 2 abscesses, 1 TIVAP exteriorization, and 1 spondylitis therefore occurred outside the lock group. The source explicitly classifies TIVAP ex</w:t>
            </w:r>
            <w:r w:rsidRPr="00E53029">
              <w:rPr>
                <w:rFonts w:asciiTheme="majorBidi" w:hAnsiTheme="majorBidi" w:cstheme="majorBidi"/>
                <w:sz w:val="12"/>
              </w:rPr>
              <w:t>teriorization as an infectious complication.</w:t>
            </w:r>
          </w:p>
        </w:tc>
      </w:tr>
      <w:tr w:rsidR="00936871" w:rsidRPr="00E53029" w14:paraId="7B18AD9C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16C20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Lesens 2024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1E11C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VLT n=30 vs ELT n=31; 57/61 cancer, nonseparable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9D091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Study follow-up to week 14 ± 4 d or end of TIVAD use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B726C4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TIVAD removal because of sepsis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AFDC9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ELT 8/31 (25.8%) vs VLT 9/30 (30.0%); total 17/61 (27.9%)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AE8B0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</w:t>
            </w:r>
            <w:r w:rsidRPr="00E53029">
              <w:rPr>
                <w:rFonts w:asciiTheme="majorBidi" w:hAnsiTheme="majorBidi" w:cstheme="majorBidi"/>
                <w:sz w:val="12"/>
              </w:rPr>
              <w:t>e with exact source wording. This is removal because of sepsis, not necessarily a uniformly adjudicated new-sepsis endpoint; do not combine with uncontrolled-infection or superinfection failure components.</w:t>
            </w:r>
          </w:p>
        </w:tc>
      </w:tr>
      <w:tr w:rsidR="00936871" w:rsidRPr="00E53029" w14:paraId="1BAE4380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C9359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Ahmad 2019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1A3F9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Adult predominantly malignant </w:t>
            </w:r>
            <w:r w:rsidRPr="00E53029">
              <w:rPr>
                <w:rFonts w:asciiTheme="majorBidi" w:hAnsiTheme="majorBidi" w:cstheme="majorBidi"/>
                <w:sz w:val="12"/>
              </w:rPr>
              <w:t>hematology cohort; HCl lock + systemic therapy; n=71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0589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Variable catheter course / treatment failure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84351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Tunnel infection or severe sepsis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F4C4D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8/71 (11.3%): tunnel infection 4/71; severe sepsis 4/71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3022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Include. These 8 events were among 13 antibacterial-treatment failur</w:t>
            </w:r>
            <w:r w:rsidRPr="00E53029">
              <w:rPr>
                <w:rFonts w:asciiTheme="majorBidi" w:hAnsiTheme="majorBidi" w:cstheme="majorBidi"/>
                <w:sz w:val="12"/>
              </w:rPr>
              <w:t>es; the remaining 5 failures had ongoing bacteremia and are retained under persistence rather than complications.</w:t>
            </w:r>
          </w:p>
        </w:tc>
      </w:tr>
      <w:tr w:rsidR="00936871" w:rsidRPr="00E53029" w14:paraId="25A226D8" w14:textId="77777777" w:rsidTr="00E53029">
        <w:trPr>
          <w:cantSplit/>
          <w:jc w:val="center"/>
        </w:trPr>
        <w:tc>
          <w:tcPr>
            <w:tcW w:w="50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604F6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Del Pozo 2009, non-CoNS</w:t>
            </w:r>
          </w:p>
        </w:tc>
        <w:tc>
          <w:tcPr>
            <w:tcW w:w="926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D219D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Adult cancer subgroup; ALT + systemic therapy; n=17</w:t>
            </w:r>
          </w:p>
        </w:tc>
        <w:tc>
          <w:tcPr>
            <w:tcW w:w="62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35887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Late; 270 d after completion of therapy</w:t>
            </w:r>
          </w:p>
        </w:tc>
        <w:tc>
          <w:tcPr>
            <w:tcW w:w="1019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C1551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Prosthetic knee infection</w:t>
            </w:r>
            <w:r w:rsidRPr="00E53029">
              <w:rPr>
                <w:rFonts w:asciiTheme="majorBidi" w:hAnsiTheme="majorBidi" w:cstheme="majorBidi"/>
                <w:sz w:val="12"/>
              </w:rPr>
              <w:t xml:space="preserve"> with the same Corynebacterium striatum as the index port-related bacteremia</w:t>
            </w:r>
          </w:p>
        </w:tc>
        <w:tc>
          <w:tcPr>
            <w:tcW w:w="74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EAF42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>1/17 (5.9%)</w:t>
            </w:r>
          </w:p>
        </w:tc>
        <w:tc>
          <w:tcPr>
            <w:tcW w:w="118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A471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2"/>
              </w:rPr>
              <w:t xml:space="preserve">Include descriptively as a late deep-seated infectious event. The source documents the same organism after eradication of the index bacteremia but does not explicitly </w:t>
            </w:r>
            <w:r w:rsidRPr="00E53029">
              <w:rPr>
                <w:rFonts w:asciiTheme="majorBidi" w:hAnsiTheme="majorBidi" w:cstheme="majorBidi"/>
                <w:sz w:val="12"/>
              </w:rPr>
              <w:t>adjudicate the knee infection as metastatic seeding from the index episode; exclude from a strict pooled complication estimate.</w:t>
            </w:r>
          </w:p>
        </w:tc>
      </w:tr>
    </w:tbl>
    <w:p w14:paraId="58B8F7EC" w14:textId="77777777" w:rsidR="00936871" w:rsidRPr="00E53029" w:rsidRDefault="005C43B0">
      <w:pPr>
        <w:pStyle w:val="SubHead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12.5 Catheter longevity / retention duration</w:t>
      </w:r>
    </w:p>
    <w:p w14:paraId="4B0BEF34" w14:textId="77777777" w:rsidR="00936871" w:rsidRPr="00E53029" w:rsidRDefault="005C43B0">
      <w:pPr>
        <w:pStyle w:val="Contribution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Nine studies reported an extractable continuous catheter-retention or catheter-lif</w:t>
      </w:r>
      <w:r w:rsidRPr="00E53029">
        <w:rPr>
          <w:rFonts w:asciiTheme="majorBidi" w:hAnsiTheme="majorBidi" w:cstheme="majorBidi"/>
        </w:rPr>
        <w:t>espan measure. These metrics had different time origins and were not pooled.</w:t>
      </w:r>
    </w:p>
    <w:p w14:paraId="23E468E5" w14:textId="77777777" w:rsidR="00936871" w:rsidRPr="00E53029" w:rsidRDefault="005C43B0">
      <w:pPr>
        <w:pStyle w:val="TableTitl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Table 12E. Catheter lifespan / retention duration after lock-based conservative management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6"/>
        <w:gridCol w:w="3080"/>
        <w:gridCol w:w="3012"/>
        <w:gridCol w:w="2278"/>
        <w:gridCol w:w="4082"/>
      </w:tblGrid>
      <w:tr w:rsidR="00936871" w:rsidRPr="00E53029" w14:paraId="5487EACB" w14:textId="77777777" w:rsidTr="00E53029">
        <w:trPr>
          <w:cantSplit/>
          <w:tblHeader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98EC3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Study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AAB7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Population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48A2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Time origin / catheter-duration metric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7FB84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Result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CE61B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b/>
                <w:sz w:val="14"/>
              </w:rPr>
              <w:t>Status / caveat</w:t>
            </w:r>
          </w:p>
        </w:tc>
      </w:tr>
      <w:tr w:rsidR="00936871" w:rsidRPr="00E53029" w14:paraId="16E4B0F8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475FD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Hachem </w:t>
            </w:r>
            <w:r w:rsidRPr="00E53029">
              <w:rPr>
                <w:rFonts w:asciiTheme="majorBidi" w:hAnsiTheme="majorBidi" w:cstheme="majorBidi"/>
                <w:sz w:val="13"/>
              </w:rPr>
              <w:t>2018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356D43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 n=20 vs CVC removal/reinsertion n=24; cancer predominant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AD845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Onset of bacteremia to catheter removal / end of need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BC12F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Lock: median 21 d (7-160) vs control removal: 2 d (0-8); P&lt;0.0001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30817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Results-section range (7-160) used; the abstract reported a shorter u</w:t>
            </w:r>
            <w:r w:rsidRPr="00E53029">
              <w:rPr>
                <w:rFonts w:asciiTheme="majorBidi" w:hAnsiTheme="majorBidi" w:cstheme="majorBidi"/>
                <w:sz w:val="13"/>
              </w:rPr>
              <w:t>pper range.</w:t>
            </w:r>
          </w:p>
        </w:tc>
      </w:tr>
      <w:tr w:rsidR="00936871" w:rsidRPr="00E53029" w14:paraId="4CC7ADF6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65C6A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Raad 2016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183B79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 patients receiving M-EDTA/EtOH lock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27B09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From onset of bacteremia to CVC removal / retention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AD7CC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74 d (4-240)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998672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Cancer-specific direct catheter-retention duration.</w:t>
            </w:r>
          </w:p>
        </w:tc>
      </w:tr>
      <w:tr w:rsidR="00936871" w:rsidRPr="00E53029" w14:paraId="21BB1BDA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699B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Ranganath 2025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582FF4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ALT-treated patients; mixed immunocompromised </w:t>
            </w:r>
            <w:r w:rsidRPr="00E53029">
              <w:rPr>
                <w:rFonts w:asciiTheme="majorBidi" w:hAnsiTheme="majorBidi" w:cstheme="majorBidi"/>
                <w:sz w:val="13"/>
              </w:rPr>
              <w:t>cohort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87C6D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retention after salvage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E5137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28 d (IQR 7-80)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283D0F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Direct ALT catheter-retention duration; most later removals were for non-infectious indications.</w:t>
            </w:r>
          </w:p>
        </w:tc>
      </w:tr>
      <w:tr w:rsidR="00936871" w:rsidRPr="00E53029" w14:paraId="4F1BFC20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2844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lastRenderedPageBreak/>
              <w:t>Ahmad 2019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E8091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71 adults, predominantly malignant hematology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B09F0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HCl instillation to CVC removal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D19EE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58 d (17-193)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C9786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Predominantly malignant hematology; small non-malignant subset inseparable.</w:t>
            </w:r>
          </w:p>
        </w:tc>
      </w:tr>
      <w:tr w:rsidR="00936871" w:rsidRPr="00E53029" w14:paraId="41619F90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A43E2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Broom 2008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F03E0C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15 patients retaining the CVC after ethanol lock; predominantly hematologic malignancy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8925E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After initiation of ethanol lock therapy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7FFD11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36 d; mean 47 d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1C291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Duration reported among retained catheters; mixed/nonseparable population.</w:t>
            </w:r>
          </w:p>
        </w:tc>
      </w:tr>
      <w:tr w:rsidR="00936871" w:rsidRPr="00E53029" w14:paraId="1FA919A5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333E5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Del Pozo 2009, non-CoNS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EB6015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17 adult cancer patients after excluding the 13-year-old participant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D1BC4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Port lifespan increase after bacteremia; patient-level review-derived adult estimate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2FCD0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</w:t>
            </w:r>
            <w:r w:rsidRPr="00E53029">
              <w:rPr>
                <w:rFonts w:asciiTheme="majorBidi" w:hAnsiTheme="majorBidi" w:cstheme="majorBidi"/>
                <w:sz w:val="13"/>
              </w:rPr>
              <w:t>an 299.9 d (range 0-1403)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DA317A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Author-reported overall mean was 288 d for all 18 participants, including the pediatric case.</w:t>
            </w:r>
          </w:p>
        </w:tc>
      </w:tr>
      <w:tr w:rsidR="00936871" w:rsidRPr="00E53029" w14:paraId="1DB2D0B8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549A06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Fernández-Hidalgo 2006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9AE0D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Successful ALT-treated episodes; mixed indications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AF662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Catheter follow-up after successful therapy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EEB0C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168 d (ran</w:t>
            </w:r>
            <w:r w:rsidRPr="00E53029">
              <w:rPr>
                <w:rFonts w:asciiTheme="majorBidi" w:hAnsiTheme="majorBidi" w:cstheme="majorBidi"/>
                <w:sz w:val="13"/>
              </w:rPr>
              <w:t>ge 7-2740)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0158A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Cancer-specific catheter follow-up not separable; descriptive mixed-cohort estimate.</w:t>
            </w:r>
          </w:p>
        </w:tc>
      </w:tr>
      <w:tr w:rsidR="00936871" w:rsidRPr="00E53029" w14:paraId="66E276F8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FDD258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Kubiak 2014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7B805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28/45 patients who retained their CVC after ELT; mixed cohort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F67120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Additional CVC retention after ELT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5EC067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Median 71 d (IQR 34-162; range 11-569)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07F8D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 xml:space="preserve">Direct </w:t>
            </w:r>
            <w:r w:rsidRPr="00E53029">
              <w:rPr>
                <w:rFonts w:asciiTheme="majorBidi" w:hAnsiTheme="majorBidi" w:cstheme="majorBidi"/>
                <w:sz w:val="13"/>
              </w:rPr>
              <w:t>duration among retained catheters; population not cancer-only.</w:t>
            </w:r>
          </w:p>
        </w:tc>
      </w:tr>
      <w:tr w:rsidR="00936871" w:rsidRPr="00E53029" w14:paraId="5C0B5FA9" w14:textId="77777777" w:rsidTr="00E53029">
        <w:trPr>
          <w:cantSplit/>
          <w:jc w:val="center"/>
        </w:trPr>
        <w:tc>
          <w:tcPr>
            <w:tcW w:w="5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FAF5A4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Sánchez-Muñoz 2005</w:t>
            </w:r>
          </w:p>
        </w:tc>
        <w:tc>
          <w:tcPr>
            <w:tcW w:w="1095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AE5D7B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11 adult cancer patients with successful catheter salvage</w:t>
            </w:r>
          </w:p>
        </w:tc>
        <w:tc>
          <w:tcPr>
            <w:tcW w:w="1071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452DC6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Infection-free catheter follow-up after ALT; adult-only review-derived</w:t>
            </w:r>
          </w:p>
        </w:tc>
        <w:tc>
          <w:tcPr>
            <w:tcW w:w="810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F9C299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Mean 250.9 d (range 120-420)</w:t>
            </w:r>
          </w:p>
        </w:tc>
        <w:tc>
          <w:tcPr>
            <w:tcW w:w="1452" w:type="pct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AB2DDD" w14:textId="77777777" w:rsidR="00936871" w:rsidRPr="00E53029" w:rsidRDefault="005C43B0">
            <w:pPr>
              <w:spacing w:after="0"/>
              <w:rPr>
                <w:rFonts w:asciiTheme="majorBidi" w:hAnsiTheme="majorBidi" w:cstheme="majorBidi"/>
              </w:rPr>
            </w:pPr>
            <w:r w:rsidRPr="00E53029">
              <w:rPr>
                <w:rFonts w:asciiTheme="majorBidi" w:hAnsiTheme="majorBidi" w:cstheme="majorBidi"/>
                <w:sz w:val="13"/>
              </w:rPr>
              <w:t>Author reported</w:t>
            </w:r>
            <w:r w:rsidRPr="00E53029">
              <w:rPr>
                <w:rFonts w:asciiTheme="majorBidi" w:hAnsiTheme="majorBidi" w:cstheme="majorBidi"/>
                <w:sz w:val="13"/>
              </w:rPr>
              <w:t xml:space="preserve"> 257 d for 12 successful salvages; adult-only estimate excludes the 15-year-old participant.</w:t>
            </w:r>
          </w:p>
        </w:tc>
      </w:tr>
    </w:tbl>
    <w:p w14:paraId="3B61B135" w14:textId="77777777" w:rsidR="00936871" w:rsidRPr="00E53029" w:rsidRDefault="005C43B0">
      <w:pPr>
        <w:pStyle w:val="TableNoteBMC"/>
        <w:rPr>
          <w:rFonts w:asciiTheme="majorBidi" w:hAnsiTheme="majorBidi" w:cstheme="majorBidi"/>
        </w:rPr>
      </w:pPr>
      <w:r w:rsidRPr="00E53029">
        <w:rPr>
          <w:rFonts w:asciiTheme="majorBidi" w:hAnsiTheme="majorBidi" w:cstheme="majorBidi"/>
        </w:rPr>
        <w:t>Abbreviations: ALT, antimicrobial lock therapy; BSI, bloodstream infection; CLABSI, central line-associated bloodstream infection; CoNS, coagulase-negative staphy</w:t>
      </w:r>
      <w:r w:rsidRPr="00E53029">
        <w:rPr>
          <w:rFonts w:asciiTheme="majorBidi" w:hAnsiTheme="majorBidi" w:cstheme="majorBidi"/>
        </w:rPr>
        <w:t>lococci; CRBSI, catheter-related bloodstream infection; CVC, central venous catheter; ELT, ethanol lock therapy; HCT, hematopoietic cell transplantation; HPN, home parenteral nutrition; IQR, interquartile range; PICC, peripherally inserted central catheter</w:t>
      </w:r>
      <w:r w:rsidRPr="00E53029">
        <w:rPr>
          <w:rFonts w:asciiTheme="majorBidi" w:hAnsiTheme="majorBidi" w:cstheme="majorBidi"/>
        </w:rPr>
        <w:t>; SAT, systemic antimicrobial therapy; TIVAD/TIVAP, totally implantable venous access device/port; VLT, vancomycin lock therapy.</w:t>
      </w:r>
    </w:p>
    <w:sectPr w:rsidR="00936871" w:rsidRPr="00E53029" w:rsidSect="00E53029">
      <w:footerReference w:type="default" r:id="rId8"/>
      <w:pgSz w:w="16838" w:h="11906" w:orient="landscape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AEBC2" w14:textId="77777777" w:rsidR="005C43B0" w:rsidRDefault="005C43B0">
      <w:pPr>
        <w:spacing w:after="0" w:line="240" w:lineRule="auto"/>
      </w:pPr>
      <w:r>
        <w:separator/>
      </w:r>
    </w:p>
  </w:endnote>
  <w:endnote w:type="continuationSeparator" w:id="0">
    <w:p w14:paraId="59947360" w14:textId="77777777" w:rsidR="005C43B0" w:rsidRDefault="005C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F766A" w14:textId="77777777" w:rsidR="00936871" w:rsidRDefault="009368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CC375" w14:textId="77777777" w:rsidR="005C43B0" w:rsidRDefault="005C43B0">
      <w:pPr>
        <w:spacing w:after="0" w:line="240" w:lineRule="auto"/>
      </w:pPr>
      <w:r>
        <w:separator/>
      </w:r>
    </w:p>
  </w:footnote>
  <w:footnote w:type="continuationSeparator" w:id="0">
    <w:p w14:paraId="2918A543" w14:textId="77777777" w:rsidR="005C43B0" w:rsidRDefault="005C4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CD1"/>
    <w:rsid w:val="005C43B0"/>
    <w:rsid w:val="00936871"/>
    <w:rsid w:val="00AA1D8D"/>
    <w:rsid w:val="00B47730"/>
    <w:rsid w:val="00BB4C04"/>
    <w:rsid w:val="00CB0664"/>
    <w:rsid w:val="00E40883"/>
    <w:rsid w:val="00E530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AF597"/>
  <w14:defaultImageDpi w14:val="300"/>
  <w15:docId w15:val="{BFFB47AA-6665-4240-9066-00A87EA6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">
    <w:name w:val="SectionHead"/>
    <w:pPr>
      <w:keepNext/>
      <w:spacing w:before="140" w:after="80"/>
    </w:pPr>
    <w:rPr>
      <w:rFonts w:ascii="Arial" w:hAnsi="Arial"/>
      <w:b/>
    </w:rPr>
  </w:style>
  <w:style w:type="paragraph" w:customStyle="1" w:styleId="SubHead">
    <w:name w:val="SubHead"/>
    <w:pPr>
      <w:keepNext/>
      <w:spacing w:before="100" w:after="40"/>
    </w:pPr>
    <w:rPr>
      <w:rFonts w:ascii="Arial" w:hAnsi="Arial"/>
      <w:b/>
      <w:sz w:val="19"/>
    </w:rPr>
  </w:style>
  <w:style w:type="paragraph" w:customStyle="1" w:styleId="TableTitleBMC">
    <w:name w:val="TableTitleBMC"/>
    <w:pPr>
      <w:keepNext/>
      <w:spacing w:before="100" w:after="40"/>
    </w:pPr>
    <w:rPr>
      <w:rFonts w:ascii="Arial" w:hAnsi="Arial"/>
      <w:b/>
      <w:sz w:val="16"/>
    </w:rPr>
  </w:style>
  <w:style w:type="paragraph" w:customStyle="1" w:styleId="TableNoteBMC">
    <w:name w:val="TableNoteBMC"/>
    <w:pPr>
      <w:spacing w:before="40" w:after="100"/>
    </w:pPr>
    <w:rPr>
      <w:rFonts w:ascii="Arial" w:hAnsi="Arial"/>
      <w:sz w:val="14"/>
    </w:rPr>
  </w:style>
  <w:style w:type="paragraph" w:customStyle="1" w:styleId="FrameworkBMC">
    <w:name w:val="FrameworkBMC"/>
    <w:pPr>
      <w:spacing w:before="40" w:after="100"/>
    </w:pPr>
    <w:rPr>
      <w:rFonts w:ascii="Arial" w:hAnsi="Arial"/>
      <w:sz w:val="16"/>
    </w:rPr>
  </w:style>
  <w:style w:type="paragraph" w:customStyle="1" w:styleId="Contribution">
    <w:name w:val="Contribution"/>
    <w:pPr>
      <w:keepNext/>
      <w:spacing w:before="40" w:after="80"/>
    </w:pPr>
    <w:rPr>
      <w:rFonts w:ascii="Arial" w:hAnsi="Arial"/>
      <w:sz w:val="16"/>
    </w:rPr>
  </w:style>
  <w:style w:type="paragraph" w:customStyle="1" w:styleId="AnalysisNote">
    <w:name w:val="AnalysisNote"/>
    <w:pPr>
      <w:spacing w:before="40" w:after="100"/>
    </w:pPr>
    <w:rPr>
      <w:rFonts w:ascii="Arial" w:hAnsi="Arial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8AEF5D-BC5D-4E02-870E-CA97DEB0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13207</Words>
  <Characters>75280</Characters>
  <Application>Microsoft Office Word</Application>
  <DocSecurity>0</DocSecurity>
  <Lines>627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88311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Bita</cp:lastModifiedBy>
  <cp:revision>3</cp:revision>
  <dcterms:created xsi:type="dcterms:W3CDTF">2013-12-23T23:15:00Z</dcterms:created>
  <dcterms:modified xsi:type="dcterms:W3CDTF">2026-08-21T03:07:00Z</dcterms:modified>
  <cp:category/>
</cp:coreProperties>
</file>