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i w:val="0"/>
          <w:sz w:val="30"/>
        </w:rPr>
        <w:t>Additional file 2</w:t>
      </w:r>
    </w:p>
    <w:p>
      <w:r>
        <w:rPr>
          <w:rFonts w:ascii="Times New Roman" w:hAnsi="Times New Roman" w:eastAsia="Times New Roman"/>
          <w:b/>
          <w:i w:val="0"/>
          <w:sz w:val="24"/>
        </w:rPr>
        <w:t>Figure S1. Leading organisms among orthopedic-service culture-positive isolate records.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35040" cy="40233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ditional_file_2_Figure_S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023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 w:val="0"/>
          <w:i w:val="0"/>
          <w:sz w:val="21"/>
        </w:rPr>
        <w:t xml:space="preserve">Note. The bar chart shows the ten most frequent organisms. Percentages use all positive isolate records as the denominator (n=7,385). </w:t>
      </w:r>
      <w:r>
        <w:rPr>
          <w:rFonts w:ascii="Times New Roman" w:hAnsi="Times New Roman" w:eastAsia="Times New Roman"/>
          <w:b w:val="0"/>
          <w:i w:val="0"/>
          <w:sz w:val="21"/>
          <w:i/>
          <w:iCs/>
        </w:rPr>
        <w:t>A. baumannii</w:t>
      </w:r>
      <w:r>
        <w:rPr>
          <w:rFonts w:ascii="Times New Roman" w:hAnsi="Times New Roman" w:eastAsia="Times New Roman"/>
          <w:b w:val="0"/>
          <w:i w:val="0"/>
          <w:sz w:val="21"/>
        </w:rPr>
        <w:t xml:space="preserve"> and </w:t>
      </w:r>
      <w:r>
        <w:rPr>
          <w:rFonts w:ascii="Times New Roman" w:hAnsi="Times New Roman" w:eastAsia="Times New Roman"/>
          <w:b w:val="0"/>
          <w:i w:val="0"/>
          <w:sz w:val="21"/>
          <w:i/>
          <w:iCs/>
        </w:rPr>
        <w:t>A. baumannii</w:t>
      </w:r>
      <w:r>
        <w:rPr>
          <w:rFonts w:ascii="Times New Roman" w:hAnsi="Times New Roman" w:eastAsia="Times New Roman"/>
          <w:b w:val="0"/>
          <w:i w:val="0"/>
          <w:sz w:val="21"/>
        </w:rPr>
        <w:t xml:space="preserve"> complex are displayed separately because the historical laboratory system exported them as separate labels.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2 - Figure S1</dc:title>
  <dc:subject>Reviewer revision</dc:subject>
  <dc:creator>Authors</dc:creator>
  <cp:keywords>orthopedic microbiology; antimicrobial resistance; revision</cp:keywords>
  <dc:description>Revised in response to peer review.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