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6B6711">
      <w:pPr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Supplemental Content</w:t>
      </w:r>
    </w:p>
    <w:p w14:paraId="2EA098C3">
      <w:pPr>
        <w:jc w:val="both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</w:p>
    <w:p w14:paraId="377ABFC2">
      <w:pPr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>Figure S1: Percentage of missing variables.</w:t>
      </w:r>
    </w:p>
    <w:p w14:paraId="3265DF5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3011170"/>
            <wp:effectExtent l="0" t="0" r="3175" b="6350"/>
            <wp:docPr id="1" name="图片 1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011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7B775">
      <w:pPr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In Figure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S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1, we summarize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d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the percentage of missing data. The missing percentages for each variable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were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as follows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: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BMI (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18.0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%), Hemoglobin (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1.4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%), WBC (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1.3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%), Albumin (2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8.1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%), Creatinine (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0.8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%),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Total bilirubin (29.0%),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ALT (2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7.6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%), AST (2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6.9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%).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Abbreviations: BMI, body mass index; WBC, white blood cell; ALT, alanine aminotransferase; AST, aspartate transaminase.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832A3A"/>
    <w:rsid w:val="266F2EFF"/>
    <w:rsid w:val="6B425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59</Words>
  <Characters>376</Characters>
  <Lines>0</Lines>
  <Paragraphs>0</Paragraphs>
  <TotalTime>4</TotalTime>
  <ScaleCrop>false</ScaleCrop>
  <LinksUpToDate>false</LinksUpToDate>
  <CharactersWithSpaces>432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2026-05-06T02:10:00Z</dcterms:created>
  <dc:creator>17966</dc:creator>
  <cp:lastModifiedBy>LOGIC</cp:lastModifiedBy>
  <dcterms:modified xsi:type="dcterms:W3CDTF">2026-08-29T02:20:17Z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eyJoZGlkIjoiNTQ3NTQ5N2YzNTI3YzM5MWNmYzhiZTI1MjgyY2U1YjkiLCJ1c2VySWQiOiIzODA4NDk3NzcifQ==</vt:lpwstr>
  </property>
  <property fmtid="{D5CDD505-2E9C-101B-9397-08002B2CF9AE}" pid="4" name="ICV">
    <vt:lpwstr>7AEB24D38A7C4325B0FB38E397D415D4_12</vt:lpwstr>
  </property>
</Properties>
</file>