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EE9EE" w14:textId="77777777" w:rsidR="00012824" w:rsidRDefault="00000000">
      <w:pPr>
        <w:spacing w:after="160"/>
        <w:jc w:val="center"/>
      </w:pPr>
      <w:r>
        <w:rPr>
          <w:b/>
          <w:color w:val="000000"/>
          <w:sz w:val="28"/>
        </w:rPr>
        <w:t>Additional file 1</w:t>
      </w:r>
    </w:p>
    <w:p w14:paraId="6CD13FC7" w14:textId="77777777" w:rsidR="00012824" w:rsidRDefault="00000000">
      <w:pPr>
        <w:spacing w:after="80"/>
        <w:jc w:val="center"/>
      </w:pPr>
      <w:r>
        <w:rPr>
          <w:i/>
          <w:color w:val="000000"/>
          <w:sz w:val="22"/>
        </w:rPr>
        <w:t>Catheter-associated urinary tract infections in the intensive care setting: a five-year surveillance, microbiological and antibiotic-resistance study</w:t>
      </w:r>
    </w:p>
    <w:p w14:paraId="328899D9" w14:textId="77777777" w:rsidR="00012824" w:rsidRDefault="00000000">
      <w:pPr>
        <w:spacing w:after="240"/>
        <w:jc w:val="center"/>
      </w:pPr>
      <w:r>
        <w:rPr>
          <w:color w:val="000000"/>
          <w:sz w:val="22"/>
        </w:rPr>
        <w:t>Azize Yetişgen, Osman Kurt, Esra Erdoğan</w:t>
      </w:r>
    </w:p>
    <w:p w14:paraId="3D82EAAE" w14:textId="77777777" w:rsidR="00012824" w:rsidRDefault="00000000">
      <w:pPr>
        <w:spacing w:after="80"/>
      </w:pPr>
      <w:r>
        <w:rPr>
          <w:b/>
          <w:color w:val="000000"/>
        </w:rPr>
        <w:t>Contents</w:t>
      </w:r>
    </w:p>
    <w:p w14:paraId="6271EEAC" w14:textId="77777777" w:rsidR="00012824" w:rsidRDefault="00000000">
      <w:pPr>
        <w:spacing w:after="40"/>
      </w:pPr>
      <w:r>
        <w:rPr>
          <w:b/>
          <w:color w:val="000000"/>
          <w:sz w:val="22"/>
        </w:rPr>
        <w:t xml:space="preserve">Figure S1. </w:t>
      </w:r>
      <w:r>
        <w:rPr>
          <w:color w:val="000000"/>
          <w:sz w:val="22"/>
        </w:rPr>
        <w:t>Case-selection flow diagram.</w:t>
      </w:r>
    </w:p>
    <w:p w14:paraId="47DE380A" w14:textId="77777777" w:rsidR="00012824" w:rsidRDefault="00000000">
      <w:pPr>
        <w:spacing w:after="40"/>
      </w:pPr>
      <w:r>
        <w:rPr>
          <w:b/>
          <w:color w:val="000000"/>
          <w:sz w:val="22"/>
        </w:rPr>
        <w:t xml:space="preserve">Figure S2. </w:t>
      </w:r>
      <w:r>
        <w:rPr>
          <w:color w:val="000000"/>
          <w:sz w:val="22"/>
        </w:rPr>
        <w:t>Receiver-operating-characteristic (ROC) curve of the primary multivariable model.</w:t>
      </w:r>
    </w:p>
    <w:p w14:paraId="3318C5A1" w14:textId="77777777" w:rsidR="00012824" w:rsidRDefault="00000000">
      <w:pPr>
        <w:spacing w:after="40"/>
      </w:pPr>
      <w:r>
        <w:rPr>
          <w:b/>
          <w:color w:val="000000"/>
          <w:sz w:val="22"/>
        </w:rPr>
        <w:t xml:space="preserve">Table S1. </w:t>
      </w:r>
      <w:r>
        <w:rPr>
          <w:color w:val="000000"/>
          <w:sz w:val="22"/>
        </w:rPr>
        <w:t>Sensitivity analysis: multivariable Firth model including all univariable-significant variables.</w:t>
      </w:r>
    </w:p>
    <w:p w14:paraId="58627DD7" w14:textId="77777777" w:rsidR="00012824" w:rsidRDefault="00000000">
      <w:r>
        <w:br w:type="page"/>
      </w:r>
    </w:p>
    <w:p w14:paraId="55827E77" w14:textId="77777777" w:rsidR="00012824" w:rsidRDefault="00000000">
      <w:r>
        <w:rPr>
          <w:b/>
          <w:color w:val="000000"/>
        </w:rPr>
        <w:lastRenderedPageBreak/>
        <w:t>Figure S1.</w:t>
      </w:r>
    </w:p>
    <w:p w14:paraId="0A3A8183" w14:textId="77777777" w:rsidR="00012824" w:rsidRDefault="00000000">
      <w:pPr>
        <w:jc w:val="center"/>
      </w:pPr>
      <w:r>
        <w:rPr>
          <w:noProof/>
        </w:rPr>
        <w:drawing>
          <wp:inline distT="0" distB="0" distL="0" distR="0" wp14:anchorId="3346D6BC" wp14:editId="3FA8B633">
            <wp:extent cx="4140000" cy="47052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4705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72FBF" w14:textId="77777777" w:rsidR="00012824" w:rsidRDefault="00000000">
      <w:pPr>
        <w:jc w:val="both"/>
      </w:pPr>
      <w:r>
        <w:rPr>
          <w:b/>
          <w:color w:val="000000"/>
          <w:sz w:val="22"/>
        </w:rPr>
        <w:t xml:space="preserve">Figure S1. </w:t>
      </w:r>
      <w:r>
        <w:rPr>
          <w:color w:val="000000"/>
          <w:sz w:val="22"/>
        </w:rPr>
        <w:t>Case-selection flow diagram. Cases reported to the national healthcare-associated infection surveillance network at Malatya Training and Research Hospital (2021–2025) were screened against NHSN-based surveillance criteria for catheter-associated urinary tract infection. After exclusion of community-onset or present-on-admission infections, cases not meeting the surveillance definition, contaminant or clinically insignificant cultures, and cases with missing data, 107 episodes in 98 unique patients were included; seven patients contributed more than one episode.</w:t>
      </w:r>
    </w:p>
    <w:p w14:paraId="3A3F6BDB" w14:textId="77777777" w:rsidR="00012824" w:rsidRDefault="00000000">
      <w:r>
        <w:br w:type="page"/>
      </w:r>
    </w:p>
    <w:p w14:paraId="2E19969D" w14:textId="77777777" w:rsidR="00012824" w:rsidRDefault="00000000">
      <w:r>
        <w:rPr>
          <w:b/>
          <w:color w:val="000000"/>
        </w:rPr>
        <w:lastRenderedPageBreak/>
        <w:t>Figure S2.</w:t>
      </w:r>
    </w:p>
    <w:p w14:paraId="26B3D31D" w14:textId="77777777" w:rsidR="00012824" w:rsidRDefault="00000000">
      <w:pPr>
        <w:jc w:val="center"/>
      </w:pPr>
      <w:r>
        <w:rPr>
          <w:noProof/>
        </w:rPr>
        <w:drawing>
          <wp:inline distT="0" distB="0" distL="0" distR="0" wp14:anchorId="46629C71" wp14:editId="501873B1">
            <wp:extent cx="3780000" cy="369369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3693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6BD5A" w14:textId="77777777" w:rsidR="00012824" w:rsidRDefault="00000000">
      <w:pPr>
        <w:jc w:val="both"/>
      </w:pPr>
      <w:r>
        <w:rPr>
          <w:b/>
          <w:color w:val="000000"/>
          <w:sz w:val="22"/>
        </w:rPr>
        <w:t xml:space="preserve">Figure S2. </w:t>
      </w:r>
      <w:r>
        <w:rPr>
          <w:color w:val="000000"/>
          <w:sz w:val="22"/>
        </w:rPr>
        <w:t>Receiver-operating-characteristic (ROC) curve of the primary multivariable Firth logistic-regression model (age, hypertension, impaired consciousness) for in-hospital mortality. The area under the curve (AUC) with its 95% confidence interval is shown; the dashed diagonal denotes the line of no discrimination.</w:t>
      </w:r>
    </w:p>
    <w:p w14:paraId="0C8AF9EB" w14:textId="77777777" w:rsidR="00012824" w:rsidRDefault="00000000">
      <w:r>
        <w:br w:type="page"/>
      </w:r>
    </w:p>
    <w:p w14:paraId="4AA26624" w14:textId="77777777" w:rsidR="00012824" w:rsidRDefault="00000000">
      <w:r>
        <w:rPr>
          <w:b/>
          <w:color w:val="000000"/>
        </w:rPr>
        <w:lastRenderedPageBreak/>
        <w:t xml:space="preserve">Table S1. </w:t>
      </w:r>
      <w:r>
        <w:rPr>
          <w:color w:val="000000"/>
        </w:rPr>
        <w:t>Sensitivity analysis: multivariable Firth penalised-likelihood model including all variables significant in univariable analysis.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2835"/>
        <w:gridCol w:w="1417"/>
      </w:tblGrid>
      <w:tr w:rsidR="00012824" w14:paraId="4FDB88DA" w14:textId="77777777">
        <w:trPr>
          <w:jc w:val="center"/>
        </w:trPr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3354EA4" w14:textId="77777777" w:rsidR="00012824" w:rsidRDefault="00000000">
            <w:pPr>
              <w:spacing w:before="40" w:after="40" w:line="240" w:lineRule="auto"/>
            </w:pPr>
            <w:r>
              <w:rPr>
                <w:b/>
                <w:color w:val="000000"/>
                <w:sz w:val="20"/>
              </w:rPr>
              <w:t>Variable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F16C212" w14:textId="77777777" w:rsidR="00012824" w:rsidRDefault="00000000">
            <w:pPr>
              <w:spacing w:before="40" w:after="40" w:line="240" w:lineRule="auto"/>
              <w:jc w:val="center"/>
            </w:pPr>
            <w:r>
              <w:rPr>
                <w:b/>
                <w:color w:val="000000"/>
                <w:sz w:val="20"/>
              </w:rPr>
              <w:t>Adjusted OR (95% CI)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71FF3DE" w14:textId="77777777" w:rsidR="00012824" w:rsidRDefault="00000000">
            <w:pPr>
              <w:spacing w:before="40" w:after="40" w:line="240" w:lineRule="auto"/>
              <w:jc w:val="center"/>
            </w:pPr>
            <w:r>
              <w:rPr>
                <w:b/>
                <w:color w:val="000000"/>
                <w:sz w:val="20"/>
              </w:rPr>
              <w:t>p</w:t>
            </w:r>
          </w:p>
        </w:tc>
      </w:tr>
      <w:tr w:rsidR="00012824" w14:paraId="76F48AE9" w14:textId="77777777">
        <w:trPr>
          <w:jc w:val="center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E010B" w14:textId="77777777" w:rsidR="00012824" w:rsidRDefault="00000000">
            <w:pPr>
              <w:spacing w:before="40" w:after="40" w:line="240" w:lineRule="auto"/>
            </w:pPr>
            <w:r>
              <w:rPr>
                <w:color w:val="000000"/>
                <w:sz w:val="20"/>
              </w:rPr>
              <w:t>Age (per 10-year increase)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AC168" w14:textId="77777777" w:rsidR="00012824" w:rsidRDefault="00000000">
            <w:pPr>
              <w:spacing w:before="40" w:after="40" w:line="240" w:lineRule="auto"/>
              <w:jc w:val="center"/>
            </w:pPr>
            <w:r>
              <w:rPr>
                <w:color w:val="000000"/>
                <w:sz w:val="20"/>
              </w:rPr>
              <w:t>1.23 (0.96–1.58)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ABEBF" w14:textId="77777777" w:rsidR="00012824" w:rsidRDefault="00000000">
            <w:pPr>
              <w:spacing w:before="40" w:after="40" w:line="240" w:lineRule="auto"/>
              <w:jc w:val="center"/>
            </w:pPr>
            <w:r>
              <w:rPr>
                <w:color w:val="000000"/>
                <w:sz w:val="20"/>
              </w:rPr>
              <w:t>0.102</w:t>
            </w:r>
          </w:p>
        </w:tc>
      </w:tr>
      <w:tr w:rsidR="00012824" w14:paraId="77F0948A" w14:textId="77777777">
        <w:trPr>
          <w:jc w:val="center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21192" w14:textId="77777777" w:rsidR="00012824" w:rsidRDefault="00000000">
            <w:pPr>
              <w:spacing w:before="40" w:after="40" w:line="240" w:lineRule="auto"/>
            </w:pPr>
            <w:r>
              <w:rPr>
                <w:color w:val="000000"/>
                <w:sz w:val="20"/>
              </w:rPr>
              <w:t>Hypertension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8CA81" w14:textId="77777777" w:rsidR="00012824" w:rsidRDefault="00000000">
            <w:pPr>
              <w:spacing w:before="40" w:after="40" w:line="240" w:lineRule="auto"/>
              <w:jc w:val="center"/>
            </w:pPr>
            <w:r>
              <w:rPr>
                <w:color w:val="000000"/>
                <w:sz w:val="20"/>
              </w:rPr>
              <w:t>1.95 (0.50–7.59)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DA71B" w14:textId="77777777" w:rsidR="00012824" w:rsidRDefault="00000000">
            <w:pPr>
              <w:spacing w:before="40" w:after="40" w:line="240" w:lineRule="auto"/>
              <w:jc w:val="center"/>
            </w:pPr>
            <w:r>
              <w:rPr>
                <w:color w:val="000000"/>
                <w:sz w:val="20"/>
              </w:rPr>
              <w:t>0.333</w:t>
            </w:r>
          </w:p>
        </w:tc>
      </w:tr>
      <w:tr w:rsidR="00012824" w14:paraId="02E5C332" w14:textId="77777777">
        <w:trPr>
          <w:jc w:val="center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F7B40" w14:textId="77777777" w:rsidR="00012824" w:rsidRDefault="00000000">
            <w:pPr>
              <w:spacing w:before="40" w:after="40" w:line="240" w:lineRule="auto"/>
            </w:pPr>
            <w:r>
              <w:rPr>
                <w:color w:val="000000"/>
                <w:sz w:val="20"/>
              </w:rPr>
              <w:t>Mechanical ventilation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82FAD" w14:textId="77777777" w:rsidR="00012824" w:rsidRDefault="00000000">
            <w:pPr>
              <w:spacing w:before="40" w:after="40" w:line="240" w:lineRule="auto"/>
              <w:jc w:val="center"/>
            </w:pPr>
            <w:r>
              <w:rPr>
                <w:color w:val="000000"/>
                <w:sz w:val="20"/>
              </w:rPr>
              <w:t>0.27 (0.01–6.09)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9C921" w14:textId="77777777" w:rsidR="00012824" w:rsidRDefault="00000000">
            <w:pPr>
              <w:spacing w:before="40" w:after="40" w:line="240" w:lineRule="auto"/>
              <w:jc w:val="center"/>
            </w:pPr>
            <w:r>
              <w:rPr>
                <w:color w:val="000000"/>
                <w:sz w:val="20"/>
              </w:rPr>
              <w:t>0.412</w:t>
            </w:r>
          </w:p>
        </w:tc>
      </w:tr>
      <w:tr w:rsidR="00012824" w14:paraId="269272EB" w14:textId="77777777">
        <w:trPr>
          <w:jc w:val="center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DFE3A" w14:textId="77777777" w:rsidR="00012824" w:rsidRDefault="00000000">
            <w:pPr>
              <w:spacing w:before="40" w:after="40" w:line="240" w:lineRule="auto"/>
            </w:pPr>
            <w:r>
              <w:rPr>
                <w:color w:val="000000"/>
                <w:sz w:val="20"/>
              </w:rPr>
              <w:t>Endotracheal intubation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EBF3A" w14:textId="77777777" w:rsidR="00012824" w:rsidRDefault="00000000">
            <w:pPr>
              <w:spacing w:before="40" w:after="40" w:line="240" w:lineRule="auto"/>
              <w:jc w:val="center"/>
            </w:pPr>
            <w:r>
              <w:rPr>
                <w:color w:val="000000"/>
                <w:sz w:val="20"/>
              </w:rPr>
              <w:t>0.51 (0.11–2.48)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B01D8" w14:textId="77777777" w:rsidR="00012824" w:rsidRDefault="00000000">
            <w:pPr>
              <w:spacing w:before="40" w:after="40" w:line="240" w:lineRule="auto"/>
              <w:jc w:val="center"/>
            </w:pPr>
            <w:r>
              <w:rPr>
                <w:color w:val="000000"/>
                <w:sz w:val="20"/>
              </w:rPr>
              <w:t>0.405</w:t>
            </w:r>
          </w:p>
        </w:tc>
      </w:tr>
      <w:tr w:rsidR="00012824" w14:paraId="6F10D6D3" w14:textId="77777777">
        <w:trPr>
          <w:jc w:val="center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F64BB" w14:textId="77777777" w:rsidR="00012824" w:rsidRDefault="00000000">
            <w:pPr>
              <w:spacing w:before="40" w:after="40" w:line="240" w:lineRule="auto"/>
            </w:pPr>
            <w:r>
              <w:rPr>
                <w:color w:val="000000"/>
                <w:sz w:val="20"/>
              </w:rPr>
              <w:t>Central venous catheter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83F17" w14:textId="77777777" w:rsidR="00012824" w:rsidRDefault="00000000">
            <w:pPr>
              <w:spacing w:before="40" w:after="40" w:line="240" w:lineRule="auto"/>
              <w:jc w:val="center"/>
            </w:pPr>
            <w:r>
              <w:rPr>
                <w:color w:val="000000"/>
                <w:sz w:val="20"/>
              </w:rPr>
              <w:t>1.87 (0.52–6.69)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91112" w14:textId="77777777" w:rsidR="00012824" w:rsidRDefault="00000000">
            <w:pPr>
              <w:spacing w:before="40" w:after="40" w:line="240" w:lineRule="auto"/>
              <w:jc w:val="center"/>
            </w:pPr>
            <w:r>
              <w:rPr>
                <w:color w:val="000000"/>
                <w:sz w:val="20"/>
              </w:rPr>
              <w:t>0.339</w:t>
            </w:r>
          </w:p>
        </w:tc>
      </w:tr>
      <w:tr w:rsidR="00012824" w14:paraId="176597AB" w14:textId="77777777">
        <w:trPr>
          <w:jc w:val="center"/>
        </w:trPr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40E3D15" w14:textId="77777777" w:rsidR="00012824" w:rsidRDefault="00000000">
            <w:pPr>
              <w:spacing w:before="40" w:after="40" w:line="240" w:lineRule="auto"/>
            </w:pPr>
            <w:r>
              <w:rPr>
                <w:color w:val="000000"/>
                <w:sz w:val="20"/>
              </w:rPr>
              <w:t>Impaired consciousness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14A4623" w14:textId="77777777" w:rsidR="00012824" w:rsidRDefault="00000000">
            <w:pPr>
              <w:spacing w:before="40" w:after="40" w:line="240" w:lineRule="auto"/>
              <w:jc w:val="center"/>
            </w:pPr>
            <w:r>
              <w:rPr>
                <w:color w:val="000000"/>
                <w:sz w:val="20"/>
              </w:rPr>
              <w:t>23.50 (0.89–622.60)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971A220" w14:textId="77777777" w:rsidR="00012824" w:rsidRDefault="00000000">
            <w:pPr>
              <w:spacing w:before="40" w:after="40" w:line="240" w:lineRule="auto"/>
              <w:jc w:val="center"/>
            </w:pPr>
            <w:r>
              <w:rPr>
                <w:color w:val="000000"/>
                <w:sz w:val="20"/>
              </w:rPr>
              <w:t>0.059</w:t>
            </w:r>
          </w:p>
        </w:tc>
      </w:tr>
    </w:tbl>
    <w:p w14:paraId="2F784048" w14:textId="77777777" w:rsidR="00012824" w:rsidRDefault="00000000">
      <w:pPr>
        <w:spacing w:before="80"/>
      </w:pPr>
      <w:r>
        <w:rPr>
          <w:i/>
          <w:color w:val="000000"/>
          <w:sz w:val="18"/>
        </w:rPr>
        <w:t>Firth penalised-likelihood logistic regression (n = 106, deaths = 69). No individual variable remained statistically significant when all six univariable-significant variables were modelled simultaneously, and confidence intervals widened markedly, consistent with strong collinearity among these severity markers and a limited events-per-variable ratio; overall discrimination was similar to the primary model (AUC 0.798 vs 0.769). These results support the parsimonious primary model reported in the main text. CI confidence interval, OR odds ratio.</w:t>
      </w:r>
    </w:p>
    <w:sectPr w:rsidR="00012824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9212980">
    <w:abstractNumId w:val="8"/>
  </w:num>
  <w:num w:numId="2" w16cid:durableId="1183398847">
    <w:abstractNumId w:val="6"/>
  </w:num>
  <w:num w:numId="3" w16cid:durableId="1898318117">
    <w:abstractNumId w:val="5"/>
  </w:num>
  <w:num w:numId="4" w16cid:durableId="1771461840">
    <w:abstractNumId w:val="4"/>
  </w:num>
  <w:num w:numId="5" w16cid:durableId="221522047">
    <w:abstractNumId w:val="7"/>
  </w:num>
  <w:num w:numId="6" w16cid:durableId="1454903300">
    <w:abstractNumId w:val="3"/>
  </w:num>
  <w:num w:numId="7" w16cid:durableId="467627082">
    <w:abstractNumId w:val="2"/>
  </w:num>
  <w:num w:numId="8" w16cid:durableId="1894849018">
    <w:abstractNumId w:val="1"/>
  </w:num>
  <w:num w:numId="9" w16cid:durableId="1611745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824"/>
    <w:rsid w:val="00034616"/>
    <w:rsid w:val="0006063C"/>
    <w:rsid w:val="0015074B"/>
    <w:rsid w:val="0029639D"/>
    <w:rsid w:val="00326F90"/>
    <w:rsid w:val="006B4046"/>
    <w:rsid w:val="00AA1D8D"/>
    <w:rsid w:val="00B47730"/>
    <w:rsid w:val="00CB0664"/>
    <w:rsid w:val="00CB58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C602EF"/>
  <w14:defaultImageDpi w14:val="300"/>
  <w15:docId w15:val="{493DC70E-A57E-480B-9DBE-D6B808C85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eastAsia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357</Words>
  <Characters>2040</Characters>
  <Application>Microsoft Office Word</Application>
  <DocSecurity>0</DocSecurity>
  <Lines>17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KURT</cp:lastModifiedBy>
  <cp:revision>2</cp:revision>
  <dcterms:created xsi:type="dcterms:W3CDTF">2013-12-23T23:15:00Z</dcterms:created>
  <dcterms:modified xsi:type="dcterms:W3CDTF">2026-08-20T17:26:00Z</dcterms:modified>
  <cp:category/>
</cp:coreProperties>
</file>