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404498">
      <w:r>
        <w:rPr>
          <w:rFonts w:hint="eastAsia" w:ascii="Times New Roman" w:hAnsi="Times New Roman" w:cs="Times New Roman"/>
          <w:lang w:val="en-US" w:eastAsia="zh-CN"/>
        </w:rPr>
        <w:t xml:space="preserve">Supplementary </w:t>
      </w:r>
      <w:r>
        <w:rPr>
          <w:rFonts w:ascii="Times New Roman" w:hAnsi="Times New Roman" w:cs="Times New Roman"/>
        </w:rPr>
        <w:t xml:space="preserve">Table </w:t>
      </w:r>
      <w:r>
        <w:rPr>
          <w:rFonts w:hint="eastAsia" w:ascii="Times New Roman" w:hAnsi="Times New Roman" w:cs="Times New Roman"/>
          <w:lang w:val="en-US" w:eastAsia="zh-CN"/>
        </w:rPr>
        <w:t>1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Reference sequences and their accession numbers</w:t>
      </w:r>
    </w:p>
    <w:tbl>
      <w:tblPr>
        <w:tblStyle w:val="7"/>
        <w:tblW w:w="8691" w:type="dxa"/>
        <w:tblInd w:w="-169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2"/>
        <w:gridCol w:w="7249"/>
      </w:tblGrid>
      <w:tr w14:paraId="64C9F4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0" w:hRule="atLeast"/>
        </w:trPr>
        <w:tc>
          <w:tcPr>
            <w:tcW w:w="1442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5591C0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accession</w:t>
            </w:r>
          </w:p>
        </w:tc>
        <w:tc>
          <w:tcPr>
            <w:tcW w:w="7249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240C639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description</w:t>
            </w:r>
          </w:p>
        </w:tc>
      </w:tr>
      <w:tr w14:paraId="69E131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9DB6E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LC936413.1</w:t>
            </w:r>
          </w:p>
        </w:tc>
        <w:tc>
          <w:tcPr>
            <w:tcW w:w="724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913ED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LC936413.1 Norovirus GII Hu/GII.17[P17]/TKY250798/2025/JP RNA, nearly complete genome</w:t>
            </w:r>
          </w:p>
        </w:tc>
      </w:tr>
      <w:tr w14:paraId="218D32D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B5A55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PZ264184.1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D66DC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PZ264184.1 Norovirus GII isolate HNDZ202404/CHN/2024 nonstructural polyprotein, RdRp region, (ORF1) gene, partial cds; and VP1 (ORF2) gene, complete cds</w:t>
            </w:r>
          </w:p>
        </w:tc>
      </w:tr>
      <w:tr w14:paraId="1610E3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5D938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PV784344.1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C93C2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PV784344.1 Norovirus GII isolate Hu/GII.17/186/DE/2024, complete genome</w:t>
            </w:r>
          </w:p>
        </w:tc>
      </w:tr>
      <w:tr w14:paraId="15BD6D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CD0DE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PZ234825.1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67377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PZ234825.1 Norovirus GII isolate 20242120 nonstructural polyprotein (ORF1), VP1 (ORF2), and VP2 (ORF3) genes, complete cds</w:t>
            </w:r>
          </w:p>
        </w:tc>
      </w:tr>
      <w:tr w14:paraId="1B0C6A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D1348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LC433732.1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63A8B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LC433732.1 Norovirus GII Hu/JP/2015/GII.P17_GII.17/OH15061 genes for RNA polymerase, VP1 capsid protein, partial and complete cds</w:t>
            </w:r>
          </w:p>
        </w:tc>
      </w:tr>
      <w:tr w14:paraId="4B3E8F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5B61E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KP998539.1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4D563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KP998539.1 Norovirus GII.17 isolate GII/Hu/HKG/2014/GII.17/CUHK-NS-463, complete genome</w:t>
            </w:r>
          </w:p>
        </w:tc>
      </w:tr>
      <w:tr w14:paraId="57DEF3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9DE1F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LC790062.1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1FBCA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LC790062.1 Norovirus GII.2 GII/Hu/JP/2023/GII.2[P16]/TKY221324 RNA, nearly complete genome</w:t>
            </w:r>
          </w:p>
        </w:tc>
      </w:tr>
      <w:tr w14:paraId="768DE7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9ED12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PZ741900.1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27DEC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PZ741900.1 Norovirus GII isolate Hu/GII.4 Sydney[P31]/WI0326/2019/USA, complete genome</w:t>
            </w:r>
          </w:p>
        </w:tc>
      </w:tr>
      <w:tr w14:paraId="3B6FE7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08F51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LC790056.1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F61D1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LC790056.1 Norovirus GII.6 GII/Hu/JP/2022/GII.6[P7]/TKY220914 RNA, nearly complete genome</w:t>
            </w:r>
          </w:p>
        </w:tc>
      </w:tr>
      <w:tr w14:paraId="5E14C1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CDE61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LC877034.1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D4A1F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LC877034.1 Norovirus GII.7 Hu/GII.7[P7]/TKY2931/2025/JPN RNA, nearly complete genome</w:t>
            </w:r>
          </w:p>
        </w:tc>
      </w:tr>
      <w:tr w14:paraId="7DD492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AD940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GU594162.1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B17CA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GU594162.1 Norovirus Hu/GII.14/8610/Saga/2008/JPN, complete genome</w:t>
            </w:r>
          </w:p>
        </w:tc>
      </w:tr>
      <w:tr w14:paraId="14DC13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A19D3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KX079488.1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8E125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KX079488.1 Norovirus GII.21 strain NoV/Kor/JW, complete genome</w:t>
            </w:r>
          </w:p>
        </w:tc>
      </w:tr>
      <w:tr w14:paraId="20D2BA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640C7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AB081723.2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C96F4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Norwalk-like virus genomic RNA, complete genome, strain: WUG1</w:t>
            </w:r>
          </w:p>
        </w:tc>
      </w:tr>
      <w:tr w14:paraId="35D7D4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5AFD2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U07611.2</w:t>
            </w:r>
          </w:p>
        </w:tc>
        <w:tc>
          <w:tcPr>
            <w:tcW w:w="7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EA494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Hawaii calicivirus nonstructural polyprotein and capsid protein genes, complete cds; and unknown gene</w:t>
            </w:r>
          </w:p>
        </w:tc>
      </w:tr>
      <w:tr w14:paraId="09A343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F034EE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PZ264244.1</w:t>
            </w:r>
          </w:p>
        </w:tc>
        <w:tc>
          <w:tcPr>
            <w:tcW w:w="72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9AD213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Norovirus GII isolate 2023SCSN31/CHN/2023 nonstructural polyprotein (ORF1) gene, partial cds; and VP1 (ORF2) gene, complete cds</w:t>
            </w:r>
          </w:p>
        </w:tc>
      </w:tr>
    </w:tbl>
    <w:p w14:paraId="4F717571"/>
    <w:p w14:paraId="0C6B23D3">
      <w:pPr>
        <w:rPr>
          <w:rFonts w:hint="eastAsia" w:ascii="Times New Roman" w:hAnsi="Times New Roman" w:cs="Times New Roman"/>
          <w:lang w:val="en-US" w:eastAsia="zh-CN"/>
        </w:rPr>
      </w:pPr>
    </w:p>
    <w:p w14:paraId="3D03F71C">
      <w:pPr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Supplementary </w:t>
      </w:r>
      <w:r>
        <w:rPr>
          <w:rFonts w:ascii="Times New Roman" w:hAnsi="Times New Roman" w:cs="Times New Roman"/>
        </w:rPr>
        <w:t xml:space="preserve">Table </w:t>
      </w: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ascii="Times New Roman" w:hAnsi="Times New Roman" w:cs="Times New Roman"/>
        </w:rPr>
        <w:t xml:space="preserve"> Association Between Personal Hygiene, Dining Habits and Acute Gastroenteritis Risk</w:t>
      </w:r>
    </w:p>
    <w:tbl>
      <w:tblPr>
        <w:tblStyle w:val="7"/>
        <w:tblW w:w="8035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29"/>
        <w:gridCol w:w="964"/>
        <w:gridCol w:w="883"/>
        <w:gridCol w:w="877"/>
        <w:gridCol w:w="3882"/>
      </w:tblGrid>
      <w:tr w14:paraId="2EC618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1429" w:type="dxa"/>
            <w:tcBorders>
              <w:top w:val="single" w:color="auto" w:sz="12" w:space="0"/>
              <w:bottom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2BB973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微软雅黑"/>
                <w:b/>
                <w:color w:val="000000"/>
                <w:sz w:val="21"/>
                <w:szCs w:val="21"/>
              </w:rPr>
              <w:t>Variable</w:t>
            </w:r>
          </w:p>
        </w:tc>
        <w:tc>
          <w:tcPr>
            <w:tcW w:w="964" w:type="dxa"/>
            <w:tcBorders>
              <w:top w:val="single" w:color="auto" w:sz="12" w:space="0"/>
              <w:bottom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76472C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微软雅黑"/>
                <w:b/>
                <w:color w:val="000000"/>
                <w:sz w:val="21"/>
                <w:szCs w:val="21"/>
              </w:rPr>
              <w:t>Value</w:t>
            </w:r>
          </w:p>
        </w:tc>
        <w:tc>
          <w:tcPr>
            <w:tcW w:w="883" w:type="dxa"/>
            <w:tcBorders>
              <w:top w:val="single" w:color="auto" w:sz="12" w:space="0"/>
              <w:bottom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952706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微软雅黑"/>
                <w:b/>
                <w:color w:val="000000"/>
                <w:sz w:val="21"/>
                <w:szCs w:val="21"/>
              </w:rPr>
              <w:t>Controls</w:t>
            </w:r>
          </w:p>
        </w:tc>
        <w:tc>
          <w:tcPr>
            <w:tcW w:w="877" w:type="dxa"/>
            <w:tcBorders>
              <w:top w:val="single" w:color="auto" w:sz="12" w:space="0"/>
              <w:bottom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06C1F6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微软雅黑"/>
                <w:b/>
                <w:color w:val="000000"/>
                <w:sz w:val="21"/>
                <w:szCs w:val="21"/>
              </w:rPr>
              <w:t>Cases</w:t>
            </w:r>
          </w:p>
        </w:tc>
        <w:tc>
          <w:tcPr>
            <w:tcW w:w="3882" w:type="dxa"/>
            <w:tcBorders>
              <w:top w:val="single" w:color="auto" w:sz="12" w:space="0"/>
              <w:bottom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4BB75B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b/>
                <w:color w:val="000000"/>
                <w:sz w:val="21"/>
                <w:szCs w:val="21"/>
              </w:rPr>
              <w:t>OR(95%CI)</w:t>
            </w:r>
          </w:p>
        </w:tc>
      </w:tr>
      <w:tr w14:paraId="6F0D6D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29" w:type="dxa"/>
            <w:vMerge w:val="restart"/>
            <w:tcBorders>
              <w:top w:val="single" w:color="auto" w:sz="6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AF0BA9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/>
                <w:color w:val="000000"/>
                <w:sz w:val="21"/>
                <w:szCs w:val="21"/>
              </w:rPr>
              <w:t>Use of personal utensils</w:t>
            </w:r>
          </w:p>
        </w:tc>
        <w:tc>
          <w:tcPr>
            <w:tcW w:w="964" w:type="dxa"/>
            <w:tcBorders>
              <w:top w:val="single" w:color="auto" w:sz="6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5F0A71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/>
                <w:sz w:val="21"/>
                <w:szCs w:val="21"/>
              </w:rPr>
            </w:pPr>
            <w:r>
              <w:rPr>
                <w:rFonts w:hint="default" w:ascii="Times New Roman" w:hAnsi="Times New Roman"/>
                <w:sz w:val="21"/>
                <w:szCs w:val="21"/>
              </w:rPr>
              <w:t>Yes</w:t>
            </w:r>
          </w:p>
        </w:tc>
        <w:tc>
          <w:tcPr>
            <w:tcW w:w="883" w:type="dxa"/>
            <w:tcBorders>
              <w:top w:val="single" w:color="auto" w:sz="6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2065CC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5</w:t>
            </w:r>
          </w:p>
        </w:tc>
        <w:tc>
          <w:tcPr>
            <w:tcW w:w="877" w:type="dxa"/>
            <w:tcBorders>
              <w:top w:val="single" w:color="auto" w:sz="6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EE12C2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0</w:t>
            </w:r>
          </w:p>
        </w:tc>
        <w:tc>
          <w:tcPr>
            <w:tcW w:w="3882" w:type="dxa"/>
            <w:tcBorders>
              <w:top w:val="single" w:color="auto" w:sz="6" w:space="0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527989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0.15</w:t>
            </w:r>
            <w:r>
              <w:rPr>
                <w:rFonts w:hint="default" w:ascii="Times New Roman" w:hAnsi="Times New Roman" w:eastAsia="微软雅黑"/>
                <w:color w:val="000000"/>
                <w:sz w:val="21"/>
                <w:szCs w:val="21"/>
              </w:rPr>
              <w:t>（</w:t>
            </w: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0.02-1.26</w:t>
            </w:r>
            <w:r>
              <w:rPr>
                <w:rFonts w:hint="default" w:ascii="Times New Roman" w:hAnsi="Times New Roman" w:eastAsia="微软雅黑"/>
                <w:color w:val="000000"/>
                <w:sz w:val="21"/>
                <w:szCs w:val="21"/>
              </w:rPr>
              <w:t>）</w:t>
            </w:r>
          </w:p>
        </w:tc>
      </w:tr>
      <w:tr w14:paraId="4BA53C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29" w:type="dxa"/>
            <w:vMerge w:val="continue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3008C4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CD4BE6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/>
                <w:color w:val="000000"/>
                <w:sz w:val="21"/>
                <w:szCs w:val="21"/>
              </w:rPr>
              <w:t>No</w:t>
            </w:r>
          </w:p>
        </w:tc>
        <w:tc>
          <w:tcPr>
            <w:tcW w:w="883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E5AAC6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82</w:t>
            </w:r>
          </w:p>
        </w:tc>
        <w:tc>
          <w:tcPr>
            <w:tcW w:w="877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D516D7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92</w:t>
            </w:r>
          </w:p>
        </w:tc>
        <w:tc>
          <w:tcPr>
            <w:tcW w:w="3882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DA16B0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sz w:val="21"/>
                <w:szCs w:val="21"/>
              </w:rPr>
              <w:t>ref</w:t>
            </w:r>
          </w:p>
        </w:tc>
      </w:tr>
      <w:tr w14:paraId="75885F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" w:hRule="atLeast"/>
          <w:jc w:val="center"/>
        </w:trPr>
        <w:tc>
          <w:tcPr>
            <w:tcW w:w="1429" w:type="dxa"/>
            <w:vMerge w:val="restart"/>
            <w:tcBorders>
              <w:top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1FF60B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/>
                <w:color w:val="000000"/>
                <w:sz w:val="21"/>
                <w:szCs w:val="21"/>
              </w:rPr>
              <w:t>Takeaway service used</w:t>
            </w:r>
          </w:p>
        </w:tc>
        <w:tc>
          <w:tcPr>
            <w:tcW w:w="964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2ECD93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/>
                <w:sz w:val="21"/>
                <w:szCs w:val="21"/>
              </w:rPr>
              <w:t>Yes</w:t>
            </w:r>
          </w:p>
        </w:tc>
        <w:tc>
          <w:tcPr>
            <w:tcW w:w="883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91687B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22</w:t>
            </w:r>
          </w:p>
        </w:tc>
        <w:tc>
          <w:tcPr>
            <w:tcW w:w="877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61F5B3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20</w:t>
            </w:r>
          </w:p>
        </w:tc>
        <w:tc>
          <w:tcPr>
            <w:tcW w:w="3882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1BA4A7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0.8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微软雅黑"/>
                <w:color w:val="000000"/>
                <w:sz w:val="21"/>
                <w:szCs w:val="21"/>
              </w:rPr>
              <w:t>（</w:t>
            </w: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0.4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-1.6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微软雅黑"/>
                <w:color w:val="000000"/>
                <w:sz w:val="21"/>
                <w:szCs w:val="21"/>
              </w:rPr>
              <w:t>）</w:t>
            </w:r>
          </w:p>
        </w:tc>
      </w:tr>
      <w:tr w14:paraId="03235F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29" w:type="dxa"/>
            <w:vMerge w:val="continue"/>
            <w:tcBorders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BA15A1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DC8824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/>
                <w:color w:val="000000"/>
                <w:sz w:val="21"/>
                <w:szCs w:val="21"/>
              </w:rPr>
              <w:t>No</w:t>
            </w:r>
          </w:p>
        </w:tc>
        <w:tc>
          <w:tcPr>
            <w:tcW w:w="883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5FD84C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6</w:t>
            </w:r>
            <w:r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877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F9A1F7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72</w:t>
            </w:r>
          </w:p>
        </w:tc>
        <w:tc>
          <w:tcPr>
            <w:tcW w:w="3882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C77013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sz w:val="21"/>
                <w:szCs w:val="21"/>
              </w:rPr>
              <w:t>ref</w:t>
            </w:r>
          </w:p>
        </w:tc>
      </w:tr>
      <w:tr w14:paraId="287E34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29" w:type="dxa"/>
            <w:vMerge w:val="restart"/>
            <w:tcBorders>
              <w:top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1CE9DD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/>
                <w:color w:val="000000"/>
                <w:sz w:val="21"/>
                <w:szCs w:val="21"/>
              </w:rPr>
              <w:t>Handwashing before meals</w:t>
            </w:r>
          </w:p>
        </w:tc>
        <w:tc>
          <w:tcPr>
            <w:tcW w:w="964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44CE6F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/>
                <w:color w:val="000000"/>
                <w:sz w:val="21"/>
                <w:szCs w:val="21"/>
              </w:rPr>
              <w:t>Always</w:t>
            </w:r>
          </w:p>
        </w:tc>
        <w:tc>
          <w:tcPr>
            <w:tcW w:w="883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B02834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21</w:t>
            </w:r>
          </w:p>
        </w:tc>
        <w:tc>
          <w:tcPr>
            <w:tcW w:w="877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032F5A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14</w:t>
            </w:r>
          </w:p>
        </w:tc>
        <w:tc>
          <w:tcPr>
            <w:tcW w:w="3882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3C6F15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ref</w:t>
            </w:r>
          </w:p>
        </w:tc>
      </w:tr>
      <w:tr w14:paraId="4D92D9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29" w:type="dxa"/>
            <w:vMerge w:val="continue"/>
            <w:tcMar>
              <w:top w:w="15" w:type="dxa"/>
              <w:left w:w="15" w:type="dxa"/>
              <w:right w:w="15" w:type="dxa"/>
            </w:tcMar>
            <w:vAlign w:val="center"/>
          </w:tcPr>
          <w:p w14:paraId="0CC20A39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0EEC2D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/>
                <w:color w:val="000000"/>
                <w:sz w:val="21"/>
                <w:szCs w:val="21"/>
              </w:rPr>
              <w:t>Often</w:t>
            </w:r>
          </w:p>
        </w:tc>
        <w:tc>
          <w:tcPr>
            <w:tcW w:w="883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87280E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38</w:t>
            </w:r>
          </w:p>
        </w:tc>
        <w:tc>
          <w:tcPr>
            <w:tcW w:w="877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187349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882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0B74F6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0.4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</w:rPr>
              <w:t>2</w:t>
            </w:r>
            <w:r>
              <w:rPr>
                <w:rFonts w:hint="default" w:ascii="Times New Roman" w:hAnsi="Times New Roman" w:eastAsia="微软雅黑"/>
                <w:color w:val="000000"/>
                <w:sz w:val="21"/>
                <w:szCs w:val="21"/>
              </w:rPr>
              <w:t>（</w:t>
            </w: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0.1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</w:rPr>
              <w:t>6</w:t>
            </w: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-1.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</w:rPr>
              <w:t>1</w:t>
            </w: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0</w:t>
            </w:r>
            <w:r>
              <w:rPr>
                <w:rFonts w:hint="default" w:ascii="Times New Roman" w:hAnsi="Times New Roman" w:eastAsia="微软雅黑"/>
                <w:color w:val="000000"/>
                <w:sz w:val="21"/>
                <w:szCs w:val="21"/>
              </w:rPr>
              <w:t>）</w:t>
            </w:r>
          </w:p>
        </w:tc>
      </w:tr>
      <w:tr w14:paraId="39897C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  <w:jc w:val="center"/>
        </w:trPr>
        <w:tc>
          <w:tcPr>
            <w:tcW w:w="1429" w:type="dxa"/>
            <w:vMerge w:val="continue"/>
            <w:tcMar>
              <w:top w:w="15" w:type="dxa"/>
              <w:left w:w="15" w:type="dxa"/>
              <w:right w:w="15" w:type="dxa"/>
            </w:tcMar>
            <w:vAlign w:val="center"/>
          </w:tcPr>
          <w:p w14:paraId="159FD58D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D0358D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/>
                <w:color w:val="000000"/>
                <w:sz w:val="21"/>
                <w:szCs w:val="21"/>
              </w:rPr>
              <w:t>Sometimes</w:t>
            </w:r>
          </w:p>
        </w:tc>
        <w:tc>
          <w:tcPr>
            <w:tcW w:w="883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A325F5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23</w:t>
            </w:r>
          </w:p>
        </w:tc>
        <w:tc>
          <w:tcPr>
            <w:tcW w:w="877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F409A3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26</w:t>
            </w:r>
          </w:p>
        </w:tc>
        <w:tc>
          <w:tcPr>
            <w:tcW w:w="3882" w:type="dxa"/>
            <w:tcBorders>
              <w:top w:val="nil"/>
              <w:bottom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227FB2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1.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</w:rPr>
              <w:t>86</w:t>
            </w:r>
            <w:r>
              <w:rPr>
                <w:rFonts w:hint="default" w:ascii="Times New Roman" w:hAnsi="Times New Roman" w:eastAsia="微软雅黑"/>
                <w:color w:val="000000"/>
                <w:sz w:val="21"/>
                <w:szCs w:val="21"/>
              </w:rPr>
              <w:t>（</w:t>
            </w: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0.7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</w:rPr>
              <w:t>6</w:t>
            </w: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-4.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</w:rPr>
              <w:t>51</w:t>
            </w:r>
            <w:r>
              <w:rPr>
                <w:rFonts w:hint="default" w:ascii="Times New Roman" w:hAnsi="Times New Roman" w:eastAsia="微软雅黑"/>
                <w:color w:val="000000"/>
                <w:sz w:val="21"/>
                <w:szCs w:val="21"/>
              </w:rPr>
              <w:t>）</w:t>
            </w:r>
          </w:p>
        </w:tc>
      </w:tr>
      <w:tr w14:paraId="24E668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29" w:type="dxa"/>
            <w:vMerge w:val="continue"/>
            <w:tcBorders>
              <w:bottom w:val="single" w:color="auto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6A99E8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</w:p>
        </w:tc>
        <w:tc>
          <w:tcPr>
            <w:tcW w:w="964" w:type="dxa"/>
            <w:tcBorders>
              <w:top w:val="nil"/>
              <w:bottom w:val="single" w:color="auto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9F366C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微软雅黑"/>
                <w:color w:val="000000"/>
                <w:sz w:val="21"/>
                <w:szCs w:val="21"/>
              </w:rPr>
              <w:t>Never</w:t>
            </w:r>
          </w:p>
        </w:tc>
        <w:tc>
          <w:tcPr>
            <w:tcW w:w="883" w:type="dxa"/>
            <w:tcBorders>
              <w:top w:val="nil"/>
              <w:bottom w:val="single" w:color="auto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F7783E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5</w:t>
            </w:r>
          </w:p>
        </w:tc>
        <w:tc>
          <w:tcPr>
            <w:tcW w:w="877" w:type="dxa"/>
            <w:tcBorders>
              <w:top w:val="nil"/>
              <w:bottom w:val="single" w:color="auto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CCC667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42</w:t>
            </w:r>
          </w:p>
        </w:tc>
        <w:tc>
          <w:tcPr>
            <w:tcW w:w="3882" w:type="dxa"/>
            <w:tcBorders>
              <w:top w:val="nil"/>
              <w:bottom w:val="single" w:color="auto" w:sz="12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E43C34">
            <w:pPr>
              <w:pStyle w:val="6"/>
              <w:keepNext/>
              <w:keepLines w:val="0"/>
              <w:widowControl/>
              <w:suppressLineNumbers w:val="0"/>
              <w:snapToGrid w:val="0"/>
              <w:spacing w:before="0" w:after="0"/>
              <w:ind w:left="0" w:right="0"/>
              <w:jc w:val="center"/>
              <w:rPr>
                <w:rFonts w:hint="default" w:ascii="Times New Roman" w:hAnsi="Times New Roman" w:eastAsia="Lucida Sans Unicode"/>
                <w:sz w:val="21"/>
                <w:szCs w:val="21"/>
              </w:rPr>
            </w:pP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12.6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</w:rPr>
              <w:t>0</w:t>
            </w:r>
            <w:r>
              <w:rPr>
                <w:rFonts w:hint="default" w:ascii="Times New Roman" w:hAnsi="Times New Roman" w:eastAsia="微软雅黑"/>
                <w:color w:val="000000"/>
                <w:sz w:val="21"/>
                <w:szCs w:val="21"/>
              </w:rPr>
              <w:t>（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</w:rPr>
              <w:t>4.00</w:t>
            </w:r>
            <w:r>
              <w:rPr>
                <w:rFonts w:hint="default" w:ascii="Times New Roman" w:hAnsi="Times New Roman" w:eastAsia="Lucida Sans Unicode"/>
                <w:color w:val="000000"/>
                <w:sz w:val="21"/>
                <w:szCs w:val="21"/>
              </w:rPr>
              <w:t>-39.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</w:rPr>
              <w:t>70</w:t>
            </w:r>
            <w:r>
              <w:rPr>
                <w:rFonts w:hint="default" w:ascii="Times New Roman" w:hAnsi="Times New Roman" w:eastAsia="微软雅黑"/>
                <w:color w:val="000000"/>
                <w:sz w:val="21"/>
                <w:szCs w:val="21"/>
              </w:rPr>
              <w:t>）</w:t>
            </w:r>
          </w:p>
        </w:tc>
      </w:tr>
    </w:tbl>
    <w:p w14:paraId="3634F6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OR, odds ratio; CI, confidence interval.</w:t>
      </w:r>
    </w:p>
    <w:p w14:paraId="5B5A87A9"/>
    <w:p w14:paraId="70F9EA04"/>
    <w:p w14:paraId="313D7A09"/>
    <w:p w14:paraId="17FAAC44"/>
    <w:p w14:paraId="4E9FAE42"/>
    <w:p w14:paraId="5036F663"/>
    <w:p w14:paraId="7FA0ACD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4407535"/>
            <wp:effectExtent l="0" t="0" r="6985" b="12065"/>
            <wp:docPr id="1" name="图片 1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40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CF76A">
      <w:pPr>
        <w:rPr>
          <w:rFonts w:hint="eastAsia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"/>
        </w:rPr>
        <w:t>Supplementary Figure 1</w:t>
      </w:r>
      <w:r>
        <w:rPr>
          <w:rFonts w:ascii="Times New Roman" w:hAnsi="Times New Roman" w:cs="Times New Roman"/>
        </w:rPr>
        <w:t>. Neighbor-joining phylogenetic tree of norovirus based on a 484-bp alignment of the ORF1–ORF2 junction region. The four outbreak sequences from this study were identical and are shown as a single representative tip; 14 GII reference strains and one GI.1 outgroup strain (AB081723) retrieved from GenBank were included.</w:t>
      </w:r>
      <w:r>
        <w:rPr>
          <w:rFonts w:hint="eastAsia" w:ascii="Times New Roman" w:hAnsi="Times New Roman" w:cs="Times New Roman"/>
          <w:lang w:val="en-US" w:eastAsia="zh-CN"/>
        </w:rPr>
        <w:t xml:space="preserve"> The tree is drawn to show topology only; branch lengths are not to scale. Bootstrap values (%) based on 1,000 replicates are shown at the nodes.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inese Std GBT7714-2015 (numeric)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0evzazv2x9atne0fvjvses7rxead9dwswzx&quot;&gt;我的EndNote库&lt;record-ids&gt;&lt;item&gt;75&lt;/item&gt;&lt;item&gt;76&lt;/item&gt;&lt;item&gt;77&lt;/item&gt;&lt;item&gt;78&lt;/item&gt;&lt;item&gt;79&lt;/item&gt;&lt;item&gt;80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4&lt;/item&gt;&lt;item&gt;95&lt;/item&gt;&lt;item&gt;96&lt;/item&gt;&lt;item&gt;97&lt;/item&gt;&lt;item&gt;98&lt;/item&gt;&lt;item&gt;99&lt;/item&gt;&lt;item&gt;102&lt;/item&gt;&lt;item&gt;103&lt;/item&gt;&lt;item&gt;104&lt;/item&gt;&lt;item&gt;105&lt;/item&gt;&lt;item&gt;109&lt;/item&gt;&lt;item&gt;110&lt;/item&gt;&lt;item&gt;111&lt;/item&gt;&lt;item&gt;112&lt;/item&gt;&lt;item&gt;113&lt;/item&gt;&lt;item&gt;114&lt;/item&gt;&lt;/record-ids&gt;&lt;/item&gt;&lt;/Libraries&gt;"/>
  </w:docVars>
  <w:rsids>
    <w:rsidRoot w:val="00666899"/>
    <w:rsid w:val="00025A81"/>
    <w:rsid w:val="00037AFE"/>
    <w:rsid w:val="00047529"/>
    <w:rsid w:val="00072845"/>
    <w:rsid w:val="00074650"/>
    <w:rsid w:val="000A603B"/>
    <w:rsid w:val="000A67CE"/>
    <w:rsid w:val="000B231E"/>
    <w:rsid w:val="000D260F"/>
    <w:rsid w:val="000D4C59"/>
    <w:rsid w:val="000E1F3A"/>
    <w:rsid w:val="000E4C9F"/>
    <w:rsid w:val="000E5D52"/>
    <w:rsid w:val="000F513B"/>
    <w:rsid w:val="00114843"/>
    <w:rsid w:val="001275E2"/>
    <w:rsid w:val="00132C89"/>
    <w:rsid w:val="00133BBD"/>
    <w:rsid w:val="001354C0"/>
    <w:rsid w:val="0014011F"/>
    <w:rsid w:val="00167ED7"/>
    <w:rsid w:val="001723DC"/>
    <w:rsid w:val="00174D82"/>
    <w:rsid w:val="0018136E"/>
    <w:rsid w:val="001B2F43"/>
    <w:rsid w:val="001B60BD"/>
    <w:rsid w:val="001B79BD"/>
    <w:rsid w:val="001C60B2"/>
    <w:rsid w:val="001F690C"/>
    <w:rsid w:val="002203C0"/>
    <w:rsid w:val="00266A54"/>
    <w:rsid w:val="00274759"/>
    <w:rsid w:val="00282355"/>
    <w:rsid w:val="00295958"/>
    <w:rsid w:val="00297ADA"/>
    <w:rsid w:val="002B4C97"/>
    <w:rsid w:val="002D5E99"/>
    <w:rsid w:val="002E6464"/>
    <w:rsid w:val="002E782B"/>
    <w:rsid w:val="002F28AC"/>
    <w:rsid w:val="00304988"/>
    <w:rsid w:val="00311071"/>
    <w:rsid w:val="003266C0"/>
    <w:rsid w:val="003422F5"/>
    <w:rsid w:val="00344E74"/>
    <w:rsid w:val="00354751"/>
    <w:rsid w:val="00361A62"/>
    <w:rsid w:val="00364DB0"/>
    <w:rsid w:val="003832B3"/>
    <w:rsid w:val="00384C77"/>
    <w:rsid w:val="00394D27"/>
    <w:rsid w:val="003B60FB"/>
    <w:rsid w:val="003D1D0C"/>
    <w:rsid w:val="003E43C7"/>
    <w:rsid w:val="003F02C0"/>
    <w:rsid w:val="003F16D7"/>
    <w:rsid w:val="004106A0"/>
    <w:rsid w:val="0041292D"/>
    <w:rsid w:val="004130EA"/>
    <w:rsid w:val="00427220"/>
    <w:rsid w:val="004466FC"/>
    <w:rsid w:val="00455053"/>
    <w:rsid w:val="00481AD7"/>
    <w:rsid w:val="004822D1"/>
    <w:rsid w:val="004B383E"/>
    <w:rsid w:val="004D4BA0"/>
    <w:rsid w:val="005006B3"/>
    <w:rsid w:val="0052275A"/>
    <w:rsid w:val="00536A2E"/>
    <w:rsid w:val="00537BF1"/>
    <w:rsid w:val="00542598"/>
    <w:rsid w:val="00542D32"/>
    <w:rsid w:val="00547231"/>
    <w:rsid w:val="0056082C"/>
    <w:rsid w:val="0056562F"/>
    <w:rsid w:val="0057262A"/>
    <w:rsid w:val="00590651"/>
    <w:rsid w:val="005B3CDE"/>
    <w:rsid w:val="005F154C"/>
    <w:rsid w:val="00620871"/>
    <w:rsid w:val="00622B51"/>
    <w:rsid w:val="00630B07"/>
    <w:rsid w:val="00645064"/>
    <w:rsid w:val="006571CC"/>
    <w:rsid w:val="00666899"/>
    <w:rsid w:val="00667D85"/>
    <w:rsid w:val="006B6C20"/>
    <w:rsid w:val="006F20B8"/>
    <w:rsid w:val="007115AE"/>
    <w:rsid w:val="007132AF"/>
    <w:rsid w:val="00744C35"/>
    <w:rsid w:val="007574D3"/>
    <w:rsid w:val="00780238"/>
    <w:rsid w:val="007830BB"/>
    <w:rsid w:val="0079001E"/>
    <w:rsid w:val="00791B16"/>
    <w:rsid w:val="007A24EF"/>
    <w:rsid w:val="007A5AED"/>
    <w:rsid w:val="007B019C"/>
    <w:rsid w:val="007B0C43"/>
    <w:rsid w:val="007D38F0"/>
    <w:rsid w:val="007E2D8C"/>
    <w:rsid w:val="00807708"/>
    <w:rsid w:val="00844AB3"/>
    <w:rsid w:val="00852A2F"/>
    <w:rsid w:val="0085340C"/>
    <w:rsid w:val="00853AA6"/>
    <w:rsid w:val="008630D1"/>
    <w:rsid w:val="008641C8"/>
    <w:rsid w:val="00887F88"/>
    <w:rsid w:val="008A2ED2"/>
    <w:rsid w:val="008C653D"/>
    <w:rsid w:val="008C74F8"/>
    <w:rsid w:val="008D40F5"/>
    <w:rsid w:val="008E3EE2"/>
    <w:rsid w:val="008E575B"/>
    <w:rsid w:val="008F1BF7"/>
    <w:rsid w:val="00904841"/>
    <w:rsid w:val="009519C7"/>
    <w:rsid w:val="009603B2"/>
    <w:rsid w:val="009632F2"/>
    <w:rsid w:val="00971565"/>
    <w:rsid w:val="00972ED2"/>
    <w:rsid w:val="00973090"/>
    <w:rsid w:val="00973C76"/>
    <w:rsid w:val="00976110"/>
    <w:rsid w:val="009A0BAD"/>
    <w:rsid w:val="009B0595"/>
    <w:rsid w:val="009B3F6F"/>
    <w:rsid w:val="009B7723"/>
    <w:rsid w:val="009C427A"/>
    <w:rsid w:val="009E1C14"/>
    <w:rsid w:val="009E3316"/>
    <w:rsid w:val="00A06B6C"/>
    <w:rsid w:val="00A12D83"/>
    <w:rsid w:val="00A25A76"/>
    <w:rsid w:val="00A34EB9"/>
    <w:rsid w:val="00A464FD"/>
    <w:rsid w:val="00A5609E"/>
    <w:rsid w:val="00A80E38"/>
    <w:rsid w:val="00AA41A4"/>
    <w:rsid w:val="00AA71A7"/>
    <w:rsid w:val="00AC3A0A"/>
    <w:rsid w:val="00B02160"/>
    <w:rsid w:val="00B025A8"/>
    <w:rsid w:val="00B202D6"/>
    <w:rsid w:val="00B533E9"/>
    <w:rsid w:val="00B571F5"/>
    <w:rsid w:val="00B6093B"/>
    <w:rsid w:val="00B61C52"/>
    <w:rsid w:val="00B641BB"/>
    <w:rsid w:val="00B716A9"/>
    <w:rsid w:val="00B7525F"/>
    <w:rsid w:val="00B8426A"/>
    <w:rsid w:val="00BC6957"/>
    <w:rsid w:val="00C0562E"/>
    <w:rsid w:val="00C11116"/>
    <w:rsid w:val="00C13886"/>
    <w:rsid w:val="00C3218F"/>
    <w:rsid w:val="00C425E6"/>
    <w:rsid w:val="00C5033D"/>
    <w:rsid w:val="00C66D72"/>
    <w:rsid w:val="00C72034"/>
    <w:rsid w:val="00C73CFE"/>
    <w:rsid w:val="00C8307A"/>
    <w:rsid w:val="00C84DE5"/>
    <w:rsid w:val="00CB7487"/>
    <w:rsid w:val="00CC1878"/>
    <w:rsid w:val="00CD301B"/>
    <w:rsid w:val="00CE3444"/>
    <w:rsid w:val="00CF08CC"/>
    <w:rsid w:val="00CF324D"/>
    <w:rsid w:val="00D17709"/>
    <w:rsid w:val="00D2313E"/>
    <w:rsid w:val="00D53934"/>
    <w:rsid w:val="00D55589"/>
    <w:rsid w:val="00D6264D"/>
    <w:rsid w:val="00D92B14"/>
    <w:rsid w:val="00D96A49"/>
    <w:rsid w:val="00DA54E3"/>
    <w:rsid w:val="00DA651E"/>
    <w:rsid w:val="00DB51FA"/>
    <w:rsid w:val="00DC43E0"/>
    <w:rsid w:val="00DC722F"/>
    <w:rsid w:val="00DD3E38"/>
    <w:rsid w:val="00DD449C"/>
    <w:rsid w:val="00E07E24"/>
    <w:rsid w:val="00E221B3"/>
    <w:rsid w:val="00E26C74"/>
    <w:rsid w:val="00E34F17"/>
    <w:rsid w:val="00E35FE9"/>
    <w:rsid w:val="00E36D83"/>
    <w:rsid w:val="00E41F57"/>
    <w:rsid w:val="00E50EEB"/>
    <w:rsid w:val="00E5350A"/>
    <w:rsid w:val="00E60DFF"/>
    <w:rsid w:val="00E641E4"/>
    <w:rsid w:val="00E651EB"/>
    <w:rsid w:val="00E73006"/>
    <w:rsid w:val="00E7793E"/>
    <w:rsid w:val="00E92FD4"/>
    <w:rsid w:val="00E97814"/>
    <w:rsid w:val="00EA3027"/>
    <w:rsid w:val="00EA3EE0"/>
    <w:rsid w:val="00EC68F5"/>
    <w:rsid w:val="00EF2EC1"/>
    <w:rsid w:val="00EF5E3E"/>
    <w:rsid w:val="00F00725"/>
    <w:rsid w:val="00F023E4"/>
    <w:rsid w:val="00F070EE"/>
    <w:rsid w:val="00F11C7D"/>
    <w:rsid w:val="00F169FB"/>
    <w:rsid w:val="00F2527D"/>
    <w:rsid w:val="00F27734"/>
    <w:rsid w:val="00F32FB5"/>
    <w:rsid w:val="00F37898"/>
    <w:rsid w:val="00F40262"/>
    <w:rsid w:val="00F424F1"/>
    <w:rsid w:val="00F4540F"/>
    <w:rsid w:val="00F54F8B"/>
    <w:rsid w:val="00F84550"/>
    <w:rsid w:val="00F87566"/>
    <w:rsid w:val="00FB1587"/>
    <w:rsid w:val="00FC183A"/>
    <w:rsid w:val="00FC3B4C"/>
    <w:rsid w:val="00FD0276"/>
    <w:rsid w:val="00FE70BD"/>
    <w:rsid w:val="00FF22C2"/>
    <w:rsid w:val="020A4EA4"/>
    <w:rsid w:val="04B47666"/>
    <w:rsid w:val="054D2663"/>
    <w:rsid w:val="072126F1"/>
    <w:rsid w:val="0C4624F7"/>
    <w:rsid w:val="0CC90D6B"/>
    <w:rsid w:val="0DDB7718"/>
    <w:rsid w:val="0E662370"/>
    <w:rsid w:val="0F13326B"/>
    <w:rsid w:val="10E8722D"/>
    <w:rsid w:val="127F172E"/>
    <w:rsid w:val="13116AC3"/>
    <w:rsid w:val="143F4964"/>
    <w:rsid w:val="15184A2A"/>
    <w:rsid w:val="16497AA1"/>
    <w:rsid w:val="165B6B3B"/>
    <w:rsid w:val="178A7EA2"/>
    <w:rsid w:val="183F326B"/>
    <w:rsid w:val="193A5F37"/>
    <w:rsid w:val="1DA1275D"/>
    <w:rsid w:val="1DCB0A45"/>
    <w:rsid w:val="1DF541E1"/>
    <w:rsid w:val="1E2F7B8B"/>
    <w:rsid w:val="20222493"/>
    <w:rsid w:val="20D41A64"/>
    <w:rsid w:val="21155D45"/>
    <w:rsid w:val="24C4703F"/>
    <w:rsid w:val="26A43702"/>
    <w:rsid w:val="26E62F7D"/>
    <w:rsid w:val="27274D7C"/>
    <w:rsid w:val="27FE0CB6"/>
    <w:rsid w:val="29440D05"/>
    <w:rsid w:val="294B3BD8"/>
    <w:rsid w:val="2A771132"/>
    <w:rsid w:val="2DD95667"/>
    <w:rsid w:val="2FE720CD"/>
    <w:rsid w:val="30393F4B"/>
    <w:rsid w:val="317C5171"/>
    <w:rsid w:val="31E87920"/>
    <w:rsid w:val="32D55B3B"/>
    <w:rsid w:val="36865784"/>
    <w:rsid w:val="36E02830"/>
    <w:rsid w:val="39B65895"/>
    <w:rsid w:val="3D813A55"/>
    <w:rsid w:val="411441F6"/>
    <w:rsid w:val="43C421D9"/>
    <w:rsid w:val="45881EA9"/>
    <w:rsid w:val="476F3E69"/>
    <w:rsid w:val="4A255B89"/>
    <w:rsid w:val="4A3F1799"/>
    <w:rsid w:val="4C776EB8"/>
    <w:rsid w:val="4DE67D3F"/>
    <w:rsid w:val="4E130D0B"/>
    <w:rsid w:val="4EA70BA1"/>
    <w:rsid w:val="504264E7"/>
    <w:rsid w:val="51B67FE5"/>
    <w:rsid w:val="51C125EE"/>
    <w:rsid w:val="5295176D"/>
    <w:rsid w:val="53962EAF"/>
    <w:rsid w:val="5865001D"/>
    <w:rsid w:val="59B23998"/>
    <w:rsid w:val="5B037ACD"/>
    <w:rsid w:val="5BC755A3"/>
    <w:rsid w:val="5C756D6D"/>
    <w:rsid w:val="5E4E79B9"/>
    <w:rsid w:val="60A9429E"/>
    <w:rsid w:val="60C73E34"/>
    <w:rsid w:val="611A5E7A"/>
    <w:rsid w:val="623B4598"/>
    <w:rsid w:val="66AA20E8"/>
    <w:rsid w:val="6C861C2B"/>
    <w:rsid w:val="6D662B9C"/>
    <w:rsid w:val="6D8854C7"/>
    <w:rsid w:val="75ED48B0"/>
    <w:rsid w:val="767C73C6"/>
    <w:rsid w:val="7B9D50D3"/>
    <w:rsid w:val="7C5A04E8"/>
    <w:rsid w:val="7C9D0AD2"/>
    <w:rsid w:val="7CA7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0"/>
    <w:qFormat/>
    <w:uiPriority w:val="0"/>
    <w:pPr>
      <w:ind w:left="100" w:leftChars="2500"/>
    </w:p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日期 字符"/>
    <w:basedOn w:val="9"/>
    <w:link w:val="3"/>
    <w:qFormat/>
    <w:uiPriority w:val="0"/>
    <w:rPr>
      <w:kern w:val="2"/>
      <w:sz w:val="21"/>
      <w:szCs w:val="24"/>
    </w:rPr>
  </w:style>
  <w:style w:type="character" w:customStyle="1" w:styleId="11">
    <w:name w:val="标题 3 字符"/>
    <w:basedOn w:val="9"/>
    <w:link w:val="2"/>
    <w:semiHidden/>
    <w:qFormat/>
    <w:uiPriority w:val="0"/>
    <w:rPr>
      <w:b/>
      <w:bCs/>
      <w:kern w:val="2"/>
      <w:sz w:val="32"/>
      <w:szCs w:val="32"/>
    </w:rPr>
  </w:style>
  <w:style w:type="character" w:customStyle="1" w:styleId="12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EndNote Bibliography Title"/>
    <w:basedOn w:val="1"/>
    <w:link w:val="15"/>
    <w:qFormat/>
    <w:uiPriority w:val="0"/>
    <w:pPr>
      <w:jc w:val="center"/>
    </w:pPr>
    <w:rPr>
      <w:rFonts w:ascii="Calibri" w:hAnsi="Calibri" w:cs="Calibri"/>
      <w:sz w:val="20"/>
    </w:rPr>
  </w:style>
  <w:style w:type="character" w:customStyle="1" w:styleId="15">
    <w:name w:val="EndNote Bibliography Title 字符"/>
    <w:basedOn w:val="9"/>
    <w:link w:val="14"/>
    <w:qFormat/>
    <w:uiPriority w:val="0"/>
    <w:rPr>
      <w:rFonts w:ascii="Calibri" w:hAnsi="Calibri" w:cs="Calibri" w:eastAsiaTheme="minorEastAsia"/>
      <w:kern w:val="2"/>
      <w:szCs w:val="24"/>
    </w:rPr>
  </w:style>
  <w:style w:type="paragraph" w:customStyle="1" w:styleId="16">
    <w:name w:val="EndNote Bibliography"/>
    <w:basedOn w:val="1"/>
    <w:link w:val="17"/>
    <w:qFormat/>
    <w:uiPriority w:val="0"/>
    <w:rPr>
      <w:rFonts w:ascii="Calibri" w:hAnsi="Calibri" w:cs="Calibri"/>
      <w:sz w:val="20"/>
    </w:rPr>
  </w:style>
  <w:style w:type="character" w:customStyle="1" w:styleId="17">
    <w:name w:val="EndNote Bibliography 字符"/>
    <w:basedOn w:val="9"/>
    <w:link w:val="16"/>
    <w:qFormat/>
    <w:uiPriority w:val="0"/>
    <w:rPr>
      <w:rFonts w:ascii="Calibri" w:hAnsi="Calibri" w:cs="Calibri" w:eastAsiaTheme="minorEastAsia"/>
      <w:kern w:val="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F2380-B82D-4B92-87BA-9D57F9E880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336</Words>
  <Characters>2288</Characters>
  <Lines>682</Lines>
  <Paragraphs>309</Paragraphs>
  <TotalTime>0</TotalTime>
  <ScaleCrop>false</ScaleCrop>
  <LinksUpToDate>false</LinksUpToDate>
  <CharactersWithSpaces>2533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2026-03-01T02:03:00Z</dcterms:created>
  <dc:creator>Bai</dc:creator>
  <cp:lastModifiedBy>黑白灰</cp:lastModifiedBy>
  <dcterms:modified xsi:type="dcterms:W3CDTF">2026-09-12T02:46:49Z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51D6449C7CE0448186F3D817464C1068_12</vt:lpwstr>
  </property>
  <property fmtid="{D5CDD505-2E9C-101B-9397-08002B2CF9AE}" pid="4" name="KSOTemplateDocerSaveRecord">
    <vt:lpwstr>eyJoZGlkIjoiZWJkMWMxNzkxNzIzMjY3YTBmNjMwODFiMTU3NWVkZGQiLCJ1c2VySWQiOiI1MTg1Mzk3MzQifQ==</vt:lpwstr>
  </property>
</Properties>
</file>