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00364" w14:textId="77777777" w:rsidR="00F4595C" w:rsidRPr="00B24410" w:rsidRDefault="0091085B">
      <w:pPr>
        <w:spacing w:after="40"/>
        <w:jc w:val="center"/>
        <w:rPr>
          <w:rFonts w:ascii="Times New Roman" w:hAnsi="Times New Roman" w:cs="Times New Roman"/>
          <w:sz w:val="24"/>
          <w:szCs w:val="24"/>
        </w:rPr>
      </w:pPr>
      <w:r w:rsidRPr="00B24410">
        <w:rPr>
          <w:rFonts w:ascii="Times New Roman" w:hAnsi="Times New Roman" w:cs="Times New Roman"/>
          <w:b/>
          <w:sz w:val="24"/>
          <w:szCs w:val="24"/>
        </w:rPr>
        <w:t>Supplementary Table S1. Prespecified operational definitions of chest-radiographic features</w:t>
      </w:r>
    </w:p>
    <w:p w14:paraId="769F1686" w14:textId="6B5F5D99" w:rsidR="00F4595C" w:rsidRPr="00B24410" w:rsidRDefault="0091085B">
      <w:pPr>
        <w:spacing w:after="80"/>
        <w:rPr>
          <w:rFonts w:ascii="Times New Roman" w:hAnsi="Times New Roman" w:cs="Times New Roman"/>
          <w:sz w:val="24"/>
          <w:szCs w:val="24"/>
        </w:rPr>
      </w:pPr>
      <w:r w:rsidRPr="00B24410">
        <w:rPr>
          <w:rFonts w:ascii="Times New Roman" w:hAnsi="Times New Roman" w:cs="Times New Roman"/>
          <w:sz w:val="24"/>
          <w:szCs w:val="24"/>
        </w:rPr>
        <w:t xml:space="preserve">Radiographic terminology was based on the 2008 Fleischner Society glossary of terms for thoracic imaging. </w:t>
      </w:r>
      <w:r w:rsidR="00EF56F4">
        <w:rPr>
          <w:rFonts w:ascii="Times New Roman" w:hAnsi="Times New Roman" w:cs="Times New Roman"/>
          <w:sz w:val="24"/>
          <w:szCs w:val="24"/>
        </w:rPr>
        <w:t>A</w:t>
      </w:r>
      <w:r w:rsidRPr="00B24410">
        <w:rPr>
          <w:rFonts w:ascii="Times New Roman" w:hAnsi="Times New Roman" w:cs="Times New Roman"/>
          <w:sz w:val="24"/>
          <w:szCs w:val="24"/>
        </w:rPr>
        <w:t xml:space="preserve"> study variable did not correspond directly to a single Fleischner term, a prespecified study-specific operational definition was used.</w:t>
      </w:r>
    </w:p>
    <w:tbl>
      <w:tblPr>
        <w:tblStyle w:val="TableGrid"/>
        <w:tblW w:w="0" w:type="auto"/>
        <w:jc w:val="center"/>
        <w:tblLayout w:type="fixed"/>
        <w:tblLook w:val="04A0" w:firstRow="1" w:lastRow="0" w:firstColumn="1" w:lastColumn="0" w:noHBand="0" w:noVBand="1"/>
      </w:tblPr>
      <w:tblGrid>
        <w:gridCol w:w="2376"/>
        <w:gridCol w:w="7272"/>
        <w:gridCol w:w="5400"/>
      </w:tblGrid>
      <w:tr w:rsidR="00F4595C" w:rsidRPr="00B24410" w14:paraId="68C35995" w14:textId="77777777" w:rsidTr="00CA7487">
        <w:trPr>
          <w:tblHeader/>
          <w:jc w:val="center"/>
        </w:trPr>
        <w:tc>
          <w:tcPr>
            <w:tcW w:w="2376" w:type="dxa"/>
            <w:shd w:val="clear" w:color="auto" w:fill="FFFFFF" w:themeFill="background1"/>
            <w:tcMar>
              <w:top w:w="55" w:type="dxa"/>
              <w:left w:w="75" w:type="dxa"/>
              <w:bottom w:w="55" w:type="dxa"/>
              <w:right w:w="75" w:type="dxa"/>
            </w:tcMar>
            <w:vAlign w:val="center"/>
          </w:tcPr>
          <w:p w14:paraId="503014FB" w14:textId="77777777" w:rsidR="00F4595C" w:rsidRPr="00B24410" w:rsidRDefault="0091085B">
            <w:pPr>
              <w:rPr>
                <w:rFonts w:ascii="Times New Roman" w:hAnsi="Times New Roman" w:cs="Times New Roman"/>
                <w:sz w:val="24"/>
                <w:szCs w:val="24"/>
              </w:rPr>
            </w:pPr>
            <w:r w:rsidRPr="00B24410">
              <w:rPr>
                <w:rFonts w:ascii="Times New Roman" w:hAnsi="Times New Roman" w:cs="Times New Roman"/>
                <w:b/>
                <w:sz w:val="24"/>
                <w:szCs w:val="24"/>
              </w:rPr>
              <w:t>Study radiographic feature</w:t>
            </w:r>
          </w:p>
        </w:tc>
        <w:tc>
          <w:tcPr>
            <w:tcW w:w="7272" w:type="dxa"/>
            <w:shd w:val="clear" w:color="auto" w:fill="FFFFFF" w:themeFill="background1"/>
            <w:tcMar>
              <w:top w:w="55" w:type="dxa"/>
              <w:left w:w="75" w:type="dxa"/>
              <w:bottom w:w="55" w:type="dxa"/>
              <w:right w:w="75" w:type="dxa"/>
            </w:tcMar>
            <w:vAlign w:val="center"/>
          </w:tcPr>
          <w:p w14:paraId="5FA1B63A" w14:textId="77777777" w:rsidR="00F4595C" w:rsidRPr="00B24410" w:rsidRDefault="0091085B">
            <w:pPr>
              <w:rPr>
                <w:rFonts w:ascii="Times New Roman" w:hAnsi="Times New Roman" w:cs="Times New Roman"/>
                <w:sz w:val="24"/>
                <w:szCs w:val="24"/>
              </w:rPr>
            </w:pPr>
            <w:r w:rsidRPr="00B24410">
              <w:rPr>
                <w:rFonts w:ascii="Times New Roman" w:hAnsi="Times New Roman" w:cs="Times New Roman"/>
                <w:b/>
                <w:sz w:val="24"/>
                <w:szCs w:val="24"/>
              </w:rPr>
              <w:t>Prespecified operational definition</w:t>
            </w:r>
          </w:p>
        </w:tc>
        <w:tc>
          <w:tcPr>
            <w:tcW w:w="5400" w:type="dxa"/>
            <w:shd w:val="clear" w:color="auto" w:fill="FFFFFF" w:themeFill="background1"/>
            <w:tcMar>
              <w:top w:w="55" w:type="dxa"/>
              <w:left w:w="75" w:type="dxa"/>
              <w:bottom w:w="55" w:type="dxa"/>
              <w:right w:w="75" w:type="dxa"/>
            </w:tcMar>
            <w:vAlign w:val="center"/>
          </w:tcPr>
          <w:p w14:paraId="59D8AF21" w14:textId="1A02F650" w:rsidR="00F4595C" w:rsidRPr="00B24410" w:rsidRDefault="0091085B">
            <w:pPr>
              <w:rPr>
                <w:rFonts w:ascii="Times New Roman" w:hAnsi="Times New Roman" w:cs="Times New Roman"/>
                <w:sz w:val="24"/>
                <w:szCs w:val="24"/>
              </w:rPr>
            </w:pPr>
            <w:r w:rsidRPr="00B24410">
              <w:rPr>
                <w:rFonts w:ascii="Times New Roman" w:hAnsi="Times New Roman" w:cs="Times New Roman"/>
                <w:b/>
                <w:sz w:val="24"/>
                <w:szCs w:val="24"/>
              </w:rPr>
              <w:t>Fleischner terminology/definition basis</w:t>
            </w:r>
          </w:p>
        </w:tc>
      </w:tr>
      <w:tr w:rsidR="00F4595C" w:rsidRPr="00B24410" w14:paraId="178121F3" w14:textId="77777777">
        <w:trPr>
          <w:jc w:val="center"/>
        </w:trPr>
        <w:tc>
          <w:tcPr>
            <w:tcW w:w="2376" w:type="dxa"/>
            <w:tcMar>
              <w:top w:w="55" w:type="dxa"/>
              <w:left w:w="75" w:type="dxa"/>
              <w:bottom w:w="55" w:type="dxa"/>
              <w:right w:w="75" w:type="dxa"/>
            </w:tcMar>
          </w:tcPr>
          <w:p w14:paraId="295085BE"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b/>
                <w:sz w:val="24"/>
                <w:szCs w:val="24"/>
              </w:rPr>
              <w:t>Miliary pattern</w:t>
            </w:r>
          </w:p>
        </w:tc>
        <w:tc>
          <w:tcPr>
            <w:tcW w:w="7272" w:type="dxa"/>
            <w:tcMar>
              <w:top w:w="55" w:type="dxa"/>
              <w:left w:w="75" w:type="dxa"/>
              <w:bottom w:w="55" w:type="dxa"/>
              <w:right w:w="75" w:type="dxa"/>
            </w:tcMar>
          </w:tcPr>
          <w:p w14:paraId="112790FC"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sz w:val="24"/>
                <w:szCs w:val="24"/>
              </w:rPr>
              <w:t>Innumerable tiny, discrete, rounded pulmonary opacities &lt;3 mm in diameter, generally uniform in size and diffusely distributed throughout both lungs.</w:t>
            </w:r>
          </w:p>
        </w:tc>
        <w:tc>
          <w:tcPr>
            <w:tcW w:w="5400" w:type="dxa"/>
            <w:tcMar>
              <w:top w:w="55" w:type="dxa"/>
              <w:left w:w="75" w:type="dxa"/>
              <w:bottom w:w="55" w:type="dxa"/>
              <w:right w:w="75" w:type="dxa"/>
            </w:tcMar>
          </w:tcPr>
          <w:p w14:paraId="35F1C78C" w14:textId="1001D1F4" w:rsidR="00F4595C" w:rsidRPr="00B24410" w:rsidRDefault="00E8312F">
            <w:pPr>
              <w:spacing w:line="228" w:lineRule="auto"/>
              <w:rPr>
                <w:rFonts w:ascii="Times New Roman" w:hAnsi="Times New Roman" w:cs="Times New Roman"/>
                <w:sz w:val="24"/>
                <w:szCs w:val="24"/>
              </w:rPr>
            </w:pPr>
            <w:r w:rsidRPr="00B24410">
              <w:rPr>
                <w:rFonts w:ascii="Times New Roman" w:hAnsi="Times New Roman" w:cs="Times New Roman"/>
                <w:sz w:val="24"/>
                <w:szCs w:val="24"/>
              </w:rPr>
              <w:t>Based on the Fleischner term “</w:t>
            </w:r>
            <w:r w:rsidR="00DC2714">
              <w:rPr>
                <w:rFonts w:ascii="Times New Roman" w:hAnsi="Times New Roman" w:cs="Times New Roman"/>
                <w:sz w:val="24"/>
                <w:szCs w:val="24"/>
              </w:rPr>
              <w:t>miliary pattern</w:t>
            </w:r>
            <w:r w:rsidRPr="00B24410">
              <w:rPr>
                <w:rFonts w:ascii="Times New Roman" w:hAnsi="Times New Roman" w:cs="Times New Roman"/>
                <w:sz w:val="24"/>
                <w:szCs w:val="24"/>
              </w:rPr>
              <w:t>”.</w:t>
            </w:r>
          </w:p>
        </w:tc>
      </w:tr>
      <w:tr w:rsidR="00F4595C" w:rsidRPr="00B24410" w14:paraId="233971E8" w14:textId="77777777">
        <w:trPr>
          <w:jc w:val="center"/>
        </w:trPr>
        <w:tc>
          <w:tcPr>
            <w:tcW w:w="2376" w:type="dxa"/>
            <w:tcMar>
              <w:top w:w="55" w:type="dxa"/>
              <w:left w:w="75" w:type="dxa"/>
              <w:bottom w:w="55" w:type="dxa"/>
              <w:right w:w="75" w:type="dxa"/>
            </w:tcMar>
          </w:tcPr>
          <w:p w14:paraId="500023D2"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b/>
                <w:sz w:val="24"/>
                <w:szCs w:val="24"/>
              </w:rPr>
              <w:t>Small nodules</w:t>
            </w:r>
          </w:p>
        </w:tc>
        <w:tc>
          <w:tcPr>
            <w:tcW w:w="7272" w:type="dxa"/>
            <w:tcMar>
              <w:top w:w="55" w:type="dxa"/>
              <w:left w:w="75" w:type="dxa"/>
              <w:bottom w:w="55" w:type="dxa"/>
              <w:right w:w="75" w:type="dxa"/>
            </w:tcMar>
          </w:tcPr>
          <w:p w14:paraId="306B0023"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sz w:val="24"/>
                <w:szCs w:val="24"/>
              </w:rPr>
              <w:t>Discrete, rounded focal pulmonary opacities 3 to &lt;10 mm in diameter.</w:t>
            </w:r>
          </w:p>
        </w:tc>
        <w:tc>
          <w:tcPr>
            <w:tcW w:w="5400" w:type="dxa"/>
            <w:tcMar>
              <w:top w:w="55" w:type="dxa"/>
              <w:left w:w="75" w:type="dxa"/>
              <w:bottom w:w="55" w:type="dxa"/>
              <w:right w:w="75" w:type="dxa"/>
            </w:tcMar>
          </w:tcPr>
          <w:p w14:paraId="13F1182F" w14:textId="658FF13C"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sz w:val="24"/>
                <w:szCs w:val="24"/>
              </w:rPr>
              <w:t>Study-specific size category based on Fleischner “nodular pattern” terminology.</w:t>
            </w:r>
          </w:p>
        </w:tc>
      </w:tr>
      <w:tr w:rsidR="00F4595C" w:rsidRPr="00B24410" w14:paraId="361F89CE" w14:textId="77777777">
        <w:trPr>
          <w:jc w:val="center"/>
        </w:trPr>
        <w:tc>
          <w:tcPr>
            <w:tcW w:w="2376" w:type="dxa"/>
            <w:tcMar>
              <w:top w:w="55" w:type="dxa"/>
              <w:left w:w="75" w:type="dxa"/>
              <w:bottom w:w="55" w:type="dxa"/>
              <w:right w:w="75" w:type="dxa"/>
            </w:tcMar>
          </w:tcPr>
          <w:p w14:paraId="6DD398E9"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b/>
                <w:sz w:val="24"/>
                <w:szCs w:val="24"/>
              </w:rPr>
              <w:t>Large nodules</w:t>
            </w:r>
          </w:p>
        </w:tc>
        <w:tc>
          <w:tcPr>
            <w:tcW w:w="7272" w:type="dxa"/>
            <w:tcMar>
              <w:top w:w="55" w:type="dxa"/>
              <w:left w:w="75" w:type="dxa"/>
              <w:bottom w:w="55" w:type="dxa"/>
              <w:right w:w="75" w:type="dxa"/>
            </w:tcMar>
          </w:tcPr>
          <w:p w14:paraId="699E155C"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sz w:val="24"/>
                <w:szCs w:val="24"/>
              </w:rPr>
              <w:t>Discrete, rounded focal pulmonary opacities 10–30 mm in diameter.</w:t>
            </w:r>
          </w:p>
        </w:tc>
        <w:tc>
          <w:tcPr>
            <w:tcW w:w="5400" w:type="dxa"/>
            <w:tcMar>
              <w:top w:w="55" w:type="dxa"/>
              <w:left w:w="75" w:type="dxa"/>
              <w:bottom w:w="55" w:type="dxa"/>
              <w:right w:w="75" w:type="dxa"/>
            </w:tcMar>
          </w:tcPr>
          <w:p w14:paraId="70A647DB" w14:textId="1AC9E948"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sz w:val="24"/>
                <w:szCs w:val="24"/>
              </w:rPr>
              <w:t>Study-specific size category based on the Fleischner term “nodule”.</w:t>
            </w:r>
          </w:p>
        </w:tc>
      </w:tr>
      <w:tr w:rsidR="00F4595C" w:rsidRPr="00B24410" w14:paraId="43BF46C3" w14:textId="77777777">
        <w:trPr>
          <w:jc w:val="center"/>
        </w:trPr>
        <w:tc>
          <w:tcPr>
            <w:tcW w:w="2376" w:type="dxa"/>
            <w:tcMar>
              <w:top w:w="55" w:type="dxa"/>
              <w:left w:w="75" w:type="dxa"/>
              <w:bottom w:w="55" w:type="dxa"/>
              <w:right w:w="75" w:type="dxa"/>
            </w:tcMar>
          </w:tcPr>
          <w:p w14:paraId="72F67761"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b/>
                <w:sz w:val="24"/>
                <w:szCs w:val="24"/>
              </w:rPr>
              <w:t>Mass-like opacity</w:t>
            </w:r>
          </w:p>
        </w:tc>
        <w:tc>
          <w:tcPr>
            <w:tcW w:w="7272" w:type="dxa"/>
            <w:tcMar>
              <w:top w:w="55" w:type="dxa"/>
              <w:left w:w="75" w:type="dxa"/>
              <w:bottom w:w="55" w:type="dxa"/>
              <w:right w:w="75" w:type="dxa"/>
            </w:tcMar>
          </w:tcPr>
          <w:p w14:paraId="744EB261"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sz w:val="24"/>
                <w:szCs w:val="24"/>
              </w:rPr>
              <w:t>A focal pulmonary opacity &gt;30 mm in diameter, irrespective of contour, margin, or density.</w:t>
            </w:r>
          </w:p>
        </w:tc>
        <w:tc>
          <w:tcPr>
            <w:tcW w:w="5400" w:type="dxa"/>
            <w:tcMar>
              <w:top w:w="55" w:type="dxa"/>
              <w:left w:w="75" w:type="dxa"/>
              <w:bottom w:w="55" w:type="dxa"/>
              <w:right w:w="75" w:type="dxa"/>
            </w:tcMar>
          </w:tcPr>
          <w:p w14:paraId="0A1E340B" w14:textId="2AE03AB3" w:rsidR="00F4595C" w:rsidRPr="00B24410" w:rsidRDefault="00036593">
            <w:pPr>
              <w:spacing w:line="228" w:lineRule="auto"/>
              <w:rPr>
                <w:rFonts w:ascii="Times New Roman" w:hAnsi="Times New Roman" w:cs="Times New Roman"/>
                <w:sz w:val="24"/>
                <w:szCs w:val="24"/>
              </w:rPr>
            </w:pPr>
            <w:r w:rsidRPr="00B24410">
              <w:rPr>
                <w:rFonts w:ascii="Times New Roman" w:hAnsi="Times New Roman" w:cs="Times New Roman"/>
                <w:sz w:val="24"/>
                <w:szCs w:val="24"/>
              </w:rPr>
              <w:t>Based on the Fleischner term “mass”.</w:t>
            </w:r>
          </w:p>
        </w:tc>
      </w:tr>
      <w:tr w:rsidR="00F4595C" w:rsidRPr="00B24410" w14:paraId="5AB97F3D" w14:textId="77777777">
        <w:trPr>
          <w:jc w:val="center"/>
        </w:trPr>
        <w:tc>
          <w:tcPr>
            <w:tcW w:w="2376" w:type="dxa"/>
            <w:tcMar>
              <w:top w:w="55" w:type="dxa"/>
              <w:left w:w="75" w:type="dxa"/>
              <w:bottom w:w="55" w:type="dxa"/>
              <w:right w:w="75" w:type="dxa"/>
            </w:tcMar>
          </w:tcPr>
          <w:p w14:paraId="1C0A8C98"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b/>
                <w:sz w:val="24"/>
                <w:szCs w:val="24"/>
              </w:rPr>
              <w:t>Consolidation</w:t>
            </w:r>
          </w:p>
        </w:tc>
        <w:tc>
          <w:tcPr>
            <w:tcW w:w="7272" w:type="dxa"/>
            <w:tcMar>
              <w:top w:w="55" w:type="dxa"/>
              <w:left w:w="75" w:type="dxa"/>
              <w:bottom w:w="55" w:type="dxa"/>
              <w:right w:w="75" w:type="dxa"/>
            </w:tcMar>
          </w:tcPr>
          <w:p w14:paraId="5BC07052"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sz w:val="24"/>
                <w:szCs w:val="24"/>
              </w:rPr>
              <w:t>A homogeneous increase in pulmonary parenchymal opacity that obscures the margins of underlying vessels and airway walls; an air bronchogram may be present.</w:t>
            </w:r>
          </w:p>
        </w:tc>
        <w:tc>
          <w:tcPr>
            <w:tcW w:w="5400" w:type="dxa"/>
            <w:tcMar>
              <w:top w:w="55" w:type="dxa"/>
              <w:left w:w="75" w:type="dxa"/>
              <w:bottom w:w="55" w:type="dxa"/>
              <w:right w:w="75" w:type="dxa"/>
            </w:tcMar>
          </w:tcPr>
          <w:p w14:paraId="00A1D01C" w14:textId="041CDED0" w:rsidR="00F4595C" w:rsidRPr="00B24410" w:rsidRDefault="00036593">
            <w:pPr>
              <w:spacing w:line="228" w:lineRule="auto"/>
              <w:rPr>
                <w:rFonts w:ascii="Times New Roman" w:hAnsi="Times New Roman" w:cs="Times New Roman"/>
                <w:sz w:val="24"/>
                <w:szCs w:val="24"/>
              </w:rPr>
            </w:pPr>
            <w:r w:rsidRPr="00B24410">
              <w:rPr>
                <w:rFonts w:ascii="Times New Roman" w:hAnsi="Times New Roman" w:cs="Times New Roman"/>
                <w:sz w:val="24"/>
                <w:szCs w:val="24"/>
              </w:rPr>
              <w:t>Based on the Fleischner term “consolidation”</w:t>
            </w:r>
            <w:r w:rsidR="00AA23CA">
              <w:rPr>
                <w:rFonts w:ascii="Times New Roman" w:hAnsi="Times New Roman" w:cs="Times New Roman"/>
                <w:sz w:val="24"/>
                <w:szCs w:val="24"/>
              </w:rPr>
              <w:t>.</w:t>
            </w:r>
          </w:p>
        </w:tc>
      </w:tr>
      <w:tr w:rsidR="00F4595C" w:rsidRPr="00B24410" w14:paraId="20541DBA" w14:textId="77777777">
        <w:trPr>
          <w:jc w:val="center"/>
        </w:trPr>
        <w:tc>
          <w:tcPr>
            <w:tcW w:w="2376" w:type="dxa"/>
            <w:tcMar>
              <w:top w:w="55" w:type="dxa"/>
              <w:left w:w="75" w:type="dxa"/>
              <w:bottom w:w="55" w:type="dxa"/>
              <w:right w:w="75" w:type="dxa"/>
            </w:tcMar>
          </w:tcPr>
          <w:p w14:paraId="1953226D"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b/>
                <w:sz w:val="24"/>
                <w:szCs w:val="24"/>
              </w:rPr>
              <w:t>Ground-glass opacity</w:t>
            </w:r>
          </w:p>
        </w:tc>
        <w:tc>
          <w:tcPr>
            <w:tcW w:w="7272" w:type="dxa"/>
            <w:tcMar>
              <w:top w:w="55" w:type="dxa"/>
              <w:left w:w="75" w:type="dxa"/>
              <w:bottom w:w="55" w:type="dxa"/>
              <w:right w:w="75" w:type="dxa"/>
            </w:tcMar>
          </w:tcPr>
          <w:p w14:paraId="255C77AE"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sz w:val="24"/>
                <w:szCs w:val="24"/>
              </w:rPr>
              <w:t>A hazy increase in lung opacity in which the margins of pulmonary vessels remain visible but indistinct; the opacity is less dense than consolidation, in which bronchovascular margins are obscured.</w:t>
            </w:r>
          </w:p>
        </w:tc>
        <w:tc>
          <w:tcPr>
            <w:tcW w:w="5400" w:type="dxa"/>
            <w:tcMar>
              <w:top w:w="55" w:type="dxa"/>
              <w:left w:w="75" w:type="dxa"/>
              <w:bottom w:w="55" w:type="dxa"/>
              <w:right w:w="75" w:type="dxa"/>
            </w:tcMar>
          </w:tcPr>
          <w:p w14:paraId="67681E02" w14:textId="214406AC" w:rsidR="00F4595C" w:rsidRPr="00B24410" w:rsidRDefault="00036593">
            <w:pPr>
              <w:spacing w:line="228" w:lineRule="auto"/>
              <w:rPr>
                <w:rFonts w:ascii="Times New Roman" w:hAnsi="Times New Roman" w:cs="Times New Roman"/>
                <w:sz w:val="24"/>
                <w:szCs w:val="24"/>
              </w:rPr>
            </w:pPr>
            <w:r w:rsidRPr="00B24410">
              <w:rPr>
                <w:rFonts w:ascii="Times New Roman" w:hAnsi="Times New Roman" w:cs="Times New Roman"/>
                <w:sz w:val="24"/>
                <w:szCs w:val="24"/>
              </w:rPr>
              <w:t>Based on the Fleischner term “ground-glass opacity”.</w:t>
            </w:r>
          </w:p>
        </w:tc>
      </w:tr>
      <w:tr w:rsidR="00F4595C" w:rsidRPr="00B24410" w14:paraId="36818F94" w14:textId="77777777">
        <w:trPr>
          <w:jc w:val="center"/>
        </w:trPr>
        <w:tc>
          <w:tcPr>
            <w:tcW w:w="2376" w:type="dxa"/>
            <w:tcMar>
              <w:top w:w="55" w:type="dxa"/>
              <w:left w:w="75" w:type="dxa"/>
              <w:bottom w:w="55" w:type="dxa"/>
              <w:right w:w="75" w:type="dxa"/>
            </w:tcMar>
          </w:tcPr>
          <w:p w14:paraId="56052ABB"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b/>
                <w:sz w:val="24"/>
                <w:szCs w:val="24"/>
              </w:rPr>
              <w:t>Reticular pattern</w:t>
            </w:r>
          </w:p>
        </w:tc>
        <w:tc>
          <w:tcPr>
            <w:tcW w:w="7272" w:type="dxa"/>
            <w:tcMar>
              <w:top w:w="55" w:type="dxa"/>
              <w:left w:w="75" w:type="dxa"/>
              <w:bottom w:w="55" w:type="dxa"/>
              <w:right w:w="75" w:type="dxa"/>
            </w:tcMar>
          </w:tcPr>
          <w:p w14:paraId="1F4530B0"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sz w:val="24"/>
                <w:szCs w:val="24"/>
              </w:rPr>
              <w:t>Innumerable small linear opacities whose summation produces a net-like appearance.</w:t>
            </w:r>
          </w:p>
        </w:tc>
        <w:tc>
          <w:tcPr>
            <w:tcW w:w="5400" w:type="dxa"/>
            <w:tcMar>
              <w:top w:w="55" w:type="dxa"/>
              <w:left w:w="75" w:type="dxa"/>
              <w:bottom w:w="55" w:type="dxa"/>
              <w:right w:w="75" w:type="dxa"/>
            </w:tcMar>
          </w:tcPr>
          <w:p w14:paraId="3C6980DE" w14:textId="7DA3956F" w:rsidR="00F4595C" w:rsidRPr="00B24410" w:rsidRDefault="00B50064">
            <w:pPr>
              <w:spacing w:line="228" w:lineRule="auto"/>
              <w:rPr>
                <w:rFonts w:ascii="Times New Roman" w:hAnsi="Times New Roman" w:cs="Times New Roman"/>
                <w:sz w:val="24"/>
                <w:szCs w:val="24"/>
              </w:rPr>
            </w:pPr>
            <w:r w:rsidRPr="00B24410">
              <w:rPr>
                <w:rFonts w:ascii="Times New Roman" w:hAnsi="Times New Roman" w:cs="Times New Roman"/>
                <w:sz w:val="24"/>
                <w:szCs w:val="24"/>
              </w:rPr>
              <w:t>Based on the Fleischner term “reticular pattern”; synonym: “reticulation.”</w:t>
            </w:r>
          </w:p>
        </w:tc>
      </w:tr>
      <w:tr w:rsidR="00F4595C" w:rsidRPr="00B24410" w14:paraId="66039351" w14:textId="77777777">
        <w:trPr>
          <w:jc w:val="center"/>
        </w:trPr>
        <w:tc>
          <w:tcPr>
            <w:tcW w:w="2376" w:type="dxa"/>
            <w:tcMar>
              <w:top w:w="55" w:type="dxa"/>
              <w:left w:w="75" w:type="dxa"/>
              <w:bottom w:w="55" w:type="dxa"/>
              <w:right w:w="75" w:type="dxa"/>
            </w:tcMar>
          </w:tcPr>
          <w:p w14:paraId="236DECD2"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b/>
                <w:sz w:val="24"/>
                <w:szCs w:val="24"/>
              </w:rPr>
              <w:t>Atelectasis</w:t>
            </w:r>
          </w:p>
        </w:tc>
        <w:tc>
          <w:tcPr>
            <w:tcW w:w="7272" w:type="dxa"/>
            <w:tcMar>
              <w:top w:w="55" w:type="dxa"/>
              <w:left w:w="75" w:type="dxa"/>
              <w:bottom w:w="55" w:type="dxa"/>
              <w:right w:w="75" w:type="dxa"/>
            </w:tcMar>
          </w:tcPr>
          <w:p w14:paraId="4B22F5C7"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sz w:val="24"/>
                <w:szCs w:val="24"/>
              </w:rPr>
              <w:t>Partial or complete loss of lung volume, recognized by increased opacity and/or displacement of fissures, hila, mediastinum, or diaphragm toward the affected region.</w:t>
            </w:r>
          </w:p>
        </w:tc>
        <w:tc>
          <w:tcPr>
            <w:tcW w:w="5400" w:type="dxa"/>
            <w:tcMar>
              <w:top w:w="55" w:type="dxa"/>
              <w:left w:w="75" w:type="dxa"/>
              <w:bottom w:w="55" w:type="dxa"/>
              <w:right w:w="75" w:type="dxa"/>
            </w:tcMar>
          </w:tcPr>
          <w:p w14:paraId="173BA3B2" w14:textId="25C374E6" w:rsidR="00F4595C" w:rsidRPr="00B24410" w:rsidRDefault="00B50064">
            <w:pPr>
              <w:spacing w:line="228" w:lineRule="auto"/>
              <w:rPr>
                <w:rFonts w:ascii="Times New Roman" w:hAnsi="Times New Roman" w:cs="Times New Roman"/>
                <w:sz w:val="24"/>
                <w:szCs w:val="24"/>
              </w:rPr>
            </w:pPr>
            <w:r w:rsidRPr="00B24410">
              <w:rPr>
                <w:rFonts w:ascii="Times New Roman" w:hAnsi="Times New Roman" w:cs="Times New Roman"/>
                <w:sz w:val="24"/>
                <w:szCs w:val="24"/>
              </w:rPr>
              <w:t>Based on the Fleischner term “atelectasis</w:t>
            </w:r>
            <w:r w:rsidR="00AA23CA">
              <w:rPr>
                <w:rFonts w:ascii="Times New Roman" w:hAnsi="Times New Roman" w:cs="Times New Roman"/>
                <w:sz w:val="24"/>
                <w:szCs w:val="24"/>
              </w:rPr>
              <w:t>’</w:t>
            </w:r>
            <w:r w:rsidRPr="00B24410">
              <w:rPr>
                <w:rFonts w:ascii="Times New Roman" w:hAnsi="Times New Roman" w:cs="Times New Roman"/>
                <w:sz w:val="24"/>
                <w:szCs w:val="24"/>
              </w:rPr>
              <w:t>.</w:t>
            </w:r>
          </w:p>
        </w:tc>
      </w:tr>
      <w:tr w:rsidR="00F4595C" w:rsidRPr="00B24410" w14:paraId="5F874745" w14:textId="77777777">
        <w:trPr>
          <w:jc w:val="center"/>
        </w:trPr>
        <w:tc>
          <w:tcPr>
            <w:tcW w:w="2376" w:type="dxa"/>
            <w:tcMar>
              <w:top w:w="55" w:type="dxa"/>
              <w:left w:w="75" w:type="dxa"/>
              <w:bottom w:w="55" w:type="dxa"/>
              <w:right w:w="75" w:type="dxa"/>
            </w:tcMar>
          </w:tcPr>
          <w:p w14:paraId="32377859"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b/>
                <w:sz w:val="24"/>
                <w:szCs w:val="24"/>
              </w:rPr>
              <w:t>Cavitation</w:t>
            </w:r>
          </w:p>
        </w:tc>
        <w:tc>
          <w:tcPr>
            <w:tcW w:w="7272" w:type="dxa"/>
            <w:tcMar>
              <w:top w:w="55" w:type="dxa"/>
              <w:left w:w="75" w:type="dxa"/>
              <w:bottom w:w="55" w:type="dxa"/>
              <w:right w:w="75" w:type="dxa"/>
            </w:tcMar>
          </w:tcPr>
          <w:p w14:paraId="1510B3B8"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sz w:val="24"/>
                <w:szCs w:val="24"/>
              </w:rPr>
              <w:t>A gas-containing lucency within a pulmonary consolidation, mass, or nodule, with a definable wall; an air–fluid level may be present.</w:t>
            </w:r>
          </w:p>
        </w:tc>
        <w:tc>
          <w:tcPr>
            <w:tcW w:w="5400" w:type="dxa"/>
            <w:tcMar>
              <w:top w:w="55" w:type="dxa"/>
              <w:left w:w="75" w:type="dxa"/>
              <w:bottom w:w="55" w:type="dxa"/>
              <w:right w:w="75" w:type="dxa"/>
            </w:tcMar>
          </w:tcPr>
          <w:p w14:paraId="3CCB54F6" w14:textId="0EF1FCD0"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sz w:val="24"/>
                <w:szCs w:val="24"/>
              </w:rPr>
              <w:t>Based on the Fleischner term “cavity”.</w:t>
            </w:r>
          </w:p>
        </w:tc>
      </w:tr>
      <w:tr w:rsidR="00F4595C" w:rsidRPr="00B24410" w14:paraId="2AD56A61" w14:textId="77777777">
        <w:trPr>
          <w:jc w:val="center"/>
        </w:trPr>
        <w:tc>
          <w:tcPr>
            <w:tcW w:w="2376" w:type="dxa"/>
            <w:tcMar>
              <w:top w:w="55" w:type="dxa"/>
              <w:left w:w="75" w:type="dxa"/>
              <w:bottom w:w="55" w:type="dxa"/>
              <w:right w:w="75" w:type="dxa"/>
            </w:tcMar>
          </w:tcPr>
          <w:p w14:paraId="63C5FD1A"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b/>
                <w:sz w:val="24"/>
                <w:szCs w:val="24"/>
              </w:rPr>
              <w:t>Intrathoracic lymphadenopathy</w:t>
            </w:r>
          </w:p>
        </w:tc>
        <w:tc>
          <w:tcPr>
            <w:tcW w:w="7272" w:type="dxa"/>
            <w:tcMar>
              <w:top w:w="55" w:type="dxa"/>
              <w:left w:w="75" w:type="dxa"/>
              <w:bottom w:w="55" w:type="dxa"/>
              <w:right w:w="75" w:type="dxa"/>
            </w:tcMar>
          </w:tcPr>
          <w:p w14:paraId="3D8BC2E2"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sz w:val="24"/>
                <w:szCs w:val="24"/>
              </w:rPr>
              <w:t>Hilar or mediastinal lymph-node enlargement inferred from abnormal hilar or mediastinal contours, including widening, deformity, or obliteration of the right paratracheal stripe, abnormal contour of the aortopulmonary window, or distortion of the azygoesophageal recess.</w:t>
            </w:r>
          </w:p>
        </w:tc>
        <w:tc>
          <w:tcPr>
            <w:tcW w:w="5400" w:type="dxa"/>
            <w:tcMar>
              <w:top w:w="55" w:type="dxa"/>
              <w:left w:w="75" w:type="dxa"/>
              <w:bottom w:w="55" w:type="dxa"/>
              <w:right w:w="75" w:type="dxa"/>
            </w:tcMar>
          </w:tcPr>
          <w:p w14:paraId="35C03C48"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sz w:val="24"/>
                <w:szCs w:val="24"/>
              </w:rPr>
              <w:t>Study-specific operational definition synthesized from Fleischner chest-radiographic descriptors of the “right paratracheal stripe,” “aortopulmonary window,” and “azygoesophageal recess.”</w:t>
            </w:r>
          </w:p>
        </w:tc>
      </w:tr>
      <w:tr w:rsidR="00F4595C" w:rsidRPr="00B24410" w14:paraId="6EE53E34" w14:textId="77777777">
        <w:trPr>
          <w:jc w:val="center"/>
        </w:trPr>
        <w:tc>
          <w:tcPr>
            <w:tcW w:w="2376" w:type="dxa"/>
            <w:tcMar>
              <w:top w:w="55" w:type="dxa"/>
              <w:left w:w="75" w:type="dxa"/>
              <w:bottom w:w="55" w:type="dxa"/>
              <w:right w:w="75" w:type="dxa"/>
            </w:tcMar>
          </w:tcPr>
          <w:p w14:paraId="585EC502"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b/>
                <w:sz w:val="24"/>
                <w:szCs w:val="24"/>
              </w:rPr>
              <w:t>Pleural effusion</w:t>
            </w:r>
          </w:p>
        </w:tc>
        <w:tc>
          <w:tcPr>
            <w:tcW w:w="7272" w:type="dxa"/>
            <w:tcMar>
              <w:top w:w="55" w:type="dxa"/>
              <w:left w:w="75" w:type="dxa"/>
              <w:bottom w:w="55" w:type="dxa"/>
              <w:right w:w="75" w:type="dxa"/>
            </w:tcMar>
          </w:tcPr>
          <w:p w14:paraId="46B8B94A"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sz w:val="24"/>
                <w:szCs w:val="24"/>
              </w:rPr>
              <w:t>Pleural fluid manifested by blunting of the costophrenic angle, a meniscus-shaped opacity, or another dependent pleural opacity compatible with fluid.</w:t>
            </w:r>
          </w:p>
        </w:tc>
        <w:tc>
          <w:tcPr>
            <w:tcW w:w="5400" w:type="dxa"/>
            <w:tcMar>
              <w:top w:w="55" w:type="dxa"/>
              <w:left w:w="75" w:type="dxa"/>
              <w:bottom w:w="55" w:type="dxa"/>
              <w:right w:w="75" w:type="dxa"/>
            </w:tcMar>
          </w:tcPr>
          <w:p w14:paraId="37A92460"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sz w:val="24"/>
                <w:szCs w:val="24"/>
              </w:rPr>
              <w:t>Based on the Fleischner term “pleural effusion,” operationally adapted to frontal chest-radiographic signs.</w:t>
            </w:r>
          </w:p>
        </w:tc>
      </w:tr>
      <w:tr w:rsidR="00F4595C" w:rsidRPr="00B24410" w14:paraId="107E52B9" w14:textId="77777777">
        <w:trPr>
          <w:jc w:val="center"/>
        </w:trPr>
        <w:tc>
          <w:tcPr>
            <w:tcW w:w="2376" w:type="dxa"/>
            <w:tcMar>
              <w:top w:w="55" w:type="dxa"/>
              <w:left w:w="75" w:type="dxa"/>
              <w:bottom w:w="55" w:type="dxa"/>
              <w:right w:w="75" w:type="dxa"/>
            </w:tcMar>
          </w:tcPr>
          <w:p w14:paraId="6B904E18"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b/>
                <w:sz w:val="24"/>
                <w:szCs w:val="24"/>
              </w:rPr>
              <w:lastRenderedPageBreak/>
              <w:t>Pneumothorax</w:t>
            </w:r>
          </w:p>
        </w:tc>
        <w:tc>
          <w:tcPr>
            <w:tcW w:w="7272" w:type="dxa"/>
            <w:tcMar>
              <w:top w:w="55" w:type="dxa"/>
              <w:left w:w="75" w:type="dxa"/>
              <w:bottom w:w="55" w:type="dxa"/>
              <w:right w:w="75" w:type="dxa"/>
            </w:tcMar>
          </w:tcPr>
          <w:p w14:paraId="1A10DCA4"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sz w:val="24"/>
                <w:szCs w:val="24"/>
              </w:rPr>
              <w:t>Presence of pleural air identified by a visible visceral pleural line with absence of pulmonary vascular markings peripheral to that line.</w:t>
            </w:r>
          </w:p>
        </w:tc>
        <w:tc>
          <w:tcPr>
            <w:tcW w:w="5400" w:type="dxa"/>
            <w:tcMar>
              <w:top w:w="55" w:type="dxa"/>
              <w:left w:w="75" w:type="dxa"/>
              <w:bottom w:w="55" w:type="dxa"/>
              <w:right w:w="75" w:type="dxa"/>
            </w:tcMar>
          </w:tcPr>
          <w:p w14:paraId="13ED450A" w14:textId="3D55AB42" w:rsidR="00F4595C" w:rsidRPr="00B24410" w:rsidRDefault="00AE6A99">
            <w:pPr>
              <w:spacing w:line="228" w:lineRule="auto"/>
              <w:rPr>
                <w:rFonts w:ascii="Times New Roman" w:hAnsi="Times New Roman" w:cs="Times New Roman"/>
                <w:sz w:val="24"/>
                <w:szCs w:val="24"/>
              </w:rPr>
            </w:pPr>
            <w:r>
              <w:rPr>
                <w:rFonts w:ascii="Times New Roman" w:hAnsi="Times New Roman" w:cs="Times New Roman"/>
                <w:sz w:val="24"/>
                <w:szCs w:val="24"/>
              </w:rPr>
              <w:t>B</w:t>
            </w:r>
            <w:r w:rsidRPr="00B24410">
              <w:rPr>
                <w:rFonts w:ascii="Times New Roman" w:hAnsi="Times New Roman" w:cs="Times New Roman"/>
                <w:sz w:val="24"/>
                <w:szCs w:val="24"/>
              </w:rPr>
              <w:t>ased on the Fleischner</w:t>
            </w:r>
            <w:r>
              <w:rPr>
                <w:rFonts w:ascii="Times New Roman" w:hAnsi="Times New Roman" w:cs="Times New Roman"/>
                <w:sz w:val="24"/>
                <w:szCs w:val="24"/>
              </w:rPr>
              <w:t xml:space="preserve"> term</w:t>
            </w:r>
            <w:r w:rsidRPr="00B24410">
              <w:rPr>
                <w:rFonts w:ascii="Times New Roman" w:hAnsi="Times New Roman" w:cs="Times New Roman"/>
                <w:sz w:val="24"/>
                <w:szCs w:val="24"/>
              </w:rPr>
              <w:t xml:space="preserve"> “pneumothorax”</w:t>
            </w:r>
            <w:r w:rsidR="00105713">
              <w:rPr>
                <w:rFonts w:ascii="Times New Roman" w:hAnsi="Times New Roman" w:cs="Times New Roman"/>
                <w:sz w:val="24"/>
                <w:szCs w:val="24"/>
              </w:rPr>
              <w:t>.</w:t>
            </w:r>
          </w:p>
        </w:tc>
      </w:tr>
      <w:tr w:rsidR="00F4595C" w:rsidRPr="00B24410" w14:paraId="22D53A83" w14:textId="77777777">
        <w:trPr>
          <w:jc w:val="center"/>
        </w:trPr>
        <w:tc>
          <w:tcPr>
            <w:tcW w:w="2376" w:type="dxa"/>
            <w:tcMar>
              <w:top w:w="55" w:type="dxa"/>
              <w:left w:w="75" w:type="dxa"/>
              <w:bottom w:w="55" w:type="dxa"/>
              <w:right w:w="75" w:type="dxa"/>
            </w:tcMar>
          </w:tcPr>
          <w:p w14:paraId="59383EA0"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b/>
                <w:sz w:val="24"/>
                <w:szCs w:val="24"/>
              </w:rPr>
              <w:t>Cystic change</w:t>
            </w:r>
          </w:p>
        </w:tc>
        <w:tc>
          <w:tcPr>
            <w:tcW w:w="7272" w:type="dxa"/>
            <w:tcMar>
              <w:top w:w="55" w:type="dxa"/>
              <w:left w:w="75" w:type="dxa"/>
              <w:bottom w:w="55" w:type="dxa"/>
              <w:right w:w="75" w:type="dxa"/>
            </w:tcMar>
          </w:tcPr>
          <w:p w14:paraId="5DC75B89"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sz w:val="24"/>
                <w:szCs w:val="24"/>
              </w:rPr>
              <w:t>A round, well-defined air-containing parenchymal lucency with a perceptible, usually thin wall (typically ≤2 mm).</w:t>
            </w:r>
          </w:p>
        </w:tc>
        <w:tc>
          <w:tcPr>
            <w:tcW w:w="5400" w:type="dxa"/>
            <w:tcMar>
              <w:top w:w="55" w:type="dxa"/>
              <w:left w:w="75" w:type="dxa"/>
              <w:bottom w:w="55" w:type="dxa"/>
              <w:right w:w="75" w:type="dxa"/>
            </w:tcMar>
          </w:tcPr>
          <w:p w14:paraId="440F87B0" w14:textId="178BDFB5"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sz w:val="24"/>
                <w:szCs w:val="24"/>
              </w:rPr>
              <w:t>Based on the Fleischner term “cyst”.</w:t>
            </w:r>
          </w:p>
        </w:tc>
      </w:tr>
      <w:tr w:rsidR="00F4595C" w:rsidRPr="00B24410" w14:paraId="776A449B" w14:textId="77777777">
        <w:trPr>
          <w:jc w:val="center"/>
        </w:trPr>
        <w:tc>
          <w:tcPr>
            <w:tcW w:w="2376" w:type="dxa"/>
            <w:tcMar>
              <w:top w:w="55" w:type="dxa"/>
              <w:left w:w="75" w:type="dxa"/>
              <w:bottom w:w="55" w:type="dxa"/>
              <w:right w:w="75" w:type="dxa"/>
            </w:tcMar>
          </w:tcPr>
          <w:p w14:paraId="693289AE"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b/>
                <w:sz w:val="24"/>
                <w:szCs w:val="24"/>
              </w:rPr>
              <w:t>Calcification</w:t>
            </w:r>
          </w:p>
        </w:tc>
        <w:tc>
          <w:tcPr>
            <w:tcW w:w="7272" w:type="dxa"/>
            <w:tcMar>
              <w:top w:w="55" w:type="dxa"/>
              <w:left w:w="75" w:type="dxa"/>
              <w:bottom w:w="55" w:type="dxa"/>
              <w:right w:w="75" w:type="dxa"/>
            </w:tcMar>
          </w:tcPr>
          <w:p w14:paraId="52D8CD19" w14:textId="72D2CB0C" w:rsidR="00F4595C" w:rsidRPr="00B24410" w:rsidRDefault="00390102">
            <w:pPr>
              <w:spacing w:line="228" w:lineRule="auto"/>
              <w:rPr>
                <w:rFonts w:ascii="Times New Roman" w:hAnsi="Times New Roman" w:cs="Times New Roman"/>
                <w:sz w:val="24"/>
                <w:szCs w:val="24"/>
              </w:rPr>
            </w:pPr>
            <w:r w:rsidRPr="00390102">
              <w:rPr>
                <w:rFonts w:ascii="Times New Roman" w:hAnsi="Times New Roman" w:cs="Times New Roman"/>
                <w:sz w:val="24"/>
                <w:szCs w:val="24"/>
              </w:rPr>
              <w:t>A well-defined nodular or plaque-like opacity of high radiographic density, approaching that of bone.</w:t>
            </w:r>
          </w:p>
        </w:tc>
        <w:tc>
          <w:tcPr>
            <w:tcW w:w="5400" w:type="dxa"/>
            <w:tcMar>
              <w:top w:w="55" w:type="dxa"/>
              <w:left w:w="75" w:type="dxa"/>
              <w:bottom w:w="55" w:type="dxa"/>
              <w:right w:w="75" w:type="dxa"/>
            </w:tcMar>
          </w:tcPr>
          <w:p w14:paraId="62411FB5" w14:textId="68B53B90" w:rsidR="00F4595C" w:rsidRPr="00B24410" w:rsidRDefault="007146CA">
            <w:pPr>
              <w:spacing w:line="228" w:lineRule="auto"/>
              <w:rPr>
                <w:rFonts w:ascii="Times New Roman" w:hAnsi="Times New Roman" w:cs="Times New Roman"/>
                <w:sz w:val="24"/>
                <w:szCs w:val="24"/>
              </w:rPr>
            </w:pPr>
            <w:r>
              <w:rPr>
                <w:rFonts w:ascii="Times New Roman" w:hAnsi="Times New Roman" w:cs="Times New Roman"/>
                <w:sz w:val="24"/>
                <w:szCs w:val="24"/>
              </w:rPr>
              <w:t>B</w:t>
            </w:r>
            <w:r w:rsidR="003B1104" w:rsidRPr="003B1104">
              <w:rPr>
                <w:rFonts w:ascii="Times New Roman" w:hAnsi="Times New Roman" w:cs="Times New Roman"/>
                <w:sz w:val="24"/>
                <w:szCs w:val="24"/>
              </w:rPr>
              <w:t>ased on its characteristic high-density appearance</w:t>
            </w:r>
            <w:r w:rsidRPr="00B24410">
              <w:rPr>
                <w:rFonts w:ascii="Times New Roman" w:hAnsi="Times New Roman" w:cs="Times New Roman"/>
                <w:sz w:val="24"/>
                <w:szCs w:val="24"/>
              </w:rPr>
              <w:t>.</w:t>
            </w:r>
          </w:p>
        </w:tc>
      </w:tr>
      <w:tr w:rsidR="00F4595C" w:rsidRPr="00B24410" w14:paraId="2EF15D2B" w14:textId="77777777">
        <w:trPr>
          <w:jc w:val="center"/>
        </w:trPr>
        <w:tc>
          <w:tcPr>
            <w:tcW w:w="2376" w:type="dxa"/>
            <w:tcMar>
              <w:top w:w="55" w:type="dxa"/>
              <w:left w:w="75" w:type="dxa"/>
              <w:bottom w:w="55" w:type="dxa"/>
              <w:right w:w="75" w:type="dxa"/>
            </w:tcMar>
          </w:tcPr>
          <w:p w14:paraId="42D6F70E"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b/>
                <w:sz w:val="24"/>
                <w:szCs w:val="24"/>
              </w:rPr>
              <w:t>Fibrotic bands</w:t>
            </w:r>
          </w:p>
        </w:tc>
        <w:tc>
          <w:tcPr>
            <w:tcW w:w="7272" w:type="dxa"/>
            <w:tcMar>
              <w:top w:w="55" w:type="dxa"/>
              <w:left w:w="75" w:type="dxa"/>
              <w:bottom w:w="55" w:type="dxa"/>
              <w:right w:w="75" w:type="dxa"/>
            </w:tcMar>
          </w:tcPr>
          <w:p w14:paraId="4BD09A98" w14:textId="77777777"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sz w:val="24"/>
                <w:szCs w:val="24"/>
              </w:rPr>
              <w:t>Linear opacities, typically 1–3 mm thick and up to 5 cm long, usually extending to the visceral pleura and potentially associated with pleural thickening, retraction, or architectural distortion.</w:t>
            </w:r>
          </w:p>
        </w:tc>
        <w:tc>
          <w:tcPr>
            <w:tcW w:w="5400" w:type="dxa"/>
            <w:tcMar>
              <w:top w:w="55" w:type="dxa"/>
              <w:left w:w="75" w:type="dxa"/>
              <w:bottom w:w="55" w:type="dxa"/>
              <w:right w:w="75" w:type="dxa"/>
            </w:tcMar>
          </w:tcPr>
          <w:p w14:paraId="1CC79023" w14:textId="6EF8CE02" w:rsidR="00F4595C" w:rsidRPr="00B24410" w:rsidRDefault="0091085B">
            <w:pPr>
              <w:spacing w:line="228" w:lineRule="auto"/>
              <w:rPr>
                <w:rFonts w:ascii="Times New Roman" w:hAnsi="Times New Roman" w:cs="Times New Roman"/>
                <w:sz w:val="24"/>
                <w:szCs w:val="24"/>
              </w:rPr>
            </w:pPr>
            <w:r w:rsidRPr="00B24410">
              <w:rPr>
                <w:rFonts w:ascii="Times New Roman" w:hAnsi="Times New Roman" w:cs="Times New Roman"/>
                <w:sz w:val="24"/>
                <w:szCs w:val="24"/>
              </w:rPr>
              <w:t xml:space="preserve">Based on the Fleischner term “parenchymal </w:t>
            </w:r>
            <w:proofErr w:type="gramStart"/>
            <w:r w:rsidRPr="00B24410">
              <w:rPr>
                <w:rFonts w:ascii="Times New Roman" w:hAnsi="Times New Roman" w:cs="Times New Roman"/>
                <w:sz w:val="24"/>
                <w:szCs w:val="24"/>
              </w:rPr>
              <w:t>band”</w:t>
            </w:r>
            <w:r w:rsidR="00206441">
              <w:rPr>
                <w:rFonts w:ascii="Times New Roman" w:hAnsi="Times New Roman" w:cs="Times New Roman"/>
                <w:sz w:val="24"/>
                <w:szCs w:val="24"/>
              </w:rPr>
              <w:t>;</w:t>
            </w:r>
            <w:proofErr w:type="gramEnd"/>
            <w:r w:rsidRPr="00B24410">
              <w:rPr>
                <w:rFonts w:ascii="Times New Roman" w:hAnsi="Times New Roman" w:cs="Times New Roman"/>
                <w:sz w:val="24"/>
                <w:szCs w:val="24"/>
              </w:rPr>
              <w:t xml:space="preserve"> the study variable was recorded as fibrotic bands.</w:t>
            </w:r>
          </w:p>
        </w:tc>
      </w:tr>
    </w:tbl>
    <w:p w14:paraId="7C8FF4E9" w14:textId="77777777" w:rsidR="00F4595C" w:rsidRPr="00B24410" w:rsidRDefault="0091085B">
      <w:pPr>
        <w:spacing w:before="60" w:after="40"/>
        <w:rPr>
          <w:rFonts w:ascii="Times New Roman" w:hAnsi="Times New Roman" w:cs="Times New Roman"/>
          <w:sz w:val="24"/>
          <w:szCs w:val="24"/>
        </w:rPr>
      </w:pPr>
      <w:r w:rsidRPr="00B24410">
        <w:rPr>
          <w:rFonts w:ascii="Times New Roman" w:hAnsi="Times New Roman" w:cs="Times New Roman"/>
          <w:b/>
          <w:sz w:val="24"/>
          <w:szCs w:val="24"/>
        </w:rPr>
        <w:t xml:space="preserve">Study </w:t>
      </w:r>
      <w:proofErr w:type="gramStart"/>
      <w:r w:rsidRPr="00B24410">
        <w:rPr>
          <w:rFonts w:ascii="Times New Roman" w:hAnsi="Times New Roman" w:cs="Times New Roman"/>
          <w:b/>
          <w:sz w:val="24"/>
          <w:szCs w:val="24"/>
        </w:rPr>
        <w:t>note</w:t>
      </w:r>
      <w:proofErr w:type="gramEnd"/>
      <w:r w:rsidRPr="00B24410">
        <w:rPr>
          <w:rFonts w:ascii="Times New Roman" w:hAnsi="Times New Roman" w:cs="Times New Roman"/>
          <w:b/>
          <w:sz w:val="24"/>
          <w:szCs w:val="24"/>
        </w:rPr>
        <w:t xml:space="preserve">. </w:t>
      </w:r>
      <w:r w:rsidRPr="00B24410">
        <w:rPr>
          <w:rFonts w:ascii="Times New Roman" w:hAnsi="Times New Roman" w:cs="Times New Roman"/>
          <w:sz w:val="24"/>
          <w:szCs w:val="24"/>
        </w:rPr>
        <w:t>Fifteen radiographic features were prespecified; atelectasis was not observed in any participant, leaving 14 evaluable features for trend analysis.</w:t>
      </w:r>
    </w:p>
    <w:p w14:paraId="39B39AFC" w14:textId="77777777" w:rsidR="00F4595C" w:rsidRPr="00B24410" w:rsidRDefault="0091085B">
      <w:pPr>
        <w:spacing w:after="0"/>
        <w:rPr>
          <w:rFonts w:ascii="Times New Roman" w:hAnsi="Times New Roman" w:cs="Times New Roman"/>
          <w:sz w:val="24"/>
          <w:szCs w:val="24"/>
        </w:rPr>
      </w:pPr>
      <w:r w:rsidRPr="00B24410">
        <w:rPr>
          <w:rFonts w:ascii="Times New Roman" w:hAnsi="Times New Roman" w:cs="Times New Roman"/>
          <w:b/>
          <w:sz w:val="24"/>
          <w:szCs w:val="24"/>
        </w:rPr>
        <w:t xml:space="preserve">Reference. </w:t>
      </w:r>
      <w:r w:rsidRPr="00B24410">
        <w:rPr>
          <w:rFonts w:ascii="Times New Roman" w:hAnsi="Times New Roman" w:cs="Times New Roman"/>
          <w:sz w:val="24"/>
          <w:szCs w:val="24"/>
        </w:rPr>
        <w:t>Hansell DM, Bankier AA, MacMahon H, McLoud TC, Müller NL, Remy J. Fleischner Society: Glossary of Terms for Thoracic Imaging. Radiology. 2008;246(3):697–722. doi:10.1148/radiol.2462070712.</w:t>
      </w:r>
    </w:p>
    <w:sectPr w:rsidR="00F4595C" w:rsidRPr="00B24410" w:rsidSect="00034616">
      <w:footerReference w:type="default" r:id="rId8"/>
      <w:pgSz w:w="15840" w:h="12240" w:orient="landscape"/>
      <w:pgMar w:top="648" w:right="648" w:bottom="648"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BAEDF" w14:textId="77777777" w:rsidR="0091085B" w:rsidRDefault="0091085B">
      <w:pPr>
        <w:spacing w:after="0" w:line="240" w:lineRule="auto"/>
      </w:pPr>
      <w:r>
        <w:separator/>
      </w:r>
    </w:p>
  </w:endnote>
  <w:endnote w:type="continuationSeparator" w:id="0">
    <w:p w14:paraId="2266C17A" w14:textId="77777777" w:rsidR="0091085B" w:rsidRDefault="00910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71C38" w14:textId="77777777" w:rsidR="00F4595C" w:rsidRDefault="0091085B">
    <w:pPr>
      <w:pStyle w:val="Footer"/>
      <w:jc w:val="center"/>
    </w:pPr>
    <w:r>
      <w:rPr>
        <w:sz w:val="15"/>
      </w:rPr>
      <w:t>Supplementary Table S1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ACD6B" w14:textId="77777777" w:rsidR="0091085B" w:rsidRDefault="0091085B">
      <w:pPr>
        <w:spacing w:after="0" w:line="240" w:lineRule="auto"/>
      </w:pPr>
      <w:r>
        <w:separator/>
      </w:r>
    </w:p>
  </w:footnote>
  <w:footnote w:type="continuationSeparator" w:id="0">
    <w:p w14:paraId="37D1C13B" w14:textId="77777777" w:rsidR="0091085B" w:rsidRDefault="009108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70182761">
    <w:abstractNumId w:val="8"/>
  </w:num>
  <w:num w:numId="2" w16cid:durableId="559096815">
    <w:abstractNumId w:val="6"/>
  </w:num>
  <w:num w:numId="3" w16cid:durableId="2145417794">
    <w:abstractNumId w:val="5"/>
  </w:num>
  <w:num w:numId="4" w16cid:durableId="583489606">
    <w:abstractNumId w:val="4"/>
  </w:num>
  <w:num w:numId="5" w16cid:durableId="1313413613">
    <w:abstractNumId w:val="7"/>
  </w:num>
  <w:num w:numId="6" w16cid:durableId="159780393">
    <w:abstractNumId w:val="3"/>
  </w:num>
  <w:num w:numId="7" w16cid:durableId="1498417818">
    <w:abstractNumId w:val="2"/>
  </w:num>
  <w:num w:numId="8" w16cid:durableId="1107235184">
    <w:abstractNumId w:val="1"/>
  </w:num>
  <w:num w:numId="9" w16cid:durableId="400370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6593"/>
    <w:rsid w:val="0006063C"/>
    <w:rsid w:val="00091B1C"/>
    <w:rsid w:val="00105713"/>
    <w:rsid w:val="0015074B"/>
    <w:rsid w:val="001A6D2F"/>
    <w:rsid w:val="00206441"/>
    <w:rsid w:val="0029639D"/>
    <w:rsid w:val="00326F90"/>
    <w:rsid w:val="00390102"/>
    <w:rsid w:val="003B1104"/>
    <w:rsid w:val="003E1588"/>
    <w:rsid w:val="005730C0"/>
    <w:rsid w:val="006208AB"/>
    <w:rsid w:val="006D2018"/>
    <w:rsid w:val="007146CA"/>
    <w:rsid w:val="0091085B"/>
    <w:rsid w:val="00AA1D8D"/>
    <w:rsid w:val="00AA23CA"/>
    <w:rsid w:val="00AE6A99"/>
    <w:rsid w:val="00B24410"/>
    <w:rsid w:val="00B47730"/>
    <w:rsid w:val="00B50064"/>
    <w:rsid w:val="00C6439D"/>
    <w:rsid w:val="00C711CF"/>
    <w:rsid w:val="00CA7487"/>
    <w:rsid w:val="00CB0664"/>
    <w:rsid w:val="00D4576A"/>
    <w:rsid w:val="00DC2714"/>
    <w:rsid w:val="00E8312F"/>
    <w:rsid w:val="00EF13C2"/>
    <w:rsid w:val="00EF56F4"/>
    <w:rsid w:val="00F4595C"/>
    <w:rsid w:val="00F66ED6"/>
    <w:rsid w:val="00F871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E495B71-B3AB-44CC-A6C5-4BF9D3D38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Linh Nguyễn Bảo</cp:lastModifiedBy>
  <cp:revision>24</cp:revision>
  <dcterms:created xsi:type="dcterms:W3CDTF">2013-12-23T23:15:00Z</dcterms:created>
  <dcterms:modified xsi:type="dcterms:W3CDTF">2026-08-17T11:50:00Z</dcterms:modified>
  <cp:category/>
</cp:coreProperties>
</file>