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8FCA2">
      <w:pPr>
        <w:jc w:val="center"/>
      </w:pPr>
      <w:r>
        <w:rPr>
          <w:b/>
          <w:sz w:val="28"/>
        </w:rPr>
        <w:t>Supplementary Tables</w:t>
      </w:r>
    </w:p>
    <w:p w14:paraId="575E7C33">
      <w:pPr>
        <w:spacing w:after="200" w:line="276" w:lineRule="auto"/>
        <w:jc w:val="center"/>
        <w:rPr>
          <w:rFonts w:hint="eastAsia" w:ascii="Times New Roman" w:hAnsi="Times New Roman" w:eastAsiaTheme="minorEastAsia" w:cstheme="minorBidi"/>
          <w:b/>
          <w:sz w:val="28"/>
          <w:szCs w:val="22"/>
          <w:lang w:val="en-US" w:eastAsia="en-US" w:bidi="ar-SA"/>
        </w:rPr>
      </w:pPr>
      <w:r>
        <w:rPr>
          <w:rFonts w:hint="eastAsia" w:ascii="Times New Roman" w:hAnsi="Times New Roman" w:eastAsiaTheme="minorEastAsia" w:cstheme="minorBidi"/>
          <w:b/>
          <w:sz w:val="28"/>
          <w:szCs w:val="22"/>
          <w:lang w:val="en-US" w:eastAsia="en-US" w:bidi="ar-SA"/>
        </w:rPr>
        <w:t>Respiratory pathogen spectrum and co-infection patterns in patients with acute respiratory infection during and after the COVID-19 pandemic: a five-year retrospective study, 2021–2025</w:t>
      </w:r>
    </w:p>
    <w:p w14:paraId="5C1302B3">
      <w:pPr>
        <w:spacing w:before="280" w:after="8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Table S</w:t>
      </w:r>
      <w:r>
        <w:rPr>
          <w:rFonts w:hint="eastAsia" w:ascii="Times New Roman" w:hAnsi="Times New Roman"/>
          <w:b/>
          <w:sz w:val="20"/>
          <w:lang w:val="en-US" w:eastAsia="zh-CN"/>
        </w:rPr>
        <w:t>1</w:t>
      </w:r>
      <w:r>
        <w:rPr>
          <w:rFonts w:ascii="Times New Roman" w:hAnsi="Times New Roman"/>
          <w:b/>
          <w:sz w:val="20"/>
        </w:rPr>
        <w:t>. Age-stratified positive rates and odds ratios for respiratory pathogen detection by calendar year, 2021–2025</w:t>
      </w:r>
      <w:r>
        <w:rPr>
          <w:b/>
          <w:sz w:val="20"/>
        </w:rPr>
        <w:t>(corresponding to Section 3.</w:t>
      </w:r>
      <w:r>
        <w:rPr>
          <w:rFonts w:hint="eastAsia" w:eastAsia="宋体"/>
          <w:b/>
          <w:sz w:val="20"/>
          <w:lang w:val="en-US" w:eastAsia="zh-CN"/>
        </w:rPr>
        <w:t>3</w:t>
      </w:r>
      <w:bookmarkStart w:id="0" w:name="_GoBack"/>
      <w:bookmarkEnd w:id="0"/>
      <w:r>
        <w:rPr>
          <w:b/>
          <w:sz w:val="20"/>
        </w:rPr>
        <w:t>)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1297"/>
        <w:gridCol w:w="1380"/>
        <w:gridCol w:w="1380"/>
        <w:gridCol w:w="1464"/>
        <w:gridCol w:w="1380"/>
      </w:tblGrid>
      <w:tr w14:paraId="42AFB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pct"/>
          </w:tcPr>
          <w:p w14:paraId="3514690A">
            <w:pPr>
              <w:spacing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b/>
                <w:highlight w:val="none"/>
              </w:rPr>
              <w:t>Age group</w:t>
            </w:r>
          </w:p>
        </w:tc>
        <w:tc>
          <w:tcPr>
            <w:tcW w:w="732" w:type="pct"/>
          </w:tcPr>
          <w:p w14:paraId="288ABA57">
            <w:pPr>
              <w:spacing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b/>
                <w:highlight w:val="none"/>
              </w:rPr>
              <w:t>2021</w:t>
            </w:r>
          </w:p>
        </w:tc>
        <w:tc>
          <w:tcPr>
            <w:tcW w:w="779" w:type="pct"/>
          </w:tcPr>
          <w:p w14:paraId="14C27FBE">
            <w:pPr>
              <w:spacing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b/>
                <w:highlight w:val="none"/>
              </w:rPr>
              <w:t>2022</w:t>
            </w:r>
          </w:p>
        </w:tc>
        <w:tc>
          <w:tcPr>
            <w:tcW w:w="779" w:type="pct"/>
          </w:tcPr>
          <w:p w14:paraId="22400F00">
            <w:pPr>
              <w:spacing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b/>
                <w:highlight w:val="none"/>
              </w:rPr>
              <w:t>2023</w:t>
            </w:r>
          </w:p>
        </w:tc>
        <w:tc>
          <w:tcPr>
            <w:tcW w:w="826" w:type="pct"/>
          </w:tcPr>
          <w:p w14:paraId="62F6F9C9">
            <w:pPr>
              <w:spacing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b/>
                <w:highlight w:val="none"/>
              </w:rPr>
              <w:t>2024</w:t>
            </w:r>
          </w:p>
        </w:tc>
        <w:tc>
          <w:tcPr>
            <w:tcW w:w="779" w:type="pct"/>
          </w:tcPr>
          <w:p w14:paraId="6C71E185">
            <w:pPr>
              <w:spacing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b/>
                <w:highlight w:val="none"/>
              </w:rPr>
              <w:t>2025</w:t>
            </w:r>
          </w:p>
        </w:tc>
      </w:tr>
      <w:tr w14:paraId="7B4B7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pct"/>
          </w:tcPr>
          <w:p w14:paraId="2E8D9EDC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Infants (&lt;1 year)</w:t>
            </w:r>
          </w:p>
        </w:tc>
        <w:tc>
          <w:tcPr>
            <w:tcW w:w="732" w:type="pct"/>
          </w:tcPr>
          <w:p w14:paraId="154BBE76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30.77% (16/52)</w:t>
            </w:r>
          </w:p>
          <w:p w14:paraId="1C41C935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1.00 (reference)</w:t>
            </w:r>
          </w:p>
        </w:tc>
        <w:tc>
          <w:tcPr>
            <w:tcW w:w="779" w:type="pct"/>
          </w:tcPr>
          <w:p w14:paraId="5CB2CE98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31.91% (15/47)</w:t>
            </w:r>
          </w:p>
          <w:p w14:paraId="7AC8AF88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1.05 (0.45–2.47)</w:t>
            </w:r>
          </w:p>
        </w:tc>
        <w:tc>
          <w:tcPr>
            <w:tcW w:w="779" w:type="pct"/>
          </w:tcPr>
          <w:p w14:paraId="029EDC94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62.16% (46/74)</w:t>
            </w:r>
          </w:p>
          <w:p w14:paraId="55473C88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3.70 (1.74–7.85)</w:t>
            </w:r>
          </w:p>
        </w:tc>
        <w:tc>
          <w:tcPr>
            <w:tcW w:w="826" w:type="pct"/>
          </w:tcPr>
          <w:p w14:paraId="610E7215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66.67% (38/57)</w:t>
            </w:r>
          </w:p>
          <w:p w14:paraId="4B13AB28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4.50 (2.01–10.08)</w:t>
            </w:r>
          </w:p>
        </w:tc>
        <w:tc>
          <w:tcPr>
            <w:tcW w:w="779" w:type="pct"/>
          </w:tcPr>
          <w:p w14:paraId="0C6AAF3F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66.67% (52/78)</w:t>
            </w:r>
          </w:p>
          <w:p w14:paraId="66102B08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4.50 (2.12–9.56)</w:t>
            </w:r>
          </w:p>
        </w:tc>
      </w:tr>
      <w:tr w14:paraId="0D77B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pct"/>
          </w:tcPr>
          <w:p w14:paraId="3425F64F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Toddlers (1~&lt;3 years)</w:t>
            </w:r>
          </w:p>
        </w:tc>
        <w:tc>
          <w:tcPr>
            <w:tcW w:w="732" w:type="pct"/>
          </w:tcPr>
          <w:p w14:paraId="41AF95BA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41.40% (77/186)</w:t>
            </w:r>
          </w:p>
          <w:p w14:paraId="3239C554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1.00 (reference)</w:t>
            </w:r>
          </w:p>
        </w:tc>
        <w:tc>
          <w:tcPr>
            <w:tcW w:w="779" w:type="pct"/>
          </w:tcPr>
          <w:p w14:paraId="6A4BE882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37.69% (49/130)</w:t>
            </w:r>
          </w:p>
          <w:p w14:paraId="3B18B930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0.86 (0.54–1.36)</w:t>
            </w:r>
          </w:p>
        </w:tc>
        <w:tc>
          <w:tcPr>
            <w:tcW w:w="779" w:type="pct"/>
          </w:tcPr>
          <w:p w14:paraId="5EAB1613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57.86% (81/140)</w:t>
            </w:r>
          </w:p>
          <w:p w14:paraId="47D6C84E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1.94 (1.25–3.03)</w:t>
            </w:r>
          </w:p>
        </w:tc>
        <w:tc>
          <w:tcPr>
            <w:tcW w:w="826" w:type="pct"/>
          </w:tcPr>
          <w:p w14:paraId="6FE8C424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73.87% (82/111)</w:t>
            </w:r>
          </w:p>
          <w:p w14:paraId="3F7CB3F6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4.00 (2.39–6.69)</w:t>
            </w:r>
          </w:p>
        </w:tc>
        <w:tc>
          <w:tcPr>
            <w:tcW w:w="779" w:type="pct"/>
          </w:tcPr>
          <w:p w14:paraId="36FE0957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66.00% (99/150)</w:t>
            </w:r>
          </w:p>
          <w:p w14:paraId="65DCFC75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2.75 (1.76–4.29)</w:t>
            </w:r>
          </w:p>
        </w:tc>
      </w:tr>
      <w:tr w14:paraId="0FC1F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pct"/>
          </w:tcPr>
          <w:p w14:paraId="1312B5C1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Preschool children (3~&lt;6 years)</w:t>
            </w:r>
          </w:p>
        </w:tc>
        <w:tc>
          <w:tcPr>
            <w:tcW w:w="732" w:type="pct"/>
          </w:tcPr>
          <w:p w14:paraId="002E7C24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48.03% (110/229)</w:t>
            </w:r>
          </w:p>
          <w:p w14:paraId="2D79A344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1.00 (reference)</w:t>
            </w:r>
          </w:p>
        </w:tc>
        <w:tc>
          <w:tcPr>
            <w:tcW w:w="779" w:type="pct"/>
          </w:tcPr>
          <w:p w14:paraId="0D9F3106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36.57% (79/216)</w:t>
            </w:r>
          </w:p>
          <w:p w14:paraId="5391F653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0.62 (0.43–0.91)</w:t>
            </w:r>
          </w:p>
        </w:tc>
        <w:tc>
          <w:tcPr>
            <w:tcW w:w="779" w:type="pct"/>
          </w:tcPr>
          <w:p w14:paraId="5F39B80A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68.10% (190/279)</w:t>
            </w:r>
          </w:p>
          <w:p w14:paraId="467FFC53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2.31 (1.61–3.31)</w:t>
            </w:r>
          </w:p>
        </w:tc>
        <w:tc>
          <w:tcPr>
            <w:tcW w:w="826" w:type="pct"/>
          </w:tcPr>
          <w:p w14:paraId="38769C39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80.89% (237/293)</w:t>
            </w:r>
          </w:p>
          <w:p w14:paraId="5313F36E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4.58 (3.10–6.76)</w:t>
            </w:r>
          </w:p>
        </w:tc>
        <w:tc>
          <w:tcPr>
            <w:tcW w:w="779" w:type="pct"/>
          </w:tcPr>
          <w:p w14:paraId="444C9BB8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77.47% (141/182)</w:t>
            </w:r>
          </w:p>
          <w:p w14:paraId="5486B1D9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3.72 (2.41–5.74)</w:t>
            </w:r>
          </w:p>
        </w:tc>
      </w:tr>
      <w:tr w14:paraId="16568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pct"/>
          </w:tcPr>
          <w:p w14:paraId="795CE74D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School-age children (6~&lt;14 years)</w:t>
            </w:r>
          </w:p>
        </w:tc>
        <w:tc>
          <w:tcPr>
            <w:tcW w:w="732" w:type="pct"/>
          </w:tcPr>
          <w:p w14:paraId="77846068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39.13% (45/115)</w:t>
            </w:r>
          </w:p>
          <w:p w14:paraId="1A839398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1.00 (reference)</w:t>
            </w:r>
          </w:p>
        </w:tc>
        <w:tc>
          <w:tcPr>
            <w:tcW w:w="779" w:type="pct"/>
          </w:tcPr>
          <w:p w14:paraId="21DCC2ED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43.54% (64/147)</w:t>
            </w:r>
          </w:p>
          <w:p w14:paraId="1F8B1A4B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1.20 (0.73–1.97)</w:t>
            </w:r>
          </w:p>
        </w:tc>
        <w:tc>
          <w:tcPr>
            <w:tcW w:w="779" w:type="pct"/>
          </w:tcPr>
          <w:p w14:paraId="6FEA4B4C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79.70% (318/399)</w:t>
            </w:r>
          </w:p>
          <w:p w14:paraId="62AFA0A2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6.11 (3.91–9.55)</w:t>
            </w:r>
          </w:p>
        </w:tc>
        <w:tc>
          <w:tcPr>
            <w:tcW w:w="826" w:type="pct"/>
          </w:tcPr>
          <w:p w14:paraId="6E18C723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80.05% (341/426)</w:t>
            </w:r>
          </w:p>
          <w:p w14:paraId="45152F62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6.24 (4.01–9.72)</w:t>
            </w:r>
          </w:p>
        </w:tc>
        <w:tc>
          <w:tcPr>
            <w:tcW w:w="779" w:type="pct"/>
          </w:tcPr>
          <w:p w14:paraId="1EC67910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55.56% (85/153)</w:t>
            </w:r>
          </w:p>
          <w:p w14:paraId="793B272C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1.94 (1.19–3.18)</w:t>
            </w:r>
          </w:p>
        </w:tc>
      </w:tr>
      <w:tr w14:paraId="4CB5D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pct"/>
          </w:tcPr>
          <w:p w14:paraId="2BA9266D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Adults (14~&lt;60 years)</w:t>
            </w:r>
          </w:p>
        </w:tc>
        <w:tc>
          <w:tcPr>
            <w:tcW w:w="732" w:type="pct"/>
          </w:tcPr>
          <w:p w14:paraId="4FD397B3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14.22% (33/232)</w:t>
            </w:r>
          </w:p>
          <w:p w14:paraId="233B0CE2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1.00 (reference)</w:t>
            </w:r>
          </w:p>
        </w:tc>
        <w:tc>
          <w:tcPr>
            <w:tcW w:w="779" w:type="pct"/>
          </w:tcPr>
          <w:p w14:paraId="4FC8BED4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14.75% (36/244)</w:t>
            </w:r>
          </w:p>
          <w:p w14:paraId="23134BF2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1.04 (0.63–1.74)</w:t>
            </w:r>
          </w:p>
        </w:tc>
        <w:tc>
          <w:tcPr>
            <w:tcW w:w="779" w:type="pct"/>
          </w:tcPr>
          <w:p w14:paraId="0E2A7E8A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30.58% (285/932)</w:t>
            </w:r>
          </w:p>
          <w:p w14:paraId="6EAADFB9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2.66 (1.79–3.94)</w:t>
            </w:r>
          </w:p>
        </w:tc>
        <w:tc>
          <w:tcPr>
            <w:tcW w:w="826" w:type="pct"/>
          </w:tcPr>
          <w:p w14:paraId="6840E09C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44.55% (180/404)</w:t>
            </w:r>
          </w:p>
          <w:p w14:paraId="002D9783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4.85 (3.19–7.36)</w:t>
            </w:r>
          </w:p>
        </w:tc>
        <w:tc>
          <w:tcPr>
            <w:tcW w:w="779" w:type="pct"/>
          </w:tcPr>
          <w:p w14:paraId="4649A1E8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19.63% (32/163)</w:t>
            </w:r>
          </w:p>
          <w:p w14:paraId="16E24001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1.47 (0.86–2.51)</w:t>
            </w:r>
          </w:p>
        </w:tc>
      </w:tr>
      <w:tr w14:paraId="34A3F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pct"/>
          </w:tcPr>
          <w:p w14:paraId="702BDA5F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Elderly (≥60 years)</w:t>
            </w:r>
          </w:p>
        </w:tc>
        <w:tc>
          <w:tcPr>
            <w:tcW w:w="732" w:type="pct"/>
          </w:tcPr>
          <w:p w14:paraId="0ED4F2CE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12.30% (45/366)</w:t>
            </w:r>
          </w:p>
          <w:p w14:paraId="6FB9D55E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1.00 (reference)</w:t>
            </w:r>
          </w:p>
        </w:tc>
        <w:tc>
          <w:tcPr>
            <w:tcW w:w="779" w:type="pct"/>
          </w:tcPr>
          <w:p w14:paraId="67C3F2A4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10.61% (40/377)</w:t>
            </w:r>
          </w:p>
          <w:p w14:paraId="389EC7DC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0.85 (0.54–1.33)</w:t>
            </w:r>
          </w:p>
        </w:tc>
        <w:tc>
          <w:tcPr>
            <w:tcW w:w="779" w:type="pct"/>
          </w:tcPr>
          <w:p w14:paraId="6DC8D079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22.93% (566/2468)</w:t>
            </w:r>
          </w:p>
          <w:p w14:paraId="0EBD04D8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2.12 (1.53–2.94)</w:t>
            </w:r>
          </w:p>
        </w:tc>
        <w:tc>
          <w:tcPr>
            <w:tcW w:w="826" w:type="pct"/>
          </w:tcPr>
          <w:p w14:paraId="0A6FC17E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27.01% (168/622)</w:t>
            </w:r>
          </w:p>
          <w:p w14:paraId="1A074D08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2.64 (1.84–3.78)</w:t>
            </w:r>
          </w:p>
        </w:tc>
        <w:tc>
          <w:tcPr>
            <w:tcW w:w="779" w:type="pct"/>
          </w:tcPr>
          <w:p w14:paraId="5D2F9F21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16.42% (66/402)</w:t>
            </w:r>
          </w:p>
          <w:p w14:paraId="39E107CA">
            <w:pPr>
              <w:spacing w:line="240" w:lineRule="auto"/>
              <w:ind w:left="0" w:leftChars="0" w:right="0" w:rightChars="0" w:firstLine="0" w:firstLineChars="0"/>
              <w:rPr>
                <w:highlight w:val="none"/>
              </w:rPr>
            </w:pPr>
            <w:r>
              <w:rPr>
                <w:b w:val="0"/>
                <w:highlight w:val="none"/>
              </w:rPr>
              <w:t>1.40 (0.93–2.11)</w:t>
            </w:r>
          </w:p>
        </w:tc>
      </w:tr>
    </w:tbl>
    <w:p w14:paraId="41B7D468">
      <w:pPr>
        <w:spacing w:after="40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Values are positive rate (%) with the number of positive cases over the stratum total in parentheses, followed by the odds ratio (95% confidence interval) for that year relative to 2021, estimated within each age stratum. Odds ratios were derived from the stratum-specific counts in Table 2 using the Woolf method and should be confirmed against contrasts from the interaction model described in Section 2.4. CI, confidence interval; OR, odds ratio.</w:t>
      </w:r>
    </w:p>
    <w:p w14:paraId="695F5EBE">
      <w:pPr>
        <w:spacing w:after="200" w:line="276" w:lineRule="auto"/>
        <w:jc w:val="center"/>
        <w:rPr>
          <w:rFonts w:hint="eastAsia" w:ascii="Times New Roman" w:hAnsi="Times New Roman" w:eastAsiaTheme="minorEastAsia" w:cstheme="minorBidi"/>
          <w:b/>
          <w:sz w:val="28"/>
          <w:szCs w:val="22"/>
          <w:lang w:val="en-US" w:eastAsia="en-US" w:bidi="ar-SA"/>
        </w:rPr>
      </w:pPr>
    </w:p>
    <w:p w14:paraId="13D97DCC">
      <w:pPr>
        <w:spacing w:after="200" w:line="276" w:lineRule="auto"/>
        <w:jc w:val="center"/>
        <w:rPr>
          <w:rFonts w:hint="eastAsia" w:ascii="Times New Roman" w:hAnsi="Times New Roman" w:eastAsiaTheme="minorEastAsia" w:cstheme="minorBidi"/>
          <w:b/>
          <w:sz w:val="28"/>
          <w:szCs w:val="22"/>
          <w:lang w:val="en-US" w:eastAsia="en-US" w:bidi="ar-SA"/>
        </w:rPr>
      </w:pPr>
    </w:p>
    <w:p w14:paraId="3ADA92BC">
      <w:pPr>
        <w:spacing w:before="280" w:after="80"/>
      </w:pPr>
      <w:r>
        <w:rPr>
          <w:b/>
          <w:sz w:val="20"/>
        </w:rPr>
        <w:t xml:space="preserve"> Table S</w:t>
      </w:r>
      <w:r>
        <w:rPr>
          <w:rFonts w:hint="eastAsia" w:eastAsia="宋体"/>
          <w:b/>
          <w:sz w:val="20"/>
          <w:lang w:val="en-US" w:eastAsia="zh-CN"/>
        </w:rPr>
        <w:t>2</w:t>
      </w:r>
      <w:r>
        <w:rPr>
          <w:b/>
          <w:sz w:val="20"/>
        </w:rPr>
        <w:t>. Hospitalization status and annual trend among pathogen-positive ARI patients (corresponding to Section 3.</w:t>
      </w:r>
      <w:r>
        <w:rPr>
          <w:rFonts w:hint="eastAsia" w:eastAsia="宋体"/>
          <w:b/>
          <w:sz w:val="20"/>
          <w:lang w:val="en-US" w:eastAsia="zh-CN"/>
        </w:rPr>
        <w:t>5</w:t>
      </w:r>
      <w:r>
        <w:rPr>
          <w:b/>
          <w:sz w:val="20"/>
        </w:rPr>
        <w:t>)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1"/>
        <w:gridCol w:w="949"/>
        <w:gridCol w:w="949"/>
        <w:gridCol w:w="958"/>
        <w:gridCol w:w="958"/>
        <w:gridCol w:w="949"/>
        <w:gridCol w:w="1132"/>
      </w:tblGrid>
      <w:tr w14:paraId="08296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  <w:shd w:val="clear" w:color="auto" w:fill="D9D9D9"/>
          </w:tcPr>
          <w:p w14:paraId="71CFC543">
            <w:pPr>
              <w:spacing w:after="0" w:line="240" w:lineRule="auto"/>
            </w:pPr>
            <w:r>
              <w:rPr>
                <w:b/>
                <w:sz w:val="18"/>
              </w:rPr>
              <w:t>Variable</w:t>
            </w:r>
          </w:p>
        </w:tc>
        <w:tc>
          <w:tcPr>
            <w:tcW w:w="949" w:type="dxa"/>
            <w:shd w:val="clear" w:color="auto" w:fill="D9D9D9"/>
          </w:tcPr>
          <w:p w14:paraId="149EB689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2021</w:t>
            </w:r>
          </w:p>
        </w:tc>
        <w:tc>
          <w:tcPr>
            <w:tcW w:w="949" w:type="dxa"/>
            <w:shd w:val="clear" w:color="auto" w:fill="D9D9D9"/>
          </w:tcPr>
          <w:p w14:paraId="227DA76B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2022</w:t>
            </w:r>
          </w:p>
        </w:tc>
        <w:tc>
          <w:tcPr>
            <w:tcW w:w="958" w:type="dxa"/>
            <w:shd w:val="clear" w:color="auto" w:fill="D9D9D9"/>
          </w:tcPr>
          <w:p w14:paraId="43AE018D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2023</w:t>
            </w:r>
          </w:p>
        </w:tc>
        <w:tc>
          <w:tcPr>
            <w:tcW w:w="958" w:type="dxa"/>
            <w:shd w:val="clear" w:color="auto" w:fill="D9D9D9"/>
          </w:tcPr>
          <w:p w14:paraId="3E7B7281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2024</w:t>
            </w:r>
          </w:p>
        </w:tc>
        <w:tc>
          <w:tcPr>
            <w:tcW w:w="949" w:type="dxa"/>
            <w:shd w:val="clear" w:color="auto" w:fill="D9D9D9"/>
          </w:tcPr>
          <w:p w14:paraId="1937211E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2025</w:t>
            </w:r>
          </w:p>
        </w:tc>
        <w:tc>
          <w:tcPr>
            <w:tcW w:w="1132" w:type="dxa"/>
            <w:shd w:val="clear" w:color="auto" w:fill="D9D9D9"/>
          </w:tcPr>
          <w:p w14:paraId="467DD584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Total</w:t>
            </w:r>
          </w:p>
        </w:tc>
      </w:tr>
      <w:tr w14:paraId="6435A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</w:tcPr>
          <w:p w14:paraId="22741F15">
            <w:pPr>
              <w:spacing w:after="0" w:line="240" w:lineRule="auto"/>
            </w:pPr>
            <w:r>
              <w:rPr>
                <w:sz w:val="18"/>
              </w:rPr>
              <w:t>Pathogen-positive ARI patients, n</w:t>
            </w:r>
          </w:p>
        </w:tc>
        <w:tc>
          <w:tcPr>
            <w:tcW w:w="949" w:type="dxa"/>
          </w:tcPr>
          <w:p w14:paraId="0F0C096D">
            <w:pPr>
              <w:spacing w:after="0" w:line="240" w:lineRule="auto"/>
              <w:jc w:val="center"/>
            </w:pPr>
            <w:r>
              <w:rPr>
                <w:sz w:val="18"/>
              </w:rPr>
              <w:t>326</w:t>
            </w:r>
          </w:p>
        </w:tc>
        <w:tc>
          <w:tcPr>
            <w:tcW w:w="949" w:type="dxa"/>
          </w:tcPr>
          <w:p w14:paraId="00ADAB25">
            <w:pPr>
              <w:spacing w:after="0" w:line="240" w:lineRule="auto"/>
              <w:jc w:val="center"/>
            </w:pPr>
            <w:r>
              <w:rPr>
                <w:sz w:val="18"/>
              </w:rPr>
              <w:t>283</w:t>
            </w:r>
          </w:p>
        </w:tc>
        <w:tc>
          <w:tcPr>
            <w:tcW w:w="958" w:type="dxa"/>
          </w:tcPr>
          <w:p w14:paraId="3A777818">
            <w:pPr>
              <w:spacing w:after="0" w:line="240" w:lineRule="auto"/>
              <w:jc w:val="center"/>
            </w:pPr>
            <w:r>
              <w:rPr>
                <w:sz w:val="18"/>
              </w:rPr>
              <w:t>1,486</w:t>
            </w:r>
          </w:p>
        </w:tc>
        <w:tc>
          <w:tcPr>
            <w:tcW w:w="958" w:type="dxa"/>
          </w:tcPr>
          <w:p w14:paraId="472F97C5">
            <w:pPr>
              <w:spacing w:after="0" w:line="240" w:lineRule="auto"/>
              <w:jc w:val="center"/>
            </w:pPr>
            <w:r>
              <w:rPr>
                <w:sz w:val="18"/>
              </w:rPr>
              <w:t>1,046</w:t>
            </w:r>
          </w:p>
        </w:tc>
        <w:tc>
          <w:tcPr>
            <w:tcW w:w="949" w:type="dxa"/>
          </w:tcPr>
          <w:p w14:paraId="49E11126">
            <w:pPr>
              <w:spacing w:after="0" w:line="240" w:lineRule="auto"/>
              <w:jc w:val="center"/>
            </w:pPr>
            <w:r>
              <w:rPr>
                <w:sz w:val="18"/>
              </w:rPr>
              <w:t>475</w:t>
            </w:r>
          </w:p>
        </w:tc>
        <w:tc>
          <w:tcPr>
            <w:tcW w:w="1132" w:type="dxa"/>
          </w:tcPr>
          <w:p w14:paraId="1A7BA269">
            <w:pPr>
              <w:spacing w:after="0" w:line="240" w:lineRule="auto"/>
              <w:jc w:val="center"/>
            </w:pPr>
            <w:r>
              <w:rPr>
                <w:sz w:val="18"/>
              </w:rPr>
              <w:t>3,616</w:t>
            </w:r>
          </w:p>
        </w:tc>
      </w:tr>
      <w:tr w14:paraId="6FBFA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</w:tcPr>
          <w:p w14:paraId="622DFAAB">
            <w:pPr>
              <w:spacing w:after="0" w:line="240" w:lineRule="auto"/>
            </w:pPr>
            <w:r>
              <w:rPr>
                <w:sz w:val="18"/>
              </w:rPr>
              <w:t>LRTI inpatients, nᵇ</w:t>
            </w:r>
          </w:p>
        </w:tc>
        <w:tc>
          <w:tcPr>
            <w:tcW w:w="949" w:type="dxa"/>
          </w:tcPr>
          <w:p w14:paraId="71686BE7">
            <w:pPr>
              <w:spacing w:after="0" w:line="240" w:lineRule="auto"/>
              <w:jc w:val="center"/>
            </w:pPr>
            <w:r>
              <w:rPr>
                <w:sz w:val="18"/>
              </w:rPr>
              <w:t>203</w:t>
            </w:r>
          </w:p>
        </w:tc>
        <w:tc>
          <w:tcPr>
            <w:tcW w:w="949" w:type="dxa"/>
          </w:tcPr>
          <w:p w14:paraId="601CE161">
            <w:pPr>
              <w:spacing w:after="0" w:line="240" w:lineRule="auto"/>
              <w:jc w:val="center"/>
            </w:pPr>
            <w:r>
              <w:rPr>
                <w:sz w:val="18"/>
              </w:rPr>
              <w:t>218</w:t>
            </w:r>
          </w:p>
        </w:tc>
        <w:tc>
          <w:tcPr>
            <w:tcW w:w="958" w:type="dxa"/>
          </w:tcPr>
          <w:p w14:paraId="270464F0">
            <w:pPr>
              <w:spacing w:after="0" w:line="240" w:lineRule="auto"/>
              <w:jc w:val="center"/>
            </w:pPr>
            <w:r>
              <w:rPr>
                <w:sz w:val="18"/>
              </w:rPr>
              <w:t>1,135</w:t>
            </w:r>
          </w:p>
        </w:tc>
        <w:tc>
          <w:tcPr>
            <w:tcW w:w="958" w:type="dxa"/>
          </w:tcPr>
          <w:p w14:paraId="0F475DB4">
            <w:pPr>
              <w:spacing w:after="0" w:line="240" w:lineRule="auto"/>
              <w:jc w:val="center"/>
            </w:pPr>
            <w:r>
              <w:rPr>
                <w:sz w:val="18"/>
              </w:rPr>
              <w:t>1,793</w:t>
            </w:r>
          </w:p>
        </w:tc>
        <w:tc>
          <w:tcPr>
            <w:tcW w:w="949" w:type="dxa"/>
          </w:tcPr>
          <w:p w14:paraId="35CC2A87">
            <w:pPr>
              <w:spacing w:after="0" w:line="240" w:lineRule="auto"/>
              <w:jc w:val="center"/>
            </w:pPr>
            <w:r>
              <w:rPr>
                <w:sz w:val="18"/>
              </w:rPr>
              <w:t>923</w:t>
            </w:r>
          </w:p>
        </w:tc>
        <w:tc>
          <w:tcPr>
            <w:tcW w:w="1132" w:type="dxa"/>
          </w:tcPr>
          <w:p w14:paraId="5E99DFDC">
            <w:pPr>
              <w:spacing w:after="0" w:line="240" w:lineRule="auto"/>
              <w:jc w:val="center"/>
            </w:pPr>
            <w:r>
              <w:rPr>
                <w:sz w:val="18"/>
              </w:rPr>
              <w:t>4,272</w:t>
            </w:r>
          </w:p>
        </w:tc>
      </w:tr>
      <w:tr w14:paraId="70292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</w:tcPr>
          <w:p w14:paraId="5D84489D">
            <w:pPr>
              <w:spacing w:after="0" w:line="240" w:lineRule="auto"/>
            </w:pPr>
            <w:r>
              <w:rPr>
                <w:sz w:val="18"/>
              </w:rPr>
              <w:t>Multiple infections in LRTI, n</w:t>
            </w:r>
          </w:p>
        </w:tc>
        <w:tc>
          <w:tcPr>
            <w:tcW w:w="949" w:type="dxa"/>
          </w:tcPr>
          <w:p w14:paraId="4CB0E2DC">
            <w:pPr>
              <w:spacing w:after="0" w:line="240" w:lineRule="auto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949" w:type="dxa"/>
          </w:tcPr>
          <w:p w14:paraId="01797F4F">
            <w:pPr>
              <w:spacing w:after="0" w:line="240" w:lineRule="auto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958" w:type="dxa"/>
          </w:tcPr>
          <w:p w14:paraId="75157884">
            <w:pPr>
              <w:spacing w:after="0" w:line="240" w:lineRule="auto"/>
              <w:jc w:val="center"/>
            </w:pPr>
            <w:r>
              <w:rPr>
                <w:sz w:val="18"/>
              </w:rPr>
              <w:t>123</w:t>
            </w:r>
          </w:p>
        </w:tc>
        <w:tc>
          <w:tcPr>
            <w:tcW w:w="958" w:type="dxa"/>
          </w:tcPr>
          <w:p w14:paraId="33E56EB9">
            <w:pPr>
              <w:spacing w:after="0" w:line="240" w:lineRule="auto"/>
              <w:jc w:val="center"/>
            </w:pPr>
            <w:r>
              <w:rPr>
                <w:sz w:val="18"/>
              </w:rPr>
              <w:t>129</w:t>
            </w:r>
          </w:p>
        </w:tc>
        <w:tc>
          <w:tcPr>
            <w:tcW w:w="949" w:type="dxa"/>
          </w:tcPr>
          <w:p w14:paraId="450EE89E">
            <w:pPr>
              <w:spacing w:after="0" w:line="240" w:lineRule="auto"/>
              <w:jc w:val="center"/>
            </w:pPr>
            <w:r>
              <w:rPr>
                <w:sz w:val="18"/>
              </w:rPr>
              <w:t>49</w:t>
            </w:r>
          </w:p>
        </w:tc>
        <w:tc>
          <w:tcPr>
            <w:tcW w:w="1132" w:type="dxa"/>
          </w:tcPr>
          <w:p w14:paraId="6FC13EBD">
            <w:pPr>
              <w:spacing w:after="0" w:line="240" w:lineRule="auto"/>
              <w:jc w:val="center"/>
            </w:pPr>
            <w:r>
              <w:rPr>
                <w:sz w:val="18"/>
              </w:rPr>
              <w:t>323</w:t>
            </w:r>
          </w:p>
        </w:tc>
      </w:tr>
      <w:tr w14:paraId="2C721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61" w:type="dxa"/>
          </w:tcPr>
          <w:p w14:paraId="3C494C46">
            <w:pPr>
              <w:spacing w:after="0" w:line="240" w:lineRule="auto"/>
            </w:pPr>
            <w:r>
              <w:rPr>
                <w:sz w:val="18"/>
              </w:rPr>
              <w:t>Rate of multiple infections, %</w:t>
            </w:r>
          </w:p>
        </w:tc>
        <w:tc>
          <w:tcPr>
            <w:tcW w:w="949" w:type="dxa"/>
          </w:tcPr>
          <w:p w14:paraId="3EE1B956">
            <w:pPr>
              <w:spacing w:after="0" w:line="240" w:lineRule="auto"/>
              <w:jc w:val="center"/>
            </w:pPr>
            <w:r>
              <w:rPr>
                <w:sz w:val="18"/>
              </w:rPr>
              <w:t>3.94</w:t>
            </w:r>
          </w:p>
        </w:tc>
        <w:tc>
          <w:tcPr>
            <w:tcW w:w="949" w:type="dxa"/>
          </w:tcPr>
          <w:p w14:paraId="0324EEE7">
            <w:pPr>
              <w:spacing w:after="0" w:line="240" w:lineRule="auto"/>
              <w:jc w:val="center"/>
            </w:pPr>
            <w:r>
              <w:rPr>
                <w:sz w:val="18"/>
              </w:rPr>
              <w:t>6.42</w:t>
            </w:r>
          </w:p>
        </w:tc>
        <w:tc>
          <w:tcPr>
            <w:tcW w:w="958" w:type="dxa"/>
          </w:tcPr>
          <w:p w14:paraId="5A1D3830">
            <w:pPr>
              <w:spacing w:after="0" w:line="240" w:lineRule="auto"/>
              <w:jc w:val="center"/>
            </w:pPr>
            <w:r>
              <w:rPr>
                <w:sz w:val="18"/>
              </w:rPr>
              <w:t>10.83</w:t>
            </w:r>
          </w:p>
        </w:tc>
        <w:tc>
          <w:tcPr>
            <w:tcW w:w="958" w:type="dxa"/>
          </w:tcPr>
          <w:p w14:paraId="55785E56">
            <w:pPr>
              <w:spacing w:after="0" w:line="240" w:lineRule="auto"/>
              <w:jc w:val="center"/>
            </w:pPr>
            <w:r>
              <w:rPr>
                <w:sz w:val="18"/>
              </w:rPr>
              <w:t>7.19</w:t>
            </w:r>
          </w:p>
        </w:tc>
        <w:tc>
          <w:tcPr>
            <w:tcW w:w="949" w:type="dxa"/>
          </w:tcPr>
          <w:p w14:paraId="3796D2FA">
            <w:pPr>
              <w:spacing w:after="0" w:line="240" w:lineRule="auto"/>
              <w:jc w:val="center"/>
            </w:pPr>
            <w:r>
              <w:rPr>
                <w:sz w:val="18"/>
              </w:rPr>
              <w:t>5.31</w:t>
            </w:r>
          </w:p>
        </w:tc>
        <w:tc>
          <w:tcPr>
            <w:tcW w:w="1132" w:type="dxa"/>
          </w:tcPr>
          <w:p w14:paraId="0DC1C556">
            <w:pPr>
              <w:spacing w:after="0" w:line="240" w:lineRule="auto"/>
              <w:jc w:val="center"/>
            </w:pPr>
            <w:r>
              <w:rPr>
                <w:sz w:val="18"/>
              </w:rPr>
              <w:t>7.56</w:t>
            </w:r>
          </w:p>
        </w:tc>
      </w:tr>
    </w:tbl>
    <w:p w14:paraId="3742F090">
      <w:pPr>
        <w:spacing w:before="280" w:after="80"/>
        <w:jc w:val="center"/>
        <w:rPr>
          <w:b/>
          <w:sz w:val="20"/>
        </w:rPr>
      </w:pPr>
    </w:p>
    <w:p w14:paraId="362F8732">
      <w:pPr>
        <w:spacing w:before="280" w:after="80"/>
      </w:pPr>
      <w:r>
        <w:rPr>
          <w:rFonts w:hint="eastAsia"/>
          <w:b/>
          <w:sz w:val="20"/>
        </w:rPr>
        <w:t>Table S</w:t>
      </w:r>
      <w:r>
        <w:rPr>
          <w:rFonts w:hint="eastAsia" w:eastAsia="宋体"/>
          <w:b/>
          <w:sz w:val="20"/>
          <w:lang w:val="en-US" w:eastAsia="zh-CN"/>
        </w:rPr>
        <w:t>3</w:t>
      </w:r>
      <w:r>
        <w:rPr>
          <w:rFonts w:hint="eastAsia"/>
          <w:b/>
          <w:sz w:val="20"/>
        </w:rPr>
        <w:t xml:space="preserve"> . Spectrum of respiratory pathogens detected and patterns of single versus dual infection in 79 ICU patients with severe LRTI</w:t>
      </w:r>
      <w:r>
        <w:rPr>
          <w:b/>
          <w:sz w:val="20"/>
        </w:rPr>
        <w:t>(corresponding to Section 3.7)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1"/>
        <w:gridCol w:w="4685"/>
      </w:tblGrid>
      <w:tr w14:paraId="56FF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1" w:type="dxa"/>
            <w:shd w:val="clear" w:color="auto" w:fill="D9D9D9"/>
          </w:tcPr>
          <w:p w14:paraId="616B04A7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Characteristic</w:t>
            </w:r>
          </w:p>
        </w:tc>
        <w:tc>
          <w:tcPr>
            <w:tcW w:w="4685" w:type="dxa"/>
            <w:shd w:val="clear" w:color="auto" w:fill="D9D9D9"/>
          </w:tcPr>
          <w:p w14:paraId="78CB567E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Value</w:t>
            </w:r>
          </w:p>
        </w:tc>
      </w:tr>
      <w:tr w14:paraId="6C33E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1" w:type="dxa"/>
          </w:tcPr>
          <w:p w14:paraId="23908176">
            <w:pPr>
              <w:spacing w:after="0" w:line="240" w:lineRule="auto"/>
              <w:jc w:val="center"/>
            </w:pPr>
            <w:r>
              <w:rPr>
                <w:sz w:val="18"/>
              </w:rPr>
              <w:t>Patients with ≥1 respiratory pathogen detected, n (%)</w:t>
            </w:r>
          </w:p>
        </w:tc>
        <w:tc>
          <w:tcPr>
            <w:tcW w:w="4685" w:type="dxa"/>
          </w:tcPr>
          <w:p w14:paraId="5C9C4593">
            <w:pPr>
              <w:spacing w:after="0" w:line="240" w:lineRule="auto"/>
              <w:jc w:val="center"/>
            </w:pPr>
            <w:r>
              <w:rPr>
                <w:sz w:val="18"/>
              </w:rPr>
              <w:t>79 (100)</w:t>
            </w:r>
          </w:p>
        </w:tc>
      </w:tr>
      <w:tr w14:paraId="61A22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1" w:type="dxa"/>
          </w:tcPr>
          <w:p w14:paraId="784C11DD">
            <w:pPr>
              <w:spacing w:after="0" w:line="240" w:lineRule="auto"/>
              <w:jc w:val="center"/>
            </w:pPr>
            <w:r>
              <w:rPr>
                <w:sz w:val="18"/>
              </w:rPr>
              <w:t>Infection pattern, n (%)</w:t>
            </w:r>
          </w:p>
        </w:tc>
        <w:tc>
          <w:tcPr>
            <w:tcW w:w="4685" w:type="dxa"/>
          </w:tcPr>
          <w:p w14:paraId="5A1CEC4A">
            <w:pPr>
              <w:spacing w:after="0" w:line="240" w:lineRule="auto"/>
              <w:jc w:val="center"/>
            </w:pPr>
            <w:r>
              <w:rPr>
                <w:sz w:val="18"/>
              </w:rPr>
              <w:t>Single 76 (96.20); Dual 3 (3.80)</w:t>
            </w:r>
          </w:p>
        </w:tc>
      </w:tr>
      <w:tr w14:paraId="6BED7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1" w:type="dxa"/>
          </w:tcPr>
          <w:p w14:paraId="2837F6C4">
            <w:pPr>
              <w:spacing w:after="0" w:line="240" w:lineRule="auto"/>
              <w:jc w:val="center"/>
            </w:pPr>
            <w:r>
              <w:rPr>
                <w:sz w:val="18"/>
              </w:rPr>
              <w:t>Dual infection combinations</w:t>
            </w:r>
          </w:p>
        </w:tc>
        <w:tc>
          <w:tcPr>
            <w:tcW w:w="4685" w:type="dxa"/>
          </w:tcPr>
          <w:p w14:paraId="5CC38113">
            <w:pPr>
              <w:spacing w:after="0" w:line="240" w:lineRule="auto"/>
              <w:jc w:val="center"/>
            </w:pPr>
            <w:r>
              <w:rPr>
                <w:sz w:val="18"/>
              </w:rPr>
              <w:t>FluA-H3N2 + ADV (1); FluB + RSV (1); ADV + BoV (1)</w:t>
            </w:r>
          </w:p>
        </w:tc>
      </w:tr>
      <w:tr w14:paraId="3FC6F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1" w:type="dxa"/>
          </w:tcPr>
          <w:p w14:paraId="0EE2BF41">
            <w:pPr>
              <w:spacing w:after="0" w:line="240" w:lineRule="auto"/>
              <w:jc w:val="center"/>
            </w:pPr>
            <w:r>
              <w:rPr>
                <w:sz w:val="18"/>
              </w:rPr>
              <w:t>Respiratory pathogens detected, n (%)</w:t>
            </w:r>
          </w:p>
        </w:tc>
        <w:tc>
          <w:tcPr>
            <w:tcW w:w="4685" w:type="dxa"/>
          </w:tcPr>
          <w:p w14:paraId="043F232F">
            <w:pPr>
              <w:spacing w:after="0" w:line="240" w:lineRule="auto"/>
              <w:jc w:val="center"/>
            </w:pPr>
            <w:r>
              <w:rPr>
                <w:sz w:val="18"/>
              </w:rPr>
              <w:t>FluA 42 (53.16) — H3N2 23, H1N1 19</w:t>
            </w:r>
          </w:p>
        </w:tc>
      </w:tr>
      <w:tr w14:paraId="2774F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1" w:type="dxa"/>
          </w:tcPr>
          <w:p w14:paraId="6E45D37D">
            <w:pPr>
              <w:spacing w:after="0" w:line="240" w:lineRule="auto"/>
              <w:jc w:val="center"/>
            </w:pPr>
          </w:p>
        </w:tc>
        <w:tc>
          <w:tcPr>
            <w:tcW w:w="4685" w:type="dxa"/>
          </w:tcPr>
          <w:p w14:paraId="00C45ED1">
            <w:pPr>
              <w:spacing w:after="0" w:line="240" w:lineRule="auto"/>
              <w:jc w:val="center"/>
            </w:pPr>
            <w:r>
              <w:rPr>
                <w:sz w:val="18"/>
              </w:rPr>
              <w:t>RVs 13 (16.46)</w:t>
            </w:r>
          </w:p>
        </w:tc>
      </w:tr>
      <w:tr w14:paraId="0885F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1" w:type="dxa"/>
          </w:tcPr>
          <w:p w14:paraId="58EF24A9">
            <w:pPr>
              <w:spacing w:after="0" w:line="240" w:lineRule="auto"/>
              <w:jc w:val="center"/>
            </w:pPr>
          </w:p>
        </w:tc>
        <w:tc>
          <w:tcPr>
            <w:tcW w:w="4685" w:type="dxa"/>
          </w:tcPr>
          <w:p w14:paraId="22A77C1E">
            <w:pPr>
              <w:spacing w:after="0" w:line="240" w:lineRule="auto"/>
              <w:jc w:val="center"/>
            </w:pPr>
            <w:r>
              <w:rPr>
                <w:sz w:val="18"/>
              </w:rPr>
              <w:t>ADV 7 (8.86); FluB 7 (8.86)</w:t>
            </w:r>
          </w:p>
        </w:tc>
      </w:tr>
      <w:tr w14:paraId="416CE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1" w:type="dxa"/>
          </w:tcPr>
          <w:p w14:paraId="6B4FE7F8">
            <w:pPr>
              <w:spacing w:after="0" w:line="240" w:lineRule="auto"/>
              <w:jc w:val="center"/>
            </w:pPr>
          </w:p>
        </w:tc>
        <w:tc>
          <w:tcPr>
            <w:tcW w:w="4685" w:type="dxa"/>
          </w:tcPr>
          <w:p w14:paraId="6F8630F1">
            <w:pPr>
              <w:spacing w:after="0" w:line="240" w:lineRule="auto"/>
              <w:jc w:val="center"/>
            </w:pPr>
            <w:r>
              <w:rPr>
                <w:sz w:val="18"/>
              </w:rPr>
              <w:t>PIV 3 (3.80); MPV 3 (3.80); RSV 3 (3.80)</w:t>
            </w:r>
          </w:p>
        </w:tc>
      </w:tr>
      <w:tr w14:paraId="30160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1" w:type="dxa"/>
          </w:tcPr>
          <w:p w14:paraId="200E57AD">
            <w:pPr>
              <w:spacing w:after="0" w:line="240" w:lineRule="auto"/>
              <w:jc w:val="center"/>
            </w:pPr>
          </w:p>
        </w:tc>
        <w:tc>
          <w:tcPr>
            <w:tcW w:w="4685" w:type="dxa"/>
          </w:tcPr>
          <w:p w14:paraId="59FD1047">
            <w:pPr>
              <w:spacing w:after="0" w:line="240" w:lineRule="auto"/>
              <w:jc w:val="center"/>
            </w:pPr>
            <w:r>
              <w:rPr>
                <w:sz w:val="18"/>
              </w:rPr>
              <w:t>BoV 2 (2.53); CoV 2 (2.53)</w:t>
            </w:r>
          </w:p>
        </w:tc>
      </w:tr>
    </w:tbl>
    <w:p w14:paraId="3DF92479">
      <w:pPr>
        <w:spacing w:after="40"/>
      </w:pPr>
    </w:p>
    <w:p w14:paraId="0178C8A1">
      <w:pPr>
        <w:spacing w:before="280" w:after="80"/>
        <w:jc w:val="center"/>
        <w:rPr>
          <w:b/>
          <w:sz w:val="20"/>
        </w:rPr>
      </w:pPr>
    </w:p>
    <w:p w14:paraId="6A961AE4">
      <w:pPr>
        <w:spacing w:after="40"/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Times New Roman Bold">
    <w:altName w:val="Times New Roman Bold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Palatino Linotype Roman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D4629F"/>
    <w:rsid w:val="06982838"/>
    <w:rsid w:val="1C1A18BC"/>
    <w:rsid w:val="44A470CE"/>
    <w:rsid w:val="516C5641"/>
    <w:rsid w:val="5A3572F7"/>
    <w:rsid w:val="5DF34A61"/>
    <w:rsid w:val="66E1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MDPI_2.1_heading1"/>
    <w:qFormat/>
    <w:uiPriority w:val="0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 Roman" w:hAnsi="Palatino Linotype Roman" w:eastAsia="Times New Roman" w:cs="Times New Roman"/>
      <w:b/>
      <w:snapToGrid w:val="0"/>
      <w:color w:val="000000"/>
      <w:sz w:val="24"/>
      <w:szCs w:val="22"/>
      <w:lang w:val="en-US" w:eastAsia="de-DE" w:bidi="en-US"/>
    </w:rPr>
  </w:style>
  <w:style w:type="paragraph" w:customStyle="1" w:styleId="165">
    <w:name w:val="MDPI_4.1_table_caption"/>
    <w:qFormat/>
    <w:uiPriority w:val="0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 Roman" w:hAnsi="Palatino Linotype Roman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166">
    <w:name w:val="MDPI_4.3_table_footer"/>
    <w:next w:val="167"/>
    <w:qFormat/>
    <w:uiPriority w:val="0"/>
    <w:pPr>
      <w:adjustRightInd w:val="0"/>
      <w:snapToGrid w:val="0"/>
      <w:spacing w:line="280" w:lineRule="atLeast"/>
      <w:ind w:left="2608"/>
      <w:jc w:val="both"/>
    </w:pPr>
    <w:rPr>
      <w:rFonts w:ascii="Palatino Linotype Roman" w:hAnsi="Palatino Linotype Roman" w:eastAsia="Times New Roman" w:cs="Cordia New"/>
      <w:color w:val="000000"/>
      <w:sz w:val="18"/>
      <w:szCs w:val="22"/>
      <w:lang w:val="en-US" w:eastAsia="de-DE" w:bidi="en-US"/>
    </w:rPr>
  </w:style>
  <w:style w:type="paragraph" w:customStyle="1" w:styleId="167">
    <w:name w:val="MDPI_3.1_text"/>
    <w:qFormat/>
    <w:uiPriority w:val="0"/>
    <w:pPr>
      <w:adjustRightInd w:val="0"/>
      <w:snapToGrid w:val="0"/>
      <w:spacing w:line="280" w:lineRule="atLeast"/>
      <w:ind w:left="2608" w:firstLine="425"/>
      <w:jc w:val="both"/>
    </w:pPr>
    <w:rPr>
      <w:rFonts w:ascii="Palatino Linotype Roman" w:hAnsi="Palatino Linotype Roman" w:eastAsia="Times New Roman" w:cs="Times New Roman"/>
      <w:snapToGrid w:val="0"/>
      <w:color w:val="000000"/>
      <w:szCs w:val="22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786</Words>
  <Characters>4119</Characters>
  <Lines>0</Lines>
  <Paragraphs>0</Paragraphs>
  <TotalTime>1</TotalTime>
  <ScaleCrop>false</ScaleCrop>
  <LinksUpToDate>false</LinksUpToDate>
  <CharactersWithSpaces>4803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许一笙不嵩手</cp:lastModifiedBy>
  <dcterms:modified xsi:type="dcterms:W3CDTF">2026-09-17T21:06:16Z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{"Label":"1","ContentProducer":"001191440300708461136T1WFUO","ProduceID":"5edcf71cb6d07b21a90a4e7788ca7098-TFIw","ReservedCode1":"{\"Type\":\" TC260PG\",\"Version\":1,\"Bindings\":[{\"Type\":\"soft\",\"AlgID\":\"sm3\",\"Value\":\"126dabfe2e5ca800ea56567f75fddde05b3dd40069b092cc6e1649d7ec98e0c5\"},{\"Type\":\"hash\",\"AlgID\":\"sm3\",\"Value\":\"0b54b90071a66ed26d4a39040ddf45489063990c490e1d1cb458c3f035666f26\"}],\"PubSD\":[{\"Type\":\"DS\",\"AlgID\":\"sm2\",\"TBSData\":{\"Type\":\"Binding\",\"BType\":\"hash\"},\"Signature\":\"30450221008f53430f9d236676c5a8585514cedc8fde1de014ec6663583752b8b005770f3302202240088a0af0c410fe411e33b0d9d6880ea7861380d4cb1c47347977ff7e938c\"},{\"Type\":\"PubKey\",\"AlgID\":\"sm2\",\"KeyValue\":\"0407f79b28a17a752b3aae4305c98b48978213832729a2571850b1310b2bc9fe8fee039ccf25ebfeac27502414d9fcef792d777183c98893d226171c2f7a3289a2\"}],\"Extension\":{\"Timestamp\":1789579707,\"KeyVersion\":\"v1-TxLeOmf7bqU223\"}}","ContentPropagator":"001191440300708461136T1WFUO","PropagateID":"5edcf71cb6d07b21a90a4e7788ca7098-TFIw","ReservedCode2":"{\"Type\":\" TC260PG\",\"Version\":1,\"Bindings\":[{\"Type\":\"soft\",\"AlgID\":\"sm3\",\"Value\":\"126dabfe2e5ca800ea56567f75fddde05b3dd40069b092cc6e1649d7ec98e0c5\"},{\"Type\":\"hash\",\"AlgID\":\"sm3\",\"Value\":\"0b54b90071a66ed26d4a39040ddf45489063990c490e1d1cb458c3f035666f26\"}],\"PubSD\":[{\"Type\":\"DS\",\"AlgID\":\"sm2\",\"TBSData\":{\"Type\":\"Binding\",\"BType\":\"hash\"},\"Signature\":\"30440220307a20d008a2ee44e36f7b5e87f8873e0efb23da261f6c375dfb3fec90464cbe02202f5f058b64def526e982dc88f59c030d0e835dffe21ceb025eddd11ee4602758\"},{\"Type\":\"PubKey\",\"AlgID\":\"sm2\",\"KeyValue\":\"0407f79b28a17a752b3aae4305c98b48978213832729a2571850b1310b2bc9fe8fee039ccf25ebfeac27502414d9fcef792d777183c98893d226171c2f7a3289a2\"}],\"Extension\":{\"Timestamp\":1789579707,\"KeyVersion\":\"v1-TxLeOmf7bqU223\"}}"}</vt:lpwstr>
  </property>
  <property fmtid="{D5CDD505-2E9C-101B-9397-08002B2CF9AE}" pid="3" name="KSOProductBuildVer">
    <vt:lpwstr>2052-12.1.0.28043</vt:lpwstr>
  </property>
  <property fmtid="{D5CDD505-2E9C-101B-9397-08002B2CF9AE}" pid="4" name="ICV">
    <vt:lpwstr>08867AEE4F004B04BC94CE10FF362238_13</vt:lpwstr>
  </property>
  <property fmtid="{D5CDD505-2E9C-101B-9397-08002B2CF9AE}" pid="5" name="KSOTemplateDocerSaveRecord">
    <vt:lpwstr>eyJoZGlkIjoiNzY0ZGEzMGE2ZjIwNDk4ODk5OTk5MzVlNWQ3ZmI5MGYiLCJ1c2VySWQiOiIxMTIxODY2OTE1In0=</vt:lpwstr>
  </property>
</Properties>
</file>