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38260" w14:textId="77777777" w:rsidR="005672CA" w:rsidRDefault="00000000">
      <w:r>
        <w:rPr>
          <w:b/>
          <w:sz w:val="28"/>
        </w:rPr>
        <w:t>Supplementary Material</w:t>
      </w:r>
    </w:p>
    <w:p w14:paraId="517D8985" w14:textId="41BB7653" w:rsidR="005672CA" w:rsidRPr="005366D5" w:rsidRDefault="00000000" w:rsidP="005366D5">
      <w:pPr>
        <w:spacing w:after="280" w:line="480" w:lineRule="auto"/>
        <w:rPr>
          <w:rFonts w:eastAsia="맑은 고딕" w:hint="eastAsia"/>
          <w:sz w:val="24"/>
          <w:szCs w:val="24"/>
          <w:lang w:eastAsia="ko-KR"/>
        </w:rPr>
      </w:pPr>
      <w:r w:rsidRPr="009B4A15">
        <w:rPr>
          <w:b/>
          <w:sz w:val="24"/>
          <w:szCs w:val="24"/>
        </w:rPr>
        <w:t>Supplementary Table S1. Covariate balance between the tuberculosis and matched non-tuberculosis groups after propensity score matching</w:t>
      </w:r>
      <w:r w:rsidRPr="005366D5">
        <w:rPr>
          <w:b/>
          <w:sz w:val="20"/>
          <w:szCs w:val="20"/>
        </w:rPr>
        <w:t>.</w:t>
      </w:r>
      <w:r w:rsidR="005366D5" w:rsidRPr="005366D5">
        <w:rPr>
          <w:rFonts w:eastAsia="맑은 고딕" w:hint="eastAsia"/>
          <w:b/>
          <w:sz w:val="20"/>
          <w:szCs w:val="20"/>
          <w:lang w:eastAsia="ko-KR"/>
        </w:rPr>
        <w:t xml:space="preserve"> </w:t>
      </w:r>
    </w:p>
    <w:tbl>
      <w:tblPr>
        <w:tblStyle w:val="-11"/>
        <w:tblW w:w="0" w:type="auto"/>
        <w:jc w:val="center"/>
        <w:tblLook w:val="04A0" w:firstRow="1" w:lastRow="0" w:firstColumn="1" w:lastColumn="0" w:noHBand="0" w:noVBand="1"/>
      </w:tblPr>
      <w:tblGrid>
        <w:gridCol w:w="2160"/>
        <w:gridCol w:w="2160"/>
        <w:gridCol w:w="2160"/>
        <w:gridCol w:w="2160"/>
      </w:tblGrid>
      <w:tr w:rsidR="005672CA" w14:paraId="1556D9F1" w14:textId="77777777" w:rsidTr="005672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58119BB1" w14:textId="77777777" w:rsidR="005672CA" w:rsidRDefault="00000000">
            <w:pPr>
              <w:spacing w:before="40" w:after="40"/>
            </w:pPr>
            <w:r>
              <w:rPr>
                <w:sz w:val="20"/>
              </w:rPr>
              <w:t>Covariate</w:t>
            </w:r>
          </w:p>
        </w:tc>
        <w:tc>
          <w:tcPr>
            <w:tcW w:w="2160" w:type="dxa"/>
          </w:tcPr>
          <w:p w14:paraId="368EB01D" w14:textId="77777777" w:rsidR="005672CA" w:rsidRDefault="00000000">
            <w:pPr>
              <w:spacing w:before="40" w:after="40"/>
              <w:jc w:val="center"/>
              <w:cnfStyle w:val="100000000000" w:firstRow="1" w:lastRow="0" w:firstColumn="0" w:lastColumn="0" w:oddVBand="0" w:evenVBand="0" w:oddHBand="0" w:evenHBand="0" w:firstRowFirstColumn="0" w:firstRowLastColumn="0" w:lastRowFirstColumn="0" w:lastRowLastColumn="0"/>
            </w:pPr>
            <w:r>
              <w:rPr>
                <w:sz w:val="20"/>
              </w:rPr>
              <w:t>TB group (n=31,175)</w:t>
            </w:r>
          </w:p>
        </w:tc>
        <w:tc>
          <w:tcPr>
            <w:tcW w:w="2160" w:type="dxa"/>
          </w:tcPr>
          <w:p w14:paraId="1B072812" w14:textId="77777777" w:rsidR="005672CA" w:rsidRDefault="00000000">
            <w:pPr>
              <w:spacing w:before="40" w:after="40"/>
              <w:jc w:val="center"/>
              <w:cnfStyle w:val="100000000000" w:firstRow="1" w:lastRow="0" w:firstColumn="0" w:lastColumn="0" w:oddVBand="0" w:evenVBand="0" w:oddHBand="0" w:evenHBand="0" w:firstRowFirstColumn="0" w:firstRowLastColumn="0" w:lastRowFirstColumn="0" w:lastRowLastColumn="0"/>
            </w:pPr>
            <w:r>
              <w:rPr>
                <w:sz w:val="20"/>
              </w:rPr>
              <w:t>Non-TB group (n=84,522)</w:t>
            </w:r>
          </w:p>
        </w:tc>
        <w:tc>
          <w:tcPr>
            <w:tcW w:w="2160" w:type="dxa"/>
          </w:tcPr>
          <w:p w14:paraId="7C9904B7" w14:textId="77777777" w:rsidR="005672CA" w:rsidRDefault="00000000">
            <w:pPr>
              <w:spacing w:before="40" w:after="40"/>
              <w:jc w:val="center"/>
              <w:cnfStyle w:val="100000000000" w:firstRow="1" w:lastRow="0" w:firstColumn="0" w:lastColumn="0" w:oddVBand="0" w:evenVBand="0" w:oddHBand="0" w:evenHBand="0" w:firstRowFirstColumn="0" w:firstRowLastColumn="0" w:lastRowFirstColumn="0" w:lastRowLastColumn="0"/>
            </w:pPr>
            <w:r>
              <w:rPr>
                <w:sz w:val="20"/>
              </w:rPr>
              <w:t>SMD</w:t>
            </w:r>
          </w:p>
        </w:tc>
      </w:tr>
      <w:tr w:rsidR="005672CA" w14:paraId="2469CCCF" w14:textId="77777777" w:rsidTr="005672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3FF3B6F6" w14:textId="77777777" w:rsidR="005672CA" w:rsidRDefault="00000000">
            <w:pPr>
              <w:spacing w:before="40" w:after="40"/>
            </w:pPr>
            <w:r>
              <w:rPr>
                <w:b w:val="0"/>
                <w:sz w:val="20"/>
              </w:rPr>
              <w:t>Sex, male</w:t>
            </w:r>
          </w:p>
        </w:tc>
        <w:tc>
          <w:tcPr>
            <w:tcW w:w="2160" w:type="dxa"/>
          </w:tcPr>
          <w:p w14:paraId="03BECEFE"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17,240 (55.3%)</w:t>
            </w:r>
          </w:p>
        </w:tc>
        <w:tc>
          <w:tcPr>
            <w:tcW w:w="2160" w:type="dxa"/>
          </w:tcPr>
          <w:p w14:paraId="4A178EA9"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47,077 (55.7%)</w:t>
            </w:r>
          </w:p>
        </w:tc>
        <w:tc>
          <w:tcPr>
            <w:tcW w:w="2160" w:type="dxa"/>
          </w:tcPr>
          <w:p w14:paraId="04C8BF91"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0.008</w:t>
            </w:r>
          </w:p>
        </w:tc>
      </w:tr>
      <w:tr w:rsidR="005672CA" w14:paraId="71421189" w14:textId="77777777" w:rsidTr="005672C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09E2DE58" w14:textId="77777777" w:rsidR="005672CA" w:rsidRDefault="00000000">
            <w:pPr>
              <w:spacing w:before="40" w:after="40"/>
            </w:pPr>
            <w:r>
              <w:rPr>
                <w:b w:val="0"/>
                <w:sz w:val="20"/>
              </w:rPr>
              <w:t>Age ≥ 50 years</w:t>
            </w:r>
          </w:p>
        </w:tc>
        <w:tc>
          <w:tcPr>
            <w:tcW w:w="2160" w:type="dxa"/>
          </w:tcPr>
          <w:p w14:paraId="5F7891D6"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19,876 (63.8%)</w:t>
            </w:r>
          </w:p>
        </w:tc>
        <w:tc>
          <w:tcPr>
            <w:tcW w:w="2160" w:type="dxa"/>
          </w:tcPr>
          <w:p w14:paraId="2F7F9D9A"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53,386 (63.2%)</w:t>
            </w:r>
          </w:p>
        </w:tc>
        <w:tc>
          <w:tcPr>
            <w:tcW w:w="2160" w:type="dxa"/>
          </w:tcPr>
          <w:p w14:paraId="4DCDF523"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0.012</w:t>
            </w:r>
          </w:p>
        </w:tc>
      </w:tr>
      <w:tr w:rsidR="005672CA" w14:paraId="6F643EAD" w14:textId="77777777" w:rsidTr="005672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0EA79C19" w14:textId="77777777" w:rsidR="005672CA" w:rsidRDefault="00000000">
            <w:pPr>
              <w:spacing w:before="40" w:after="40"/>
            </w:pPr>
            <w:r>
              <w:rPr>
                <w:b w:val="0"/>
                <w:sz w:val="20"/>
              </w:rPr>
              <w:t>Socioeconomic status, low</w:t>
            </w:r>
          </w:p>
        </w:tc>
        <w:tc>
          <w:tcPr>
            <w:tcW w:w="2160" w:type="dxa"/>
          </w:tcPr>
          <w:p w14:paraId="4F1C3124"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18,732 (60.1%)</w:t>
            </w:r>
          </w:p>
        </w:tc>
        <w:tc>
          <w:tcPr>
            <w:tcW w:w="2160" w:type="dxa"/>
          </w:tcPr>
          <w:p w14:paraId="0796058D"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50,891 (60.2%)</w:t>
            </w:r>
          </w:p>
        </w:tc>
        <w:tc>
          <w:tcPr>
            <w:tcW w:w="2160" w:type="dxa"/>
          </w:tcPr>
          <w:p w14:paraId="215FB30A"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0.003</w:t>
            </w:r>
          </w:p>
        </w:tc>
      </w:tr>
      <w:tr w:rsidR="005672CA" w14:paraId="64CDDC2E" w14:textId="77777777" w:rsidTr="005672C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73C56DF4" w14:textId="77777777" w:rsidR="005672CA" w:rsidRDefault="00000000">
            <w:pPr>
              <w:spacing w:before="40" w:after="40"/>
            </w:pPr>
            <w:r>
              <w:rPr>
                <w:b w:val="0"/>
                <w:sz w:val="20"/>
              </w:rPr>
              <w:t>Region, metropolitan</w:t>
            </w:r>
          </w:p>
        </w:tc>
        <w:tc>
          <w:tcPr>
            <w:tcW w:w="2160" w:type="dxa"/>
          </w:tcPr>
          <w:p w14:paraId="78181443"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6,679 (21.4%)</w:t>
            </w:r>
          </w:p>
        </w:tc>
        <w:tc>
          <w:tcPr>
            <w:tcW w:w="2160" w:type="dxa"/>
          </w:tcPr>
          <w:p w14:paraId="4ECE3A76"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18,719 (22.1%)</w:t>
            </w:r>
          </w:p>
        </w:tc>
        <w:tc>
          <w:tcPr>
            <w:tcW w:w="2160" w:type="dxa"/>
          </w:tcPr>
          <w:p w14:paraId="58A59EE7"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0.018</w:t>
            </w:r>
          </w:p>
        </w:tc>
      </w:tr>
      <w:tr w:rsidR="005672CA" w14:paraId="6A453C92" w14:textId="77777777" w:rsidTr="005672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4884CFDD" w14:textId="77777777" w:rsidR="005672CA" w:rsidRDefault="00000000">
            <w:pPr>
              <w:spacing w:before="40" w:after="40"/>
            </w:pPr>
            <w:r>
              <w:rPr>
                <w:b w:val="0"/>
                <w:sz w:val="20"/>
              </w:rPr>
              <w:t>Hypertension</w:t>
            </w:r>
          </w:p>
        </w:tc>
        <w:tc>
          <w:tcPr>
            <w:tcW w:w="2160" w:type="dxa"/>
          </w:tcPr>
          <w:p w14:paraId="2A27347E"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9,405 (30.2%)</w:t>
            </w:r>
          </w:p>
        </w:tc>
        <w:tc>
          <w:tcPr>
            <w:tcW w:w="2160" w:type="dxa"/>
          </w:tcPr>
          <w:p w14:paraId="3D158C22"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23,972 (28.4%)</w:t>
            </w:r>
          </w:p>
        </w:tc>
        <w:tc>
          <w:tcPr>
            <w:tcW w:w="2160" w:type="dxa"/>
          </w:tcPr>
          <w:p w14:paraId="7EADBD54"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0.039</w:t>
            </w:r>
          </w:p>
        </w:tc>
      </w:tr>
      <w:tr w:rsidR="005672CA" w14:paraId="472FCF84" w14:textId="77777777" w:rsidTr="005672C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7D318D05" w14:textId="77777777" w:rsidR="005672CA" w:rsidRDefault="00000000">
            <w:pPr>
              <w:spacing w:before="40" w:after="40"/>
            </w:pPr>
            <w:r>
              <w:rPr>
                <w:b w:val="0"/>
                <w:sz w:val="20"/>
              </w:rPr>
              <w:t>Diabetes mellitus</w:t>
            </w:r>
          </w:p>
        </w:tc>
        <w:tc>
          <w:tcPr>
            <w:tcW w:w="2160" w:type="dxa"/>
          </w:tcPr>
          <w:p w14:paraId="70FBECCE"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6,203 (19.9%)</w:t>
            </w:r>
          </w:p>
        </w:tc>
        <w:tc>
          <w:tcPr>
            <w:tcW w:w="2160" w:type="dxa"/>
          </w:tcPr>
          <w:p w14:paraId="0BB87B92"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12,072 (14.3%)</w:t>
            </w:r>
          </w:p>
        </w:tc>
        <w:tc>
          <w:tcPr>
            <w:tcW w:w="2160" w:type="dxa"/>
          </w:tcPr>
          <w:p w14:paraId="3F6956B2" w14:textId="77777777" w:rsidR="005672CA" w:rsidRDefault="00000000">
            <w:pPr>
              <w:spacing w:before="40" w:after="40"/>
              <w:jc w:val="center"/>
              <w:cnfStyle w:val="000000010000" w:firstRow="0" w:lastRow="0" w:firstColumn="0" w:lastColumn="0" w:oddVBand="0" w:evenVBand="0" w:oddHBand="0" w:evenHBand="1" w:firstRowFirstColumn="0" w:firstRowLastColumn="0" w:lastRowFirstColumn="0" w:lastRowLastColumn="0"/>
            </w:pPr>
            <w:r>
              <w:rPr>
                <w:sz w:val="20"/>
              </w:rPr>
              <w:t>0.098</w:t>
            </w:r>
          </w:p>
        </w:tc>
      </w:tr>
      <w:tr w:rsidR="005672CA" w14:paraId="3C4CE7A0" w14:textId="77777777" w:rsidTr="005672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1038E787" w14:textId="77777777" w:rsidR="005672CA" w:rsidRDefault="00000000">
            <w:pPr>
              <w:spacing w:before="40" w:after="40"/>
            </w:pPr>
            <w:r>
              <w:rPr>
                <w:b w:val="0"/>
                <w:sz w:val="20"/>
              </w:rPr>
              <w:t>Chronic kidney disease</w:t>
            </w:r>
          </w:p>
        </w:tc>
        <w:tc>
          <w:tcPr>
            <w:tcW w:w="2160" w:type="dxa"/>
          </w:tcPr>
          <w:p w14:paraId="7216E115"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3,213 (10.3%)</w:t>
            </w:r>
          </w:p>
        </w:tc>
        <w:tc>
          <w:tcPr>
            <w:tcW w:w="2160" w:type="dxa"/>
          </w:tcPr>
          <w:p w14:paraId="72C5E7EC"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8,021 (9.5%)</w:t>
            </w:r>
          </w:p>
        </w:tc>
        <w:tc>
          <w:tcPr>
            <w:tcW w:w="2160" w:type="dxa"/>
          </w:tcPr>
          <w:p w14:paraId="2D5F4E55" w14:textId="77777777" w:rsidR="005672CA" w:rsidRDefault="00000000">
            <w:pPr>
              <w:spacing w:before="40" w:after="40"/>
              <w:jc w:val="center"/>
              <w:cnfStyle w:val="000000100000" w:firstRow="0" w:lastRow="0" w:firstColumn="0" w:lastColumn="0" w:oddVBand="0" w:evenVBand="0" w:oddHBand="1" w:evenHBand="0" w:firstRowFirstColumn="0" w:firstRowLastColumn="0" w:lastRowFirstColumn="0" w:lastRowLastColumn="0"/>
            </w:pPr>
            <w:r>
              <w:rPr>
                <w:sz w:val="20"/>
              </w:rPr>
              <w:t>0.027</w:t>
            </w:r>
          </w:p>
        </w:tc>
      </w:tr>
    </w:tbl>
    <w:p w14:paraId="505390FC" w14:textId="30B03C4D" w:rsidR="009B4A15" w:rsidRDefault="00000000" w:rsidP="005366D5">
      <w:pPr>
        <w:spacing w:after="280"/>
        <w:rPr>
          <w:rFonts w:eastAsia="맑은 고딕"/>
          <w:b/>
          <w:sz w:val="24"/>
          <w:szCs w:val="24"/>
          <w:lang w:eastAsia="ko-KR"/>
        </w:rPr>
      </w:pPr>
      <w:r>
        <w:rPr>
          <w:i/>
          <w:sz w:val="18"/>
        </w:rPr>
        <w:t xml:space="preserve">SMD, standardized mean difference. Values are n (%). </w:t>
      </w:r>
    </w:p>
    <w:p w14:paraId="4E762324" w14:textId="41B0FF7F" w:rsidR="009B4A15" w:rsidRPr="005366D5" w:rsidRDefault="005366D5" w:rsidP="005366D5">
      <w:pPr>
        <w:spacing w:after="120" w:line="360" w:lineRule="auto"/>
        <w:rPr>
          <w:rFonts w:eastAsia="맑은 고딕"/>
          <w:bCs/>
          <w:sz w:val="24"/>
          <w:szCs w:val="24"/>
          <w:lang w:eastAsia="ko-KR"/>
        </w:rPr>
      </w:pPr>
      <w:r w:rsidRPr="005366D5">
        <w:rPr>
          <w:rFonts w:eastAsia="맑은 고딕" w:hint="eastAsia"/>
          <w:bCs/>
          <w:sz w:val="24"/>
          <w:szCs w:val="24"/>
          <w:lang w:eastAsia="ko-KR"/>
        </w:rPr>
        <w:t>P</w:t>
      </w:r>
      <w:r w:rsidRPr="005366D5">
        <w:rPr>
          <w:bCs/>
          <w:sz w:val="24"/>
          <w:szCs w:val="24"/>
        </w:rPr>
        <w:t>ropensity score matching was performed on age, sex, socioeconomic status, and residential region; comorbidities (hypertension, diabetes mellitus, and chronic kidney disease) were additionally adjusted for in the Cox models and are shown here as baseline characteristics. All covariates achieved an SMD below 0.1 after matching (the largest SMD was 0.098, for diabetes mellitus), indicating acceptable post-matching balance according to the conventional SMD &lt; 0.1 criterion. Pre-matching covariate distributions were not retained in the analytic dataset available for this study; therefore, only post-matching values are reported.</w:t>
      </w:r>
    </w:p>
    <w:p w14:paraId="1820ED14" w14:textId="77777777" w:rsidR="009B4A15" w:rsidRDefault="009B4A15">
      <w:pPr>
        <w:spacing w:after="120"/>
        <w:rPr>
          <w:rFonts w:eastAsia="맑은 고딕"/>
          <w:b/>
          <w:sz w:val="24"/>
          <w:szCs w:val="24"/>
          <w:lang w:eastAsia="ko-KR"/>
        </w:rPr>
      </w:pPr>
    </w:p>
    <w:p w14:paraId="57AECE9C" w14:textId="77777777" w:rsidR="009B4A15" w:rsidRDefault="009B4A15">
      <w:pPr>
        <w:spacing w:after="120"/>
        <w:rPr>
          <w:rFonts w:eastAsia="맑은 고딕"/>
          <w:b/>
          <w:sz w:val="24"/>
          <w:szCs w:val="24"/>
          <w:lang w:eastAsia="ko-KR"/>
        </w:rPr>
      </w:pPr>
    </w:p>
    <w:p w14:paraId="70A2BE9A" w14:textId="77777777" w:rsidR="009B4A15" w:rsidRDefault="009B4A15">
      <w:pPr>
        <w:spacing w:after="120"/>
        <w:rPr>
          <w:rFonts w:eastAsia="맑은 고딕"/>
          <w:b/>
          <w:sz w:val="24"/>
          <w:szCs w:val="24"/>
          <w:lang w:eastAsia="ko-KR"/>
        </w:rPr>
      </w:pPr>
    </w:p>
    <w:p w14:paraId="2AE52D89" w14:textId="77777777" w:rsidR="009B4A15" w:rsidRDefault="009B4A15">
      <w:pPr>
        <w:spacing w:after="120"/>
        <w:rPr>
          <w:rFonts w:eastAsia="맑은 고딕"/>
          <w:b/>
          <w:sz w:val="24"/>
          <w:szCs w:val="24"/>
          <w:lang w:eastAsia="ko-KR"/>
        </w:rPr>
      </w:pPr>
    </w:p>
    <w:p w14:paraId="5B0244CE" w14:textId="77777777" w:rsidR="009B4A15" w:rsidRDefault="009B4A15">
      <w:pPr>
        <w:spacing w:after="120"/>
        <w:rPr>
          <w:rFonts w:eastAsia="맑은 고딕"/>
          <w:b/>
          <w:sz w:val="24"/>
          <w:szCs w:val="24"/>
          <w:lang w:eastAsia="ko-KR"/>
        </w:rPr>
      </w:pPr>
    </w:p>
    <w:p w14:paraId="540C1DC0" w14:textId="77777777" w:rsidR="009B4A15" w:rsidRDefault="009B4A15">
      <w:pPr>
        <w:spacing w:after="120"/>
        <w:rPr>
          <w:rFonts w:eastAsia="맑은 고딕"/>
          <w:b/>
          <w:sz w:val="24"/>
          <w:szCs w:val="24"/>
          <w:lang w:eastAsia="ko-KR"/>
        </w:rPr>
      </w:pPr>
    </w:p>
    <w:p w14:paraId="6DCB8CDB" w14:textId="77777777" w:rsidR="009B4A15" w:rsidRDefault="009B4A15">
      <w:pPr>
        <w:spacing w:after="120"/>
        <w:rPr>
          <w:rFonts w:eastAsia="맑은 고딕"/>
          <w:b/>
          <w:sz w:val="24"/>
          <w:szCs w:val="24"/>
          <w:lang w:eastAsia="ko-KR"/>
        </w:rPr>
      </w:pPr>
    </w:p>
    <w:p w14:paraId="3EA943B2" w14:textId="77777777" w:rsidR="005672CA" w:rsidRDefault="00000000">
      <w:pPr>
        <w:jc w:val="center"/>
      </w:pPr>
      <w:r>
        <w:rPr>
          <w:noProof/>
        </w:rPr>
        <w:lastRenderedPageBreak/>
        <w:drawing>
          <wp:inline distT="0" distB="0" distL="0" distR="0" wp14:anchorId="7D0CEBE9" wp14:editId="73C3493F">
            <wp:extent cx="5303520" cy="30590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vePlot_FigureS1.png"/>
                    <pic:cNvPicPr/>
                  </pic:nvPicPr>
                  <pic:blipFill>
                    <a:blip r:embed="rId6"/>
                    <a:stretch>
                      <a:fillRect/>
                    </a:stretch>
                  </pic:blipFill>
                  <pic:spPr>
                    <a:xfrm>
                      <a:off x="0" y="0"/>
                      <a:ext cx="5303520" cy="3059052"/>
                    </a:xfrm>
                    <a:prstGeom prst="rect">
                      <a:avLst/>
                    </a:prstGeom>
                  </pic:spPr>
                </pic:pic>
              </a:graphicData>
            </a:graphic>
          </wp:inline>
        </w:drawing>
      </w:r>
    </w:p>
    <w:p w14:paraId="7E96DF99" w14:textId="2554998F" w:rsidR="005672CA" w:rsidRDefault="009B4A15" w:rsidP="009B4A15">
      <w:pPr>
        <w:spacing w:after="120" w:line="480" w:lineRule="auto"/>
      </w:pPr>
      <w:r w:rsidRPr="009B4A15">
        <w:rPr>
          <w:b/>
          <w:sz w:val="24"/>
          <w:szCs w:val="24"/>
        </w:rPr>
        <w:t>Supplementary Figure S1. Love plot of covariate balance after propensity score matching.</w:t>
      </w:r>
      <w:r>
        <w:rPr>
          <w:rFonts w:eastAsia="맑은 고딕" w:hint="eastAsia"/>
          <w:b/>
          <w:sz w:val="24"/>
          <w:szCs w:val="24"/>
          <w:lang w:eastAsia="ko-KR"/>
        </w:rPr>
        <w:t xml:space="preserve"> </w:t>
      </w:r>
      <w:r w:rsidR="00000000" w:rsidRPr="009B4A15">
        <w:rPr>
          <w:iCs/>
          <w:sz w:val="24"/>
          <w:szCs w:val="24"/>
        </w:rPr>
        <w:t>Each point represents the absolute standardized mean difference (SMD) for a covariate after matching. The dashed red line denotes the conventional threshold of 0.1, below which post-matching balance is considered acceptable. All covariates fell below this threshold. As pre-matching distributions were not available in the analytic dataset, only post-matching SMDs are displayed.</w:t>
      </w:r>
    </w:p>
    <w:sectPr w:rsidR="005672C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45468286">
    <w:abstractNumId w:val="8"/>
  </w:num>
  <w:num w:numId="2" w16cid:durableId="1170562599">
    <w:abstractNumId w:val="6"/>
  </w:num>
  <w:num w:numId="3" w16cid:durableId="862742420">
    <w:abstractNumId w:val="5"/>
  </w:num>
  <w:num w:numId="4" w16cid:durableId="2099673391">
    <w:abstractNumId w:val="4"/>
  </w:num>
  <w:num w:numId="5" w16cid:durableId="385841339">
    <w:abstractNumId w:val="7"/>
  </w:num>
  <w:num w:numId="6" w16cid:durableId="980769961">
    <w:abstractNumId w:val="3"/>
  </w:num>
  <w:num w:numId="7" w16cid:durableId="1855877">
    <w:abstractNumId w:val="2"/>
  </w:num>
  <w:num w:numId="8" w16cid:durableId="425272477">
    <w:abstractNumId w:val="1"/>
  </w:num>
  <w:num w:numId="9" w16cid:durableId="85657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7600"/>
    <w:rsid w:val="005366D5"/>
    <w:rsid w:val="005672CA"/>
    <w:rsid w:val="009B4A1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03A77A"/>
  <w14:defaultImageDpi w14:val="300"/>
  <w15:docId w15:val="{F23CFDD5-D624-4105-AA52-CB0EFBF53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262</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HJL</cp:lastModifiedBy>
  <cp:revision>3</cp:revision>
  <dcterms:created xsi:type="dcterms:W3CDTF">2013-12-23T23:15:00Z</dcterms:created>
  <dcterms:modified xsi:type="dcterms:W3CDTF">2026-09-21T22:28:00Z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604a282e-a594-426e-8e1d-299f6e8e62fa</vt:lpwstr>
  </property>
</Properties>
</file>