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12514" w14:textId="77777777" w:rsidR="00C744BD" w:rsidRPr="00871248" w:rsidRDefault="00351B3D" w:rsidP="001F3DA1">
      <w:pPr>
        <w:rPr>
          <w:rFonts w:asciiTheme="majorBidi" w:hAnsiTheme="majorBidi"/>
          <w:b/>
          <w:bCs/>
          <w:sz w:val="24"/>
          <w:szCs w:val="24"/>
        </w:rPr>
      </w:pPr>
      <w:r>
        <w:rPr>
          <w:rFonts w:asciiTheme="majorBidi" w:hAnsiTheme="majorBidi"/>
          <w:b/>
          <w:bCs/>
          <w:sz w:val="24"/>
          <w:szCs w:val="24"/>
        </w:rPr>
        <w:t>Supplementary Data</w:t>
      </w:r>
    </w:p>
    <w:p w14:paraId="66185DE2" w14:textId="07D9E38E" w:rsidR="004F39C4" w:rsidRPr="00871248" w:rsidRDefault="00A72F77" w:rsidP="00D83C29">
      <w:pPr>
        <w:spacing w:after="0"/>
        <w:rPr>
          <w:rFonts w:asciiTheme="majorBidi" w:hAnsiTheme="majorBidi" w:cstheme="majorBidi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21376" behindDoc="0" locked="0" layoutInCell="1" allowOverlap="1" wp14:anchorId="399498EC" wp14:editId="61461DF7">
            <wp:simplePos x="0" y="0"/>
            <wp:positionH relativeFrom="column">
              <wp:posOffset>-156210</wp:posOffset>
            </wp:positionH>
            <wp:positionV relativeFrom="paragraph">
              <wp:posOffset>2859405</wp:posOffset>
            </wp:positionV>
            <wp:extent cx="5344795" cy="4156710"/>
            <wp:effectExtent l="0" t="0" r="0" b="0"/>
            <wp:wrapTopAndBottom/>
            <wp:docPr id="26" name="תמונה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4795" cy="4156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Figure 1: Performance of CRP2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Theme="majorBidi" w:hAnsiTheme="majorBidi"/>
          <w:b/>
          <w:bCs/>
          <w:sz w:val="24"/>
          <w:szCs w:val="24"/>
        </w:rPr>
        <w:t xml:space="preserve">ΔCRP, and CRPv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 classifying </w:t>
      </w:r>
      <w:r>
        <w:rPr>
          <w:rFonts w:asciiTheme="majorBidi" w:hAnsiTheme="majorBidi"/>
          <w:b/>
          <w:bCs/>
          <w:sz w:val="24"/>
          <w:szCs w:val="24"/>
        </w:rPr>
        <w:t>the Appropriate and Discordant groups, conducted on a cohort of n= 104 (82 and 22, respectively).</w:t>
      </w:r>
      <w:r>
        <w:rPr>
          <w:rFonts w:asciiTheme="majorBidi" w:hAnsiTheme="majorBidi"/>
          <w:sz w:val="24"/>
          <w:szCs w:val="24"/>
        </w:rPr>
        <w:t xml:space="preserve"> </w:t>
      </w:r>
      <w:r>
        <w:rPr>
          <w:rFonts w:asciiTheme="majorBidi" w:hAnsiTheme="majorBidi"/>
          <w:sz w:val="24"/>
          <w:szCs w:val="24"/>
        </w:rPr>
        <w:br/>
      </w:r>
      <w:r>
        <w:rPr>
          <w:rFonts w:asciiTheme="majorBidi" w:hAnsiTheme="majorBidi"/>
          <w:sz w:val="20"/>
          <w:szCs w:val="20"/>
        </w:rPr>
        <w:t xml:space="preserve">The area under the receiver operating characteristic curve (ROC-AUC) is shown for the second </w:t>
      </w:r>
      <w:r>
        <w:rPr>
          <w:rFonts w:asciiTheme="majorBidi" w:hAnsiTheme="majorBidi" w:cstheme="majorBidi"/>
          <w:sz w:val="20"/>
          <w:szCs w:val="20"/>
        </w:rPr>
        <w:t xml:space="preserve">C- reactive protein (CRP) measurement from admission </w:t>
      </w:r>
      <w:r>
        <w:rPr>
          <w:rFonts w:asciiTheme="majorBidi" w:hAnsiTheme="majorBidi"/>
          <w:sz w:val="20"/>
          <w:szCs w:val="20"/>
        </w:rPr>
        <w:t xml:space="preserve">(CRP2 mg/L; yellow); </w:t>
      </w:r>
      <w:r>
        <w:rPr>
          <w:rFonts w:asciiTheme="majorBidi" w:hAnsiTheme="majorBidi" w:cstheme="majorBidi"/>
          <w:sz w:val="20"/>
          <w:szCs w:val="20"/>
        </w:rPr>
        <w:t>the difference between the first CRP measurement from admission (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)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 xml:space="preserve"> (</w:t>
      </w:r>
      <w:r>
        <w:rPr>
          <w:rFonts w:asciiTheme="majorBidi" w:hAnsiTheme="majorBidi" w:cstheme="majorBidi"/>
          <w:i/>
          <w:iCs/>
          <w:sz w:val="20"/>
          <w:szCs w:val="20"/>
        </w:rPr>
        <w:t>ΔCRP</w:t>
      </w:r>
      <w:r>
        <w:rPr>
          <w:rFonts w:asciiTheme="majorBidi" w:hAnsiTheme="majorBidi" w:cstheme="majorBidi"/>
          <w:sz w:val="20"/>
          <w:szCs w:val="20"/>
        </w:rPr>
        <w:t xml:space="preserve"> mg/L; red)</w:t>
      </w:r>
      <w:r>
        <w:rPr>
          <w:rFonts w:asciiTheme="majorBidi" w:hAnsiTheme="majorBidi"/>
          <w:sz w:val="20"/>
          <w:szCs w:val="20"/>
        </w:rPr>
        <w:t xml:space="preserve">; and </w:t>
      </w:r>
      <w:r>
        <w:rPr>
          <w:rFonts w:asciiTheme="majorBidi" w:hAnsiTheme="majorBidi"/>
          <w:i/>
          <w:iCs/>
          <w:sz w:val="20"/>
          <w:szCs w:val="20"/>
        </w:rPr>
        <w:t>ΔCRP</w:t>
      </w:r>
      <w:r>
        <w:rPr>
          <w:rFonts w:asciiTheme="majorBidi" w:hAnsiTheme="majorBidi"/>
          <w:sz w:val="20"/>
          <w:szCs w:val="20"/>
        </w:rPr>
        <w:t>, divided by the time difference between the measurements (</w:t>
      </w:r>
      <w:r>
        <w:rPr>
          <w:rFonts w:asciiTheme="majorBidi" w:hAnsiTheme="majorBidi"/>
          <w:i/>
          <w:iCs/>
          <w:sz w:val="20"/>
          <w:szCs w:val="20"/>
        </w:rPr>
        <w:t>CRPv</w:t>
      </w:r>
      <w:r>
        <w:rPr>
          <w:rFonts w:asciiTheme="majorBidi" w:hAnsiTheme="majorBidi"/>
          <w:sz w:val="20"/>
          <w:szCs w:val="20"/>
        </w:rPr>
        <w:t xml:space="preserve"> mg/L/hour; green). </w:t>
      </w:r>
      <w:r>
        <w:rPr>
          <w:rFonts w:asciiTheme="majorBidi" w:hAnsiTheme="majorBidi" w:cstheme="majorBidi"/>
          <w:sz w:val="20"/>
          <w:szCs w:val="20"/>
        </w:rPr>
        <w:t>The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Appropriate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group comprises patients who received an antibiotic regimen with in vitro activity against the isolated pathogen between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CRP1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 xml:space="preserve">. The </w:t>
      </w:r>
      <w:r>
        <w:rPr>
          <w:rFonts w:asciiTheme="majorBidi" w:hAnsiTheme="majorBidi" w:cstheme="majorBidi"/>
          <w:i/>
          <w:iCs/>
          <w:sz w:val="20"/>
          <w:szCs w:val="20"/>
        </w:rPr>
        <w:t>Discordant</w:t>
      </w:r>
      <w:r>
        <w:rPr>
          <w:rFonts w:asciiTheme="majorBidi" w:hAnsiTheme="majorBidi" w:cstheme="majorBidi"/>
          <w:sz w:val="20"/>
          <w:szCs w:val="20"/>
        </w:rPr>
        <w:t xml:space="preserve"> group comprises patients who received an antibiotic regimen without in vitro activity against the isolated pathogen between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>.</w:t>
      </w:r>
      <w:r>
        <w:rPr>
          <w:rFonts w:asciiTheme="majorBidi" w:hAnsiTheme="majorBidi"/>
          <w:b/>
          <w:bCs/>
          <w:sz w:val="24"/>
          <w:szCs w:val="24"/>
        </w:rPr>
        <w:br w:type="page"/>
      </w:r>
    </w:p>
    <w:p w14:paraId="1D4B1356" w14:textId="6673148D" w:rsidR="008363AE" w:rsidRPr="00871248" w:rsidRDefault="00DD3C7F" w:rsidP="006418CF">
      <w:pPr>
        <w:pStyle w:val="1"/>
        <w:spacing w:before="0"/>
        <w:jc w:val="left"/>
        <w:rPr>
          <w:rFonts w:asciiTheme="majorBidi" w:hAnsiTheme="majorBidi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Supplementary Figure 2: Performance of CRP2, </w:t>
      </w:r>
      <w:r>
        <w:rPr>
          <w:rFonts w:asciiTheme="majorBidi" w:hAnsiTheme="majorBidi"/>
          <w:b/>
          <w:bCs/>
          <w:color w:val="auto"/>
          <w:sz w:val="24"/>
          <w:szCs w:val="24"/>
        </w:rPr>
        <w:t>ΔCRP, and CRPv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in classifying </w:t>
      </w:r>
      <w:r>
        <w:rPr>
          <w:rFonts w:asciiTheme="majorBidi" w:hAnsiTheme="majorBidi"/>
          <w:b/>
          <w:bCs/>
          <w:color w:val="auto"/>
          <w:sz w:val="24"/>
          <w:szCs w:val="24"/>
        </w:rPr>
        <w:t>the Appropriate and Inappropriate groups, conducted on a cohort of n= 122 (82 and 40, respectively).</w:t>
      </w:r>
      <w:r>
        <w:rPr>
          <w:rFonts w:asciiTheme="majorBidi" w:hAnsiTheme="majorBidi"/>
          <w:sz w:val="24"/>
          <w:szCs w:val="24"/>
        </w:rPr>
        <w:t xml:space="preserve"> </w:t>
      </w:r>
      <w:r>
        <w:rPr>
          <w:rFonts w:asciiTheme="majorBidi" w:hAnsiTheme="majorBidi"/>
          <w:sz w:val="24"/>
          <w:szCs w:val="24"/>
        </w:rPr>
        <w:br/>
      </w:r>
      <w:r>
        <w:rPr>
          <w:rFonts w:asciiTheme="majorBidi" w:hAnsiTheme="majorBidi"/>
          <w:color w:val="auto"/>
          <w:sz w:val="20"/>
          <w:szCs w:val="20"/>
        </w:rPr>
        <w:t>The area under the receiver operating characteristic curve (ROC-AUC) of the second C- reactive protein (CRP) measurement from admission (CRP2 mg/L; yellow); the difference between the first CRP measurement from admission (</w:t>
      </w:r>
      <w:r>
        <w:rPr>
          <w:rFonts w:asciiTheme="majorBidi" w:hAnsiTheme="majorBidi"/>
          <w:i/>
          <w:iCs/>
          <w:color w:val="auto"/>
          <w:sz w:val="20"/>
          <w:szCs w:val="20"/>
        </w:rPr>
        <w:t>CRP1</w:t>
      </w:r>
      <w:r>
        <w:rPr>
          <w:rFonts w:asciiTheme="majorBidi" w:hAnsiTheme="majorBidi"/>
          <w:color w:val="auto"/>
          <w:sz w:val="20"/>
          <w:szCs w:val="20"/>
        </w:rPr>
        <w:t xml:space="preserve">) and </w:t>
      </w:r>
      <w:r>
        <w:rPr>
          <w:rFonts w:asciiTheme="majorBidi" w:hAnsiTheme="majorBidi"/>
          <w:i/>
          <w:iCs/>
          <w:color w:val="auto"/>
          <w:sz w:val="20"/>
          <w:szCs w:val="20"/>
        </w:rPr>
        <w:t>CRP2</w:t>
      </w:r>
      <w:r>
        <w:rPr>
          <w:rFonts w:asciiTheme="majorBidi" w:hAnsiTheme="majorBidi"/>
          <w:color w:val="auto"/>
          <w:sz w:val="20"/>
          <w:szCs w:val="20"/>
        </w:rPr>
        <w:t xml:space="preserve"> (</w:t>
      </w:r>
      <w:r>
        <w:rPr>
          <w:rFonts w:asciiTheme="majorBidi" w:hAnsiTheme="majorBidi"/>
          <w:i/>
          <w:iCs/>
          <w:color w:val="auto"/>
          <w:sz w:val="20"/>
          <w:szCs w:val="20"/>
        </w:rPr>
        <w:t>ΔCRP</w:t>
      </w:r>
      <w:r>
        <w:rPr>
          <w:rFonts w:asciiTheme="majorBidi" w:hAnsiTheme="majorBidi"/>
          <w:color w:val="auto"/>
          <w:sz w:val="20"/>
          <w:szCs w:val="20"/>
        </w:rPr>
        <w:t xml:space="preserve"> mg/L; red); and </w:t>
      </w:r>
      <w:r>
        <w:rPr>
          <w:rFonts w:asciiTheme="majorBidi" w:hAnsiTheme="majorBidi"/>
          <w:i/>
          <w:iCs/>
          <w:color w:val="auto"/>
          <w:sz w:val="20"/>
          <w:szCs w:val="20"/>
        </w:rPr>
        <w:t>ΔCRP</w:t>
      </w:r>
      <w:r>
        <w:rPr>
          <w:rFonts w:asciiTheme="majorBidi" w:hAnsiTheme="majorBidi"/>
          <w:color w:val="auto"/>
          <w:sz w:val="20"/>
          <w:szCs w:val="20"/>
        </w:rPr>
        <w:t>, divided by the time difference between the measurements (</w:t>
      </w:r>
      <w:r>
        <w:rPr>
          <w:rFonts w:asciiTheme="majorBidi" w:hAnsiTheme="majorBidi"/>
          <w:i/>
          <w:iCs/>
          <w:color w:val="auto"/>
          <w:sz w:val="20"/>
          <w:szCs w:val="20"/>
        </w:rPr>
        <w:t>CRPv</w:t>
      </w:r>
      <w:r>
        <w:rPr>
          <w:rFonts w:asciiTheme="majorBidi" w:hAnsiTheme="majorBidi"/>
          <w:color w:val="auto"/>
          <w:sz w:val="20"/>
          <w:szCs w:val="20"/>
        </w:rPr>
        <w:t xml:space="preserve"> mg/L/hour; green).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Theme="majorBidi" w:hAnsiTheme="majorBidi"/>
          <w:color w:val="auto"/>
          <w:sz w:val="20"/>
          <w:szCs w:val="20"/>
        </w:rPr>
        <w:t>The</w:t>
      </w:r>
      <w:r>
        <w:rPr>
          <w:rFonts w:asciiTheme="majorBidi" w:hAnsiTheme="majorBidi"/>
          <w:i/>
          <w:iCs/>
          <w:color w:val="auto"/>
          <w:sz w:val="20"/>
          <w:szCs w:val="20"/>
        </w:rPr>
        <w:t xml:space="preserve"> Appropriate</w:t>
      </w:r>
      <w:r>
        <w:rPr>
          <w:rFonts w:asciiTheme="majorBidi" w:hAnsiTheme="majorBidi"/>
          <w:color w:val="auto"/>
          <w:sz w:val="20"/>
          <w:szCs w:val="20"/>
        </w:rPr>
        <w:t xml:space="preserve"> group comprises patients who received an antibiotic regimen with in vitro activity against the isolated pathogen between </w:t>
      </w:r>
      <w:r>
        <w:rPr>
          <w:rFonts w:asciiTheme="majorBidi" w:hAnsiTheme="majorBidi"/>
          <w:i/>
          <w:iCs/>
          <w:color w:val="auto"/>
          <w:sz w:val="20"/>
          <w:szCs w:val="20"/>
        </w:rPr>
        <w:t>CRP1</w:t>
      </w:r>
      <w:r>
        <w:rPr>
          <w:rFonts w:asciiTheme="majorBidi" w:hAnsiTheme="majorBidi"/>
          <w:color w:val="auto"/>
          <w:sz w:val="20"/>
          <w:szCs w:val="20"/>
        </w:rPr>
        <w:t xml:space="preserve"> and </w:t>
      </w:r>
      <w:r>
        <w:rPr>
          <w:rFonts w:asciiTheme="majorBidi" w:hAnsiTheme="majorBidi"/>
          <w:i/>
          <w:iCs/>
          <w:color w:val="auto"/>
          <w:sz w:val="20"/>
          <w:szCs w:val="20"/>
        </w:rPr>
        <w:t>CRP2</w:t>
      </w:r>
      <w:r>
        <w:rPr>
          <w:rFonts w:asciiTheme="majorBidi" w:hAnsiTheme="majorBidi"/>
          <w:color w:val="auto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vertAlign w:val="superscript"/>
        </w:rPr>
        <w:t xml:space="preserve"> </w:t>
      </w:r>
      <w:r>
        <w:rPr>
          <w:rFonts w:asciiTheme="majorBidi" w:hAnsiTheme="majorBidi"/>
          <w:color w:val="auto"/>
          <w:sz w:val="20"/>
          <w:szCs w:val="20"/>
        </w:rPr>
        <w:t xml:space="preserve">The </w:t>
      </w:r>
      <w:r>
        <w:rPr>
          <w:rFonts w:asciiTheme="majorBidi" w:hAnsiTheme="majorBidi"/>
          <w:i/>
          <w:iCs/>
          <w:color w:val="auto"/>
          <w:sz w:val="20"/>
          <w:szCs w:val="20"/>
        </w:rPr>
        <w:t>Inappropriate</w:t>
      </w:r>
      <w:r>
        <w:rPr>
          <w:rFonts w:asciiTheme="majorBidi" w:hAnsiTheme="majorBidi"/>
          <w:color w:val="auto"/>
          <w:sz w:val="20"/>
          <w:szCs w:val="20"/>
        </w:rPr>
        <w:t xml:space="preserve"> group comprises patients who received either an antibiotic regimen without in vitro activity against the isolated pathogen or no antibiotic therapy between </w:t>
      </w:r>
      <w:r>
        <w:rPr>
          <w:rFonts w:asciiTheme="majorBidi" w:hAnsiTheme="majorBidi"/>
          <w:i/>
          <w:iCs/>
          <w:color w:val="auto"/>
          <w:sz w:val="20"/>
          <w:szCs w:val="20"/>
        </w:rPr>
        <w:t>CRP1</w:t>
      </w:r>
      <w:r>
        <w:rPr>
          <w:rFonts w:asciiTheme="majorBidi" w:hAnsiTheme="majorBidi"/>
          <w:color w:val="auto"/>
          <w:sz w:val="20"/>
          <w:szCs w:val="20"/>
        </w:rPr>
        <w:t xml:space="preserve"> and </w:t>
      </w:r>
      <w:r>
        <w:rPr>
          <w:rFonts w:asciiTheme="majorBidi" w:hAnsiTheme="majorBidi"/>
          <w:i/>
          <w:iCs/>
          <w:color w:val="auto"/>
          <w:sz w:val="20"/>
          <w:szCs w:val="20"/>
        </w:rPr>
        <w:t>CRP2</w:t>
      </w:r>
      <w:r>
        <w:rPr>
          <w:rFonts w:asciiTheme="majorBidi" w:hAnsiTheme="majorBidi"/>
          <w:color w:val="auto"/>
          <w:sz w:val="20"/>
          <w:szCs w:val="20"/>
        </w:rPr>
        <w:t xml:space="preserve">. </w:t>
      </w:r>
    </w:p>
    <w:p w14:paraId="4FD69D56" w14:textId="52157C36" w:rsidR="00342338" w:rsidRPr="00871248" w:rsidRDefault="008363AE" w:rsidP="006418CF">
      <w:pPr>
        <w:pStyle w:val="1"/>
        <w:spacing w:before="0"/>
        <w:jc w:val="left"/>
      </w:pPr>
      <w:r>
        <w:rPr>
          <w:rFonts w:asciiTheme="majorBidi" w:hAnsiTheme="majorBidi"/>
          <w:color w:val="auto"/>
          <w:sz w:val="20"/>
          <w:szCs w:val="20"/>
        </w:rPr>
        <w:br/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 wp14:anchorId="20D89121" wp14:editId="2F4473E2">
            <wp:extent cx="5140928" cy="4002741"/>
            <wp:effectExtent l="0" t="0" r="0" b="0"/>
            <wp:docPr id="25" name="תמונה 25" descr="תמונה שמכילה טבלה  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תמונה 25" descr="תמונה שמכילה טבלה  התיאור נוצר באופן אוטומטי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85157" cy="4037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EDE34" w14:textId="77777777" w:rsidR="00185205" w:rsidRPr="00871248" w:rsidRDefault="00185205" w:rsidP="0018520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6F4D7F2" w14:textId="77777777" w:rsidR="008363AE" w:rsidRPr="00871248" w:rsidRDefault="008363AE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14:paraId="0D7F7BA9" w14:textId="63BF24D4" w:rsidR="00825AAF" w:rsidRPr="00871248" w:rsidRDefault="00825AAF" w:rsidP="00825AAF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Supplementary Table 1. Empiric antibiotics, bacterial species, and antibiotic appropriateness among 104 treated patients</w:t>
      </w:r>
    </w:p>
    <w:tbl>
      <w:tblPr>
        <w:tblW w:w="5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7"/>
        <w:gridCol w:w="1973"/>
        <w:gridCol w:w="1722"/>
      </w:tblGrid>
      <w:tr w:rsidR="00E550B0" w:rsidRPr="00871248" w14:paraId="4BF9DAE3" w14:textId="77777777" w:rsidTr="008363AE">
        <w:trPr>
          <w:trHeight w:val="1130"/>
        </w:trPr>
        <w:tc>
          <w:tcPr>
            <w:tcW w:w="2107" w:type="dxa"/>
            <w:shd w:val="clear" w:color="auto" w:fill="E7E6E6"/>
            <w:vAlign w:val="center"/>
            <w:hideMark/>
          </w:tcPr>
          <w:p w14:paraId="6EB7C527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Bacterial species</w:t>
            </w:r>
          </w:p>
        </w:tc>
        <w:tc>
          <w:tcPr>
            <w:tcW w:w="1973" w:type="dxa"/>
            <w:shd w:val="clear" w:color="auto" w:fill="E7E6E6"/>
            <w:vAlign w:val="center"/>
            <w:hideMark/>
          </w:tcPr>
          <w:p w14:paraId="1B13634E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Empiric antibiotic therapy</w:t>
            </w:r>
          </w:p>
        </w:tc>
        <w:tc>
          <w:tcPr>
            <w:tcW w:w="1722" w:type="dxa"/>
            <w:shd w:val="clear" w:color="auto" w:fill="E7E6E6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8460EC" w:rsidRPr="00871248" w14:paraId="017CAA1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1D55DCF" w14:textId="77777777" w:rsidR="008460EC" w:rsidRPr="00871248" w:rsidRDefault="008460EC" w:rsidP="008460EC">
                  <w:pPr>
                    <w:spacing w:after="0" w:line="240" w:lineRule="auto"/>
                    <w:jc w:val="left"/>
                    <w:rPr>
                      <w:rFonts w:asciiTheme="majorBidi" w:eastAsia="Times New Roman" w:hAnsiTheme="majorBidi" w:cstheme="majorBidi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2694F5D1" w14:textId="77777777" w:rsidR="008460EC" w:rsidRPr="00871248" w:rsidRDefault="008460EC" w:rsidP="008460EC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vanish/>
                <w:color w:val="000000"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06"/>
            </w:tblGrid>
            <w:tr w:rsidR="008460EC" w:rsidRPr="00871248" w14:paraId="122ED4C6" w14:textId="77777777" w:rsidTr="008363AE">
              <w:trPr>
                <w:trHeight w:val="34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A709C6" w14:textId="77777777" w:rsidR="008460EC" w:rsidRPr="00871248" w:rsidRDefault="008460EC" w:rsidP="008460EC">
                  <w:pPr>
                    <w:spacing w:after="0" w:line="240" w:lineRule="auto"/>
                    <w:jc w:val="left"/>
                    <w:rPr>
                      <w:rFonts w:asciiTheme="majorBidi" w:eastAsia="Times New Roman" w:hAnsiTheme="majorBidi" w:cstheme="majorBid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/>
                      <w:color w:val="000000"/>
                      <w:sz w:val="20"/>
                      <w:szCs w:val="20"/>
                    </w:rPr>
                    <w:t>Antibiotic appropriateness</w:t>
                  </w:r>
                </w:p>
              </w:tc>
            </w:tr>
          </w:tbl>
          <w:p w14:paraId="29A57803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E550B0" w:rsidRPr="00871248" w14:paraId="1F033B8F" w14:textId="77777777" w:rsidTr="008363AE">
        <w:trPr>
          <w:trHeight w:val="850"/>
        </w:trPr>
        <w:tc>
          <w:tcPr>
            <w:tcW w:w="2107" w:type="dxa"/>
            <w:vAlign w:val="center"/>
            <w:hideMark/>
          </w:tcPr>
          <w:p w14:paraId="4B4F2176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Aeromonas sobria</w:t>
            </w:r>
          </w:p>
        </w:tc>
        <w:tc>
          <w:tcPr>
            <w:tcW w:w="1973" w:type="dxa"/>
            <w:vAlign w:val="center"/>
            <w:hideMark/>
          </w:tcPr>
          <w:p w14:paraId="35C3946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2B20A914" w14:textId="67E84880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377A4532" w14:textId="77777777" w:rsidTr="008363AE">
        <w:trPr>
          <w:trHeight w:val="850"/>
        </w:trPr>
        <w:tc>
          <w:tcPr>
            <w:tcW w:w="2107" w:type="dxa"/>
            <w:vAlign w:val="center"/>
            <w:hideMark/>
          </w:tcPr>
          <w:p w14:paraId="5A10A7E0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Citrobacter freundii</w:t>
            </w:r>
          </w:p>
        </w:tc>
        <w:tc>
          <w:tcPr>
            <w:tcW w:w="1973" w:type="dxa"/>
            <w:vAlign w:val="center"/>
            <w:hideMark/>
          </w:tcPr>
          <w:p w14:paraId="4C052EC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7DE0E33B" w14:textId="55324A30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4ED4667B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68BD654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Citrobacter koseri</w:t>
            </w:r>
          </w:p>
        </w:tc>
        <w:tc>
          <w:tcPr>
            <w:tcW w:w="1973" w:type="dxa"/>
            <w:vAlign w:val="center"/>
            <w:hideMark/>
          </w:tcPr>
          <w:p w14:paraId="44E26380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3C100D20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65515355" w14:textId="77777777" w:rsidTr="008363AE">
        <w:trPr>
          <w:trHeight w:val="850"/>
        </w:trPr>
        <w:tc>
          <w:tcPr>
            <w:tcW w:w="2107" w:type="dxa"/>
            <w:vAlign w:val="center"/>
            <w:hideMark/>
          </w:tcPr>
          <w:p w14:paraId="456C5F10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Citrobacter koseri</w:t>
            </w:r>
          </w:p>
        </w:tc>
        <w:tc>
          <w:tcPr>
            <w:tcW w:w="1973" w:type="dxa"/>
            <w:vAlign w:val="center"/>
            <w:hideMark/>
          </w:tcPr>
          <w:p w14:paraId="6987D59B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Cefazolin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1B1A919F" w14:textId="0554FEAA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2081A1A2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7BF6C429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Citrobacter koseri</w:t>
            </w:r>
          </w:p>
        </w:tc>
        <w:tc>
          <w:tcPr>
            <w:tcW w:w="1973" w:type="dxa"/>
            <w:vAlign w:val="center"/>
            <w:hideMark/>
          </w:tcPr>
          <w:p w14:paraId="44D0426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048FECF2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34FD9CE3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282293A7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5187324D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Amikacin</w:t>
            </w:r>
          </w:p>
        </w:tc>
        <w:tc>
          <w:tcPr>
            <w:tcW w:w="1722" w:type="dxa"/>
            <w:vAlign w:val="center"/>
            <w:hideMark/>
          </w:tcPr>
          <w:p w14:paraId="4AA19C7F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3ABC43BB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007887C3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2AFCE86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436CA9D6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7B379B74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637F3BF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232B72AE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54DB46C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19806158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1F53BCCF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6A7F1AD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Amikacin</w:t>
            </w:r>
          </w:p>
        </w:tc>
        <w:tc>
          <w:tcPr>
            <w:tcW w:w="1722" w:type="dxa"/>
            <w:vAlign w:val="center"/>
            <w:hideMark/>
          </w:tcPr>
          <w:p w14:paraId="29360C3E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5FE91ACE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6D2336FF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7B01C02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0D35B18D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304A70E3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0CB62D9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44001B7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532AE97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16F0689A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32D99054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5F82B484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3454092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385A28BB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1FE9955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5F1309B0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7867920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3A83B223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75D9501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2CE2917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0AF3800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1E3EDCC3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6955AC86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16C8794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23E18883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46025DAA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6CA7F024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01B483F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0537BAB5" w14:textId="28BA7077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692EF51C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63D01E29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4221EC87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2A7BC48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51152EAB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497E285C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lastRenderedPageBreak/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07DF2E90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1809F553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4924B896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34AC34D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4D7399A2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Amikacin</w:t>
            </w:r>
          </w:p>
        </w:tc>
        <w:tc>
          <w:tcPr>
            <w:tcW w:w="1722" w:type="dxa"/>
            <w:vAlign w:val="center"/>
            <w:hideMark/>
          </w:tcPr>
          <w:p w14:paraId="66D9B5E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3ED7EE96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20CA1F8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052800AB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6AAE614E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123E6967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7CE8D6FE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0B8CBAB3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30E31236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0CB86C4B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7F5E4857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5F0A2D16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24708C05" w14:textId="13793B42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46B9CBBB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1A1F2FDF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397C4173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6EE79E8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71F6EEC1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60C9966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309AF216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43461095" w14:textId="2CE30508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32E41027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29325F0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0C7414DE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5C513827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7D4F2488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724C75C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7A4FCD7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628AAE57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09EE492A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603968F2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157BE95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4DB3E894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2CC24FA9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15798A1B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72B3E9F9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7B23F030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1351693C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3576C15D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27E4E4C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Imipenem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13287D0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58A8CA02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353EE7A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4949EF19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34666E78" w14:textId="1C44C446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7B6C114E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5E5A9574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54245E1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123AF8EB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65D398E9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7BE0D78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7BB9D339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22E928EC" w14:textId="152A6608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1BF5CBD0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019DFECF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25450EB6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655228D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28CD6370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3F98A48F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5DEDCC0D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06BA013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4B8DFE89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6A6C8BF6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6142591F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4961E4A9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68A42B65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216AB120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1519ECEC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1EA2DA7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0832BA50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7D21C0EB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12F2E18C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0AC37A2D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20A53B19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1D2237C0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44C18C6D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50351CF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767CB38A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7DD90239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0937443D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284191A2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1E9B4151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29009E1C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lastRenderedPageBreak/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17BE5E1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7D2C1129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795A41A7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452577CC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4971AFDD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29749A90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34BC8240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16959E7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04ED7D13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25E3F1B5" w14:textId="16990804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66F48D63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3EDD8E64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54AC748F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770070CE" w14:textId="07D54365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5B43E9F2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4EE10739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29DF0401" w14:textId="77777777" w:rsidR="00E550B0" w:rsidRPr="00871248" w:rsidRDefault="008460EC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Gentamicin</w:t>
            </w:r>
          </w:p>
        </w:tc>
        <w:tc>
          <w:tcPr>
            <w:tcW w:w="1722" w:type="dxa"/>
            <w:vAlign w:val="center"/>
            <w:hideMark/>
          </w:tcPr>
          <w:p w14:paraId="6BA95C39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30AFB77E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5772D0D7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6AC29F7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476CB6DB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5976B3C8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601F1EA2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24E7201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51C6FA2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7E41F3E3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39DBD9CC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423F2E4B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0CDFBC2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221C5369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433655DC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16889F4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12535624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32A6C521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33B89CB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4C5FF8F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18DEB3DC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1505505F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42E5646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7549559F" w14:textId="77777777" w:rsidR="00E550B0" w:rsidRPr="00871248" w:rsidRDefault="008460EC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Gentamicin</w:t>
            </w:r>
          </w:p>
        </w:tc>
        <w:tc>
          <w:tcPr>
            <w:tcW w:w="1722" w:type="dxa"/>
            <w:vAlign w:val="center"/>
            <w:hideMark/>
          </w:tcPr>
          <w:p w14:paraId="1966BA49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26D71EC5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07E91BC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14DBCE9B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4F91C8F4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3243DAA2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25C43526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7337B484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3B151142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402E427F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7027418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Escherichia coli</w:t>
            </w:r>
          </w:p>
        </w:tc>
        <w:tc>
          <w:tcPr>
            <w:tcW w:w="1973" w:type="dxa"/>
            <w:vAlign w:val="center"/>
            <w:hideMark/>
          </w:tcPr>
          <w:p w14:paraId="2D09DF97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6ED36DF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048F2885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49B9CA9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Enterobacter cloacae complex</w:t>
            </w:r>
          </w:p>
        </w:tc>
        <w:tc>
          <w:tcPr>
            <w:tcW w:w="1973" w:type="dxa"/>
            <w:vAlign w:val="center"/>
            <w:hideMark/>
          </w:tcPr>
          <w:p w14:paraId="779DF57E" w14:textId="77777777" w:rsidR="00E550B0" w:rsidRPr="00871248" w:rsidRDefault="008460EC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Gentamicin</w:t>
            </w:r>
          </w:p>
        </w:tc>
        <w:tc>
          <w:tcPr>
            <w:tcW w:w="1722" w:type="dxa"/>
            <w:vAlign w:val="center"/>
            <w:hideMark/>
          </w:tcPr>
          <w:p w14:paraId="01DFDF8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7925C667" w14:textId="77777777" w:rsidTr="008363AE">
        <w:trPr>
          <w:trHeight w:val="850"/>
        </w:trPr>
        <w:tc>
          <w:tcPr>
            <w:tcW w:w="2107" w:type="dxa"/>
            <w:vAlign w:val="center"/>
            <w:hideMark/>
          </w:tcPr>
          <w:p w14:paraId="03122E12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Enterococcus faecium</w:t>
            </w:r>
          </w:p>
        </w:tc>
        <w:tc>
          <w:tcPr>
            <w:tcW w:w="1973" w:type="dxa"/>
            <w:vAlign w:val="center"/>
            <w:hideMark/>
          </w:tcPr>
          <w:p w14:paraId="6B7E120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5E86EC58" w14:textId="1B87272D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55B4A46D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393966D6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Enterococcus casseliflavus</w:t>
            </w:r>
          </w:p>
        </w:tc>
        <w:tc>
          <w:tcPr>
            <w:tcW w:w="1973" w:type="dxa"/>
            <w:vAlign w:val="center"/>
            <w:hideMark/>
          </w:tcPr>
          <w:p w14:paraId="6A2AFEAD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Piperacillin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0E791203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0CBA824E" w14:textId="77777777" w:rsidTr="008363AE">
        <w:trPr>
          <w:trHeight w:val="850"/>
        </w:trPr>
        <w:tc>
          <w:tcPr>
            <w:tcW w:w="2107" w:type="dxa"/>
            <w:vAlign w:val="center"/>
            <w:hideMark/>
          </w:tcPr>
          <w:p w14:paraId="0E14D14D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1973" w:type="dxa"/>
            <w:vAlign w:val="center"/>
            <w:hideMark/>
          </w:tcPr>
          <w:p w14:paraId="4FAE396F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Ampicillin</w:t>
            </w:r>
          </w:p>
        </w:tc>
        <w:tc>
          <w:tcPr>
            <w:tcW w:w="1722" w:type="dxa"/>
            <w:vAlign w:val="center"/>
            <w:hideMark/>
          </w:tcPr>
          <w:p w14:paraId="69DE359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5047BC5E" w14:textId="77777777" w:rsidTr="008363AE">
        <w:trPr>
          <w:trHeight w:val="850"/>
        </w:trPr>
        <w:tc>
          <w:tcPr>
            <w:tcW w:w="2107" w:type="dxa"/>
            <w:vAlign w:val="center"/>
            <w:hideMark/>
          </w:tcPr>
          <w:p w14:paraId="6A259066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lastRenderedPageBreak/>
              <w:t>Enterococcus faecalis</w:t>
            </w:r>
          </w:p>
        </w:tc>
        <w:tc>
          <w:tcPr>
            <w:tcW w:w="1973" w:type="dxa"/>
            <w:vAlign w:val="center"/>
            <w:hideMark/>
          </w:tcPr>
          <w:p w14:paraId="3E217D62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25D3FAC2" w14:textId="2AF6A6A4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66C6461A" w14:textId="77777777" w:rsidTr="008363AE">
        <w:trPr>
          <w:trHeight w:val="850"/>
        </w:trPr>
        <w:tc>
          <w:tcPr>
            <w:tcW w:w="2107" w:type="dxa"/>
            <w:vAlign w:val="center"/>
            <w:hideMark/>
          </w:tcPr>
          <w:p w14:paraId="6B123E7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1973" w:type="dxa"/>
            <w:vAlign w:val="center"/>
            <w:hideMark/>
          </w:tcPr>
          <w:p w14:paraId="35F3065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474615FC" w14:textId="5363AB62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3BDDB987" w14:textId="77777777" w:rsidTr="008363AE">
        <w:trPr>
          <w:trHeight w:val="850"/>
        </w:trPr>
        <w:tc>
          <w:tcPr>
            <w:tcW w:w="2107" w:type="dxa"/>
            <w:vAlign w:val="center"/>
            <w:hideMark/>
          </w:tcPr>
          <w:p w14:paraId="5F7C405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1973" w:type="dxa"/>
            <w:vAlign w:val="center"/>
            <w:hideMark/>
          </w:tcPr>
          <w:p w14:paraId="3CBC3A5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Piperacillin</w:t>
            </w:r>
          </w:p>
        </w:tc>
        <w:tc>
          <w:tcPr>
            <w:tcW w:w="1722" w:type="dxa"/>
            <w:vAlign w:val="center"/>
            <w:hideMark/>
          </w:tcPr>
          <w:p w14:paraId="1C17106C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5026FDDD" w14:textId="77777777" w:rsidTr="008363AE">
        <w:trPr>
          <w:trHeight w:val="850"/>
        </w:trPr>
        <w:tc>
          <w:tcPr>
            <w:tcW w:w="2107" w:type="dxa"/>
            <w:vAlign w:val="center"/>
            <w:hideMark/>
          </w:tcPr>
          <w:p w14:paraId="4423560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1973" w:type="dxa"/>
            <w:vAlign w:val="center"/>
            <w:hideMark/>
          </w:tcPr>
          <w:p w14:paraId="1AA7DFD3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35426B9C" w14:textId="31B2A538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778D7F7D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02E5D7FD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Klebsiella oxytoca</w:t>
            </w:r>
          </w:p>
        </w:tc>
        <w:tc>
          <w:tcPr>
            <w:tcW w:w="1973" w:type="dxa"/>
            <w:vAlign w:val="center"/>
            <w:hideMark/>
          </w:tcPr>
          <w:p w14:paraId="469BAA13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5CD87857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64AE62B1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0A60CF1B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Klebsiella pneumoniae</w:t>
            </w:r>
          </w:p>
        </w:tc>
        <w:tc>
          <w:tcPr>
            <w:tcW w:w="1973" w:type="dxa"/>
            <w:vAlign w:val="center"/>
            <w:hideMark/>
          </w:tcPr>
          <w:p w14:paraId="3EF5F97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7D709FC6" w14:textId="2D792E49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5DB46067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110D1292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Klebsiella pneumoniae</w:t>
            </w:r>
          </w:p>
        </w:tc>
        <w:tc>
          <w:tcPr>
            <w:tcW w:w="1973" w:type="dxa"/>
            <w:vAlign w:val="center"/>
            <w:hideMark/>
          </w:tcPr>
          <w:p w14:paraId="3D8E1E97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10385F80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2D28034B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6BE3446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Klebsiella pneumoniae</w:t>
            </w:r>
          </w:p>
        </w:tc>
        <w:tc>
          <w:tcPr>
            <w:tcW w:w="1973" w:type="dxa"/>
            <w:vAlign w:val="center"/>
            <w:hideMark/>
          </w:tcPr>
          <w:p w14:paraId="08C32BD6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4275681D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247873FC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73131727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Klebsiella pneumoniae</w:t>
            </w:r>
          </w:p>
        </w:tc>
        <w:tc>
          <w:tcPr>
            <w:tcW w:w="1973" w:type="dxa"/>
            <w:vAlign w:val="center"/>
            <w:hideMark/>
          </w:tcPr>
          <w:p w14:paraId="3E6C3B3D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5929679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0DFF0CBF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3C0659BF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Klebsiella pneumoniae</w:t>
            </w:r>
          </w:p>
        </w:tc>
        <w:tc>
          <w:tcPr>
            <w:tcW w:w="1973" w:type="dxa"/>
            <w:vAlign w:val="center"/>
            <w:hideMark/>
          </w:tcPr>
          <w:p w14:paraId="5AADCE00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58C4B92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293F0B73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0C98A22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Klebsiella pneumoniae</w:t>
            </w:r>
          </w:p>
        </w:tc>
        <w:tc>
          <w:tcPr>
            <w:tcW w:w="1973" w:type="dxa"/>
            <w:vAlign w:val="center"/>
            <w:hideMark/>
          </w:tcPr>
          <w:p w14:paraId="56907BF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Meropenem</w:t>
            </w:r>
          </w:p>
        </w:tc>
        <w:tc>
          <w:tcPr>
            <w:tcW w:w="1722" w:type="dxa"/>
            <w:vAlign w:val="center"/>
            <w:hideMark/>
          </w:tcPr>
          <w:p w14:paraId="7FEFAFF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022243C2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72A6F78B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Klebsiella pneumoniae</w:t>
            </w:r>
          </w:p>
        </w:tc>
        <w:tc>
          <w:tcPr>
            <w:tcW w:w="1973" w:type="dxa"/>
            <w:vAlign w:val="center"/>
            <w:hideMark/>
          </w:tcPr>
          <w:p w14:paraId="0A73754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0A65E58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3E81682F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778E1E4C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lastRenderedPageBreak/>
              <w:t>Klebsiella pneumoniae</w:t>
            </w:r>
          </w:p>
        </w:tc>
        <w:tc>
          <w:tcPr>
            <w:tcW w:w="1973" w:type="dxa"/>
            <w:vAlign w:val="center"/>
            <w:hideMark/>
          </w:tcPr>
          <w:p w14:paraId="222D4BFD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Roxithromycin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3EC8F590" w14:textId="1CF1714D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73AA8138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0586A8DF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Klebsiella pneumoniae</w:t>
            </w:r>
          </w:p>
        </w:tc>
        <w:tc>
          <w:tcPr>
            <w:tcW w:w="1973" w:type="dxa"/>
            <w:vAlign w:val="center"/>
            <w:hideMark/>
          </w:tcPr>
          <w:p w14:paraId="1A0925A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6BF6BC8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6BEC02EB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6F2C31F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Klebsiella pneumoniae</w:t>
            </w:r>
          </w:p>
        </w:tc>
        <w:tc>
          <w:tcPr>
            <w:tcW w:w="1973" w:type="dxa"/>
            <w:vAlign w:val="center"/>
            <w:hideMark/>
          </w:tcPr>
          <w:p w14:paraId="0D858482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5639367B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07D0AED7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5838E356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Proteus mirabilis</w:t>
            </w:r>
          </w:p>
        </w:tc>
        <w:tc>
          <w:tcPr>
            <w:tcW w:w="1973" w:type="dxa"/>
            <w:vAlign w:val="center"/>
            <w:hideMark/>
          </w:tcPr>
          <w:p w14:paraId="19763EB9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685108EF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431DA41A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6BD024CD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Proteus mirabilis</w:t>
            </w:r>
          </w:p>
        </w:tc>
        <w:tc>
          <w:tcPr>
            <w:tcW w:w="1973" w:type="dxa"/>
            <w:vAlign w:val="center"/>
            <w:hideMark/>
          </w:tcPr>
          <w:p w14:paraId="2B20BD3E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Ampicillin</w:t>
            </w:r>
          </w:p>
        </w:tc>
        <w:tc>
          <w:tcPr>
            <w:tcW w:w="1722" w:type="dxa"/>
            <w:vAlign w:val="center"/>
            <w:hideMark/>
          </w:tcPr>
          <w:p w14:paraId="2208B53D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77E8383A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632D4319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Proteus mirabilis</w:t>
            </w:r>
          </w:p>
        </w:tc>
        <w:tc>
          <w:tcPr>
            <w:tcW w:w="1973" w:type="dxa"/>
            <w:vAlign w:val="center"/>
            <w:hideMark/>
          </w:tcPr>
          <w:p w14:paraId="5A740520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2FF57DCF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67E80BE4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22C1F49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Proteus mirabilis</w:t>
            </w:r>
          </w:p>
        </w:tc>
        <w:tc>
          <w:tcPr>
            <w:tcW w:w="1973" w:type="dxa"/>
            <w:vAlign w:val="center"/>
            <w:hideMark/>
          </w:tcPr>
          <w:p w14:paraId="05D137E0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465938E2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7BE5DB86" w14:textId="77777777" w:rsidTr="008363AE">
        <w:trPr>
          <w:trHeight w:val="850"/>
        </w:trPr>
        <w:tc>
          <w:tcPr>
            <w:tcW w:w="2107" w:type="dxa"/>
            <w:vAlign w:val="center"/>
            <w:hideMark/>
          </w:tcPr>
          <w:p w14:paraId="4C1D293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Pseudomonas stutzeri</w:t>
            </w:r>
          </w:p>
        </w:tc>
        <w:tc>
          <w:tcPr>
            <w:tcW w:w="1973" w:type="dxa"/>
            <w:vAlign w:val="center"/>
            <w:hideMark/>
          </w:tcPr>
          <w:p w14:paraId="15C2A80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67B3E85B" w14:textId="75945516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2AA0A9E9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3C23962C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Pseudomonas aeruginosa</w:t>
            </w:r>
          </w:p>
        </w:tc>
        <w:tc>
          <w:tcPr>
            <w:tcW w:w="1973" w:type="dxa"/>
            <w:vAlign w:val="center"/>
            <w:hideMark/>
          </w:tcPr>
          <w:p w14:paraId="3C44DE7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39166154" w14:textId="56911D15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433D9FE3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70A313AD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Pseudomonas aeruginosa</w:t>
            </w:r>
          </w:p>
        </w:tc>
        <w:tc>
          <w:tcPr>
            <w:tcW w:w="1973" w:type="dxa"/>
            <w:vAlign w:val="center"/>
            <w:hideMark/>
          </w:tcPr>
          <w:p w14:paraId="3B36D15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410A4D20" w14:textId="1815A4A5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00B48ADE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2E2BAA72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Pseudomonas aeruginosa</w:t>
            </w:r>
          </w:p>
        </w:tc>
        <w:tc>
          <w:tcPr>
            <w:tcW w:w="1973" w:type="dxa"/>
            <w:vAlign w:val="center"/>
            <w:hideMark/>
          </w:tcPr>
          <w:p w14:paraId="5C36AF3B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38ED3FC7" w14:textId="115A04A4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067D1F93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29400466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Pseudomonas aeruginosa</w:t>
            </w:r>
          </w:p>
        </w:tc>
        <w:tc>
          <w:tcPr>
            <w:tcW w:w="1973" w:type="dxa"/>
            <w:vAlign w:val="center"/>
            <w:hideMark/>
          </w:tcPr>
          <w:p w14:paraId="17F574CE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Piperacillin</w:t>
            </w:r>
          </w:p>
        </w:tc>
        <w:tc>
          <w:tcPr>
            <w:tcW w:w="1722" w:type="dxa"/>
            <w:vAlign w:val="center"/>
            <w:hideMark/>
          </w:tcPr>
          <w:p w14:paraId="3E8EC73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542B445E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093107FF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Pseudomonas spp</w:t>
            </w:r>
          </w:p>
        </w:tc>
        <w:tc>
          <w:tcPr>
            <w:tcW w:w="1973" w:type="dxa"/>
            <w:vAlign w:val="center"/>
            <w:hideMark/>
          </w:tcPr>
          <w:p w14:paraId="390C80F4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2FBBD6C6" w14:textId="4570D1FB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4811A07B" w14:textId="77777777" w:rsidTr="008363AE">
        <w:trPr>
          <w:trHeight w:val="570"/>
        </w:trPr>
        <w:tc>
          <w:tcPr>
            <w:tcW w:w="2107" w:type="dxa"/>
            <w:vAlign w:val="center"/>
            <w:hideMark/>
          </w:tcPr>
          <w:p w14:paraId="1AEAAD3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Shewanella algae</w:t>
            </w:r>
          </w:p>
        </w:tc>
        <w:tc>
          <w:tcPr>
            <w:tcW w:w="1973" w:type="dxa"/>
            <w:vAlign w:val="center"/>
            <w:hideMark/>
          </w:tcPr>
          <w:p w14:paraId="380382AD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79B8F81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0F1F19E8" w14:textId="77777777" w:rsidTr="008363AE">
        <w:trPr>
          <w:trHeight w:val="850"/>
        </w:trPr>
        <w:tc>
          <w:tcPr>
            <w:tcW w:w="2107" w:type="dxa"/>
            <w:vAlign w:val="center"/>
            <w:hideMark/>
          </w:tcPr>
          <w:p w14:paraId="674675B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lastRenderedPageBreak/>
              <w:t>Staphylococcus aureus</w:t>
            </w:r>
          </w:p>
        </w:tc>
        <w:tc>
          <w:tcPr>
            <w:tcW w:w="1973" w:type="dxa"/>
            <w:vAlign w:val="center"/>
            <w:hideMark/>
          </w:tcPr>
          <w:p w14:paraId="151E979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51AA58D7" w14:textId="14347230" w:rsidR="00E550B0" w:rsidRPr="00871248" w:rsidRDefault="00A22886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Discordant</w:t>
            </w:r>
          </w:p>
        </w:tc>
      </w:tr>
      <w:tr w:rsidR="00E550B0" w:rsidRPr="00871248" w14:paraId="60BEFCDD" w14:textId="77777777" w:rsidTr="008363AE">
        <w:trPr>
          <w:trHeight w:val="850"/>
        </w:trPr>
        <w:tc>
          <w:tcPr>
            <w:tcW w:w="2107" w:type="dxa"/>
            <w:vAlign w:val="center"/>
            <w:hideMark/>
          </w:tcPr>
          <w:p w14:paraId="37319F0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Staphylococcus aureus</w:t>
            </w:r>
          </w:p>
        </w:tc>
        <w:tc>
          <w:tcPr>
            <w:tcW w:w="1973" w:type="dxa"/>
            <w:vAlign w:val="center"/>
            <w:hideMark/>
          </w:tcPr>
          <w:p w14:paraId="05AF2099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2A82388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2961688F" w14:textId="77777777" w:rsidTr="008363AE">
        <w:trPr>
          <w:trHeight w:val="850"/>
        </w:trPr>
        <w:tc>
          <w:tcPr>
            <w:tcW w:w="2107" w:type="dxa"/>
            <w:vAlign w:val="center"/>
            <w:hideMark/>
          </w:tcPr>
          <w:p w14:paraId="19F78D1E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Staphylococcus aureus</w:t>
            </w:r>
          </w:p>
        </w:tc>
        <w:tc>
          <w:tcPr>
            <w:tcW w:w="1973" w:type="dxa"/>
            <w:vAlign w:val="center"/>
            <w:hideMark/>
          </w:tcPr>
          <w:p w14:paraId="48ED81C7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Vancomycin</w:t>
            </w:r>
          </w:p>
        </w:tc>
        <w:tc>
          <w:tcPr>
            <w:tcW w:w="1722" w:type="dxa"/>
            <w:vAlign w:val="center"/>
            <w:hideMark/>
          </w:tcPr>
          <w:p w14:paraId="5A988CE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3C5CF2CE" w14:textId="77777777" w:rsidTr="008363AE">
        <w:trPr>
          <w:trHeight w:val="850"/>
        </w:trPr>
        <w:tc>
          <w:tcPr>
            <w:tcW w:w="2107" w:type="dxa"/>
            <w:vAlign w:val="center"/>
            <w:hideMark/>
          </w:tcPr>
          <w:p w14:paraId="18F5011B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Staphylococcus aureus</w:t>
            </w:r>
          </w:p>
        </w:tc>
        <w:tc>
          <w:tcPr>
            <w:tcW w:w="1973" w:type="dxa"/>
            <w:vAlign w:val="center"/>
            <w:hideMark/>
          </w:tcPr>
          <w:p w14:paraId="0A38236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26B301E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4CE96A0C" w14:textId="77777777" w:rsidTr="008363AE">
        <w:trPr>
          <w:trHeight w:val="850"/>
        </w:trPr>
        <w:tc>
          <w:tcPr>
            <w:tcW w:w="2107" w:type="dxa"/>
            <w:vAlign w:val="center"/>
            <w:hideMark/>
          </w:tcPr>
          <w:p w14:paraId="54DB944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Staphylococcus aureus</w:t>
            </w:r>
          </w:p>
        </w:tc>
        <w:tc>
          <w:tcPr>
            <w:tcW w:w="1973" w:type="dxa"/>
            <w:vAlign w:val="center"/>
            <w:hideMark/>
          </w:tcPr>
          <w:p w14:paraId="06D4B15B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28A494B3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56E6375C" w14:textId="77777777" w:rsidTr="008363AE">
        <w:trPr>
          <w:trHeight w:val="850"/>
        </w:trPr>
        <w:tc>
          <w:tcPr>
            <w:tcW w:w="2107" w:type="dxa"/>
            <w:vAlign w:val="center"/>
            <w:hideMark/>
          </w:tcPr>
          <w:p w14:paraId="31963217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Streptococcus agalactiae</w:t>
            </w:r>
          </w:p>
        </w:tc>
        <w:tc>
          <w:tcPr>
            <w:tcW w:w="1973" w:type="dxa"/>
            <w:vAlign w:val="center"/>
            <w:hideMark/>
          </w:tcPr>
          <w:p w14:paraId="6A0C6D20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79C35D7B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3A3E6071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58E6B20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Streptococcus agalactiae</w:t>
            </w:r>
          </w:p>
        </w:tc>
        <w:tc>
          <w:tcPr>
            <w:tcW w:w="1973" w:type="dxa"/>
            <w:vAlign w:val="center"/>
            <w:hideMark/>
          </w:tcPr>
          <w:p w14:paraId="25491FDF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0158799E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7C7172DF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060691D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Streptococcus agalactiae</w:t>
            </w:r>
          </w:p>
        </w:tc>
        <w:tc>
          <w:tcPr>
            <w:tcW w:w="1973" w:type="dxa"/>
            <w:vAlign w:val="center"/>
            <w:hideMark/>
          </w:tcPr>
          <w:p w14:paraId="4514B7CC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46DBE1C7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1D252F6D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2750BE36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Streptococcus agalactiae</w:t>
            </w:r>
          </w:p>
        </w:tc>
        <w:tc>
          <w:tcPr>
            <w:tcW w:w="1973" w:type="dxa"/>
            <w:vAlign w:val="center"/>
            <w:hideMark/>
          </w:tcPr>
          <w:p w14:paraId="5F9DF85B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4A4D93A0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6C114486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36993B52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Streptococcus dysgalactiae</w:t>
            </w:r>
          </w:p>
        </w:tc>
        <w:tc>
          <w:tcPr>
            <w:tcW w:w="1973" w:type="dxa"/>
            <w:vAlign w:val="center"/>
            <w:hideMark/>
          </w:tcPr>
          <w:p w14:paraId="2F8580A6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2FA51B33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6D34E4C4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6D7EB014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Streptococcus dysgalactiae</w:t>
            </w:r>
          </w:p>
        </w:tc>
        <w:tc>
          <w:tcPr>
            <w:tcW w:w="1973" w:type="dxa"/>
            <w:vAlign w:val="center"/>
            <w:hideMark/>
          </w:tcPr>
          <w:p w14:paraId="3035E29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1E423696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41BC7D32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21392FF6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Streptococcus dysgalactiae</w:t>
            </w:r>
          </w:p>
        </w:tc>
        <w:tc>
          <w:tcPr>
            <w:tcW w:w="1973" w:type="dxa"/>
            <w:vAlign w:val="center"/>
            <w:hideMark/>
          </w:tcPr>
          <w:p w14:paraId="29F1B47B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Cefazolin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38A58A6E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14C50A94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771BBBD4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lastRenderedPageBreak/>
              <w:t>Streptococcus dysgalactiae</w:t>
            </w:r>
          </w:p>
        </w:tc>
        <w:tc>
          <w:tcPr>
            <w:tcW w:w="1973" w:type="dxa"/>
            <w:vAlign w:val="center"/>
            <w:hideMark/>
          </w:tcPr>
          <w:p w14:paraId="7E01BDF5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Cefazolin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23E14948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6D13D011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663384D0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Streptococcus dysgalactiae</w:t>
            </w:r>
          </w:p>
        </w:tc>
        <w:tc>
          <w:tcPr>
            <w:tcW w:w="1973" w:type="dxa"/>
            <w:vAlign w:val="center"/>
            <w:hideMark/>
          </w:tcPr>
          <w:p w14:paraId="617B107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49340E42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56F342E0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2C22111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Streptococcus dysgalactiae</w:t>
            </w:r>
          </w:p>
        </w:tc>
        <w:tc>
          <w:tcPr>
            <w:tcW w:w="1973" w:type="dxa"/>
            <w:vAlign w:val="center"/>
            <w:hideMark/>
          </w:tcPr>
          <w:p w14:paraId="31F57A71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3166FC8C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72BF711F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4D59782C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Streptococcus gallolyticus</w:t>
            </w:r>
          </w:p>
        </w:tc>
        <w:tc>
          <w:tcPr>
            <w:tcW w:w="1973" w:type="dxa"/>
            <w:vAlign w:val="center"/>
            <w:hideMark/>
          </w:tcPr>
          <w:p w14:paraId="7C63FFEE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</w:p>
        </w:tc>
        <w:tc>
          <w:tcPr>
            <w:tcW w:w="1722" w:type="dxa"/>
            <w:vAlign w:val="center"/>
            <w:hideMark/>
          </w:tcPr>
          <w:p w14:paraId="235E4666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4B4DDBFB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3563A9B3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Streptococcus pneumoniae</w:t>
            </w:r>
          </w:p>
        </w:tc>
        <w:tc>
          <w:tcPr>
            <w:tcW w:w="1973" w:type="dxa"/>
            <w:vAlign w:val="center"/>
            <w:hideMark/>
          </w:tcPr>
          <w:p w14:paraId="4B72002F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6F7DE1D7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74FC52C0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04FD1529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Streptococcus pneumoniae</w:t>
            </w:r>
          </w:p>
        </w:tc>
        <w:tc>
          <w:tcPr>
            <w:tcW w:w="1973" w:type="dxa"/>
            <w:vAlign w:val="center"/>
            <w:hideMark/>
          </w:tcPr>
          <w:p w14:paraId="7C218BB9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2DFA4380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6E19A3AA" w14:textId="77777777" w:rsidTr="008363AE">
        <w:trPr>
          <w:trHeight w:val="1130"/>
        </w:trPr>
        <w:tc>
          <w:tcPr>
            <w:tcW w:w="2107" w:type="dxa"/>
            <w:vAlign w:val="center"/>
            <w:hideMark/>
          </w:tcPr>
          <w:p w14:paraId="0EFF7402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Streptococcus pyogenes</w:t>
            </w:r>
          </w:p>
        </w:tc>
        <w:tc>
          <w:tcPr>
            <w:tcW w:w="1973" w:type="dxa"/>
            <w:vAlign w:val="center"/>
            <w:hideMark/>
          </w:tcPr>
          <w:p w14:paraId="791225B3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483D2DF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027456F0" w14:textId="77777777" w:rsidTr="008363AE">
        <w:trPr>
          <w:trHeight w:val="850"/>
        </w:trPr>
        <w:tc>
          <w:tcPr>
            <w:tcW w:w="2107" w:type="dxa"/>
            <w:vAlign w:val="center"/>
            <w:hideMark/>
          </w:tcPr>
          <w:p w14:paraId="68A89469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Streptococcus pyogenes</w:t>
            </w:r>
          </w:p>
        </w:tc>
        <w:tc>
          <w:tcPr>
            <w:tcW w:w="1973" w:type="dxa"/>
            <w:vAlign w:val="center"/>
            <w:hideMark/>
          </w:tcPr>
          <w:p w14:paraId="26527077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Ceftriaxone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22" w:type="dxa"/>
            <w:vAlign w:val="center"/>
            <w:hideMark/>
          </w:tcPr>
          <w:p w14:paraId="43B1436C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  <w:tr w:rsidR="00E550B0" w:rsidRPr="00871248" w14:paraId="22AA387E" w14:textId="77777777" w:rsidTr="008363AE">
        <w:trPr>
          <w:trHeight w:val="850"/>
        </w:trPr>
        <w:tc>
          <w:tcPr>
            <w:tcW w:w="2107" w:type="dxa"/>
            <w:vAlign w:val="center"/>
            <w:hideMark/>
          </w:tcPr>
          <w:p w14:paraId="4437DA5A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Streptococcus pyogenes</w:t>
            </w:r>
          </w:p>
        </w:tc>
        <w:tc>
          <w:tcPr>
            <w:tcW w:w="1973" w:type="dxa"/>
            <w:vAlign w:val="center"/>
            <w:hideMark/>
          </w:tcPr>
          <w:p w14:paraId="2DC08C22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Cefazolin</w:t>
            </w:r>
          </w:p>
        </w:tc>
        <w:tc>
          <w:tcPr>
            <w:tcW w:w="1722" w:type="dxa"/>
            <w:vAlign w:val="center"/>
            <w:hideMark/>
          </w:tcPr>
          <w:p w14:paraId="4ECCD23C" w14:textId="77777777" w:rsidR="00E550B0" w:rsidRPr="00871248" w:rsidRDefault="00E550B0" w:rsidP="00E550B0">
            <w:pPr>
              <w:spacing w:after="0" w:line="240" w:lineRule="auto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Appropriate</w:t>
            </w:r>
          </w:p>
        </w:tc>
      </w:tr>
    </w:tbl>
    <w:p w14:paraId="7745F470" w14:textId="0373E322" w:rsidR="00825AAF" w:rsidRPr="00871248" w:rsidRDefault="005802A7" w:rsidP="005802A7">
      <w:pPr>
        <w:spacing w:after="0" w:line="360" w:lineRule="auto"/>
        <w:jc w:val="lef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Infectious disease specialists determined antibiotic therapy appropriateness among patients who received empiric antibiotics not included in the antimicrobial susceptibility testing report.</w:t>
      </w:r>
    </w:p>
    <w:p w14:paraId="51BF7581" w14:textId="4535BF14" w:rsidR="00351B3D" w:rsidRPr="00871248" w:rsidRDefault="00FC68EF" w:rsidP="005802A7">
      <w:pPr>
        <w:spacing w:after="0" w:line="360" w:lineRule="auto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390BC9C7" w14:textId="3B0D5369" w:rsidR="00351B3D" w:rsidRPr="00871248" w:rsidRDefault="00351B3D" w:rsidP="00BB71CE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Supplementary Table 2:</w:t>
      </w:r>
      <w:r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Characteristics of the Appropriate and the Discordant groups.</w:t>
      </w:r>
    </w:p>
    <w:tbl>
      <w:tblPr>
        <w:tblW w:w="8625" w:type="dxa"/>
        <w:tblInd w:w="-176" w:type="dxa"/>
        <w:tblLayout w:type="fixed"/>
        <w:tblLook w:val="0400" w:firstRow="0" w:lastRow="0" w:firstColumn="0" w:lastColumn="0" w:noHBand="0" w:noVBand="1"/>
      </w:tblPr>
      <w:tblGrid>
        <w:gridCol w:w="3097"/>
        <w:gridCol w:w="1843"/>
        <w:gridCol w:w="1701"/>
        <w:gridCol w:w="850"/>
        <w:gridCol w:w="1134"/>
      </w:tblGrid>
      <w:tr w:rsidR="007C054E" w:rsidRPr="00871248" w14:paraId="4572A693" w14:textId="77777777" w:rsidTr="008363AE">
        <w:trPr>
          <w:trHeight w:val="312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448B10F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Variables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a,b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3BD5727" w14:textId="0945B0EC" w:rsidR="007C054E" w:rsidRPr="00871248" w:rsidRDefault="007C054E" w:rsidP="00515812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Discordant group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=22)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1C550AD" w14:textId="77777777" w:rsidR="007C054E" w:rsidRPr="00871248" w:rsidRDefault="007C054E" w:rsidP="00515812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Appropriate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group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(n=82)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9B4F110" w14:textId="77777777" w:rsidR="007C054E" w:rsidRPr="00871248" w:rsidRDefault="007C054E" w:rsidP="0051581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D90C216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p-value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</w:tr>
      <w:tr w:rsidR="007C054E" w:rsidRPr="00871248" w14:paraId="20D641F3" w14:textId="77777777" w:rsidTr="00C22B30">
        <w:trPr>
          <w:trHeight w:val="312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3469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8646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79±13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BF503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81.5±11.5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335CE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DEC8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</w:tr>
      <w:tr w:rsidR="007C054E" w:rsidRPr="00871248" w14:paraId="28BEB751" w14:textId="77777777" w:rsidTr="00C22B30">
        <w:trPr>
          <w:trHeight w:val="312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CFF5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Women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2D6B0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(27.3%)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2F6A6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 (42.7%)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D40E8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CED5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</w:tr>
      <w:tr w:rsidR="007C054E" w:rsidRPr="00871248" w14:paraId="131E1A58" w14:textId="77777777" w:rsidTr="00C22B30">
        <w:trPr>
          <w:trHeight w:val="312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B74AB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Gram-positive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A094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(22.7%)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85383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(28%)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AB46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585F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</w:tr>
      <w:tr w:rsidR="007C054E" w:rsidRPr="00871248" w14:paraId="0F25A7C0" w14:textId="77777777" w:rsidTr="00C22B30">
        <w:trPr>
          <w:trHeight w:val="312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4FAE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Δt_Symptoms_CRP1 (hours)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E720B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22.5±19.4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9F3CD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20.3±19.4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AD736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275A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</w:tr>
      <w:tr w:rsidR="007C054E" w:rsidRPr="00871248" w14:paraId="01EC7A33" w14:textId="77777777" w:rsidTr="00C22B30">
        <w:trPr>
          <w:trHeight w:val="312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13490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CRP1 (mg/L)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A3A8C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14.5±8.53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FC94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15±8.68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8D03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7E5D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</w:tr>
      <w:tr w:rsidR="007C054E" w:rsidRPr="00871248" w14:paraId="221490F3" w14:textId="77777777" w:rsidTr="00C22B30">
        <w:trPr>
          <w:trHeight w:val="312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8A3C8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eCRPv (mg/L/hour)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24C6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1±0.816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F86BC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1.24±1.08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CD16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A951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</w:tr>
      <w:tr w:rsidR="007C054E" w:rsidRPr="00871248" w14:paraId="654806ED" w14:textId="77777777" w:rsidTr="00C22B30">
        <w:trPr>
          <w:trHeight w:val="312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6BF5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Δt_CRP1_Ab (hours)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F59E4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3.86±4.38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4908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3.13±3.26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6A382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5F69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</w:tr>
      <w:tr w:rsidR="007C054E" w:rsidRPr="00871248" w14:paraId="10931360" w14:textId="77777777" w:rsidTr="00C22B30">
        <w:trPr>
          <w:trHeight w:val="312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8C64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Δt_Ab_CRP2 (hours)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8715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9.03±5.03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717A7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10.3±6.36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5881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29FF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</w:tr>
      <w:tr w:rsidR="007C054E" w:rsidRPr="00871248" w14:paraId="47599EDD" w14:textId="77777777" w:rsidTr="00C22B30">
        <w:trPr>
          <w:trHeight w:val="312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B0763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Δt_CRP1_ CRP2 (hours)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7660A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12.9±6.64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57E3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13.5±6.17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27987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169F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</w:tr>
      <w:tr w:rsidR="007C054E" w:rsidRPr="00871248" w14:paraId="5B2C6A3E" w14:textId="77777777" w:rsidTr="00C22B30">
        <w:trPr>
          <w:trHeight w:val="312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34A15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Δt_CRP1_CRP2, median [IQR] (hours)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F6BE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12.3 [6.9–19.2]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FE58A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14.5 [7.7–18.7]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5A531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1C45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C054E" w:rsidRPr="00871248" w14:paraId="223C5007" w14:textId="77777777" w:rsidTr="00C22B30">
        <w:trPr>
          <w:trHeight w:val="312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05A9A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CRP2 (mg/L)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A960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44.1±38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A323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83.3±49.9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558B2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7C7A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</w:tr>
      <w:tr w:rsidR="007C054E" w:rsidRPr="00871248" w14:paraId="30240361" w14:textId="77777777" w:rsidTr="00C22B30">
        <w:trPr>
          <w:trHeight w:val="312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6F22F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ΔCRP (mg/L)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E685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29.6±38.1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93018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68.4±48.9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6CFE7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99D3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0.0004</w:t>
            </w:r>
          </w:p>
        </w:tc>
      </w:tr>
      <w:tr w:rsidR="007C054E" w:rsidRPr="00871248" w14:paraId="336C051B" w14:textId="77777777" w:rsidTr="00C22B30">
        <w:trPr>
          <w:trHeight w:val="312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25DE7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CRPv (mg/L /hour)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5391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2.59±2.44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7A3D7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4.86±2.54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5317E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8611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0.0004</w:t>
            </w:r>
          </w:p>
        </w:tc>
      </w:tr>
    </w:tbl>
    <w:p w14:paraId="520CA8DC" w14:textId="175B5EDB" w:rsidR="00EE4DA6" w:rsidRPr="00871248" w:rsidRDefault="008A5749" w:rsidP="005802A7">
      <w:pPr>
        <w:spacing w:after="0" w:line="360" w:lineRule="auto"/>
        <w:jc w:val="lef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Theme="majorBidi" w:hAnsiTheme="majorBidi"/>
          <w:color w:val="222222"/>
          <w:sz w:val="20"/>
          <w:szCs w:val="20"/>
        </w:rPr>
        <w:t>Abbreviations:</w:t>
      </w:r>
      <w:r>
        <w:rPr>
          <w:rFonts w:asciiTheme="majorBidi" w:hAnsiTheme="majorBidi" w:cstheme="majorBidi"/>
          <w:sz w:val="20"/>
          <w:szCs w:val="20"/>
        </w:rPr>
        <w:t xml:space="preserve"> SMD - standardized mean difference; 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CRP1 </w:t>
      </w:r>
      <w:r>
        <w:rPr>
          <w:rFonts w:asciiTheme="majorBidi" w:hAnsiTheme="majorBidi" w:cstheme="majorBidi"/>
          <w:sz w:val="20"/>
          <w:szCs w:val="20"/>
        </w:rPr>
        <w:t>&amp;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CRP2</w:t>
      </w:r>
      <w:r>
        <w:rPr>
          <w:rFonts w:asciiTheme="majorBidi" w:hAnsiTheme="majorBidi" w:cstheme="majorBidi"/>
          <w:sz w:val="20"/>
          <w:szCs w:val="20"/>
        </w:rPr>
        <w:t>- the first and second C- reactive protein (CRP) consecutive measurements from admission;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Δt_Symptoms_CRP1</w:t>
      </w:r>
      <w:r>
        <w:rPr>
          <w:rFonts w:asciiTheme="majorBidi" w:hAnsiTheme="majorBidi" w:cstheme="majorBidi"/>
          <w:sz w:val="20"/>
          <w:szCs w:val="20"/>
        </w:rPr>
        <w:t xml:space="preserve">- the time difference between symptoms' onset and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; </w:t>
      </w:r>
      <w:r>
        <w:rPr>
          <w:rFonts w:asciiTheme="majorBidi" w:hAnsiTheme="majorBidi" w:cstheme="majorBidi"/>
          <w:i/>
          <w:iCs/>
          <w:sz w:val="20"/>
          <w:szCs w:val="20"/>
        </w:rPr>
        <w:t>eCRPv</w:t>
      </w:r>
      <w:r>
        <w:rPr>
          <w:rFonts w:asciiTheme="majorBidi" w:hAnsiTheme="majorBidi" w:cstheme="majorBidi"/>
          <w:sz w:val="20"/>
          <w:szCs w:val="20"/>
        </w:rPr>
        <w:t xml:space="preserve"> (estimated CRP velocity)-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divided by </w:t>
      </w:r>
      <w:r>
        <w:rPr>
          <w:rFonts w:asciiTheme="majorBidi" w:hAnsiTheme="majorBidi" w:cstheme="majorBidi"/>
          <w:i/>
          <w:iCs/>
          <w:sz w:val="20"/>
          <w:szCs w:val="20"/>
        </w:rPr>
        <w:t>Δt_Symptoms_CRP1</w:t>
      </w:r>
      <w:r>
        <w:rPr>
          <w:rFonts w:asciiTheme="majorBidi" w:hAnsiTheme="majorBidi" w:cstheme="majorBidi"/>
          <w:sz w:val="20"/>
          <w:szCs w:val="20"/>
        </w:rPr>
        <w:t>;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Δt_CRP1_Ab</w:t>
      </w:r>
      <w:r>
        <w:rPr>
          <w:rFonts w:asciiTheme="majorBidi" w:hAnsiTheme="majorBidi" w:cstheme="majorBidi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the time difference between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CRP1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antibiotic administration</w:t>
      </w:r>
      <w:r>
        <w:rPr>
          <w:rFonts w:asciiTheme="majorBidi" w:hAnsiTheme="majorBidi" w:cstheme="majorBidi"/>
          <w:sz w:val="20"/>
          <w:szCs w:val="20"/>
        </w:rPr>
        <w:t xml:space="preserve">;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Δt_Ab_CRP2</w:t>
      </w:r>
      <w:r>
        <w:rPr>
          <w:rFonts w:asciiTheme="majorBidi" w:hAnsiTheme="majorBidi" w:cstheme="majorBidi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the time difference between antibiotic administration and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CRP2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>;</w:t>
      </w:r>
      <w:r>
        <w:rPr>
          <w:rFonts w:asciiTheme="majorBidi" w:hAnsiTheme="majorBidi" w:cstheme="majorBidi"/>
          <w:i/>
          <w:iCs/>
          <w:sz w:val="20"/>
          <w:szCs w:val="20"/>
        </w:rPr>
        <w:t>Δt_CRP1_ CRP2</w:t>
      </w:r>
      <w:r>
        <w:rPr>
          <w:rFonts w:asciiTheme="majorBidi" w:hAnsiTheme="majorBidi" w:cstheme="majorBidi"/>
          <w:sz w:val="20"/>
          <w:szCs w:val="20"/>
        </w:rPr>
        <w:t xml:space="preserve">- the time difference between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 xml:space="preserve">; </w:t>
      </w:r>
      <w:r>
        <w:rPr>
          <w:rFonts w:asciiTheme="majorBidi" w:hAnsiTheme="majorBidi" w:cstheme="majorBidi"/>
          <w:i/>
          <w:iCs/>
          <w:sz w:val="20"/>
          <w:szCs w:val="20"/>
        </w:rPr>
        <w:t>ΔCRP</w:t>
      </w:r>
      <w:r>
        <w:rPr>
          <w:rFonts w:asciiTheme="majorBidi" w:hAnsiTheme="majorBidi" w:cstheme="majorBidi"/>
          <w:sz w:val="20"/>
          <w:szCs w:val="20"/>
        </w:rPr>
        <w:t xml:space="preserve"> the difference between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>;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CRPv</w:t>
      </w:r>
      <w:r>
        <w:rPr>
          <w:rFonts w:asciiTheme="majorBidi" w:hAnsiTheme="majorBidi" w:cstheme="majorBidi"/>
          <w:sz w:val="20"/>
          <w:szCs w:val="20"/>
        </w:rPr>
        <w:t xml:space="preserve"> (CRP velocity)- </w:t>
      </w:r>
      <w:r>
        <w:rPr>
          <w:rFonts w:asciiTheme="majorBidi" w:hAnsiTheme="majorBidi" w:cstheme="majorBidi"/>
          <w:i/>
          <w:iCs/>
          <w:sz w:val="20"/>
          <w:szCs w:val="20"/>
        </w:rPr>
        <w:t>ΔCRP</w:t>
      </w:r>
      <w:r>
        <w:rPr>
          <w:rFonts w:asciiTheme="majorBidi" w:hAnsiTheme="majorBidi" w:cstheme="majorBidi"/>
          <w:sz w:val="20"/>
          <w:szCs w:val="20"/>
        </w:rPr>
        <w:t xml:space="preserve"> divided by </w:t>
      </w:r>
      <w:r>
        <w:rPr>
          <w:rFonts w:asciiTheme="majorBidi" w:hAnsiTheme="majorBidi" w:cstheme="majorBidi"/>
          <w:i/>
          <w:iCs/>
          <w:sz w:val="20"/>
          <w:szCs w:val="20"/>
        </w:rPr>
        <w:t>Δt_CRP1_ CRP2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4AB6E7C6" w14:textId="77777777" w:rsidR="00664EBC" w:rsidRPr="00871248" w:rsidRDefault="00664EBC" w:rsidP="005802A7">
      <w:pPr>
        <w:spacing w:after="0" w:line="360" w:lineRule="auto"/>
        <w:jc w:val="lef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Continuous variables are presented as mean±sd, and their p-values were derived from the Mann–Whitney test.</w:t>
      </w:r>
    </w:p>
    <w:p w14:paraId="65E66753" w14:textId="77777777" w:rsidR="00664EBC" w:rsidRPr="00871248" w:rsidRDefault="00664EBC" w:rsidP="005802A7">
      <w:pPr>
        <w:spacing w:after="0" w:line="360" w:lineRule="auto"/>
        <w:jc w:val="left"/>
        <w:rPr>
          <w:rFonts w:asciiTheme="majorBidi" w:hAnsiTheme="majorBidi"/>
          <w:color w:val="222222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b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Categorical variables are presented as a percentage, and their p-values were derived from Fisher's exact test. </w:t>
      </w:r>
    </w:p>
    <w:p w14:paraId="5316D788" w14:textId="00E45BE1" w:rsidR="00EE4DA6" w:rsidRPr="00871248" w:rsidRDefault="00664EBC" w:rsidP="005802A7">
      <w:pPr>
        <w:spacing w:after="0" w:line="360" w:lineRule="auto"/>
        <w:jc w:val="left"/>
        <w:rPr>
          <w:rFonts w:asciiTheme="majorBidi" w:hAnsiTheme="majorBidi" w:cstheme="majorBidi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lastRenderedPageBreak/>
        <w:t>c</w:t>
      </w:r>
      <w:r>
        <w:rPr>
          <w:rFonts w:asciiTheme="majorBidi" w:hAnsiTheme="majorBidi" w:cstheme="majorBidi"/>
          <w:sz w:val="20"/>
          <w:szCs w:val="20"/>
        </w:rPr>
        <w:t xml:space="preserve"> The </w:t>
      </w:r>
      <w:r>
        <w:rPr>
          <w:rFonts w:asciiTheme="majorBidi" w:hAnsiTheme="majorBidi" w:cstheme="majorBidi"/>
          <w:i/>
          <w:iCs/>
          <w:sz w:val="20"/>
          <w:szCs w:val="20"/>
        </w:rPr>
        <w:t>Discordant</w:t>
      </w:r>
      <w:r>
        <w:rPr>
          <w:rFonts w:asciiTheme="majorBidi" w:hAnsiTheme="majorBidi" w:cstheme="majorBidi"/>
          <w:sz w:val="20"/>
          <w:szCs w:val="20"/>
        </w:rPr>
        <w:t xml:space="preserve"> group comprises patients who received an antibiotic regimen without in vitro activity against the isolated pathogen between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>.</w:t>
      </w:r>
      <w:r>
        <w:rPr>
          <w:rFonts w:asciiTheme="majorBidi" w:hAnsiTheme="majorBidi" w:cstheme="majorBidi"/>
          <w:sz w:val="20"/>
          <w:szCs w:val="20"/>
        </w:rPr>
        <w:br/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d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>The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Appropriate</w:t>
      </w:r>
      <w:r>
        <w:rPr>
          <w:rFonts w:asciiTheme="majorBidi" w:hAnsiTheme="majorBidi" w:cstheme="majorBidi"/>
          <w:sz w:val="20"/>
          <w:szCs w:val="20"/>
        </w:rPr>
        <w:t xml:space="preserve"> group comprises patients who received an antibiotic regimen with in vitro activity against the isolated pathogen between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br/>
        <w:t>e</w:t>
      </w:r>
      <w:r>
        <w:rPr>
          <w:rFonts w:asciiTheme="majorBidi" w:hAnsiTheme="majorBidi"/>
          <w:color w:val="222222"/>
          <w:sz w:val="20"/>
          <w:szCs w:val="20"/>
        </w:rPr>
        <w:t xml:space="preserve"> P-values </w:t>
      </w:r>
      <w:r>
        <w:rPr>
          <w:rFonts w:asciiTheme="majorBidi" w:hAnsiTheme="majorBidi" w:cstheme="majorBidi"/>
          <w:sz w:val="20"/>
          <w:szCs w:val="20"/>
        </w:rPr>
        <w:t xml:space="preserve">under </w:t>
      </w:r>
      <w:r>
        <w:rPr>
          <w:rFonts w:asciiTheme="majorBidi" w:hAnsiTheme="majorBidi"/>
          <w:color w:val="222222"/>
          <w:sz w:val="20"/>
          <w:szCs w:val="20"/>
        </w:rPr>
        <w:t>5% were considered significant.</w:t>
      </w:r>
    </w:p>
    <w:p w14:paraId="2E576A54" w14:textId="77777777" w:rsidR="00185205" w:rsidRPr="00871248" w:rsidRDefault="00185205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br w:type="page"/>
      </w:r>
    </w:p>
    <w:p w14:paraId="6A96DDE6" w14:textId="53A58A06" w:rsidR="00351B3D" w:rsidRPr="00871248" w:rsidRDefault="00351B3D" w:rsidP="00C303BF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Supplementary Table 3: Characteristics of the Appropriate and No-Ab-Treatment groups.</w:t>
      </w:r>
    </w:p>
    <w:tbl>
      <w:tblPr>
        <w:tblW w:w="9606" w:type="dxa"/>
        <w:tblLayout w:type="fixed"/>
        <w:tblLook w:val="0400" w:firstRow="0" w:lastRow="0" w:firstColumn="0" w:lastColumn="0" w:noHBand="0" w:noVBand="1"/>
      </w:tblPr>
      <w:tblGrid>
        <w:gridCol w:w="3510"/>
        <w:gridCol w:w="1843"/>
        <w:gridCol w:w="1559"/>
        <w:gridCol w:w="1560"/>
        <w:gridCol w:w="1134"/>
      </w:tblGrid>
      <w:tr w:rsidR="007C054E" w:rsidRPr="00871248" w14:paraId="53E722DB" w14:textId="77777777" w:rsidTr="00C22B30">
        <w:trPr>
          <w:trHeight w:val="312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8CBA20A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Variables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 a,b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br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714192B" w14:textId="10ACE65E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No-Ab-Treatment Group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(n=18)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9168805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Appropriate Group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(n=82)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06D1C54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4E4ADAB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p-value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</w:tr>
      <w:tr w:rsidR="007C054E" w:rsidRPr="00871248" w14:paraId="48961F1B" w14:textId="77777777" w:rsidTr="00C22B30">
        <w:trPr>
          <w:trHeight w:val="312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10C10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8C038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72.9±19.4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2E83A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81.5±11.5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E8A3" w14:textId="47821C8F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A0D0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</w:tr>
      <w:tr w:rsidR="007C054E" w:rsidRPr="00871248" w14:paraId="60945254" w14:textId="77777777" w:rsidTr="00C22B30">
        <w:trPr>
          <w:trHeight w:val="312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43CF4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Women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336ED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(38.9%)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F1D95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 (42.7%)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9DCB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4539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</w:tr>
      <w:tr w:rsidR="007C054E" w:rsidRPr="00871248" w14:paraId="63777A52" w14:textId="77777777" w:rsidTr="00C22B30">
        <w:trPr>
          <w:trHeight w:val="312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4A51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Gram-positive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ACB2F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(33.3%)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1A809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(28.0%)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3292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C196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</w:tr>
      <w:tr w:rsidR="007C054E" w:rsidRPr="00871248" w14:paraId="40C18C49" w14:textId="77777777" w:rsidTr="00C22B30">
        <w:trPr>
          <w:trHeight w:val="312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C8C07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Δt_Symptoms_CRP1 (hours)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EC7F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17.4±10.5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72AC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20.3±19.4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DC3E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135D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</w:tr>
      <w:tr w:rsidR="007C054E" w:rsidRPr="00871248" w14:paraId="730F3CF5" w14:textId="77777777" w:rsidTr="00C22B30">
        <w:trPr>
          <w:trHeight w:val="312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F9A85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CRP1 (mg/L)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7BD87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12.3±10.7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BC62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14.9±8.68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DDB5C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3782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</w:tr>
      <w:tr w:rsidR="007C054E" w:rsidRPr="00871248" w14:paraId="6B2A19E3" w14:textId="77777777" w:rsidTr="00C22B30">
        <w:trPr>
          <w:trHeight w:val="312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6ED4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eCRPv (mg/L/hour)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27D2E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1.1±1.54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101A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1.2±1.08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B6660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3BCE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</w:tr>
      <w:tr w:rsidR="007C054E" w:rsidRPr="00871248" w14:paraId="72660A75" w14:textId="77777777" w:rsidTr="00C22B30">
        <w:trPr>
          <w:trHeight w:val="312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00151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Δt_CRP1_ CRP2 (hours)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F50F9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8.4±6.06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4469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13.5±6.17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55D3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45C8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</w:tr>
      <w:tr w:rsidR="007C054E" w:rsidRPr="00871248" w14:paraId="579A3665" w14:textId="77777777" w:rsidTr="00C22B30">
        <w:trPr>
          <w:trHeight w:val="312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4AAEF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Δt_CRP1_CRP2, median [IQR] (hours)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E6792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 [2.9–13.1]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103A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14.5 [7.7–18.7]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3FC9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DD22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C054E" w:rsidRPr="00871248" w14:paraId="15006EB5" w14:textId="77777777" w:rsidTr="00C22B30">
        <w:trPr>
          <w:trHeight w:val="312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C0D8F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CRP2 (mg/L)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105E3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44.6±36.9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8E42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83.3±49.9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D6E0A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5D56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</w:tr>
      <w:tr w:rsidR="007C054E" w:rsidRPr="00871248" w14:paraId="0970001C" w14:textId="77777777" w:rsidTr="00C22B30">
        <w:trPr>
          <w:trHeight w:val="312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3CDA6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ΔCRP (mg/L)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5467A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32.3±35.7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82C0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68.4±48.9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BDB8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F7A2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7C054E" w:rsidRPr="00871248" w14:paraId="1B051A3F" w14:textId="77777777" w:rsidTr="00C22B30">
        <w:trPr>
          <w:trHeight w:val="312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0E832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CRPv (mg/L /hour)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9E95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2.74±2.77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7A7D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4.86±2.54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00EBC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2FEA" w14:textId="77777777" w:rsidR="007C054E" w:rsidRPr="00871248" w:rsidRDefault="007C054E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</w:tr>
    </w:tbl>
    <w:p w14:paraId="2054958F" w14:textId="67A002BA" w:rsidR="00577F19" w:rsidRPr="00871248" w:rsidRDefault="00050516" w:rsidP="005802A7">
      <w:pPr>
        <w:spacing w:line="360" w:lineRule="auto"/>
        <w:jc w:val="lef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>
        <w:rPr>
          <w:rFonts w:asciiTheme="majorBidi" w:hAnsiTheme="majorBidi"/>
          <w:color w:val="222222"/>
          <w:sz w:val="20"/>
          <w:szCs w:val="20"/>
        </w:rPr>
        <w:t>Abbreviations:</w:t>
      </w:r>
      <w:r>
        <w:rPr>
          <w:rFonts w:asciiTheme="majorBidi" w:hAnsiTheme="majorBidi" w:cstheme="majorBidi"/>
          <w:sz w:val="20"/>
          <w:szCs w:val="20"/>
        </w:rPr>
        <w:t xml:space="preserve"> SMD - standardized mean difference; 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CRP1 </w:t>
      </w:r>
      <w:r>
        <w:rPr>
          <w:rFonts w:asciiTheme="majorBidi" w:hAnsiTheme="majorBidi" w:cstheme="majorBidi"/>
          <w:sz w:val="20"/>
          <w:szCs w:val="20"/>
        </w:rPr>
        <w:t>&amp;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CRP2</w:t>
      </w:r>
      <w:r>
        <w:rPr>
          <w:rFonts w:asciiTheme="majorBidi" w:hAnsiTheme="majorBidi" w:cstheme="majorBidi"/>
          <w:sz w:val="20"/>
          <w:szCs w:val="20"/>
        </w:rPr>
        <w:t xml:space="preserve">- the first and second C- reactive protein (CRP) consecutive measurements from admission; </w:t>
      </w:r>
      <w:r>
        <w:rPr>
          <w:rFonts w:asciiTheme="majorBidi" w:hAnsiTheme="majorBidi" w:cstheme="majorBidi"/>
          <w:i/>
          <w:iCs/>
          <w:sz w:val="20"/>
          <w:szCs w:val="20"/>
        </w:rPr>
        <w:t>Δt_Symptoms_CRP1</w:t>
      </w:r>
      <w:r>
        <w:rPr>
          <w:rFonts w:asciiTheme="majorBidi" w:hAnsiTheme="majorBidi" w:cstheme="majorBidi"/>
          <w:sz w:val="20"/>
          <w:szCs w:val="20"/>
        </w:rPr>
        <w:t xml:space="preserve">- the time difference between symptoms' onset and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; </w:t>
      </w:r>
      <w:r>
        <w:rPr>
          <w:rFonts w:asciiTheme="majorBidi" w:hAnsiTheme="majorBidi" w:cstheme="majorBidi"/>
          <w:i/>
          <w:iCs/>
          <w:sz w:val="20"/>
          <w:szCs w:val="20"/>
        </w:rPr>
        <w:t>eCRPv</w:t>
      </w:r>
      <w:r>
        <w:rPr>
          <w:rFonts w:asciiTheme="majorBidi" w:hAnsiTheme="majorBidi" w:cstheme="majorBidi"/>
          <w:sz w:val="20"/>
          <w:szCs w:val="20"/>
        </w:rPr>
        <w:t xml:space="preserve"> (estimated CRP velocity)-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divided by </w:t>
      </w:r>
      <w:r>
        <w:rPr>
          <w:rFonts w:asciiTheme="majorBidi" w:hAnsiTheme="majorBidi" w:cstheme="majorBidi"/>
          <w:i/>
          <w:iCs/>
          <w:sz w:val="20"/>
          <w:szCs w:val="20"/>
        </w:rPr>
        <w:t>Δt_Symptoms_CRP1</w:t>
      </w:r>
      <w:r>
        <w:rPr>
          <w:rFonts w:asciiTheme="majorBidi" w:hAnsiTheme="majorBidi" w:cstheme="majorBidi"/>
          <w:sz w:val="20"/>
          <w:szCs w:val="20"/>
        </w:rPr>
        <w:t xml:space="preserve">; </w:t>
      </w:r>
      <w:r>
        <w:rPr>
          <w:rFonts w:asciiTheme="majorBidi" w:hAnsiTheme="majorBidi" w:cstheme="majorBidi"/>
          <w:i/>
          <w:iCs/>
          <w:sz w:val="20"/>
          <w:szCs w:val="20"/>
        </w:rPr>
        <w:t>Δt_CRP1_CRP2</w:t>
      </w:r>
      <w:r>
        <w:rPr>
          <w:rFonts w:asciiTheme="majorBidi" w:hAnsiTheme="majorBidi" w:cstheme="majorBidi"/>
          <w:sz w:val="20"/>
          <w:szCs w:val="20"/>
        </w:rPr>
        <w:t xml:space="preserve">- the time difference between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>;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ΔCRP</w:t>
      </w:r>
      <w:r>
        <w:rPr>
          <w:rFonts w:asciiTheme="majorBidi" w:hAnsiTheme="majorBidi" w:cstheme="majorBidi"/>
          <w:sz w:val="20"/>
          <w:szCs w:val="20"/>
        </w:rPr>
        <w:t xml:space="preserve">- the difference between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 xml:space="preserve">; </w:t>
      </w:r>
      <w:r>
        <w:rPr>
          <w:rFonts w:asciiTheme="majorBidi" w:hAnsiTheme="majorBidi" w:cstheme="majorBidi"/>
          <w:i/>
          <w:iCs/>
          <w:sz w:val="20"/>
          <w:szCs w:val="20"/>
        </w:rPr>
        <w:t>CRPv</w:t>
      </w:r>
      <w:r>
        <w:rPr>
          <w:rFonts w:asciiTheme="majorBidi" w:hAnsiTheme="majorBidi" w:cstheme="majorBidi"/>
          <w:sz w:val="20"/>
          <w:szCs w:val="20"/>
        </w:rPr>
        <w:t xml:space="preserve"> (CRP velocity)- </w:t>
      </w:r>
      <w:r>
        <w:rPr>
          <w:rFonts w:asciiTheme="majorBidi" w:hAnsiTheme="majorBidi" w:cstheme="majorBidi"/>
          <w:i/>
          <w:iCs/>
          <w:sz w:val="20"/>
          <w:szCs w:val="20"/>
        </w:rPr>
        <w:t>ΔCRP</w:t>
      </w:r>
      <w:r>
        <w:rPr>
          <w:rFonts w:asciiTheme="majorBidi" w:hAnsiTheme="majorBidi" w:cstheme="majorBidi"/>
          <w:sz w:val="20"/>
          <w:szCs w:val="20"/>
        </w:rPr>
        <w:t xml:space="preserve"> divided by </w:t>
      </w:r>
      <w:r>
        <w:rPr>
          <w:rFonts w:asciiTheme="majorBidi" w:hAnsiTheme="majorBidi" w:cstheme="majorBidi"/>
          <w:i/>
          <w:iCs/>
          <w:sz w:val="20"/>
          <w:szCs w:val="20"/>
        </w:rPr>
        <w:t>Δt_CRP1_ CRP2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Continuous variables are presented as mean±sd, and their p-values were derived from the Mann–Whitney test.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b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Categorical variables are presented as a percentage, and their p-values were derived from Fisher's exact test.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c</w:t>
      </w:r>
      <w:r>
        <w:rPr>
          <w:rFonts w:asciiTheme="majorBidi" w:hAnsiTheme="majorBidi" w:cstheme="majorBidi"/>
          <w:sz w:val="20"/>
          <w:szCs w:val="20"/>
        </w:rPr>
        <w:t xml:space="preserve"> The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No-Ab-Treatment </w:t>
      </w:r>
      <w:r>
        <w:rPr>
          <w:rFonts w:asciiTheme="majorBidi" w:hAnsiTheme="majorBidi" w:cstheme="majorBidi"/>
          <w:sz w:val="20"/>
          <w:szCs w:val="20"/>
        </w:rPr>
        <w:t xml:space="preserve">group comprises patients who received no antibiotic therapy between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br/>
        <w:t>d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>The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Appropriate</w:t>
      </w:r>
      <w:r>
        <w:rPr>
          <w:rFonts w:asciiTheme="majorBidi" w:hAnsiTheme="majorBidi" w:cstheme="majorBidi"/>
          <w:sz w:val="20"/>
          <w:szCs w:val="20"/>
        </w:rPr>
        <w:t xml:space="preserve"> group comprises patients who received an antibiotic regimen with in vitro activity against the isolated pathogen between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br/>
        <w:t>e</w:t>
      </w:r>
      <w:r>
        <w:rPr>
          <w:rFonts w:asciiTheme="majorBidi" w:hAnsiTheme="majorBidi"/>
          <w:color w:val="222222"/>
          <w:sz w:val="20"/>
          <w:szCs w:val="20"/>
        </w:rPr>
        <w:t xml:space="preserve"> P-values under 5% were considered significant.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  <w:br w:type="page"/>
      </w:r>
    </w:p>
    <w:p w14:paraId="67FA4977" w14:textId="77777777" w:rsidR="00351B3D" w:rsidRPr="00871248" w:rsidRDefault="00351B3D" w:rsidP="00577F19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Supplementary Table 4: Bacterial species summary</w:t>
      </w:r>
      <w:r>
        <w:rPr>
          <w:rFonts w:asciiTheme="majorBidi" w:hAnsiTheme="majorBidi" w:cstheme="majorBidi"/>
          <w:sz w:val="24"/>
          <w:szCs w:val="24"/>
        </w:rPr>
        <w:t>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6521"/>
        <w:gridCol w:w="1809"/>
      </w:tblGrid>
      <w:tr w:rsidR="00351B3D" w:rsidRPr="00871248" w14:paraId="5F8D795F" w14:textId="77777777" w:rsidTr="00A603EF">
        <w:trPr>
          <w:trHeight w:val="360"/>
        </w:trPr>
        <w:tc>
          <w:tcPr>
            <w:tcW w:w="1134" w:type="dxa"/>
            <w:shd w:val="clear" w:color="auto" w:fill="E7E6E6"/>
            <w:vAlign w:val="center"/>
          </w:tcPr>
          <w:p w14:paraId="07E1551E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Type</w:t>
            </w:r>
          </w:p>
        </w:tc>
        <w:tc>
          <w:tcPr>
            <w:tcW w:w="6521" w:type="dxa"/>
            <w:shd w:val="clear" w:color="auto" w:fill="E7E6E6"/>
            <w:vAlign w:val="center"/>
          </w:tcPr>
          <w:p w14:paraId="6A8B0F2D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Bacterial Species</w:t>
            </w:r>
          </w:p>
        </w:tc>
        <w:tc>
          <w:tcPr>
            <w:tcW w:w="1809" w:type="dxa"/>
            <w:shd w:val="clear" w:color="auto" w:fill="E7E6E6"/>
            <w:vAlign w:val="center"/>
          </w:tcPr>
          <w:p w14:paraId="73D222C9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Number</w:t>
            </w:r>
          </w:p>
        </w:tc>
      </w:tr>
      <w:tr w:rsidR="00351B3D" w:rsidRPr="00871248" w14:paraId="184EF208" w14:textId="77777777" w:rsidTr="00A603EF">
        <w:trPr>
          <w:trHeight w:val="360"/>
        </w:trPr>
        <w:tc>
          <w:tcPr>
            <w:tcW w:w="1134" w:type="dxa"/>
            <w:vMerge w:val="restart"/>
            <w:vAlign w:val="center"/>
          </w:tcPr>
          <w:p w14:paraId="51761132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Gram-negative</w:t>
            </w:r>
          </w:p>
          <w:p w14:paraId="397E8348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57F2C02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N=88</w:t>
            </w:r>
          </w:p>
        </w:tc>
        <w:tc>
          <w:tcPr>
            <w:tcW w:w="6521" w:type="dxa"/>
            <w:vAlign w:val="center"/>
          </w:tcPr>
          <w:p w14:paraId="3AC8342D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Acinetobacter baumannii</w:t>
            </w:r>
          </w:p>
        </w:tc>
        <w:tc>
          <w:tcPr>
            <w:tcW w:w="1809" w:type="dxa"/>
            <w:vAlign w:val="center"/>
          </w:tcPr>
          <w:p w14:paraId="2D8667F5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351B3D" w:rsidRPr="00871248" w14:paraId="02D59CC8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27A7D016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6BE691CA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Acinetobacter lwoffii</w:t>
            </w:r>
          </w:p>
        </w:tc>
        <w:tc>
          <w:tcPr>
            <w:tcW w:w="1809" w:type="dxa"/>
            <w:vAlign w:val="center"/>
          </w:tcPr>
          <w:p w14:paraId="0773DC43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351B3D" w:rsidRPr="00871248" w14:paraId="24D71F6C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57EC5F19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22093600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Aeromonas sobria</w:t>
            </w:r>
          </w:p>
        </w:tc>
        <w:tc>
          <w:tcPr>
            <w:tcW w:w="1809" w:type="dxa"/>
            <w:vAlign w:val="center"/>
          </w:tcPr>
          <w:p w14:paraId="56696867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351B3D" w:rsidRPr="00871248" w14:paraId="19DFB411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6BDD2A34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1EA90108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Citrobacter freundii</w:t>
            </w:r>
          </w:p>
        </w:tc>
        <w:tc>
          <w:tcPr>
            <w:tcW w:w="1809" w:type="dxa"/>
            <w:vAlign w:val="center"/>
          </w:tcPr>
          <w:p w14:paraId="5499585C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351B3D" w:rsidRPr="00871248" w14:paraId="1B307C9D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360BA035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770DD549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Citrobacter koseri</w:t>
            </w:r>
          </w:p>
        </w:tc>
        <w:tc>
          <w:tcPr>
            <w:tcW w:w="1809" w:type="dxa"/>
            <w:vAlign w:val="center"/>
          </w:tcPr>
          <w:p w14:paraId="68BC4F06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351B3D" w:rsidRPr="00871248" w14:paraId="7CB4E802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2E2947F0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00B97ECF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E. coli</w:t>
            </w:r>
          </w:p>
        </w:tc>
        <w:tc>
          <w:tcPr>
            <w:tcW w:w="1809" w:type="dxa"/>
            <w:vAlign w:val="center"/>
          </w:tcPr>
          <w:p w14:paraId="67427CA6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</w:tr>
      <w:tr w:rsidR="00351B3D" w:rsidRPr="00871248" w14:paraId="15A191C2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43359C1F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7AB333CA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Enterobacter cloacae complex</w:t>
            </w:r>
          </w:p>
        </w:tc>
        <w:tc>
          <w:tcPr>
            <w:tcW w:w="1809" w:type="dxa"/>
            <w:vAlign w:val="center"/>
          </w:tcPr>
          <w:p w14:paraId="47D6C71D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351B3D" w:rsidRPr="00871248" w14:paraId="2984FE50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72617A5E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20A05F83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Klebsiella oxytoca</w:t>
            </w:r>
          </w:p>
        </w:tc>
        <w:tc>
          <w:tcPr>
            <w:tcW w:w="1809" w:type="dxa"/>
            <w:vAlign w:val="center"/>
          </w:tcPr>
          <w:p w14:paraId="437CE5B4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351B3D" w:rsidRPr="00871248" w14:paraId="2BE3C975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6E1D0752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6AAEC0D5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Klebsiella pneumoniae</w:t>
            </w:r>
          </w:p>
        </w:tc>
        <w:tc>
          <w:tcPr>
            <w:tcW w:w="1809" w:type="dxa"/>
            <w:vAlign w:val="center"/>
          </w:tcPr>
          <w:p w14:paraId="4D28A8E2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351B3D" w:rsidRPr="00871248" w14:paraId="6FE8D150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5CB461CC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0F18B637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Proteus mirabilis</w:t>
            </w:r>
          </w:p>
        </w:tc>
        <w:tc>
          <w:tcPr>
            <w:tcW w:w="1809" w:type="dxa"/>
            <w:vAlign w:val="center"/>
          </w:tcPr>
          <w:p w14:paraId="42130D0F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351B3D" w:rsidRPr="00871248" w14:paraId="205F3D35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51B2D43C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5484EA79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Pseudomonas stutzeri</w:t>
            </w:r>
          </w:p>
        </w:tc>
        <w:tc>
          <w:tcPr>
            <w:tcW w:w="1809" w:type="dxa"/>
            <w:vAlign w:val="center"/>
          </w:tcPr>
          <w:p w14:paraId="0A23F449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351B3D" w:rsidRPr="00871248" w14:paraId="10FC9537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00BBE5F0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4370C6D5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Pseudomonas aeruginosa</w:t>
            </w:r>
          </w:p>
        </w:tc>
        <w:tc>
          <w:tcPr>
            <w:tcW w:w="1809" w:type="dxa"/>
            <w:vAlign w:val="center"/>
          </w:tcPr>
          <w:p w14:paraId="5888BE62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351B3D" w:rsidRPr="00871248" w14:paraId="593CA85D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44F509C4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0784732E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Pseudomonas spp</w:t>
            </w:r>
          </w:p>
        </w:tc>
        <w:tc>
          <w:tcPr>
            <w:tcW w:w="1809" w:type="dxa"/>
            <w:vAlign w:val="center"/>
          </w:tcPr>
          <w:p w14:paraId="7F43706B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351B3D" w:rsidRPr="00871248" w14:paraId="172270ED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0713DC6B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1FFBA62D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Shewanella algae</w:t>
            </w:r>
          </w:p>
        </w:tc>
        <w:tc>
          <w:tcPr>
            <w:tcW w:w="1809" w:type="dxa"/>
            <w:vAlign w:val="center"/>
          </w:tcPr>
          <w:p w14:paraId="1422D3C2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351B3D" w:rsidRPr="00871248" w14:paraId="35120475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1F52F776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4CEC28A8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Stenotrophomonas maltophilia</w:t>
            </w:r>
          </w:p>
        </w:tc>
        <w:tc>
          <w:tcPr>
            <w:tcW w:w="1809" w:type="dxa"/>
            <w:vAlign w:val="center"/>
          </w:tcPr>
          <w:p w14:paraId="1AE0971D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351B3D" w:rsidRPr="00871248" w14:paraId="2FF84E14" w14:textId="77777777" w:rsidTr="00A603EF">
        <w:trPr>
          <w:trHeight w:val="360"/>
        </w:trPr>
        <w:tc>
          <w:tcPr>
            <w:tcW w:w="1134" w:type="dxa"/>
            <w:vMerge w:val="restart"/>
            <w:vAlign w:val="center"/>
          </w:tcPr>
          <w:p w14:paraId="0F41DCF1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Gram-positive</w:t>
            </w:r>
          </w:p>
          <w:p w14:paraId="6CC5B442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7A13658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N=34</w:t>
            </w:r>
          </w:p>
        </w:tc>
        <w:tc>
          <w:tcPr>
            <w:tcW w:w="6521" w:type="dxa"/>
            <w:vAlign w:val="center"/>
          </w:tcPr>
          <w:p w14:paraId="7EAEBD3C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Enterococcus faecium</w:t>
            </w:r>
          </w:p>
        </w:tc>
        <w:tc>
          <w:tcPr>
            <w:tcW w:w="1809" w:type="dxa"/>
            <w:vAlign w:val="center"/>
          </w:tcPr>
          <w:p w14:paraId="109E9CF6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351B3D" w:rsidRPr="00871248" w14:paraId="65FA620F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63D81E65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7512ED51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Enterococcus casseliflavus</w:t>
            </w:r>
          </w:p>
        </w:tc>
        <w:tc>
          <w:tcPr>
            <w:tcW w:w="1809" w:type="dxa"/>
            <w:vAlign w:val="center"/>
          </w:tcPr>
          <w:p w14:paraId="72273A74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351B3D" w:rsidRPr="00871248" w14:paraId="4F9BBCB5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5190C545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39ECD084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Enterococcus faecalis</w:t>
            </w:r>
          </w:p>
        </w:tc>
        <w:tc>
          <w:tcPr>
            <w:tcW w:w="1809" w:type="dxa"/>
            <w:vAlign w:val="center"/>
          </w:tcPr>
          <w:p w14:paraId="4D0839BC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351B3D" w:rsidRPr="00871248" w14:paraId="0FD4D606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24A35CAC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2A27020F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Group D Streptococcus</w:t>
            </w:r>
          </w:p>
        </w:tc>
        <w:tc>
          <w:tcPr>
            <w:tcW w:w="1809" w:type="dxa"/>
            <w:vAlign w:val="center"/>
          </w:tcPr>
          <w:p w14:paraId="3586CF8B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351B3D" w:rsidRPr="00871248" w14:paraId="30B096EF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73236570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2FF781E9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Staphylococcus aureus</w:t>
            </w:r>
          </w:p>
        </w:tc>
        <w:tc>
          <w:tcPr>
            <w:tcW w:w="1809" w:type="dxa"/>
            <w:vAlign w:val="center"/>
          </w:tcPr>
          <w:p w14:paraId="453F83D0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351B3D" w:rsidRPr="00871248" w14:paraId="73F41150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019B1689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35BC32BA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Streptococcus agalactiae</w:t>
            </w:r>
          </w:p>
        </w:tc>
        <w:tc>
          <w:tcPr>
            <w:tcW w:w="1809" w:type="dxa"/>
            <w:vAlign w:val="center"/>
          </w:tcPr>
          <w:p w14:paraId="0FF2E2D0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351B3D" w:rsidRPr="00871248" w14:paraId="4A15ED11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75491C66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10D37C74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Streptococcus dysgalactiae</w:t>
            </w:r>
          </w:p>
        </w:tc>
        <w:tc>
          <w:tcPr>
            <w:tcW w:w="1809" w:type="dxa"/>
            <w:vAlign w:val="center"/>
          </w:tcPr>
          <w:p w14:paraId="1C5A2A50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351B3D" w:rsidRPr="00871248" w14:paraId="13376D6E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4634933F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6A01AB34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Streptococcus gallolyticus</w:t>
            </w:r>
          </w:p>
        </w:tc>
        <w:tc>
          <w:tcPr>
            <w:tcW w:w="1809" w:type="dxa"/>
            <w:vAlign w:val="center"/>
          </w:tcPr>
          <w:p w14:paraId="5D11E97E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351B3D" w:rsidRPr="00871248" w14:paraId="1FF935F9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506DC297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1DCF0C73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Streptococcus pneumoniae</w:t>
            </w:r>
          </w:p>
        </w:tc>
        <w:tc>
          <w:tcPr>
            <w:tcW w:w="1809" w:type="dxa"/>
            <w:vAlign w:val="center"/>
          </w:tcPr>
          <w:p w14:paraId="2B1D5957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351B3D" w:rsidRPr="00871248" w14:paraId="1D057E98" w14:textId="77777777" w:rsidTr="00A603EF">
        <w:trPr>
          <w:trHeight w:val="360"/>
        </w:trPr>
        <w:tc>
          <w:tcPr>
            <w:tcW w:w="1134" w:type="dxa"/>
            <w:vMerge/>
            <w:vAlign w:val="center"/>
          </w:tcPr>
          <w:p w14:paraId="3698635B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0F2861FE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Streptococcus pyogenes</w:t>
            </w:r>
          </w:p>
        </w:tc>
        <w:tc>
          <w:tcPr>
            <w:tcW w:w="1809" w:type="dxa"/>
            <w:vAlign w:val="center"/>
          </w:tcPr>
          <w:p w14:paraId="1B440F23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</w:tbl>
    <w:p w14:paraId="2FC7B24C" w14:textId="0516BFAB" w:rsidR="00351B3D" w:rsidRPr="00871248" w:rsidRDefault="00351B3D" w:rsidP="003B5C97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Supplementary Table 5: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Characteristics of the Discordant and the No-Ab-Treatment groups. </w:t>
      </w:r>
    </w:p>
    <w:tbl>
      <w:tblPr>
        <w:tblW w:w="9180" w:type="dxa"/>
        <w:tblLayout w:type="fixed"/>
        <w:tblLook w:val="0400" w:firstRow="0" w:lastRow="0" w:firstColumn="0" w:lastColumn="0" w:noHBand="0" w:noVBand="1"/>
      </w:tblPr>
      <w:tblGrid>
        <w:gridCol w:w="3227"/>
        <w:gridCol w:w="1984"/>
        <w:gridCol w:w="1985"/>
        <w:gridCol w:w="850"/>
        <w:gridCol w:w="1134"/>
      </w:tblGrid>
      <w:tr w:rsidR="008B2F09" w:rsidRPr="00871248" w14:paraId="564495E8" w14:textId="77777777" w:rsidTr="00CF30D8">
        <w:trPr>
          <w:trHeight w:val="35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B0FD4CB" w14:textId="77777777" w:rsidR="00373DCC" w:rsidRPr="00871248" w:rsidRDefault="0053009E" w:rsidP="00515812">
            <w:pPr>
              <w:bidi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Variables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a,b</w:t>
            </w:r>
          </w:p>
          <w:p w14:paraId="496338A7" w14:textId="77777777" w:rsidR="00373DCC" w:rsidRPr="00871248" w:rsidRDefault="00373DCC" w:rsidP="00515812">
            <w:pPr>
              <w:bidi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E812E63" w14:textId="54C3B061" w:rsidR="00351B3D" w:rsidRPr="00871248" w:rsidRDefault="00351B3D" w:rsidP="0051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No-Ab-Treatment Group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(n=18)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CDD965C" w14:textId="7252537B" w:rsidR="008B2F09" w:rsidRPr="00871248" w:rsidRDefault="00351B3D" w:rsidP="0051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Discordant Group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(n=22)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BDE0DC8" w14:textId="77777777" w:rsidR="008B2F09" w:rsidRPr="00871248" w:rsidRDefault="00F77F61" w:rsidP="0051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0C37AA3" w14:textId="77777777" w:rsidR="008B2F09" w:rsidRPr="00871248" w:rsidRDefault="006D6CC7" w:rsidP="00515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p-value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</w:tr>
      <w:tr w:rsidR="00CF30D8" w:rsidRPr="00871248" w14:paraId="4FBFD420" w14:textId="77777777" w:rsidTr="00EF4338">
        <w:trPr>
          <w:trHeight w:val="449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7C531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4AF76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72.9±19.4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C005B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79±13.0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8FA2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F4E5" w14:textId="77777777" w:rsidR="00351B3D" w:rsidRPr="00871248" w:rsidRDefault="001D2C60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</w:tr>
      <w:tr w:rsidR="00CF30D8" w:rsidRPr="00871248" w14:paraId="6E6FCA87" w14:textId="77777777" w:rsidTr="00CF30D8">
        <w:trPr>
          <w:cantSplit/>
          <w:trHeight w:val="35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9AECA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Women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322B8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(38.9%)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7D48C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(27.3%)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C152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450D" w14:textId="77777777" w:rsidR="00351B3D" w:rsidRPr="00871248" w:rsidRDefault="001D2C60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</w:tr>
      <w:tr w:rsidR="00CF30D8" w:rsidRPr="00871248" w14:paraId="1600E3F3" w14:textId="77777777" w:rsidTr="00CF30D8">
        <w:trPr>
          <w:cantSplit/>
          <w:trHeight w:val="35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98FD5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Gram-positive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C2B5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(33.3%)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7BE8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(22.7%)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77189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7129" w14:textId="77777777" w:rsidR="00351B3D" w:rsidRPr="00871248" w:rsidRDefault="001D2C60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</w:t>
            </w:r>
          </w:p>
        </w:tc>
      </w:tr>
      <w:tr w:rsidR="00CF30D8" w:rsidRPr="00871248" w14:paraId="48175B97" w14:textId="77777777" w:rsidTr="00CF30D8">
        <w:trPr>
          <w:cantSplit/>
          <w:trHeight w:val="35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5A1A4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Δt_Symptoms_CRP1 (hours)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EB8B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17.4±10.5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6FA9B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22.5±19.4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8CE3F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1ABC" w14:textId="77777777" w:rsidR="00351B3D" w:rsidRPr="00871248" w:rsidRDefault="001D2C60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</w:tr>
      <w:tr w:rsidR="00CF30D8" w:rsidRPr="00871248" w14:paraId="564DA2DB" w14:textId="77777777" w:rsidTr="00CF30D8">
        <w:trPr>
          <w:cantSplit/>
          <w:trHeight w:val="35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79A9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CRP1 (mg/L)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51F02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12.3±10.7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38F07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14.5±8.53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2F0C2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2DED" w14:textId="77777777" w:rsidR="00351B3D" w:rsidRPr="00871248" w:rsidRDefault="001D2C60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</w:tr>
      <w:tr w:rsidR="00CF30D8" w:rsidRPr="00871248" w14:paraId="32500C7E" w14:textId="77777777" w:rsidTr="00CF30D8">
        <w:trPr>
          <w:cantSplit/>
          <w:trHeight w:val="35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8984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eCRPv (mg/L/hour)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849D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1.1±1.54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95805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1±0.82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2A19E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F028" w14:textId="77777777" w:rsidR="00351B3D" w:rsidRPr="00871248" w:rsidRDefault="001D2C60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</w:tr>
      <w:tr w:rsidR="00CF30D8" w:rsidRPr="00871248" w14:paraId="1B415218" w14:textId="77777777" w:rsidTr="00CF30D8">
        <w:trPr>
          <w:cantSplit/>
          <w:trHeight w:val="35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C0F12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Δt_CRP1_CRP2 (hours)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0273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8.4±6.06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D89B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12.9±6.64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7A28C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D8D0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CF30D8" w:rsidRPr="00871248" w14:paraId="113F9626" w14:textId="77777777" w:rsidTr="00CF30D8">
        <w:trPr>
          <w:cantSplit/>
          <w:trHeight w:val="35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A0C0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Δt_CRP1_CRP2, median [IQR] (hours)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4BA59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 [2.9–13.1]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9E94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12.3 [6.9–19.2]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98117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035B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F30D8" w:rsidRPr="00871248" w14:paraId="60C51E07" w14:textId="77777777" w:rsidTr="00CF30D8">
        <w:trPr>
          <w:cantSplit/>
          <w:trHeight w:val="35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734D7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CRP2 (mg/L)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2F8F1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44.6±36.9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116A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44.1±37.97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9DD82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A171" w14:textId="77777777" w:rsidR="00351B3D" w:rsidRPr="00871248" w:rsidRDefault="001D2C60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CF30D8" w:rsidRPr="00871248" w14:paraId="2034C958" w14:textId="77777777" w:rsidTr="00CF30D8">
        <w:trPr>
          <w:cantSplit/>
          <w:trHeight w:val="35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DD24E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ΔCRP (mg/L)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B30E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32.3±35.7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0D2E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29.6±38.1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18988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0EDB" w14:textId="77777777" w:rsidR="00351B3D" w:rsidRPr="00871248" w:rsidRDefault="001D2C60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</w:tr>
      <w:tr w:rsidR="00CF30D8" w:rsidRPr="00871248" w14:paraId="66B25B94" w14:textId="77777777" w:rsidTr="00CF30D8">
        <w:trPr>
          <w:cantSplit/>
          <w:trHeight w:val="35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CEA05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CRPv (mg/L /hour)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8C60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2.7±2.77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E816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2.6±2.44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6A15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9C84" w14:textId="77777777" w:rsidR="00351B3D" w:rsidRPr="00871248" w:rsidRDefault="001D2C60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</w:tr>
    </w:tbl>
    <w:p w14:paraId="63701E9F" w14:textId="77777777" w:rsidR="00F77F61" w:rsidRPr="00871248" w:rsidRDefault="005A6E37" w:rsidP="005802A7">
      <w:pPr>
        <w:spacing w:after="0" w:line="360" w:lineRule="auto"/>
        <w:jc w:val="lef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Theme="majorBidi" w:hAnsiTheme="majorBidi"/>
          <w:color w:val="222222"/>
          <w:sz w:val="20"/>
          <w:szCs w:val="20"/>
        </w:rPr>
        <w:t>Abbreviations:</w:t>
      </w:r>
      <w:r>
        <w:rPr>
          <w:rFonts w:asciiTheme="majorBidi" w:hAnsiTheme="majorBidi" w:cstheme="majorBidi"/>
          <w:sz w:val="20"/>
          <w:szCs w:val="20"/>
        </w:rPr>
        <w:t xml:space="preserve"> SMD - standardized mean difference; 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CRP1 </w:t>
      </w:r>
      <w:r>
        <w:rPr>
          <w:rFonts w:asciiTheme="majorBidi" w:hAnsiTheme="majorBidi" w:cstheme="majorBidi"/>
          <w:sz w:val="20"/>
          <w:szCs w:val="20"/>
        </w:rPr>
        <w:t>&amp;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CRP2</w:t>
      </w:r>
      <w:r>
        <w:rPr>
          <w:rFonts w:asciiTheme="majorBidi" w:hAnsiTheme="majorBidi" w:cstheme="majorBidi"/>
          <w:sz w:val="20"/>
          <w:szCs w:val="20"/>
        </w:rPr>
        <w:t xml:space="preserve">- the first and second C- reactive protein (CRP) consecutive measurements from admission; </w:t>
      </w:r>
      <w:r>
        <w:rPr>
          <w:rFonts w:asciiTheme="majorBidi" w:hAnsiTheme="majorBidi" w:cstheme="majorBidi"/>
          <w:i/>
          <w:iCs/>
          <w:sz w:val="20"/>
          <w:szCs w:val="20"/>
        </w:rPr>
        <w:t>Δt_Symptoms_CRP1</w:t>
      </w:r>
      <w:r>
        <w:rPr>
          <w:rFonts w:asciiTheme="majorBidi" w:hAnsiTheme="majorBidi" w:cstheme="majorBidi"/>
          <w:sz w:val="20"/>
          <w:szCs w:val="20"/>
        </w:rPr>
        <w:t xml:space="preserve">- the time difference between symptoms' onset and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; </w:t>
      </w:r>
      <w:r>
        <w:rPr>
          <w:rFonts w:asciiTheme="majorBidi" w:hAnsiTheme="majorBidi" w:cstheme="majorBidi"/>
          <w:i/>
          <w:iCs/>
          <w:sz w:val="20"/>
          <w:szCs w:val="20"/>
        </w:rPr>
        <w:t>eCRPv</w:t>
      </w:r>
      <w:r>
        <w:rPr>
          <w:rFonts w:asciiTheme="majorBidi" w:hAnsiTheme="majorBidi" w:cstheme="majorBidi"/>
          <w:sz w:val="20"/>
          <w:szCs w:val="20"/>
        </w:rPr>
        <w:t xml:space="preserve"> (estimated CRP velocity)-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divided by </w:t>
      </w:r>
      <w:r>
        <w:rPr>
          <w:rFonts w:asciiTheme="majorBidi" w:hAnsiTheme="majorBidi" w:cstheme="majorBidi"/>
          <w:i/>
          <w:iCs/>
          <w:sz w:val="20"/>
          <w:szCs w:val="20"/>
        </w:rPr>
        <w:t>Δt_Symptoms_CRP1</w:t>
      </w:r>
      <w:r>
        <w:rPr>
          <w:rFonts w:asciiTheme="majorBidi" w:hAnsiTheme="majorBidi" w:cstheme="majorBidi"/>
          <w:sz w:val="20"/>
          <w:szCs w:val="20"/>
        </w:rPr>
        <w:t xml:space="preserve">; </w:t>
      </w:r>
      <w:r>
        <w:rPr>
          <w:rFonts w:asciiTheme="majorBidi" w:hAnsiTheme="majorBidi" w:cstheme="majorBidi"/>
          <w:i/>
          <w:iCs/>
          <w:sz w:val="20"/>
          <w:szCs w:val="20"/>
        </w:rPr>
        <w:t>Δt_CRP1_ CRP2</w:t>
      </w:r>
      <w:r>
        <w:rPr>
          <w:rFonts w:asciiTheme="majorBidi" w:hAnsiTheme="majorBidi" w:cstheme="majorBidi"/>
          <w:sz w:val="20"/>
          <w:szCs w:val="20"/>
        </w:rPr>
        <w:t xml:space="preserve">- the time difference between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>;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ΔCRP</w:t>
      </w:r>
      <w:r>
        <w:rPr>
          <w:rFonts w:asciiTheme="majorBidi" w:hAnsiTheme="majorBidi" w:cstheme="majorBidi"/>
          <w:sz w:val="20"/>
          <w:szCs w:val="20"/>
        </w:rPr>
        <w:t xml:space="preserve">- the difference between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 xml:space="preserve">; </w:t>
      </w:r>
      <w:r>
        <w:rPr>
          <w:rFonts w:asciiTheme="majorBidi" w:hAnsiTheme="majorBidi" w:cstheme="majorBidi"/>
          <w:i/>
          <w:iCs/>
          <w:sz w:val="20"/>
          <w:szCs w:val="20"/>
        </w:rPr>
        <w:t>CRPv</w:t>
      </w:r>
      <w:r>
        <w:rPr>
          <w:rFonts w:asciiTheme="majorBidi" w:hAnsiTheme="majorBidi" w:cstheme="majorBidi"/>
          <w:sz w:val="20"/>
          <w:szCs w:val="20"/>
        </w:rPr>
        <w:t xml:space="preserve"> (CRP velocity)- </w:t>
      </w:r>
      <w:r>
        <w:rPr>
          <w:rFonts w:asciiTheme="majorBidi" w:hAnsiTheme="majorBidi" w:cstheme="majorBidi"/>
          <w:i/>
          <w:iCs/>
          <w:sz w:val="20"/>
          <w:szCs w:val="20"/>
        </w:rPr>
        <w:t>ΔCRP</w:t>
      </w:r>
      <w:r>
        <w:rPr>
          <w:rFonts w:asciiTheme="majorBidi" w:hAnsiTheme="majorBidi" w:cstheme="majorBidi"/>
          <w:sz w:val="20"/>
          <w:szCs w:val="20"/>
        </w:rPr>
        <w:t xml:space="preserve"> divided by </w:t>
      </w:r>
      <w:r>
        <w:rPr>
          <w:rFonts w:asciiTheme="majorBidi" w:hAnsiTheme="majorBidi" w:cstheme="majorBidi"/>
          <w:i/>
          <w:iCs/>
          <w:sz w:val="20"/>
          <w:szCs w:val="20"/>
        </w:rPr>
        <w:t>Δt_CRP1_ CRP2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5F539C24" w14:textId="77777777" w:rsidR="00F77F61" w:rsidRPr="00871248" w:rsidRDefault="00F77F61" w:rsidP="005802A7">
      <w:pPr>
        <w:spacing w:after="0" w:line="360" w:lineRule="auto"/>
        <w:jc w:val="lef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Continuous variables are presented as mean±sd, and their p-values were derived from the Mann–Whitney test.</w:t>
      </w:r>
    </w:p>
    <w:p w14:paraId="2599FDE0" w14:textId="77777777" w:rsidR="00F77F61" w:rsidRPr="00871248" w:rsidRDefault="00F77F61" w:rsidP="005802A7">
      <w:pPr>
        <w:spacing w:after="0" w:line="360" w:lineRule="auto"/>
        <w:jc w:val="left"/>
        <w:rPr>
          <w:rFonts w:asciiTheme="majorBidi" w:hAnsiTheme="majorBidi"/>
          <w:color w:val="222222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b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Categorical variables are presented as a percentage, and their p-values were derived from Fisher's exact test. </w:t>
      </w:r>
    </w:p>
    <w:p w14:paraId="1FAD4A53" w14:textId="5891702F" w:rsidR="001960D5" w:rsidRPr="00871248" w:rsidRDefault="00F77F61" w:rsidP="005802A7">
      <w:pPr>
        <w:spacing w:after="0" w:line="360" w:lineRule="auto"/>
        <w:jc w:val="left"/>
        <w:rPr>
          <w:rFonts w:asciiTheme="majorBidi" w:hAnsiTheme="majorBidi" w:cstheme="majorBidi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c</w:t>
      </w:r>
      <w:r>
        <w:rPr>
          <w:rFonts w:asciiTheme="majorBidi" w:hAnsiTheme="majorBidi" w:cstheme="majorBidi"/>
          <w:sz w:val="20"/>
          <w:szCs w:val="20"/>
        </w:rPr>
        <w:t xml:space="preserve"> The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No-Ab-Treatment</w:t>
      </w:r>
      <w:r>
        <w:rPr>
          <w:rFonts w:asciiTheme="majorBidi" w:hAnsiTheme="majorBidi" w:cstheme="majorBidi"/>
          <w:sz w:val="20"/>
          <w:szCs w:val="20"/>
        </w:rPr>
        <w:t xml:space="preserve"> group </w:t>
      </w:r>
      <w:bookmarkStart w:id="0" w:name="_Hlk161485427"/>
      <w:r>
        <w:rPr>
          <w:rFonts w:asciiTheme="majorBidi" w:hAnsiTheme="majorBidi" w:cstheme="majorBidi"/>
          <w:sz w:val="20"/>
          <w:szCs w:val="20"/>
        </w:rPr>
        <w:t xml:space="preserve">comprises patients who received no antibiotic therapy between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bookmarkEnd w:id="0"/>
      <w:r>
        <w:rPr>
          <w:rFonts w:asciiTheme="majorBidi" w:hAnsiTheme="majorBidi" w:cstheme="majorBidi"/>
          <w:sz w:val="20"/>
          <w:szCs w:val="20"/>
        </w:rPr>
        <w:t>.</w:t>
      </w:r>
      <w:r>
        <w:rPr>
          <w:rFonts w:asciiTheme="majorBidi" w:hAnsiTheme="majorBidi" w:cstheme="majorBidi"/>
          <w:sz w:val="20"/>
          <w:szCs w:val="20"/>
        </w:rPr>
        <w:br/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d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 xml:space="preserve">The </w:t>
      </w:r>
      <w:r>
        <w:rPr>
          <w:rFonts w:asciiTheme="majorBidi" w:hAnsiTheme="majorBidi" w:cstheme="majorBidi"/>
          <w:i/>
          <w:iCs/>
          <w:sz w:val="20"/>
          <w:szCs w:val="20"/>
        </w:rPr>
        <w:t>Discordant</w:t>
      </w:r>
      <w:r>
        <w:rPr>
          <w:rFonts w:asciiTheme="majorBidi" w:hAnsiTheme="majorBidi" w:cstheme="majorBidi"/>
          <w:sz w:val="20"/>
          <w:szCs w:val="20"/>
        </w:rPr>
        <w:t xml:space="preserve"> group comprises patients who received an antibiotic regimen without in vitro activity against the isolated pathogen between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>.</w:t>
      </w:r>
    </w:p>
    <w:p w14:paraId="560924B9" w14:textId="77777777" w:rsidR="0053009E" w:rsidRPr="00871248" w:rsidRDefault="001960D5" w:rsidP="005802A7">
      <w:pPr>
        <w:spacing w:after="0" w:line="360" w:lineRule="auto"/>
        <w:jc w:val="lef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e</w:t>
      </w:r>
      <w:r>
        <w:rPr>
          <w:rFonts w:asciiTheme="majorBidi" w:hAnsiTheme="majorBidi"/>
          <w:color w:val="222222"/>
          <w:sz w:val="20"/>
          <w:szCs w:val="20"/>
        </w:rPr>
        <w:t xml:space="preserve"> P-values under 5% were considered significant.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br/>
      </w:r>
    </w:p>
    <w:p w14:paraId="37D2AD7E" w14:textId="77777777" w:rsidR="00351B3D" w:rsidRPr="00871248" w:rsidRDefault="0053009E" w:rsidP="00C303BF">
      <w:pPr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 w:type="page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Supplementary </w:t>
      </w:r>
      <w:r>
        <w:rPr>
          <w:rFonts w:asciiTheme="majorBidi" w:hAnsiTheme="majorBidi" w:cstheme="majorBidi"/>
          <w:b/>
          <w:bCs/>
          <w:sz w:val="24"/>
          <w:szCs w:val="24"/>
        </w:rPr>
        <w:t>Table 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Multivariable Logistic Regression Model Summary. Examination of CRP2 and potential confounding variables as predictors of antibiotic appropriateness (Appropriate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Vs. Inappropriate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groups).</w:t>
      </w:r>
    </w:p>
    <w:tbl>
      <w:tblPr>
        <w:tblW w:w="6912" w:type="dxa"/>
        <w:tblLayout w:type="fixed"/>
        <w:tblLook w:val="0400" w:firstRow="0" w:lastRow="0" w:firstColumn="0" w:lastColumn="0" w:noHBand="0" w:noVBand="1"/>
      </w:tblPr>
      <w:tblGrid>
        <w:gridCol w:w="2552"/>
        <w:gridCol w:w="1525"/>
        <w:gridCol w:w="1701"/>
        <w:gridCol w:w="1134"/>
      </w:tblGrid>
      <w:tr w:rsidR="00351B3D" w:rsidRPr="00871248" w14:paraId="268FE512" w14:textId="77777777" w:rsidTr="004757E1">
        <w:trPr>
          <w:trHeight w:val="31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8567DE9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92923E5" w14:textId="77777777" w:rsidR="00351B3D" w:rsidRPr="00871248" w:rsidRDefault="004757E1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A52D045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 95%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60CDD3B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p-value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351B3D" w:rsidRPr="00871248" w14:paraId="0186ED39" w14:textId="77777777" w:rsidTr="004757E1">
        <w:trPr>
          <w:trHeight w:val="31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3A5B3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CRP2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(mg/L)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 d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ACC8" w14:textId="77777777" w:rsidR="00351B3D" w:rsidRPr="00871248" w:rsidRDefault="00036F50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25BB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(1.57, 4.42)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9762A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351B3D" w:rsidRPr="00871248" w14:paraId="6C30ECBF" w14:textId="77777777" w:rsidTr="004757E1">
        <w:trPr>
          <w:trHeight w:val="31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74D85" w14:textId="77777777" w:rsidR="00351B3D" w:rsidRPr="00871248" w:rsidRDefault="008E62E1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Sex (female)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A86E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6362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(0.67, 3.79)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7978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</w:tr>
      <w:tr w:rsidR="00351B3D" w:rsidRPr="00871248" w14:paraId="3283BC90" w14:textId="77777777" w:rsidTr="004757E1">
        <w:trPr>
          <w:trHeight w:val="31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75AD7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Age (years/10)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C2E5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5AE65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(0.92, 1.68)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4569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</w:tr>
      <w:tr w:rsidR="00351B3D" w:rsidRPr="00871248" w14:paraId="41A459A7" w14:textId="77777777" w:rsidTr="004757E1">
        <w:trPr>
          <w:trHeight w:val="31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5BDFA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Gram type (positive)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5D53F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98EC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(0.42, 2.69)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167B5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</w:tr>
    </w:tbl>
    <w:p w14:paraId="59103FC5" w14:textId="46EFE25D" w:rsidR="008A6D4D" w:rsidRPr="00871248" w:rsidRDefault="004757E1" w:rsidP="005802A7">
      <w:pPr>
        <w:spacing w:line="360" w:lineRule="auto"/>
        <w:jc w:val="left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Abbreviations: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>- the second C- reactive protein (CRP) measurement from admission; OR- odds ratio; CI-confidence interval of the odds ratio.</w:t>
      </w:r>
      <w:r>
        <w:rPr>
          <w:rFonts w:asciiTheme="majorBidi" w:hAnsiTheme="majorBidi" w:cstheme="majorBidi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Theme="majorBidi" w:hAnsiTheme="majorBidi" w:cstheme="majorBidi"/>
          <w:sz w:val="20"/>
          <w:szCs w:val="20"/>
        </w:rPr>
        <w:t xml:space="preserve"> The </w:t>
      </w:r>
      <w:r>
        <w:rPr>
          <w:rFonts w:asciiTheme="majorBidi" w:hAnsiTheme="majorBidi" w:cstheme="majorBidi"/>
          <w:i/>
          <w:iCs/>
          <w:sz w:val="20"/>
          <w:szCs w:val="20"/>
        </w:rPr>
        <w:t>Appropriate</w:t>
      </w:r>
      <w:r>
        <w:rPr>
          <w:rFonts w:asciiTheme="majorBidi" w:hAnsiTheme="majorBidi" w:cstheme="majorBidi"/>
          <w:sz w:val="20"/>
          <w:szCs w:val="20"/>
        </w:rPr>
        <w:t xml:space="preserve"> group comprises patients who received an antibiotic regimen with in vitro activity against the isolated pathogen between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br/>
        <w:t>b</w:t>
      </w:r>
      <w:r>
        <w:rPr>
          <w:rFonts w:asciiTheme="majorBidi" w:hAnsiTheme="majorBidi" w:cstheme="majorBidi"/>
          <w:sz w:val="20"/>
          <w:szCs w:val="20"/>
        </w:rPr>
        <w:t xml:space="preserve"> The </w:t>
      </w:r>
      <w:r>
        <w:rPr>
          <w:rFonts w:asciiTheme="majorBidi" w:hAnsiTheme="majorBidi" w:cstheme="majorBidi"/>
          <w:i/>
          <w:iCs/>
          <w:sz w:val="20"/>
          <w:szCs w:val="20"/>
        </w:rPr>
        <w:t>Inappropriate</w:t>
      </w:r>
      <w:r>
        <w:rPr>
          <w:rFonts w:asciiTheme="majorBidi" w:hAnsiTheme="majorBidi" w:cstheme="majorBidi"/>
          <w:sz w:val="20"/>
          <w:szCs w:val="20"/>
        </w:rPr>
        <w:t xml:space="preserve"> group comprises patients who received either an antibiotic regimen without in vitro activity against the isolated pathogen or no antibiotic therapy between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br/>
        <w:t>c</w:t>
      </w:r>
      <w:r>
        <w:rPr>
          <w:rFonts w:asciiTheme="majorBidi" w:hAnsiTheme="majorBidi" w:cstheme="majorBidi"/>
          <w:sz w:val="20"/>
          <w:szCs w:val="20"/>
        </w:rPr>
        <w:t xml:space="preserve"> P-values were derived from the Wald tests and were considered significant under 5%.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br/>
        <w:t>d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(mg/L)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Theme="majorBidi" w:eastAsia="Times New Roman" w:hAnsiTheme="majorBidi"/>
          <w:noProof/>
          <w:color w:val="222222"/>
          <w:sz w:val="20"/>
          <w:szCs w:val="20"/>
        </w:rPr>
        <w:t xml:space="preserve">was standardized by subtracting the mean value of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eastAsia="Times New Roman" w:hAnsiTheme="majorBidi"/>
          <w:noProof/>
          <w:color w:val="222222"/>
          <w:sz w:val="20"/>
          <w:szCs w:val="20"/>
        </w:rPr>
        <w:t xml:space="preserve"> from its respective raw values and then dividing it by the standard deviation of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eastAsia="Times New Roman" w:hAnsiTheme="majorBidi"/>
          <w:noProof/>
          <w:color w:val="222222"/>
          <w:sz w:val="20"/>
          <w:szCs w:val="20"/>
        </w:rPr>
        <w:t xml:space="preserve">. </w:t>
      </w:r>
    </w:p>
    <w:p w14:paraId="5F6B5C2E" w14:textId="77777777" w:rsidR="008A6D4D" w:rsidRPr="00871248" w:rsidRDefault="008A6D4D" w:rsidP="001E7C62">
      <w:pPr>
        <w:jc w:val="left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14:paraId="34BC34F7" w14:textId="77777777" w:rsidR="00351B3D" w:rsidRPr="00871248" w:rsidRDefault="0053009E" w:rsidP="00C303BF">
      <w:pPr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 w:type="page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Supplementary </w:t>
      </w:r>
      <w:r>
        <w:rPr>
          <w:rFonts w:asciiTheme="majorBidi" w:hAnsiTheme="majorBidi" w:cstheme="majorBidi"/>
          <w:b/>
          <w:bCs/>
          <w:sz w:val="24"/>
          <w:szCs w:val="24"/>
        </w:rPr>
        <w:t>Table 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Multivariable Logistic Regression Model Summary. Examination of ΔCRP and the potential confounding variables as predictors of antibiotic appropriateness (Appropriate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Vs. Inappropriate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groups).</w:t>
      </w:r>
    </w:p>
    <w:tbl>
      <w:tblPr>
        <w:tblW w:w="6894" w:type="dxa"/>
        <w:tblLayout w:type="fixed"/>
        <w:tblLook w:val="0400" w:firstRow="0" w:lastRow="0" w:firstColumn="0" w:lastColumn="0" w:noHBand="0" w:noVBand="1"/>
      </w:tblPr>
      <w:tblGrid>
        <w:gridCol w:w="2552"/>
        <w:gridCol w:w="1596"/>
        <w:gridCol w:w="1559"/>
        <w:gridCol w:w="1187"/>
      </w:tblGrid>
      <w:tr w:rsidR="00351B3D" w:rsidRPr="00871248" w14:paraId="672B3988" w14:textId="77777777" w:rsidTr="00DA49D1">
        <w:trPr>
          <w:trHeight w:val="31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348C2EB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96A8D63" w14:textId="77777777" w:rsidR="00351B3D" w:rsidRPr="00871248" w:rsidRDefault="00DA49D1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7BEC48A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 95%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C86B71A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p-value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351B3D" w:rsidRPr="00871248" w14:paraId="73F5D0C4" w14:textId="77777777" w:rsidTr="00DA49D1">
        <w:trPr>
          <w:trHeight w:val="31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B157D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ΔCRP (mg/L)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 d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41248" w14:textId="77777777" w:rsidR="00351B3D" w:rsidRPr="00871248" w:rsidRDefault="00EF4338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44FF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(1.55, 4.49)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9E7FE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351B3D" w:rsidRPr="00871248" w14:paraId="10042419" w14:textId="77777777" w:rsidTr="00DA49D1">
        <w:trPr>
          <w:trHeight w:val="31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6D2B5" w14:textId="77777777" w:rsidR="00351B3D" w:rsidRPr="00871248" w:rsidRDefault="008E62E1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Sex (female)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E4BFB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E167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(0.66, 3.72)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52B20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</w:tr>
      <w:tr w:rsidR="00351B3D" w:rsidRPr="00871248" w14:paraId="66E7D3AA" w14:textId="77777777" w:rsidTr="00DA49D1">
        <w:trPr>
          <w:trHeight w:val="31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992C6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Age (years/10)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788A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3254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(0.91, 1.68)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0A572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</w:tr>
      <w:tr w:rsidR="00351B3D" w:rsidRPr="00871248" w14:paraId="54C864E6" w14:textId="77777777" w:rsidTr="00DA49D1">
        <w:trPr>
          <w:trHeight w:val="31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0503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Gram type (positive)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D1F48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C2CE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(0.43, 2.75)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34C6" w14:textId="77777777" w:rsidR="00351B3D" w:rsidRPr="00871248" w:rsidRDefault="00351B3D" w:rsidP="0051581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</w:tr>
    </w:tbl>
    <w:p w14:paraId="26D3A4A5" w14:textId="0C15435E" w:rsidR="00F05801" w:rsidRPr="00871248" w:rsidRDefault="00DA49D1" w:rsidP="005802A7">
      <w:pPr>
        <w:spacing w:line="360" w:lineRule="auto"/>
        <w:jc w:val="left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Abbreviations: </w:t>
      </w:r>
      <w:r>
        <w:rPr>
          <w:rFonts w:asciiTheme="majorBidi" w:hAnsiTheme="majorBidi" w:cstheme="majorBidi"/>
          <w:i/>
          <w:iCs/>
          <w:sz w:val="20"/>
          <w:szCs w:val="20"/>
        </w:rPr>
        <w:t>ΔCRP</w:t>
      </w:r>
      <w:r>
        <w:rPr>
          <w:rFonts w:asciiTheme="majorBidi" w:hAnsiTheme="majorBidi" w:cstheme="majorBidi"/>
          <w:sz w:val="20"/>
          <w:szCs w:val="20"/>
        </w:rPr>
        <w:t>- the difference between the first and second and C- reactive protein consecutive measurements from admission; OR- odds ratio; CI-confidence interval of the odds ratio.</w:t>
      </w:r>
      <w:r>
        <w:rPr>
          <w:rFonts w:asciiTheme="majorBidi" w:hAnsiTheme="majorBidi" w:cstheme="majorBidi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Theme="majorBidi" w:hAnsiTheme="majorBidi" w:cstheme="majorBidi"/>
          <w:sz w:val="20"/>
          <w:szCs w:val="20"/>
        </w:rPr>
        <w:t xml:space="preserve"> The </w:t>
      </w:r>
      <w:r>
        <w:rPr>
          <w:rFonts w:asciiTheme="majorBidi" w:hAnsiTheme="majorBidi" w:cstheme="majorBidi"/>
          <w:i/>
          <w:iCs/>
          <w:sz w:val="20"/>
          <w:szCs w:val="20"/>
        </w:rPr>
        <w:t>Appropriate</w:t>
      </w:r>
      <w:r>
        <w:rPr>
          <w:rFonts w:asciiTheme="majorBidi" w:hAnsiTheme="majorBidi" w:cstheme="majorBidi"/>
          <w:sz w:val="20"/>
          <w:szCs w:val="20"/>
        </w:rPr>
        <w:t xml:space="preserve"> group comprises patients who received an antibiotic regimen with in vitro activity against the isolated pathogen between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br/>
        <w:t>b</w:t>
      </w:r>
      <w:r>
        <w:rPr>
          <w:rFonts w:asciiTheme="majorBidi" w:hAnsiTheme="majorBidi" w:cstheme="majorBidi"/>
          <w:sz w:val="20"/>
          <w:szCs w:val="20"/>
        </w:rPr>
        <w:t xml:space="preserve"> The </w:t>
      </w:r>
      <w:r>
        <w:rPr>
          <w:rFonts w:asciiTheme="majorBidi" w:hAnsiTheme="majorBidi" w:cstheme="majorBidi"/>
          <w:i/>
          <w:iCs/>
          <w:sz w:val="20"/>
          <w:szCs w:val="20"/>
        </w:rPr>
        <w:t>Inappropriate</w:t>
      </w:r>
      <w:r>
        <w:rPr>
          <w:rFonts w:asciiTheme="majorBidi" w:hAnsiTheme="majorBidi" w:cstheme="majorBidi"/>
          <w:sz w:val="20"/>
          <w:szCs w:val="20"/>
        </w:rPr>
        <w:t xml:space="preserve"> group comprises patients who received either an antibiotic regimen without in vitro activity against the isolated pathogen or no antibiotic therapy between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br/>
        <w:t>c</w:t>
      </w:r>
      <w:r>
        <w:rPr>
          <w:rFonts w:asciiTheme="majorBidi" w:hAnsiTheme="majorBidi" w:cstheme="majorBidi"/>
          <w:sz w:val="20"/>
          <w:szCs w:val="20"/>
        </w:rPr>
        <w:t xml:space="preserve"> P-values were derived from the Wald tests and were considered significant under 5%.</w:t>
      </w:r>
      <w:r>
        <w:rPr>
          <w:rFonts w:asciiTheme="majorBidi" w:hAnsiTheme="majorBidi" w:cstheme="majorBidi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d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ΔCRP (mg/L)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Theme="majorBidi" w:eastAsia="Times New Roman" w:hAnsiTheme="majorBidi"/>
          <w:noProof/>
          <w:color w:val="222222"/>
          <w:sz w:val="20"/>
          <w:szCs w:val="20"/>
        </w:rPr>
        <w:t xml:space="preserve">was standardized by subtracting the mean value of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ΔCRP</w:t>
      </w:r>
      <w:r>
        <w:rPr>
          <w:rFonts w:asciiTheme="majorBidi" w:eastAsia="Times New Roman" w:hAnsiTheme="majorBidi"/>
          <w:noProof/>
          <w:color w:val="222222"/>
          <w:sz w:val="20"/>
          <w:szCs w:val="20"/>
        </w:rPr>
        <w:t xml:space="preserve"> from its respective raw values and then dividing it by the standard deviation of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ΔCRP</w:t>
      </w:r>
      <w:r>
        <w:rPr>
          <w:rFonts w:asciiTheme="majorBidi" w:eastAsia="Times New Roman" w:hAnsiTheme="majorBidi"/>
          <w:noProof/>
          <w:color w:val="222222"/>
          <w:sz w:val="20"/>
          <w:szCs w:val="20"/>
        </w:rPr>
        <w:t xml:space="preserve">. </w:t>
      </w:r>
    </w:p>
    <w:p w14:paraId="206026A9" w14:textId="77777777" w:rsidR="00DA49D1" w:rsidRPr="00871248" w:rsidRDefault="00DA49D1" w:rsidP="001E7C62">
      <w:pPr>
        <w:jc w:val="left"/>
        <w:rPr>
          <w:rFonts w:asciiTheme="majorBidi" w:hAnsiTheme="majorBidi" w:cstheme="majorBidi"/>
          <w:sz w:val="24"/>
          <w:szCs w:val="24"/>
        </w:rPr>
      </w:pPr>
    </w:p>
    <w:p w14:paraId="23B7D745" w14:textId="77777777" w:rsidR="0053009E" w:rsidRPr="00871248" w:rsidRDefault="0053009E" w:rsidP="00F05801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14:paraId="5ECA3C8B" w14:textId="27FCBA27" w:rsidR="00BE1891" w:rsidRPr="00871248" w:rsidRDefault="00857750" w:rsidP="006279C7">
      <w:pPr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Supplementary </w:t>
      </w:r>
      <w:r>
        <w:rPr>
          <w:rFonts w:asciiTheme="majorBidi" w:hAnsiTheme="majorBidi" w:cstheme="majorBidi"/>
          <w:b/>
          <w:bCs/>
          <w:sz w:val="24"/>
          <w:szCs w:val="24"/>
        </w:rPr>
        <w:t>Table 8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Sensitivity Analysis- Multivariable Logistic Regression Models for CRPv, CRP2, and ΔCRP as Predictors of Antibiotic Appropriateness (Appropriate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Vs. Inappropriate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groups), with and without Δt_CRP1_CRP2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as a Covariate.</w:t>
      </w:r>
    </w:p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1271"/>
        <w:gridCol w:w="1559"/>
        <w:gridCol w:w="993"/>
        <w:gridCol w:w="1417"/>
        <w:gridCol w:w="1134"/>
        <w:gridCol w:w="1559"/>
        <w:gridCol w:w="1560"/>
      </w:tblGrid>
      <w:tr w:rsidR="1A00BB00" w:rsidRPr="00871248" w14:paraId="3B351425" w14:textId="77777777" w:rsidTr="003B5C97">
        <w:trPr>
          <w:trHeight w:val="31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F818F78" w14:textId="77777777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869A271" w14:textId="59739BA0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Original OR (95% CI)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789BD91" w14:textId="77777777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Original p-value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A3A2889" w14:textId="19D5B673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Sensitivity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 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OR (95% CI)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431E6D6" w14:textId="26E7A9E3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Sensitivity p-value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9717C20" w14:textId="77777777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Δt_CRP1_CRP2 OR (95% CI)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1B3D668" w14:textId="24628626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Δt_CRP1_CRP2 p-value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1A00BB03" w:rsidRPr="00871248" w14:paraId="167D5184" w14:textId="77777777" w:rsidTr="003B5C97">
        <w:trPr>
          <w:trHeight w:val="31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8208" w14:textId="77777777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CRP2 (mg/L)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3C42" w14:textId="77777777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2.63 (1.57, 4.42)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F7CAA" w14:textId="77777777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E6F4C" w14:textId="77777777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3.04 (1.65, 5.60)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7733" w14:textId="77777777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9A908" w14:textId="77777777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 (0.47, 1.33)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7904" w14:textId="77777777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0.377</w:t>
            </w:r>
          </w:p>
        </w:tc>
      </w:tr>
      <w:tr w:rsidR="1A00BB04" w:rsidRPr="00871248" w14:paraId="4BAAC10D" w14:textId="77777777" w:rsidTr="003B5C97">
        <w:trPr>
          <w:trHeight w:val="31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CFE3B" w14:textId="77777777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ΔCRP (mg/L)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20FFF" w14:textId="77777777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2.64 (1.55, 4.49)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C9F6C" w14:textId="77777777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CE0C1" w14:textId="77777777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3.04 (1.62, 5.70)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22E1" w14:textId="77777777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F89E" w14:textId="77777777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 (0.48, 1.34)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B87EF" w14:textId="77777777" w:rsidR="00104AFE" w:rsidRPr="00871248" w:rsidRDefault="008577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0.392</w:t>
            </w:r>
          </w:p>
        </w:tc>
      </w:tr>
      <w:tr w:rsidR="005B05D9" w:rsidRPr="00871248" w14:paraId="4BC245A5" w14:textId="77777777" w:rsidTr="003B5C97">
        <w:trPr>
          <w:trHeight w:val="31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F7CF" w14:textId="40CF727B" w:rsidR="005B05D9" w:rsidRPr="00871248" w:rsidRDefault="005B05D9" w:rsidP="005B05D9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CRPv (mg/L/hour)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67C11" w14:textId="7167A675" w:rsidR="005B05D9" w:rsidRPr="00871248" w:rsidRDefault="005B05D9" w:rsidP="005B05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2.58 (1.59, 4.20)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27708" w14:textId="3069C52D" w:rsidR="005B05D9" w:rsidRPr="00871248" w:rsidRDefault="005B05D9" w:rsidP="005B05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D6C76" w14:textId="64BE0DC3" w:rsidR="005B05D9" w:rsidRPr="00871248" w:rsidRDefault="005B05D9" w:rsidP="005B05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2.48 (1.52, 4.06)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6BCC3" w14:textId="6A22D771" w:rsidR="005B05D9" w:rsidRPr="00871248" w:rsidRDefault="005B05D9" w:rsidP="005B05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7323" w14:textId="55AFEF94" w:rsidR="005B05D9" w:rsidRPr="00871248" w:rsidRDefault="005B05D9" w:rsidP="005B05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 (0.77, 1.85)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1C793" w14:textId="5986DF53" w:rsidR="005B05D9" w:rsidRPr="00871248" w:rsidRDefault="005B05D9" w:rsidP="005B05D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0.420</w:t>
            </w:r>
          </w:p>
        </w:tc>
      </w:tr>
    </w:tbl>
    <w:p w14:paraId="70BCF8D8" w14:textId="0BFD1930" w:rsidR="00BE1891" w:rsidRPr="00871248" w:rsidRDefault="00857750" w:rsidP="005802A7">
      <w:pPr>
        <w:spacing w:after="0" w:line="360" w:lineRule="auto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Abbreviations: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CRP1 &amp; CRP2- </w:t>
      </w:r>
      <w:r>
        <w:rPr>
          <w:rFonts w:ascii="Times New Roman" w:eastAsia="Times New Roman" w:hAnsi="Times New Roman" w:cs="Times New Roman"/>
          <w:sz w:val="20"/>
          <w:szCs w:val="20"/>
        </w:rPr>
        <w:t>the first and second C- reactive protein (CRP) consecutive measurements from admission;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ΔCRP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- the difference between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CRP1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CRP2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Δt_CRP1_CRP2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- the time difference (hours) between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CRP1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CRP2;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CRPv</w:t>
      </w:r>
      <w:r>
        <w:rPr>
          <w:rFonts w:ascii="Times New Roman" w:eastAsia="Times New Roman" w:hAnsi="Times New Roman" w:cs="Times New Roman"/>
          <w:sz w:val="20"/>
          <w:szCs w:val="20"/>
        </w:rPr>
        <w:t>- CRP velocity (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ΔCRP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divided by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Δt_CRP1_CRP2</w:t>
      </w:r>
      <w:r>
        <w:rPr>
          <w:rFonts w:ascii="Times New Roman" w:eastAsia="Times New Roman" w:hAnsi="Times New Roman" w:cs="Times New Roman"/>
          <w:sz w:val="20"/>
          <w:szCs w:val="20"/>
        </w:rPr>
        <w:t>); OR- odds ratio; CI- confidence interval.</w:t>
      </w:r>
    </w:p>
    <w:p w14:paraId="1CA3709B" w14:textId="26C633F5" w:rsidR="00BE1891" w:rsidRPr="00871248" w:rsidRDefault="00857750" w:rsidP="005802A7">
      <w:pPr>
        <w:spacing w:after="0" w:line="360" w:lineRule="auto"/>
        <w:jc w:val="left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  <w:vertAlign w:val="superscript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The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Appropriate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group comprises patients who received an antibiotic regimen with in vitro activity against the isolated pathogen between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CRP1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CRP2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(n=82).</w:t>
      </w:r>
    </w:p>
    <w:p w14:paraId="4523A0C8" w14:textId="1CC40A6F" w:rsidR="00BE1891" w:rsidRPr="00871248" w:rsidRDefault="00857750" w:rsidP="005802A7">
      <w:pPr>
        <w:spacing w:after="0" w:line="360" w:lineRule="auto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The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Inappropriate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group comprises patients who received either an antibiotic regimen without in vitro activity against the isolated pathogen or no antibiotic therapy between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CRP1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CRP2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(n=40).</w:t>
      </w:r>
    </w:p>
    <w:p w14:paraId="7FBBE0A3" w14:textId="531AD84A" w:rsidR="00BE1891" w:rsidRPr="00871248" w:rsidRDefault="00857750" w:rsidP="005802A7">
      <w:pPr>
        <w:spacing w:line="360" w:lineRule="auto"/>
        <w:jc w:val="left"/>
        <w:rPr>
          <w:rFonts w:asciiTheme="majorBidi" w:hAnsiTheme="majorBidi" w:cstheme="majorBidi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The sensitivity model includes the original covariates (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age, sex, gram type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) with the addition of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Δt_CRP1_CRP2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as a covariate. All the predictors 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CRP2,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ΔCRP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CRPv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) </w:t>
      </w:r>
      <w:r>
        <w:rPr>
          <w:rFonts w:asciiTheme="majorBidi" w:eastAsia="Times New Roman" w:hAnsiTheme="majorBidi"/>
          <w:noProof/>
          <w:color w:val="222222"/>
          <w:sz w:val="20"/>
          <w:szCs w:val="20"/>
        </w:rPr>
        <w:t xml:space="preserve">were standardized by subtracting the mean value of the predictor from its respective raw values and then dividing it by its standard deviation. </w:t>
      </w:r>
      <w:r>
        <w:rPr>
          <w:rFonts w:asciiTheme="majorBidi" w:hAnsiTheme="majorBidi" w:cstheme="majorBidi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  <w:vertAlign w:val="superscript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P-values were derived from Wald tests and were considered significant </w:t>
      </w:r>
      <w:r>
        <w:rPr>
          <w:rFonts w:asciiTheme="majorBidi" w:hAnsiTheme="majorBidi" w:cstheme="majorBidi"/>
          <w:sz w:val="20"/>
          <w:szCs w:val="20"/>
        </w:rPr>
        <w:t xml:space="preserve">under </w:t>
      </w:r>
      <w:r>
        <w:rPr>
          <w:rFonts w:ascii="Times New Roman" w:eastAsia="Times New Roman" w:hAnsi="Times New Roman" w:cs="Times New Roman"/>
          <w:sz w:val="20"/>
          <w:szCs w:val="20"/>
        </w:rPr>
        <w:t>5%.</w:t>
      </w:r>
    </w:p>
    <w:p w14:paraId="4EE76C60" w14:textId="77777777" w:rsidR="003B5C97" w:rsidRPr="00871248" w:rsidRDefault="003B5C9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23F90CB" w14:textId="114E5E87" w:rsidR="00351B3D" w:rsidRPr="00871248" w:rsidRDefault="00351B3D" w:rsidP="006279C7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Supplementary </w:t>
      </w:r>
      <w:r>
        <w:rPr>
          <w:rFonts w:asciiTheme="majorBidi" w:hAnsiTheme="majorBidi" w:cstheme="majorBidi"/>
          <w:b/>
          <w:bCs/>
          <w:sz w:val="24"/>
          <w:szCs w:val="24"/>
        </w:rPr>
        <w:t>Table 9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Performance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of CRP2,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ΔCRP, and CRPv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 classifying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the Appropriate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c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and Discordant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groups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at different</w:t>
      </w:r>
      <w:r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Δt _Ab_CRP2.</w:t>
      </w:r>
    </w:p>
    <w:tbl>
      <w:tblPr>
        <w:tblpPr w:leftFromText="180" w:rightFromText="180" w:vertAnchor="text" w:horzAnchor="margin" w:tblpY="66"/>
        <w:tblW w:w="8075" w:type="dxa"/>
        <w:tblLayout w:type="fixed"/>
        <w:tblLook w:val="0400" w:firstRow="0" w:lastRow="0" w:firstColumn="0" w:lastColumn="0" w:noHBand="0" w:noVBand="1"/>
      </w:tblPr>
      <w:tblGrid>
        <w:gridCol w:w="1980"/>
        <w:gridCol w:w="1417"/>
        <w:gridCol w:w="1418"/>
        <w:gridCol w:w="992"/>
        <w:gridCol w:w="992"/>
        <w:gridCol w:w="1276"/>
      </w:tblGrid>
      <w:tr w:rsidR="0099407E" w:rsidRPr="00871248" w14:paraId="52F3554A" w14:textId="77777777" w:rsidTr="003B5C97">
        <w:trPr>
          <w:trHeight w:val="43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7BA28339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Δt _Ab_CRP2 (hours)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24912CDA" w14:textId="6DB7DFB8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1" w:name="_Hlk11821683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Discordant</w:t>
            </w:r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Group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70726682" w14:textId="420E80B1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Appropriate Group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(n)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6FD375B8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CRP2 (mg/L)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1E5814A6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ΔCRP (mg/L)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41CE113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CRPv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(mg/L /hour)</w:t>
            </w:r>
          </w:p>
        </w:tc>
      </w:tr>
      <w:tr w:rsidR="0099407E" w:rsidRPr="00871248" w14:paraId="13C68824" w14:textId="77777777" w:rsidTr="003B5C97">
        <w:trPr>
          <w:trHeight w:val="15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BEB59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08BA6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A42BD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F018F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BADEE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C5B47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</w:tr>
      <w:tr w:rsidR="0099407E" w:rsidRPr="00871248" w14:paraId="69F32D4E" w14:textId="77777777" w:rsidTr="003B5C97">
        <w:trPr>
          <w:trHeight w:val="5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617C48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9C0A1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FBE9A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FD2D1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77098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75ACD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</w:tr>
      <w:tr w:rsidR="0099407E" w:rsidRPr="00871248" w14:paraId="112D1894" w14:textId="77777777" w:rsidTr="003B5C97">
        <w:trPr>
          <w:trHeight w:val="10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E0A70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34340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7E2EB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8FDBB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AB6CB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344A4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</w:tr>
      <w:tr w:rsidR="0099407E" w:rsidRPr="00871248" w14:paraId="5D80A525" w14:textId="77777777" w:rsidTr="003B5C97">
        <w:trPr>
          <w:trHeight w:val="15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4A6CF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FF9C9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E82C3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B5E83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5A22D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B8956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</w:tr>
      <w:tr w:rsidR="0099407E" w:rsidRPr="00871248" w14:paraId="4DC77424" w14:textId="77777777" w:rsidTr="003B5C97">
        <w:trPr>
          <w:trHeight w:val="5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C74C7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8C532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1CCE8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EAD89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41EA9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91496" w14:textId="77777777" w:rsidR="0099407E" w:rsidRPr="00871248" w:rsidRDefault="0099407E" w:rsidP="009940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</w:tr>
    </w:tbl>
    <w:p w14:paraId="04931F6D" w14:textId="722B13D3" w:rsidR="00E17FDF" w:rsidRPr="003B5C97" w:rsidRDefault="008A0AF7" w:rsidP="005802A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Theme="majorBidi" w:hAnsi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Abbreviations: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 xml:space="preserve">- the second C- reactive protein (CRP) consecutive measurement from admission; </w:t>
      </w:r>
      <w:r>
        <w:rPr>
          <w:rFonts w:asciiTheme="majorBidi" w:hAnsiTheme="majorBidi" w:cstheme="majorBidi"/>
          <w:i/>
          <w:iCs/>
          <w:sz w:val="20"/>
          <w:szCs w:val="20"/>
        </w:rPr>
        <w:t>ΔCRP</w:t>
      </w:r>
      <w:r>
        <w:rPr>
          <w:rFonts w:asciiTheme="majorBidi" w:hAnsiTheme="majorBidi" w:cstheme="majorBidi"/>
          <w:sz w:val="20"/>
          <w:szCs w:val="20"/>
        </w:rPr>
        <w:t xml:space="preserve">- the difference between the first and the second consecutive CRP measurements from admission; </w:t>
      </w:r>
      <w:r>
        <w:rPr>
          <w:rFonts w:asciiTheme="majorBidi" w:hAnsiTheme="majorBidi" w:cstheme="majorBidi"/>
          <w:i/>
          <w:iCs/>
          <w:sz w:val="20"/>
          <w:szCs w:val="20"/>
        </w:rPr>
        <w:t>CRPv</w:t>
      </w:r>
      <w:r>
        <w:rPr>
          <w:rFonts w:asciiTheme="majorBidi" w:hAnsiTheme="majorBidi" w:cstheme="majorBidi"/>
          <w:sz w:val="20"/>
          <w:szCs w:val="20"/>
        </w:rPr>
        <w:t xml:space="preserve">- </w:t>
      </w:r>
      <w:r>
        <w:rPr>
          <w:rFonts w:asciiTheme="majorBidi" w:hAnsiTheme="majorBidi"/>
          <w:i/>
          <w:iCs/>
          <w:sz w:val="20"/>
          <w:szCs w:val="20"/>
        </w:rPr>
        <w:t>ΔCRP</w:t>
      </w:r>
      <w:r>
        <w:rPr>
          <w:rFonts w:asciiTheme="majorBidi" w:hAnsiTheme="majorBidi"/>
          <w:sz w:val="20"/>
          <w:szCs w:val="20"/>
        </w:rPr>
        <w:t xml:space="preserve"> divided by the time difference between the measurements</w:t>
      </w:r>
      <w:r>
        <w:rPr>
          <w:rFonts w:asciiTheme="majorBidi" w:hAnsiTheme="majorBidi" w:cstheme="majorBidi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Δt _Ab_CRP2-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 xml:space="preserve">the time difference between antibiotic administration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>.</w:t>
      </w:r>
      <w:r>
        <w:rPr>
          <w:rFonts w:asciiTheme="majorBidi" w:hAnsiTheme="majorBidi"/>
          <w:sz w:val="20"/>
          <w:szCs w:val="20"/>
        </w:rPr>
        <w:t xml:space="preserve"> </w:t>
      </w:r>
      <w:r>
        <w:rPr>
          <w:rFonts w:asciiTheme="majorBidi" w:hAnsiTheme="majorBidi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Theme="majorBidi" w:hAnsiTheme="majorBidi"/>
          <w:sz w:val="20"/>
          <w:szCs w:val="20"/>
        </w:rPr>
        <w:t xml:space="preserve"> The area under the receiver operating characteristic curve (ROC-AUC) of the second </w:t>
      </w:r>
      <w:r>
        <w:rPr>
          <w:rFonts w:asciiTheme="majorBidi" w:hAnsiTheme="majorBidi" w:cstheme="majorBidi"/>
          <w:sz w:val="20"/>
          <w:szCs w:val="20"/>
        </w:rPr>
        <w:t xml:space="preserve">C- Reactive Protein (CRP) measurements from admission </w:t>
      </w:r>
      <w:r>
        <w:rPr>
          <w:rFonts w:asciiTheme="majorBidi" w:hAnsiTheme="majorBidi"/>
          <w:sz w:val="20"/>
          <w:szCs w:val="20"/>
        </w:rPr>
        <w:t xml:space="preserve">(CRP2 mg/L), </w:t>
      </w:r>
      <w:r>
        <w:rPr>
          <w:rFonts w:asciiTheme="majorBidi" w:hAnsiTheme="majorBidi" w:cstheme="majorBidi"/>
          <w:sz w:val="20"/>
          <w:szCs w:val="20"/>
        </w:rPr>
        <w:t>the difference between the first CRP measurement from admission (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)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 xml:space="preserve"> (</w:t>
      </w:r>
      <w:r>
        <w:rPr>
          <w:rFonts w:asciiTheme="majorBidi" w:hAnsiTheme="majorBidi" w:cstheme="majorBidi"/>
          <w:i/>
          <w:iCs/>
          <w:sz w:val="20"/>
          <w:szCs w:val="20"/>
        </w:rPr>
        <w:t>ΔCRP</w:t>
      </w:r>
      <w:r>
        <w:rPr>
          <w:rFonts w:asciiTheme="majorBidi" w:hAnsiTheme="majorBidi" w:cstheme="majorBidi"/>
          <w:sz w:val="20"/>
          <w:szCs w:val="20"/>
        </w:rPr>
        <w:t xml:space="preserve"> mg/L)</w:t>
      </w:r>
      <w:r>
        <w:rPr>
          <w:rFonts w:asciiTheme="majorBidi" w:hAnsiTheme="majorBidi"/>
          <w:sz w:val="20"/>
          <w:szCs w:val="20"/>
        </w:rPr>
        <w:t xml:space="preserve">; and </w:t>
      </w:r>
      <w:r>
        <w:rPr>
          <w:rFonts w:asciiTheme="majorBidi" w:hAnsiTheme="majorBidi"/>
          <w:i/>
          <w:iCs/>
          <w:sz w:val="20"/>
          <w:szCs w:val="20"/>
        </w:rPr>
        <w:t>ΔCRP</w:t>
      </w:r>
      <w:r>
        <w:rPr>
          <w:rFonts w:asciiTheme="majorBidi" w:hAnsiTheme="majorBidi"/>
          <w:sz w:val="20"/>
          <w:szCs w:val="20"/>
        </w:rPr>
        <w:t xml:space="preserve"> divided by the time difference between the measurements (CRPv mg/L/hour)</w:t>
      </w:r>
      <w:r>
        <w:rPr>
          <w:rFonts w:asciiTheme="majorBidi" w:hAnsiTheme="majorBidi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b</w:t>
      </w:r>
      <w:r>
        <w:rPr>
          <w:rFonts w:asciiTheme="majorBidi" w:hAnsiTheme="majorBidi" w:cstheme="majorBidi"/>
          <w:sz w:val="20"/>
          <w:szCs w:val="20"/>
        </w:rPr>
        <w:t xml:space="preserve"> The </w:t>
      </w:r>
      <w:r>
        <w:rPr>
          <w:rFonts w:asciiTheme="majorBidi" w:hAnsiTheme="majorBidi" w:cstheme="majorBidi"/>
          <w:i/>
          <w:iCs/>
          <w:sz w:val="20"/>
          <w:szCs w:val="20"/>
        </w:rPr>
        <w:t>Discordant</w:t>
      </w:r>
      <w:r>
        <w:rPr>
          <w:rFonts w:asciiTheme="majorBidi" w:hAnsiTheme="majorBidi" w:cstheme="majorBidi"/>
          <w:sz w:val="20"/>
          <w:szCs w:val="20"/>
        </w:rPr>
        <w:t xml:space="preserve"> group comprises patients who received an antibiotic regimen without in vitro activity against the isolated pathogen between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r>
        <w:rPr>
          <w:rFonts w:asciiTheme="majorBidi" w:hAnsiTheme="majorBidi" w:cstheme="majorBidi"/>
          <w:sz w:val="20"/>
          <w:szCs w:val="20"/>
        </w:rPr>
        <w:t>.</w:t>
      </w:r>
      <w:r>
        <w:rPr>
          <w:rFonts w:asciiTheme="majorBidi" w:hAnsiTheme="majorBidi" w:cstheme="majorBidi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c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>The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Appropriate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bookmarkStart w:id="2" w:name="_Hlk161485526"/>
      <w:r>
        <w:rPr>
          <w:rFonts w:asciiTheme="majorBidi" w:hAnsiTheme="majorBidi" w:cstheme="majorBidi"/>
          <w:sz w:val="20"/>
          <w:szCs w:val="20"/>
        </w:rPr>
        <w:t xml:space="preserve">group comprises patients who received an antibiotic regimen with in vitro activity against the isolated pathogen between </w:t>
      </w:r>
      <w:r>
        <w:rPr>
          <w:rFonts w:asciiTheme="majorBidi" w:hAnsiTheme="majorBidi" w:cstheme="majorBidi"/>
          <w:i/>
          <w:iCs/>
          <w:sz w:val="20"/>
          <w:szCs w:val="20"/>
        </w:rPr>
        <w:t>CRP1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>
        <w:rPr>
          <w:rFonts w:asciiTheme="majorBidi" w:hAnsiTheme="majorBidi" w:cstheme="majorBidi"/>
          <w:i/>
          <w:iCs/>
          <w:sz w:val="20"/>
          <w:szCs w:val="20"/>
        </w:rPr>
        <w:t>CRP2</w:t>
      </w:r>
      <w:bookmarkEnd w:id="2"/>
      <w:r>
        <w:rPr>
          <w:rFonts w:asciiTheme="majorBidi" w:hAnsiTheme="majorBidi" w:cstheme="majorBidi"/>
          <w:sz w:val="20"/>
          <w:szCs w:val="20"/>
        </w:rPr>
        <w:t>.</w:t>
      </w:r>
    </w:p>
    <w:sectPr w:rsidR="00E17FDF" w:rsidRPr="003B5C97" w:rsidSect="006144AC">
      <w:footerReference w:type="default" r:id="rId11"/>
      <w:pgSz w:w="12240" w:h="15840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00D92" w14:textId="77777777" w:rsidR="00C55AB0" w:rsidRDefault="00C55AB0">
      <w:pPr>
        <w:spacing w:after="0" w:line="240" w:lineRule="auto"/>
      </w:pPr>
      <w:r>
        <w:separator/>
      </w:r>
    </w:p>
  </w:endnote>
  <w:endnote w:type="continuationSeparator" w:id="0">
    <w:p w14:paraId="05E8E8AC" w14:textId="77777777" w:rsidR="00C55AB0" w:rsidRDefault="00C55AB0">
      <w:pPr>
        <w:spacing w:after="0" w:line="240" w:lineRule="auto"/>
      </w:pPr>
      <w:r>
        <w:continuationSeparator/>
      </w:r>
    </w:p>
  </w:endnote>
  <w:endnote w:type="continuationNotice" w:id="1">
    <w:p w14:paraId="5BA6FECA" w14:textId="77777777" w:rsidR="00C55AB0" w:rsidRDefault="00C55A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1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8E19D" w14:textId="77777777" w:rsidR="00F609AB" w:rsidRDefault="00F609A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9C2A5" w14:textId="77777777" w:rsidR="00C55AB0" w:rsidRDefault="00C55AB0">
      <w:pPr>
        <w:spacing w:after="0" w:line="240" w:lineRule="auto"/>
      </w:pPr>
      <w:r>
        <w:separator/>
      </w:r>
    </w:p>
  </w:footnote>
  <w:footnote w:type="continuationSeparator" w:id="0">
    <w:p w14:paraId="73227909" w14:textId="77777777" w:rsidR="00C55AB0" w:rsidRDefault="00C55AB0">
      <w:pPr>
        <w:spacing w:after="0" w:line="240" w:lineRule="auto"/>
      </w:pPr>
      <w:r>
        <w:continuationSeparator/>
      </w:r>
    </w:p>
  </w:footnote>
  <w:footnote w:type="continuationNotice" w:id="1">
    <w:p w14:paraId="302532D0" w14:textId="77777777" w:rsidR="00C55AB0" w:rsidRDefault="00C55AB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21B1A"/>
    <w:multiLevelType w:val="hybridMultilevel"/>
    <w:tmpl w:val="E5CA2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6194C"/>
    <w:multiLevelType w:val="hybridMultilevel"/>
    <w:tmpl w:val="ADCE65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929126">
    <w:abstractNumId w:val="0"/>
  </w:num>
  <w:num w:numId="2" w16cid:durableId="530339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M0NbQ0NDQ2M7Awt7RQ0lEKTi0uzszPAykwNa0FAB5rnzstAAAA"/>
  </w:docVars>
  <w:rsids>
    <w:rsidRoot w:val="00F841AF"/>
    <w:rsid w:val="0000116B"/>
    <w:rsid w:val="00002573"/>
    <w:rsid w:val="0000311E"/>
    <w:rsid w:val="000032AC"/>
    <w:rsid w:val="00003801"/>
    <w:rsid w:val="000045B8"/>
    <w:rsid w:val="00005F3A"/>
    <w:rsid w:val="00010E54"/>
    <w:rsid w:val="00010EC9"/>
    <w:rsid w:val="00011405"/>
    <w:rsid w:val="00011B77"/>
    <w:rsid w:val="00013A01"/>
    <w:rsid w:val="00014224"/>
    <w:rsid w:val="00014461"/>
    <w:rsid w:val="000147AC"/>
    <w:rsid w:val="00014E3A"/>
    <w:rsid w:val="00016251"/>
    <w:rsid w:val="000174AD"/>
    <w:rsid w:val="00017DA9"/>
    <w:rsid w:val="00020969"/>
    <w:rsid w:val="00022462"/>
    <w:rsid w:val="00023A33"/>
    <w:rsid w:val="0002406D"/>
    <w:rsid w:val="00024604"/>
    <w:rsid w:val="00027358"/>
    <w:rsid w:val="00030709"/>
    <w:rsid w:val="00031300"/>
    <w:rsid w:val="0003131F"/>
    <w:rsid w:val="00031625"/>
    <w:rsid w:val="00031769"/>
    <w:rsid w:val="00031C5C"/>
    <w:rsid w:val="00033500"/>
    <w:rsid w:val="0003406E"/>
    <w:rsid w:val="00034380"/>
    <w:rsid w:val="0003468A"/>
    <w:rsid w:val="0003480E"/>
    <w:rsid w:val="000355D5"/>
    <w:rsid w:val="00036F50"/>
    <w:rsid w:val="000400A2"/>
    <w:rsid w:val="00040FE6"/>
    <w:rsid w:val="000416EE"/>
    <w:rsid w:val="00042030"/>
    <w:rsid w:val="00043004"/>
    <w:rsid w:val="0004424C"/>
    <w:rsid w:val="00046F8B"/>
    <w:rsid w:val="00047082"/>
    <w:rsid w:val="00050516"/>
    <w:rsid w:val="00050F33"/>
    <w:rsid w:val="00053323"/>
    <w:rsid w:val="00053EB1"/>
    <w:rsid w:val="0005493C"/>
    <w:rsid w:val="000555FD"/>
    <w:rsid w:val="0005653E"/>
    <w:rsid w:val="00060338"/>
    <w:rsid w:val="000626F2"/>
    <w:rsid w:val="000658F7"/>
    <w:rsid w:val="000679EB"/>
    <w:rsid w:val="0007153C"/>
    <w:rsid w:val="000737DC"/>
    <w:rsid w:val="000745FF"/>
    <w:rsid w:val="000749B7"/>
    <w:rsid w:val="000749DD"/>
    <w:rsid w:val="000755E3"/>
    <w:rsid w:val="00077234"/>
    <w:rsid w:val="000804C6"/>
    <w:rsid w:val="000841A6"/>
    <w:rsid w:val="00084BDF"/>
    <w:rsid w:val="000865AF"/>
    <w:rsid w:val="00086FAD"/>
    <w:rsid w:val="0009289A"/>
    <w:rsid w:val="00092D34"/>
    <w:rsid w:val="00092F2E"/>
    <w:rsid w:val="00093DAC"/>
    <w:rsid w:val="00094B10"/>
    <w:rsid w:val="00094BFA"/>
    <w:rsid w:val="000960A5"/>
    <w:rsid w:val="000A11C3"/>
    <w:rsid w:val="000A131E"/>
    <w:rsid w:val="000A2C96"/>
    <w:rsid w:val="000A42BD"/>
    <w:rsid w:val="000A449F"/>
    <w:rsid w:val="000A4AB8"/>
    <w:rsid w:val="000A6897"/>
    <w:rsid w:val="000A792C"/>
    <w:rsid w:val="000A7B23"/>
    <w:rsid w:val="000A7B83"/>
    <w:rsid w:val="000B2415"/>
    <w:rsid w:val="000B3462"/>
    <w:rsid w:val="000B613B"/>
    <w:rsid w:val="000B61AF"/>
    <w:rsid w:val="000B6483"/>
    <w:rsid w:val="000B74CB"/>
    <w:rsid w:val="000B7FFA"/>
    <w:rsid w:val="000C273B"/>
    <w:rsid w:val="000C382F"/>
    <w:rsid w:val="000C393B"/>
    <w:rsid w:val="000C3A30"/>
    <w:rsid w:val="000C458F"/>
    <w:rsid w:val="000C4AA4"/>
    <w:rsid w:val="000C5AF9"/>
    <w:rsid w:val="000C7225"/>
    <w:rsid w:val="000C776C"/>
    <w:rsid w:val="000D0657"/>
    <w:rsid w:val="000D06F8"/>
    <w:rsid w:val="000D0F17"/>
    <w:rsid w:val="000D2BD1"/>
    <w:rsid w:val="000D435A"/>
    <w:rsid w:val="000D57E2"/>
    <w:rsid w:val="000D79B2"/>
    <w:rsid w:val="000D7DD2"/>
    <w:rsid w:val="000E000B"/>
    <w:rsid w:val="000E2B3B"/>
    <w:rsid w:val="000E3240"/>
    <w:rsid w:val="000E3FDA"/>
    <w:rsid w:val="000E4D91"/>
    <w:rsid w:val="000E6808"/>
    <w:rsid w:val="000E786B"/>
    <w:rsid w:val="000F059C"/>
    <w:rsid w:val="000F0B0A"/>
    <w:rsid w:val="000F1685"/>
    <w:rsid w:val="000F3B75"/>
    <w:rsid w:val="000F3E7F"/>
    <w:rsid w:val="000F41E1"/>
    <w:rsid w:val="000F505F"/>
    <w:rsid w:val="000F65E0"/>
    <w:rsid w:val="000F711A"/>
    <w:rsid w:val="00101E6B"/>
    <w:rsid w:val="00101E82"/>
    <w:rsid w:val="00102187"/>
    <w:rsid w:val="0010258F"/>
    <w:rsid w:val="001032C5"/>
    <w:rsid w:val="00104AFE"/>
    <w:rsid w:val="00111299"/>
    <w:rsid w:val="00112A98"/>
    <w:rsid w:val="0011334E"/>
    <w:rsid w:val="00113796"/>
    <w:rsid w:val="001143DD"/>
    <w:rsid w:val="00114578"/>
    <w:rsid w:val="00114F2B"/>
    <w:rsid w:val="00115480"/>
    <w:rsid w:val="001203CD"/>
    <w:rsid w:val="0012203E"/>
    <w:rsid w:val="00122CD6"/>
    <w:rsid w:val="001232E1"/>
    <w:rsid w:val="00123FD0"/>
    <w:rsid w:val="00124D8A"/>
    <w:rsid w:val="0012598F"/>
    <w:rsid w:val="001275E6"/>
    <w:rsid w:val="00130744"/>
    <w:rsid w:val="00130FFC"/>
    <w:rsid w:val="0013181A"/>
    <w:rsid w:val="001319AA"/>
    <w:rsid w:val="001321DA"/>
    <w:rsid w:val="001322B3"/>
    <w:rsid w:val="00132670"/>
    <w:rsid w:val="00132D8F"/>
    <w:rsid w:val="00133848"/>
    <w:rsid w:val="00137012"/>
    <w:rsid w:val="00137238"/>
    <w:rsid w:val="0014154F"/>
    <w:rsid w:val="0014196C"/>
    <w:rsid w:val="00141D00"/>
    <w:rsid w:val="00143A18"/>
    <w:rsid w:val="00143B22"/>
    <w:rsid w:val="00144114"/>
    <w:rsid w:val="00144CBA"/>
    <w:rsid w:val="00146A82"/>
    <w:rsid w:val="00146B4A"/>
    <w:rsid w:val="00147306"/>
    <w:rsid w:val="0014739F"/>
    <w:rsid w:val="001530DA"/>
    <w:rsid w:val="00155C5B"/>
    <w:rsid w:val="0015768A"/>
    <w:rsid w:val="0016060A"/>
    <w:rsid w:val="00160BC0"/>
    <w:rsid w:val="00161B70"/>
    <w:rsid w:val="00161B88"/>
    <w:rsid w:val="00162119"/>
    <w:rsid w:val="00163190"/>
    <w:rsid w:val="00164265"/>
    <w:rsid w:val="00164CD9"/>
    <w:rsid w:val="00166EE8"/>
    <w:rsid w:val="00167197"/>
    <w:rsid w:val="001704FB"/>
    <w:rsid w:val="00171FD9"/>
    <w:rsid w:val="00172B78"/>
    <w:rsid w:val="00174182"/>
    <w:rsid w:val="00175991"/>
    <w:rsid w:val="001768C3"/>
    <w:rsid w:val="00177CA7"/>
    <w:rsid w:val="00181207"/>
    <w:rsid w:val="001815CB"/>
    <w:rsid w:val="00181F97"/>
    <w:rsid w:val="00183F93"/>
    <w:rsid w:val="00184E37"/>
    <w:rsid w:val="00185205"/>
    <w:rsid w:val="001853A8"/>
    <w:rsid w:val="00185DB1"/>
    <w:rsid w:val="00186B19"/>
    <w:rsid w:val="00190E49"/>
    <w:rsid w:val="001946A5"/>
    <w:rsid w:val="001960D5"/>
    <w:rsid w:val="00197151"/>
    <w:rsid w:val="001A0E51"/>
    <w:rsid w:val="001A1F19"/>
    <w:rsid w:val="001A2816"/>
    <w:rsid w:val="001A2E79"/>
    <w:rsid w:val="001A2F36"/>
    <w:rsid w:val="001A45D7"/>
    <w:rsid w:val="001A4938"/>
    <w:rsid w:val="001A5745"/>
    <w:rsid w:val="001A7B04"/>
    <w:rsid w:val="001B0191"/>
    <w:rsid w:val="001B18CA"/>
    <w:rsid w:val="001B1B69"/>
    <w:rsid w:val="001B1C64"/>
    <w:rsid w:val="001B296E"/>
    <w:rsid w:val="001B2FB1"/>
    <w:rsid w:val="001C192B"/>
    <w:rsid w:val="001C324F"/>
    <w:rsid w:val="001C3533"/>
    <w:rsid w:val="001C3AA4"/>
    <w:rsid w:val="001C4488"/>
    <w:rsid w:val="001C49E4"/>
    <w:rsid w:val="001C63A8"/>
    <w:rsid w:val="001C6816"/>
    <w:rsid w:val="001C6E10"/>
    <w:rsid w:val="001D121D"/>
    <w:rsid w:val="001D266B"/>
    <w:rsid w:val="001D2C60"/>
    <w:rsid w:val="001D43B3"/>
    <w:rsid w:val="001D5955"/>
    <w:rsid w:val="001D6209"/>
    <w:rsid w:val="001D6231"/>
    <w:rsid w:val="001D6770"/>
    <w:rsid w:val="001D6C1A"/>
    <w:rsid w:val="001D701A"/>
    <w:rsid w:val="001E006A"/>
    <w:rsid w:val="001E0C34"/>
    <w:rsid w:val="001E0F5A"/>
    <w:rsid w:val="001E1048"/>
    <w:rsid w:val="001E10D3"/>
    <w:rsid w:val="001E2EC2"/>
    <w:rsid w:val="001E3899"/>
    <w:rsid w:val="001E3C0E"/>
    <w:rsid w:val="001E527B"/>
    <w:rsid w:val="001E541D"/>
    <w:rsid w:val="001E7C62"/>
    <w:rsid w:val="001F02CA"/>
    <w:rsid w:val="001F0D7C"/>
    <w:rsid w:val="001F1FF0"/>
    <w:rsid w:val="001F2887"/>
    <w:rsid w:val="001F34F7"/>
    <w:rsid w:val="001F3775"/>
    <w:rsid w:val="001F3B0B"/>
    <w:rsid w:val="001F3DA1"/>
    <w:rsid w:val="001F56D2"/>
    <w:rsid w:val="001F577C"/>
    <w:rsid w:val="001F65A0"/>
    <w:rsid w:val="001F6638"/>
    <w:rsid w:val="001F735C"/>
    <w:rsid w:val="001F7540"/>
    <w:rsid w:val="001F7FAF"/>
    <w:rsid w:val="00201E31"/>
    <w:rsid w:val="002032EE"/>
    <w:rsid w:val="00203ACB"/>
    <w:rsid w:val="00203E92"/>
    <w:rsid w:val="00204552"/>
    <w:rsid w:val="00204A21"/>
    <w:rsid w:val="00204EBD"/>
    <w:rsid w:val="00205E80"/>
    <w:rsid w:val="0021094C"/>
    <w:rsid w:val="00215D07"/>
    <w:rsid w:val="00216968"/>
    <w:rsid w:val="002170C1"/>
    <w:rsid w:val="0022011C"/>
    <w:rsid w:val="00221A96"/>
    <w:rsid w:val="00222860"/>
    <w:rsid w:val="00223867"/>
    <w:rsid w:val="00225D05"/>
    <w:rsid w:val="00225EFC"/>
    <w:rsid w:val="002302F6"/>
    <w:rsid w:val="00230A46"/>
    <w:rsid w:val="00231490"/>
    <w:rsid w:val="00232372"/>
    <w:rsid w:val="0023386C"/>
    <w:rsid w:val="00235EC2"/>
    <w:rsid w:val="00236C2B"/>
    <w:rsid w:val="00236D72"/>
    <w:rsid w:val="00237C8D"/>
    <w:rsid w:val="0024028C"/>
    <w:rsid w:val="00240EFD"/>
    <w:rsid w:val="00241669"/>
    <w:rsid w:val="00241B66"/>
    <w:rsid w:val="00241BB6"/>
    <w:rsid w:val="002447DC"/>
    <w:rsid w:val="00250060"/>
    <w:rsid w:val="00250648"/>
    <w:rsid w:val="00250BBA"/>
    <w:rsid w:val="00251E39"/>
    <w:rsid w:val="00252A40"/>
    <w:rsid w:val="00253712"/>
    <w:rsid w:val="002547A2"/>
    <w:rsid w:val="00254933"/>
    <w:rsid w:val="0025546A"/>
    <w:rsid w:val="00257233"/>
    <w:rsid w:val="00263462"/>
    <w:rsid w:val="0026585F"/>
    <w:rsid w:val="002661EE"/>
    <w:rsid w:val="00267C59"/>
    <w:rsid w:val="00270D17"/>
    <w:rsid w:val="00270D31"/>
    <w:rsid w:val="00273318"/>
    <w:rsid w:val="00273881"/>
    <w:rsid w:val="00275DC4"/>
    <w:rsid w:val="00275F81"/>
    <w:rsid w:val="002760CF"/>
    <w:rsid w:val="002773F3"/>
    <w:rsid w:val="0027788B"/>
    <w:rsid w:val="00281338"/>
    <w:rsid w:val="00281854"/>
    <w:rsid w:val="00281E4B"/>
    <w:rsid w:val="002823A0"/>
    <w:rsid w:val="00282451"/>
    <w:rsid w:val="002824B0"/>
    <w:rsid w:val="00283E21"/>
    <w:rsid w:val="0028526C"/>
    <w:rsid w:val="00285D68"/>
    <w:rsid w:val="00287160"/>
    <w:rsid w:val="002906C0"/>
    <w:rsid w:val="00290ABC"/>
    <w:rsid w:val="0029260B"/>
    <w:rsid w:val="00293E69"/>
    <w:rsid w:val="0029420C"/>
    <w:rsid w:val="002949EF"/>
    <w:rsid w:val="00294FFD"/>
    <w:rsid w:val="0029639D"/>
    <w:rsid w:val="00296675"/>
    <w:rsid w:val="002966B0"/>
    <w:rsid w:val="00296A31"/>
    <w:rsid w:val="00296CAE"/>
    <w:rsid w:val="002A07F6"/>
    <w:rsid w:val="002A0803"/>
    <w:rsid w:val="002A0C96"/>
    <w:rsid w:val="002A3337"/>
    <w:rsid w:val="002A5335"/>
    <w:rsid w:val="002A660E"/>
    <w:rsid w:val="002A6740"/>
    <w:rsid w:val="002A69C9"/>
    <w:rsid w:val="002A6A5D"/>
    <w:rsid w:val="002B0B0D"/>
    <w:rsid w:val="002B152B"/>
    <w:rsid w:val="002B23CE"/>
    <w:rsid w:val="002B6658"/>
    <w:rsid w:val="002B690C"/>
    <w:rsid w:val="002B7AC5"/>
    <w:rsid w:val="002C0AC2"/>
    <w:rsid w:val="002C0C06"/>
    <w:rsid w:val="002C2215"/>
    <w:rsid w:val="002C2B8C"/>
    <w:rsid w:val="002C42AA"/>
    <w:rsid w:val="002C58D0"/>
    <w:rsid w:val="002C5975"/>
    <w:rsid w:val="002C5CF5"/>
    <w:rsid w:val="002D330B"/>
    <w:rsid w:val="002D4900"/>
    <w:rsid w:val="002D55B2"/>
    <w:rsid w:val="002D6637"/>
    <w:rsid w:val="002D7AC6"/>
    <w:rsid w:val="002D7D30"/>
    <w:rsid w:val="002E0418"/>
    <w:rsid w:val="002E0560"/>
    <w:rsid w:val="002E2069"/>
    <w:rsid w:val="002E3375"/>
    <w:rsid w:val="002E4998"/>
    <w:rsid w:val="002E765F"/>
    <w:rsid w:val="002E7F44"/>
    <w:rsid w:val="002F02A3"/>
    <w:rsid w:val="002F0C53"/>
    <w:rsid w:val="002F0F57"/>
    <w:rsid w:val="002F18D8"/>
    <w:rsid w:val="002F32F5"/>
    <w:rsid w:val="002F37B9"/>
    <w:rsid w:val="002F3B71"/>
    <w:rsid w:val="002F4845"/>
    <w:rsid w:val="002F5E48"/>
    <w:rsid w:val="002F6E9F"/>
    <w:rsid w:val="002F7274"/>
    <w:rsid w:val="0030013B"/>
    <w:rsid w:val="003034FF"/>
    <w:rsid w:val="003035E6"/>
    <w:rsid w:val="00303FB5"/>
    <w:rsid w:val="003078D4"/>
    <w:rsid w:val="00311633"/>
    <w:rsid w:val="0031266B"/>
    <w:rsid w:val="00314014"/>
    <w:rsid w:val="003153BB"/>
    <w:rsid w:val="003200ED"/>
    <w:rsid w:val="00320604"/>
    <w:rsid w:val="0032212E"/>
    <w:rsid w:val="00322EE9"/>
    <w:rsid w:val="00324560"/>
    <w:rsid w:val="0032483F"/>
    <w:rsid w:val="00324C8F"/>
    <w:rsid w:val="0032555F"/>
    <w:rsid w:val="0032630A"/>
    <w:rsid w:val="00326B97"/>
    <w:rsid w:val="00331B78"/>
    <w:rsid w:val="00333DD4"/>
    <w:rsid w:val="00334605"/>
    <w:rsid w:val="00334C0F"/>
    <w:rsid w:val="00335234"/>
    <w:rsid w:val="00335382"/>
    <w:rsid w:val="0033543F"/>
    <w:rsid w:val="00336517"/>
    <w:rsid w:val="00337A37"/>
    <w:rsid w:val="00342338"/>
    <w:rsid w:val="0034295C"/>
    <w:rsid w:val="00342E4F"/>
    <w:rsid w:val="00342EFE"/>
    <w:rsid w:val="00345BB3"/>
    <w:rsid w:val="00345E4B"/>
    <w:rsid w:val="00346533"/>
    <w:rsid w:val="0034752C"/>
    <w:rsid w:val="003516E3"/>
    <w:rsid w:val="00351B3D"/>
    <w:rsid w:val="003525DC"/>
    <w:rsid w:val="00353623"/>
    <w:rsid w:val="003539FB"/>
    <w:rsid w:val="00353E1C"/>
    <w:rsid w:val="00354248"/>
    <w:rsid w:val="00354E1C"/>
    <w:rsid w:val="00356FA3"/>
    <w:rsid w:val="0036070E"/>
    <w:rsid w:val="00361A18"/>
    <w:rsid w:val="00362954"/>
    <w:rsid w:val="00363299"/>
    <w:rsid w:val="00363525"/>
    <w:rsid w:val="00363B4B"/>
    <w:rsid w:val="003644A6"/>
    <w:rsid w:val="003647EA"/>
    <w:rsid w:val="0036571D"/>
    <w:rsid w:val="00365B84"/>
    <w:rsid w:val="00366D18"/>
    <w:rsid w:val="00371570"/>
    <w:rsid w:val="00372554"/>
    <w:rsid w:val="003739A6"/>
    <w:rsid w:val="00373DCC"/>
    <w:rsid w:val="00374AB9"/>
    <w:rsid w:val="00375F63"/>
    <w:rsid w:val="00376E77"/>
    <w:rsid w:val="00377E57"/>
    <w:rsid w:val="00380D10"/>
    <w:rsid w:val="00382C9A"/>
    <w:rsid w:val="00386CB7"/>
    <w:rsid w:val="00386DD9"/>
    <w:rsid w:val="0039041C"/>
    <w:rsid w:val="00391E73"/>
    <w:rsid w:val="0039212E"/>
    <w:rsid w:val="00393FE4"/>
    <w:rsid w:val="00394B51"/>
    <w:rsid w:val="00395979"/>
    <w:rsid w:val="003969F4"/>
    <w:rsid w:val="0039754A"/>
    <w:rsid w:val="003A03E7"/>
    <w:rsid w:val="003A1C20"/>
    <w:rsid w:val="003A237C"/>
    <w:rsid w:val="003A2C4F"/>
    <w:rsid w:val="003A2F94"/>
    <w:rsid w:val="003A350C"/>
    <w:rsid w:val="003A46E5"/>
    <w:rsid w:val="003A6607"/>
    <w:rsid w:val="003A6FA2"/>
    <w:rsid w:val="003A759F"/>
    <w:rsid w:val="003B0F57"/>
    <w:rsid w:val="003B1962"/>
    <w:rsid w:val="003B5246"/>
    <w:rsid w:val="003B5C97"/>
    <w:rsid w:val="003B6173"/>
    <w:rsid w:val="003C02A0"/>
    <w:rsid w:val="003C20C5"/>
    <w:rsid w:val="003C47CA"/>
    <w:rsid w:val="003C5F52"/>
    <w:rsid w:val="003D01BC"/>
    <w:rsid w:val="003D095A"/>
    <w:rsid w:val="003D61A7"/>
    <w:rsid w:val="003D7F28"/>
    <w:rsid w:val="003E07FA"/>
    <w:rsid w:val="003E0E84"/>
    <w:rsid w:val="003E1A38"/>
    <w:rsid w:val="003E1C84"/>
    <w:rsid w:val="003E391E"/>
    <w:rsid w:val="003E4585"/>
    <w:rsid w:val="003E73EB"/>
    <w:rsid w:val="003E7BDF"/>
    <w:rsid w:val="003F0AB7"/>
    <w:rsid w:val="003F14B8"/>
    <w:rsid w:val="003F3BE9"/>
    <w:rsid w:val="003F3FED"/>
    <w:rsid w:val="003F404C"/>
    <w:rsid w:val="003F40BC"/>
    <w:rsid w:val="003F5067"/>
    <w:rsid w:val="003F5977"/>
    <w:rsid w:val="003F6BAB"/>
    <w:rsid w:val="00400711"/>
    <w:rsid w:val="004008DE"/>
    <w:rsid w:val="004019EE"/>
    <w:rsid w:val="004025D0"/>
    <w:rsid w:val="004032AF"/>
    <w:rsid w:val="00405D6F"/>
    <w:rsid w:val="004061F8"/>
    <w:rsid w:val="00406B29"/>
    <w:rsid w:val="00407594"/>
    <w:rsid w:val="004101AE"/>
    <w:rsid w:val="004109D5"/>
    <w:rsid w:val="00414F77"/>
    <w:rsid w:val="004162CB"/>
    <w:rsid w:val="004208FF"/>
    <w:rsid w:val="00421595"/>
    <w:rsid w:val="00423286"/>
    <w:rsid w:val="004252E3"/>
    <w:rsid w:val="00425C5C"/>
    <w:rsid w:val="00427F9F"/>
    <w:rsid w:val="004315C8"/>
    <w:rsid w:val="00431E31"/>
    <w:rsid w:val="00432F90"/>
    <w:rsid w:val="00433710"/>
    <w:rsid w:val="00434462"/>
    <w:rsid w:val="00434923"/>
    <w:rsid w:val="00435754"/>
    <w:rsid w:val="004357DE"/>
    <w:rsid w:val="00435DDC"/>
    <w:rsid w:val="0043661C"/>
    <w:rsid w:val="00437956"/>
    <w:rsid w:val="00437B02"/>
    <w:rsid w:val="00437B98"/>
    <w:rsid w:val="00443CB5"/>
    <w:rsid w:val="00446576"/>
    <w:rsid w:val="004507EB"/>
    <w:rsid w:val="00450EF6"/>
    <w:rsid w:val="0045407F"/>
    <w:rsid w:val="00454CEB"/>
    <w:rsid w:val="00455496"/>
    <w:rsid w:val="004576CE"/>
    <w:rsid w:val="00457DA3"/>
    <w:rsid w:val="00460EFD"/>
    <w:rsid w:val="00462C72"/>
    <w:rsid w:val="004637B3"/>
    <w:rsid w:val="00465BA1"/>
    <w:rsid w:val="00466FE1"/>
    <w:rsid w:val="004676A1"/>
    <w:rsid w:val="00474097"/>
    <w:rsid w:val="00475272"/>
    <w:rsid w:val="00475684"/>
    <w:rsid w:val="004757E1"/>
    <w:rsid w:val="00475CBC"/>
    <w:rsid w:val="0047679A"/>
    <w:rsid w:val="00480390"/>
    <w:rsid w:val="00480A92"/>
    <w:rsid w:val="004831B7"/>
    <w:rsid w:val="00483774"/>
    <w:rsid w:val="00483A3C"/>
    <w:rsid w:val="004840BA"/>
    <w:rsid w:val="004901FF"/>
    <w:rsid w:val="00490A39"/>
    <w:rsid w:val="00491A35"/>
    <w:rsid w:val="00492A75"/>
    <w:rsid w:val="00493C83"/>
    <w:rsid w:val="00494A8F"/>
    <w:rsid w:val="00495316"/>
    <w:rsid w:val="004959F7"/>
    <w:rsid w:val="0049619C"/>
    <w:rsid w:val="00496C17"/>
    <w:rsid w:val="00497CFA"/>
    <w:rsid w:val="004A111C"/>
    <w:rsid w:val="004A17BB"/>
    <w:rsid w:val="004A1D8B"/>
    <w:rsid w:val="004A25BB"/>
    <w:rsid w:val="004A42DF"/>
    <w:rsid w:val="004A4530"/>
    <w:rsid w:val="004A46DC"/>
    <w:rsid w:val="004A4AC5"/>
    <w:rsid w:val="004A4C27"/>
    <w:rsid w:val="004A5789"/>
    <w:rsid w:val="004A6C08"/>
    <w:rsid w:val="004A7169"/>
    <w:rsid w:val="004A765F"/>
    <w:rsid w:val="004A7939"/>
    <w:rsid w:val="004B0089"/>
    <w:rsid w:val="004B1ABF"/>
    <w:rsid w:val="004B1B56"/>
    <w:rsid w:val="004B1BB7"/>
    <w:rsid w:val="004B4569"/>
    <w:rsid w:val="004B4B13"/>
    <w:rsid w:val="004B5D2F"/>
    <w:rsid w:val="004C1DFF"/>
    <w:rsid w:val="004C4AE6"/>
    <w:rsid w:val="004C5495"/>
    <w:rsid w:val="004C5C27"/>
    <w:rsid w:val="004C709B"/>
    <w:rsid w:val="004D198C"/>
    <w:rsid w:val="004D1C61"/>
    <w:rsid w:val="004D21AB"/>
    <w:rsid w:val="004D22A0"/>
    <w:rsid w:val="004D2318"/>
    <w:rsid w:val="004D3052"/>
    <w:rsid w:val="004D40CC"/>
    <w:rsid w:val="004D50B9"/>
    <w:rsid w:val="004D5C7B"/>
    <w:rsid w:val="004E0767"/>
    <w:rsid w:val="004E0D89"/>
    <w:rsid w:val="004E3B7B"/>
    <w:rsid w:val="004E47FF"/>
    <w:rsid w:val="004E5AC0"/>
    <w:rsid w:val="004E5EEA"/>
    <w:rsid w:val="004E6425"/>
    <w:rsid w:val="004E6632"/>
    <w:rsid w:val="004F0D89"/>
    <w:rsid w:val="004F2014"/>
    <w:rsid w:val="004F213D"/>
    <w:rsid w:val="004F39C4"/>
    <w:rsid w:val="004F441A"/>
    <w:rsid w:val="004F6C41"/>
    <w:rsid w:val="004F7514"/>
    <w:rsid w:val="004F76FC"/>
    <w:rsid w:val="004F78C1"/>
    <w:rsid w:val="00502228"/>
    <w:rsid w:val="005044C7"/>
    <w:rsid w:val="0050500D"/>
    <w:rsid w:val="00505F12"/>
    <w:rsid w:val="005069E7"/>
    <w:rsid w:val="00506C0D"/>
    <w:rsid w:val="00510296"/>
    <w:rsid w:val="005108B4"/>
    <w:rsid w:val="00511B22"/>
    <w:rsid w:val="00511FD1"/>
    <w:rsid w:val="00512D72"/>
    <w:rsid w:val="005130D7"/>
    <w:rsid w:val="00513549"/>
    <w:rsid w:val="005138CF"/>
    <w:rsid w:val="00514229"/>
    <w:rsid w:val="005153B7"/>
    <w:rsid w:val="00515812"/>
    <w:rsid w:val="0051633A"/>
    <w:rsid w:val="0051681E"/>
    <w:rsid w:val="005168AF"/>
    <w:rsid w:val="00516BF8"/>
    <w:rsid w:val="00517097"/>
    <w:rsid w:val="005204F4"/>
    <w:rsid w:val="00521236"/>
    <w:rsid w:val="00521F59"/>
    <w:rsid w:val="0052637E"/>
    <w:rsid w:val="0052793C"/>
    <w:rsid w:val="0053009E"/>
    <w:rsid w:val="005309F8"/>
    <w:rsid w:val="005310CB"/>
    <w:rsid w:val="00532389"/>
    <w:rsid w:val="00533C48"/>
    <w:rsid w:val="00533E7E"/>
    <w:rsid w:val="00533F97"/>
    <w:rsid w:val="00535305"/>
    <w:rsid w:val="00535334"/>
    <w:rsid w:val="00535C68"/>
    <w:rsid w:val="005367CE"/>
    <w:rsid w:val="00541525"/>
    <w:rsid w:val="00542054"/>
    <w:rsid w:val="00542A1F"/>
    <w:rsid w:val="00543C4A"/>
    <w:rsid w:val="00544925"/>
    <w:rsid w:val="00544C08"/>
    <w:rsid w:val="00544C15"/>
    <w:rsid w:val="00545EEA"/>
    <w:rsid w:val="00545FE0"/>
    <w:rsid w:val="00546E8C"/>
    <w:rsid w:val="00547E2C"/>
    <w:rsid w:val="005506DC"/>
    <w:rsid w:val="00553B64"/>
    <w:rsid w:val="00553C97"/>
    <w:rsid w:val="00555764"/>
    <w:rsid w:val="00555793"/>
    <w:rsid w:val="00555DF7"/>
    <w:rsid w:val="0055635C"/>
    <w:rsid w:val="00556F88"/>
    <w:rsid w:val="00556FA9"/>
    <w:rsid w:val="00557FA6"/>
    <w:rsid w:val="00557FF8"/>
    <w:rsid w:val="005607E4"/>
    <w:rsid w:val="00560AB2"/>
    <w:rsid w:val="00561624"/>
    <w:rsid w:val="0056269B"/>
    <w:rsid w:val="0056282E"/>
    <w:rsid w:val="005628C3"/>
    <w:rsid w:val="00562F11"/>
    <w:rsid w:val="00563B4A"/>
    <w:rsid w:val="00563E26"/>
    <w:rsid w:val="0056417A"/>
    <w:rsid w:val="00565674"/>
    <w:rsid w:val="00566533"/>
    <w:rsid w:val="00566EC8"/>
    <w:rsid w:val="00567446"/>
    <w:rsid w:val="00567D1A"/>
    <w:rsid w:val="00570693"/>
    <w:rsid w:val="00570D50"/>
    <w:rsid w:val="00572676"/>
    <w:rsid w:val="00572E3B"/>
    <w:rsid w:val="0057414D"/>
    <w:rsid w:val="00574209"/>
    <w:rsid w:val="005744FB"/>
    <w:rsid w:val="00575A31"/>
    <w:rsid w:val="00575B6B"/>
    <w:rsid w:val="00576952"/>
    <w:rsid w:val="00576FE2"/>
    <w:rsid w:val="00577F19"/>
    <w:rsid w:val="005802A7"/>
    <w:rsid w:val="00580A9C"/>
    <w:rsid w:val="005822F0"/>
    <w:rsid w:val="00584E40"/>
    <w:rsid w:val="005864AF"/>
    <w:rsid w:val="00587E89"/>
    <w:rsid w:val="00592DB7"/>
    <w:rsid w:val="00595359"/>
    <w:rsid w:val="00595D2A"/>
    <w:rsid w:val="005965B8"/>
    <w:rsid w:val="00596A3C"/>
    <w:rsid w:val="005A04AC"/>
    <w:rsid w:val="005A0CE3"/>
    <w:rsid w:val="005A19E8"/>
    <w:rsid w:val="005A3844"/>
    <w:rsid w:val="005A4083"/>
    <w:rsid w:val="005A5C65"/>
    <w:rsid w:val="005A6E37"/>
    <w:rsid w:val="005A7F13"/>
    <w:rsid w:val="005B05D9"/>
    <w:rsid w:val="005B23AE"/>
    <w:rsid w:val="005B23F8"/>
    <w:rsid w:val="005B2F6A"/>
    <w:rsid w:val="005B4120"/>
    <w:rsid w:val="005B4977"/>
    <w:rsid w:val="005B6747"/>
    <w:rsid w:val="005C4183"/>
    <w:rsid w:val="005C4902"/>
    <w:rsid w:val="005C4E79"/>
    <w:rsid w:val="005C4FD5"/>
    <w:rsid w:val="005C5C5B"/>
    <w:rsid w:val="005C73B7"/>
    <w:rsid w:val="005C7BD7"/>
    <w:rsid w:val="005C7CA2"/>
    <w:rsid w:val="005D25E3"/>
    <w:rsid w:val="005D327E"/>
    <w:rsid w:val="005E20E7"/>
    <w:rsid w:val="005E3400"/>
    <w:rsid w:val="005E3CCB"/>
    <w:rsid w:val="005E45E2"/>
    <w:rsid w:val="005E4A32"/>
    <w:rsid w:val="005E4D5F"/>
    <w:rsid w:val="005E6B69"/>
    <w:rsid w:val="005F001F"/>
    <w:rsid w:val="005F0528"/>
    <w:rsid w:val="005F0563"/>
    <w:rsid w:val="005F180C"/>
    <w:rsid w:val="005F1CD3"/>
    <w:rsid w:val="005F36EB"/>
    <w:rsid w:val="005F4CB0"/>
    <w:rsid w:val="005F7A25"/>
    <w:rsid w:val="006006B3"/>
    <w:rsid w:val="006006C8"/>
    <w:rsid w:val="0060206C"/>
    <w:rsid w:val="006027C5"/>
    <w:rsid w:val="00602F84"/>
    <w:rsid w:val="00604906"/>
    <w:rsid w:val="006054D7"/>
    <w:rsid w:val="0060642D"/>
    <w:rsid w:val="0060699F"/>
    <w:rsid w:val="006100B1"/>
    <w:rsid w:val="00610D9F"/>
    <w:rsid w:val="0061225D"/>
    <w:rsid w:val="00612664"/>
    <w:rsid w:val="00612D37"/>
    <w:rsid w:val="00612D70"/>
    <w:rsid w:val="00614492"/>
    <w:rsid w:val="006144AC"/>
    <w:rsid w:val="006158E9"/>
    <w:rsid w:val="00616539"/>
    <w:rsid w:val="00616B21"/>
    <w:rsid w:val="00621127"/>
    <w:rsid w:val="0062285A"/>
    <w:rsid w:val="00623962"/>
    <w:rsid w:val="00624725"/>
    <w:rsid w:val="00625EBC"/>
    <w:rsid w:val="006260BA"/>
    <w:rsid w:val="006279C7"/>
    <w:rsid w:val="00631672"/>
    <w:rsid w:val="006318E1"/>
    <w:rsid w:val="00631EC6"/>
    <w:rsid w:val="0063270E"/>
    <w:rsid w:val="00633DAD"/>
    <w:rsid w:val="0063411B"/>
    <w:rsid w:val="006343E2"/>
    <w:rsid w:val="0063456D"/>
    <w:rsid w:val="0063544C"/>
    <w:rsid w:val="00635AD2"/>
    <w:rsid w:val="00635F36"/>
    <w:rsid w:val="00637281"/>
    <w:rsid w:val="00640275"/>
    <w:rsid w:val="00640621"/>
    <w:rsid w:val="00640F42"/>
    <w:rsid w:val="006418CF"/>
    <w:rsid w:val="00644F71"/>
    <w:rsid w:val="006478BA"/>
    <w:rsid w:val="00647D61"/>
    <w:rsid w:val="00650B29"/>
    <w:rsid w:val="00653699"/>
    <w:rsid w:val="00653D0A"/>
    <w:rsid w:val="00655FF0"/>
    <w:rsid w:val="006575AD"/>
    <w:rsid w:val="00657DF0"/>
    <w:rsid w:val="006609D8"/>
    <w:rsid w:val="0066171E"/>
    <w:rsid w:val="00662016"/>
    <w:rsid w:val="00663473"/>
    <w:rsid w:val="00664C54"/>
    <w:rsid w:val="00664EBC"/>
    <w:rsid w:val="00666203"/>
    <w:rsid w:val="00666924"/>
    <w:rsid w:val="006669A6"/>
    <w:rsid w:val="00666ED3"/>
    <w:rsid w:val="00667306"/>
    <w:rsid w:val="0066745C"/>
    <w:rsid w:val="006701B5"/>
    <w:rsid w:val="006709B8"/>
    <w:rsid w:val="00671AAC"/>
    <w:rsid w:val="00672EF5"/>
    <w:rsid w:val="00673126"/>
    <w:rsid w:val="00673C6D"/>
    <w:rsid w:val="006743C8"/>
    <w:rsid w:val="00674720"/>
    <w:rsid w:val="006751B4"/>
    <w:rsid w:val="006755E8"/>
    <w:rsid w:val="00677703"/>
    <w:rsid w:val="00677AFC"/>
    <w:rsid w:val="00681976"/>
    <w:rsid w:val="00690374"/>
    <w:rsid w:val="00690773"/>
    <w:rsid w:val="0069133E"/>
    <w:rsid w:val="00691B08"/>
    <w:rsid w:val="006946A0"/>
    <w:rsid w:val="00695750"/>
    <w:rsid w:val="00695F6E"/>
    <w:rsid w:val="00696707"/>
    <w:rsid w:val="00696B84"/>
    <w:rsid w:val="00696D88"/>
    <w:rsid w:val="006A0EDC"/>
    <w:rsid w:val="006A0F92"/>
    <w:rsid w:val="006A142C"/>
    <w:rsid w:val="006A1B11"/>
    <w:rsid w:val="006A39A5"/>
    <w:rsid w:val="006B0110"/>
    <w:rsid w:val="006B090C"/>
    <w:rsid w:val="006B29D1"/>
    <w:rsid w:val="006B2CC4"/>
    <w:rsid w:val="006B3273"/>
    <w:rsid w:val="006B3928"/>
    <w:rsid w:val="006B5138"/>
    <w:rsid w:val="006B5B53"/>
    <w:rsid w:val="006B66E4"/>
    <w:rsid w:val="006C2E29"/>
    <w:rsid w:val="006C4566"/>
    <w:rsid w:val="006C4CAD"/>
    <w:rsid w:val="006C5B50"/>
    <w:rsid w:val="006C6A81"/>
    <w:rsid w:val="006C6F76"/>
    <w:rsid w:val="006D0AF0"/>
    <w:rsid w:val="006D17BD"/>
    <w:rsid w:val="006D55F8"/>
    <w:rsid w:val="006D58C3"/>
    <w:rsid w:val="006D6CC7"/>
    <w:rsid w:val="006D73AB"/>
    <w:rsid w:val="006D7923"/>
    <w:rsid w:val="006D7F35"/>
    <w:rsid w:val="006E1C9C"/>
    <w:rsid w:val="006E204C"/>
    <w:rsid w:val="006E302C"/>
    <w:rsid w:val="006E6C64"/>
    <w:rsid w:val="006F14E2"/>
    <w:rsid w:val="006F1FFB"/>
    <w:rsid w:val="006F2648"/>
    <w:rsid w:val="006F38FD"/>
    <w:rsid w:val="006F7A4F"/>
    <w:rsid w:val="00701F22"/>
    <w:rsid w:val="007037B2"/>
    <w:rsid w:val="007058B1"/>
    <w:rsid w:val="0070591A"/>
    <w:rsid w:val="00705BF9"/>
    <w:rsid w:val="00705EB0"/>
    <w:rsid w:val="00706568"/>
    <w:rsid w:val="00711136"/>
    <w:rsid w:val="00714000"/>
    <w:rsid w:val="00714FB5"/>
    <w:rsid w:val="007200AA"/>
    <w:rsid w:val="007204B5"/>
    <w:rsid w:val="007205B0"/>
    <w:rsid w:val="00720906"/>
    <w:rsid w:val="00723BC9"/>
    <w:rsid w:val="00724F1A"/>
    <w:rsid w:val="00725C83"/>
    <w:rsid w:val="0072790E"/>
    <w:rsid w:val="00727D40"/>
    <w:rsid w:val="00730E64"/>
    <w:rsid w:val="0073163B"/>
    <w:rsid w:val="00731920"/>
    <w:rsid w:val="00731DB1"/>
    <w:rsid w:val="00734F99"/>
    <w:rsid w:val="007366C3"/>
    <w:rsid w:val="0073741A"/>
    <w:rsid w:val="00737ADB"/>
    <w:rsid w:val="007412B4"/>
    <w:rsid w:val="00743235"/>
    <w:rsid w:val="00743754"/>
    <w:rsid w:val="007438FA"/>
    <w:rsid w:val="00747AF5"/>
    <w:rsid w:val="00747C41"/>
    <w:rsid w:val="00747EB2"/>
    <w:rsid w:val="00750967"/>
    <w:rsid w:val="0075159B"/>
    <w:rsid w:val="0075197F"/>
    <w:rsid w:val="00752041"/>
    <w:rsid w:val="00752819"/>
    <w:rsid w:val="00752D5A"/>
    <w:rsid w:val="0075362A"/>
    <w:rsid w:val="00753ACC"/>
    <w:rsid w:val="00754A63"/>
    <w:rsid w:val="007551CD"/>
    <w:rsid w:val="00755565"/>
    <w:rsid w:val="00755E2D"/>
    <w:rsid w:val="007571C1"/>
    <w:rsid w:val="007575BB"/>
    <w:rsid w:val="00760358"/>
    <w:rsid w:val="00760EC4"/>
    <w:rsid w:val="007621C5"/>
    <w:rsid w:val="0076275E"/>
    <w:rsid w:val="007702AB"/>
    <w:rsid w:val="007710D8"/>
    <w:rsid w:val="00772054"/>
    <w:rsid w:val="007733D4"/>
    <w:rsid w:val="00773849"/>
    <w:rsid w:val="00775DDF"/>
    <w:rsid w:val="007772A1"/>
    <w:rsid w:val="00780D24"/>
    <w:rsid w:val="00782278"/>
    <w:rsid w:val="00782A58"/>
    <w:rsid w:val="00783CFD"/>
    <w:rsid w:val="0078453C"/>
    <w:rsid w:val="007854EE"/>
    <w:rsid w:val="00786517"/>
    <w:rsid w:val="00786AF5"/>
    <w:rsid w:val="00787B01"/>
    <w:rsid w:val="00790B1B"/>
    <w:rsid w:val="00792096"/>
    <w:rsid w:val="0079368C"/>
    <w:rsid w:val="0079381A"/>
    <w:rsid w:val="00793C23"/>
    <w:rsid w:val="00795BA9"/>
    <w:rsid w:val="00795DF3"/>
    <w:rsid w:val="00796DF8"/>
    <w:rsid w:val="007A243E"/>
    <w:rsid w:val="007A253B"/>
    <w:rsid w:val="007A4229"/>
    <w:rsid w:val="007A45BD"/>
    <w:rsid w:val="007A544A"/>
    <w:rsid w:val="007A63BD"/>
    <w:rsid w:val="007A7936"/>
    <w:rsid w:val="007B1492"/>
    <w:rsid w:val="007B15E9"/>
    <w:rsid w:val="007B1700"/>
    <w:rsid w:val="007B1BC4"/>
    <w:rsid w:val="007B237A"/>
    <w:rsid w:val="007B42EC"/>
    <w:rsid w:val="007B46FB"/>
    <w:rsid w:val="007B56C9"/>
    <w:rsid w:val="007B6EA4"/>
    <w:rsid w:val="007C054E"/>
    <w:rsid w:val="007C169E"/>
    <w:rsid w:val="007C25F9"/>
    <w:rsid w:val="007C2E60"/>
    <w:rsid w:val="007C5A21"/>
    <w:rsid w:val="007C5A2F"/>
    <w:rsid w:val="007C6095"/>
    <w:rsid w:val="007C654E"/>
    <w:rsid w:val="007C727F"/>
    <w:rsid w:val="007D05D3"/>
    <w:rsid w:val="007D05E4"/>
    <w:rsid w:val="007D16B1"/>
    <w:rsid w:val="007D1B23"/>
    <w:rsid w:val="007D36F0"/>
    <w:rsid w:val="007D3CD1"/>
    <w:rsid w:val="007D4421"/>
    <w:rsid w:val="007D6AFA"/>
    <w:rsid w:val="007E0812"/>
    <w:rsid w:val="007E1818"/>
    <w:rsid w:val="007E3A41"/>
    <w:rsid w:val="007E5543"/>
    <w:rsid w:val="007E5692"/>
    <w:rsid w:val="007E6002"/>
    <w:rsid w:val="007E639A"/>
    <w:rsid w:val="007E71CE"/>
    <w:rsid w:val="007E7417"/>
    <w:rsid w:val="007E7963"/>
    <w:rsid w:val="007F1F0D"/>
    <w:rsid w:val="007F2911"/>
    <w:rsid w:val="007F29C0"/>
    <w:rsid w:val="007F2A25"/>
    <w:rsid w:val="007F2CCE"/>
    <w:rsid w:val="007F2E21"/>
    <w:rsid w:val="007F307C"/>
    <w:rsid w:val="007F35CF"/>
    <w:rsid w:val="007F3AB9"/>
    <w:rsid w:val="007F6AA1"/>
    <w:rsid w:val="007F7458"/>
    <w:rsid w:val="007F7524"/>
    <w:rsid w:val="0080177F"/>
    <w:rsid w:val="008060A2"/>
    <w:rsid w:val="00811762"/>
    <w:rsid w:val="00811C2F"/>
    <w:rsid w:val="00811CBC"/>
    <w:rsid w:val="00811F05"/>
    <w:rsid w:val="00813EB5"/>
    <w:rsid w:val="008166F8"/>
    <w:rsid w:val="00816E3A"/>
    <w:rsid w:val="008170AC"/>
    <w:rsid w:val="0081716F"/>
    <w:rsid w:val="0082105A"/>
    <w:rsid w:val="00821CE2"/>
    <w:rsid w:val="0082219B"/>
    <w:rsid w:val="00823A55"/>
    <w:rsid w:val="00823CCB"/>
    <w:rsid w:val="00824B21"/>
    <w:rsid w:val="00825AAF"/>
    <w:rsid w:val="00830310"/>
    <w:rsid w:val="00830315"/>
    <w:rsid w:val="0083148E"/>
    <w:rsid w:val="00831698"/>
    <w:rsid w:val="008340C3"/>
    <w:rsid w:val="0083520C"/>
    <w:rsid w:val="00835D84"/>
    <w:rsid w:val="00835EEA"/>
    <w:rsid w:val="008363AE"/>
    <w:rsid w:val="008363EF"/>
    <w:rsid w:val="00836867"/>
    <w:rsid w:val="0083751A"/>
    <w:rsid w:val="00841582"/>
    <w:rsid w:val="008448E9"/>
    <w:rsid w:val="00844CF5"/>
    <w:rsid w:val="00845C17"/>
    <w:rsid w:val="008460EC"/>
    <w:rsid w:val="00846A49"/>
    <w:rsid w:val="008479E8"/>
    <w:rsid w:val="00847B4B"/>
    <w:rsid w:val="0085111A"/>
    <w:rsid w:val="0085200A"/>
    <w:rsid w:val="00852A66"/>
    <w:rsid w:val="008545A6"/>
    <w:rsid w:val="008552B1"/>
    <w:rsid w:val="00855D79"/>
    <w:rsid w:val="00857750"/>
    <w:rsid w:val="00860D3C"/>
    <w:rsid w:val="00864559"/>
    <w:rsid w:val="00864B36"/>
    <w:rsid w:val="00865C3F"/>
    <w:rsid w:val="00867FD2"/>
    <w:rsid w:val="00870755"/>
    <w:rsid w:val="00871248"/>
    <w:rsid w:val="00872460"/>
    <w:rsid w:val="00873A3B"/>
    <w:rsid w:val="00873FA9"/>
    <w:rsid w:val="00874A1D"/>
    <w:rsid w:val="008761E5"/>
    <w:rsid w:val="008772F3"/>
    <w:rsid w:val="008773B5"/>
    <w:rsid w:val="00884382"/>
    <w:rsid w:val="0088486C"/>
    <w:rsid w:val="00885300"/>
    <w:rsid w:val="00885E65"/>
    <w:rsid w:val="00887F79"/>
    <w:rsid w:val="008913F7"/>
    <w:rsid w:val="0089265D"/>
    <w:rsid w:val="00892A50"/>
    <w:rsid w:val="00893032"/>
    <w:rsid w:val="00894814"/>
    <w:rsid w:val="008959C8"/>
    <w:rsid w:val="00895B57"/>
    <w:rsid w:val="00895E9F"/>
    <w:rsid w:val="0089765D"/>
    <w:rsid w:val="008A0AF7"/>
    <w:rsid w:val="008A396C"/>
    <w:rsid w:val="008A396D"/>
    <w:rsid w:val="008A48B2"/>
    <w:rsid w:val="008A4AB8"/>
    <w:rsid w:val="008A4EA2"/>
    <w:rsid w:val="008A5749"/>
    <w:rsid w:val="008A5B31"/>
    <w:rsid w:val="008A67B1"/>
    <w:rsid w:val="008A6D4D"/>
    <w:rsid w:val="008A6FAA"/>
    <w:rsid w:val="008A7D78"/>
    <w:rsid w:val="008B0A1A"/>
    <w:rsid w:val="008B1521"/>
    <w:rsid w:val="008B26B8"/>
    <w:rsid w:val="008B2F09"/>
    <w:rsid w:val="008B2F54"/>
    <w:rsid w:val="008B472C"/>
    <w:rsid w:val="008B6A81"/>
    <w:rsid w:val="008C10BA"/>
    <w:rsid w:val="008C24AB"/>
    <w:rsid w:val="008C261A"/>
    <w:rsid w:val="008C38D5"/>
    <w:rsid w:val="008C6B31"/>
    <w:rsid w:val="008D2F52"/>
    <w:rsid w:val="008D3556"/>
    <w:rsid w:val="008D35B6"/>
    <w:rsid w:val="008D3B86"/>
    <w:rsid w:val="008D3DB0"/>
    <w:rsid w:val="008D4597"/>
    <w:rsid w:val="008D6A95"/>
    <w:rsid w:val="008D7788"/>
    <w:rsid w:val="008E62E1"/>
    <w:rsid w:val="008E65EF"/>
    <w:rsid w:val="008E709A"/>
    <w:rsid w:val="008F2506"/>
    <w:rsid w:val="008F3288"/>
    <w:rsid w:val="00900BDC"/>
    <w:rsid w:val="00901621"/>
    <w:rsid w:val="0090325B"/>
    <w:rsid w:val="00903A91"/>
    <w:rsid w:val="00905354"/>
    <w:rsid w:val="00905532"/>
    <w:rsid w:val="00905BCC"/>
    <w:rsid w:val="0090697E"/>
    <w:rsid w:val="0091014B"/>
    <w:rsid w:val="009102CC"/>
    <w:rsid w:val="00911F57"/>
    <w:rsid w:val="00912C64"/>
    <w:rsid w:val="009132DE"/>
    <w:rsid w:val="0091343B"/>
    <w:rsid w:val="00915D40"/>
    <w:rsid w:val="009174F3"/>
    <w:rsid w:val="009176DA"/>
    <w:rsid w:val="00917D51"/>
    <w:rsid w:val="00922325"/>
    <w:rsid w:val="009231D8"/>
    <w:rsid w:val="00923D55"/>
    <w:rsid w:val="00930DEE"/>
    <w:rsid w:val="00930E68"/>
    <w:rsid w:val="00931FC0"/>
    <w:rsid w:val="00932A5E"/>
    <w:rsid w:val="00933C7D"/>
    <w:rsid w:val="00934CAD"/>
    <w:rsid w:val="009353BD"/>
    <w:rsid w:val="00935B9E"/>
    <w:rsid w:val="009360AA"/>
    <w:rsid w:val="0093720C"/>
    <w:rsid w:val="00937470"/>
    <w:rsid w:val="00940165"/>
    <w:rsid w:val="00940AA0"/>
    <w:rsid w:val="00941DDB"/>
    <w:rsid w:val="00943A22"/>
    <w:rsid w:val="0094413F"/>
    <w:rsid w:val="00944AC7"/>
    <w:rsid w:val="00947B0F"/>
    <w:rsid w:val="009503FF"/>
    <w:rsid w:val="0095048F"/>
    <w:rsid w:val="00951DB8"/>
    <w:rsid w:val="009529D7"/>
    <w:rsid w:val="00953434"/>
    <w:rsid w:val="009541E0"/>
    <w:rsid w:val="0095509D"/>
    <w:rsid w:val="00955973"/>
    <w:rsid w:val="00955BA4"/>
    <w:rsid w:val="0095623B"/>
    <w:rsid w:val="00956A66"/>
    <w:rsid w:val="00960419"/>
    <w:rsid w:val="00961CB5"/>
    <w:rsid w:val="00961EFF"/>
    <w:rsid w:val="00962725"/>
    <w:rsid w:val="00964AB0"/>
    <w:rsid w:val="00964C94"/>
    <w:rsid w:val="00966356"/>
    <w:rsid w:val="00966E28"/>
    <w:rsid w:val="00966E95"/>
    <w:rsid w:val="0096738E"/>
    <w:rsid w:val="00967E7F"/>
    <w:rsid w:val="0097265E"/>
    <w:rsid w:val="0097276D"/>
    <w:rsid w:val="00974749"/>
    <w:rsid w:val="00977413"/>
    <w:rsid w:val="00977F85"/>
    <w:rsid w:val="00980EC7"/>
    <w:rsid w:val="009846BD"/>
    <w:rsid w:val="00984E9E"/>
    <w:rsid w:val="00985D66"/>
    <w:rsid w:val="00987149"/>
    <w:rsid w:val="00987171"/>
    <w:rsid w:val="009907C0"/>
    <w:rsid w:val="00992549"/>
    <w:rsid w:val="00992828"/>
    <w:rsid w:val="00992C2C"/>
    <w:rsid w:val="00992FDC"/>
    <w:rsid w:val="0099407E"/>
    <w:rsid w:val="00995436"/>
    <w:rsid w:val="00995C60"/>
    <w:rsid w:val="00995D8F"/>
    <w:rsid w:val="009974E7"/>
    <w:rsid w:val="00997B15"/>
    <w:rsid w:val="009A03B5"/>
    <w:rsid w:val="009A050D"/>
    <w:rsid w:val="009A19AC"/>
    <w:rsid w:val="009A2853"/>
    <w:rsid w:val="009A4007"/>
    <w:rsid w:val="009A4268"/>
    <w:rsid w:val="009A4676"/>
    <w:rsid w:val="009A4E86"/>
    <w:rsid w:val="009A5EEF"/>
    <w:rsid w:val="009A62C5"/>
    <w:rsid w:val="009A71CC"/>
    <w:rsid w:val="009A76A9"/>
    <w:rsid w:val="009B46E1"/>
    <w:rsid w:val="009B4FA6"/>
    <w:rsid w:val="009B5643"/>
    <w:rsid w:val="009B571C"/>
    <w:rsid w:val="009B5C74"/>
    <w:rsid w:val="009B6526"/>
    <w:rsid w:val="009B6EED"/>
    <w:rsid w:val="009B6FC8"/>
    <w:rsid w:val="009C118B"/>
    <w:rsid w:val="009C2781"/>
    <w:rsid w:val="009C2E43"/>
    <w:rsid w:val="009C539A"/>
    <w:rsid w:val="009C58E9"/>
    <w:rsid w:val="009C5D0A"/>
    <w:rsid w:val="009C6BC1"/>
    <w:rsid w:val="009C7703"/>
    <w:rsid w:val="009C7A03"/>
    <w:rsid w:val="009D0932"/>
    <w:rsid w:val="009D3FE5"/>
    <w:rsid w:val="009D6308"/>
    <w:rsid w:val="009D710E"/>
    <w:rsid w:val="009D7715"/>
    <w:rsid w:val="009D7A1B"/>
    <w:rsid w:val="009E0C54"/>
    <w:rsid w:val="009E0D56"/>
    <w:rsid w:val="009E1CDF"/>
    <w:rsid w:val="009E3100"/>
    <w:rsid w:val="009E6ACE"/>
    <w:rsid w:val="009F1C8B"/>
    <w:rsid w:val="009F35DE"/>
    <w:rsid w:val="009F36F4"/>
    <w:rsid w:val="009F3F58"/>
    <w:rsid w:val="009F672E"/>
    <w:rsid w:val="009F6D6D"/>
    <w:rsid w:val="00A009A0"/>
    <w:rsid w:val="00A02562"/>
    <w:rsid w:val="00A03520"/>
    <w:rsid w:val="00A03DA3"/>
    <w:rsid w:val="00A043B5"/>
    <w:rsid w:val="00A04586"/>
    <w:rsid w:val="00A05541"/>
    <w:rsid w:val="00A058F9"/>
    <w:rsid w:val="00A06D34"/>
    <w:rsid w:val="00A070B4"/>
    <w:rsid w:val="00A07DD2"/>
    <w:rsid w:val="00A103C9"/>
    <w:rsid w:val="00A13150"/>
    <w:rsid w:val="00A13321"/>
    <w:rsid w:val="00A14695"/>
    <w:rsid w:val="00A1488C"/>
    <w:rsid w:val="00A15CC4"/>
    <w:rsid w:val="00A21302"/>
    <w:rsid w:val="00A22886"/>
    <w:rsid w:val="00A22C69"/>
    <w:rsid w:val="00A2343F"/>
    <w:rsid w:val="00A23BCB"/>
    <w:rsid w:val="00A245FD"/>
    <w:rsid w:val="00A24CBD"/>
    <w:rsid w:val="00A25B83"/>
    <w:rsid w:val="00A276ED"/>
    <w:rsid w:val="00A27F2B"/>
    <w:rsid w:val="00A30AB5"/>
    <w:rsid w:val="00A30B4A"/>
    <w:rsid w:val="00A32536"/>
    <w:rsid w:val="00A328C5"/>
    <w:rsid w:val="00A34C93"/>
    <w:rsid w:val="00A35373"/>
    <w:rsid w:val="00A35D68"/>
    <w:rsid w:val="00A40A7C"/>
    <w:rsid w:val="00A41FC0"/>
    <w:rsid w:val="00A44D61"/>
    <w:rsid w:val="00A465DA"/>
    <w:rsid w:val="00A466AF"/>
    <w:rsid w:val="00A47A1A"/>
    <w:rsid w:val="00A52661"/>
    <w:rsid w:val="00A5309E"/>
    <w:rsid w:val="00A537E1"/>
    <w:rsid w:val="00A53B57"/>
    <w:rsid w:val="00A53CAC"/>
    <w:rsid w:val="00A5524A"/>
    <w:rsid w:val="00A5590A"/>
    <w:rsid w:val="00A55EB1"/>
    <w:rsid w:val="00A5711C"/>
    <w:rsid w:val="00A603EF"/>
    <w:rsid w:val="00A603F9"/>
    <w:rsid w:val="00A604FD"/>
    <w:rsid w:val="00A61551"/>
    <w:rsid w:val="00A64908"/>
    <w:rsid w:val="00A65EDA"/>
    <w:rsid w:val="00A72F15"/>
    <w:rsid w:val="00A72F77"/>
    <w:rsid w:val="00A73E7D"/>
    <w:rsid w:val="00A804F0"/>
    <w:rsid w:val="00A815EC"/>
    <w:rsid w:val="00A8331D"/>
    <w:rsid w:val="00A84754"/>
    <w:rsid w:val="00A86EF6"/>
    <w:rsid w:val="00A87F9A"/>
    <w:rsid w:val="00A9007F"/>
    <w:rsid w:val="00A90B78"/>
    <w:rsid w:val="00A91EF1"/>
    <w:rsid w:val="00A93B91"/>
    <w:rsid w:val="00A948E6"/>
    <w:rsid w:val="00A9518D"/>
    <w:rsid w:val="00A96F57"/>
    <w:rsid w:val="00AA0411"/>
    <w:rsid w:val="00AA0DAE"/>
    <w:rsid w:val="00AA1789"/>
    <w:rsid w:val="00AA2D7D"/>
    <w:rsid w:val="00AA39EC"/>
    <w:rsid w:val="00AA3C5F"/>
    <w:rsid w:val="00AA4158"/>
    <w:rsid w:val="00AA6EFB"/>
    <w:rsid w:val="00AA7794"/>
    <w:rsid w:val="00AB07C9"/>
    <w:rsid w:val="00AB1A05"/>
    <w:rsid w:val="00AB2381"/>
    <w:rsid w:val="00AB274C"/>
    <w:rsid w:val="00AB41CF"/>
    <w:rsid w:val="00AB4CB2"/>
    <w:rsid w:val="00AB4DD0"/>
    <w:rsid w:val="00AB5138"/>
    <w:rsid w:val="00AB5905"/>
    <w:rsid w:val="00AB6775"/>
    <w:rsid w:val="00AB7016"/>
    <w:rsid w:val="00AB7BEC"/>
    <w:rsid w:val="00AC1226"/>
    <w:rsid w:val="00AC2B58"/>
    <w:rsid w:val="00AC350E"/>
    <w:rsid w:val="00AC4540"/>
    <w:rsid w:val="00AC5177"/>
    <w:rsid w:val="00AC6927"/>
    <w:rsid w:val="00AC78C7"/>
    <w:rsid w:val="00AC7E8A"/>
    <w:rsid w:val="00AD0D36"/>
    <w:rsid w:val="00AD4570"/>
    <w:rsid w:val="00AD49C1"/>
    <w:rsid w:val="00AD54CB"/>
    <w:rsid w:val="00AD6268"/>
    <w:rsid w:val="00AD695B"/>
    <w:rsid w:val="00AD7227"/>
    <w:rsid w:val="00AD7725"/>
    <w:rsid w:val="00AE1790"/>
    <w:rsid w:val="00AE1849"/>
    <w:rsid w:val="00AE24BA"/>
    <w:rsid w:val="00AE2FFD"/>
    <w:rsid w:val="00AE3376"/>
    <w:rsid w:val="00AE43CB"/>
    <w:rsid w:val="00AE4BC9"/>
    <w:rsid w:val="00AE5618"/>
    <w:rsid w:val="00AE6689"/>
    <w:rsid w:val="00AE66AF"/>
    <w:rsid w:val="00AE7480"/>
    <w:rsid w:val="00AE7694"/>
    <w:rsid w:val="00AF10D4"/>
    <w:rsid w:val="00AF3D41"/>
    <w:rsid w:val="00AF5643"/>
    <w:rsid w:val="00AF5C8C"/>
    <w:rsid w:val="00AF6017"/>
    <w:rsid w:val="00AF7740"/>
    <w:rsid w:val="00B023EC"/>
    <w:rsid w:val="00B0248A"/>
    <w:rsid w:val="00B02917"/>
    <w:rsid w:val="00B03FB5"/>
    <w:rsid w:val="00B074C7"/>
    <w:rsid w:val="00B07AEE"/>
    <w:rsid w:val="00B1494B"/>
    <w:rsid w:val="00B14F52"/>
    <w:rsid w:val="00B15905"/>
    <w:rsid w:val="00B1680A"/>
    <w:rsid w:val="00B20373"/>
    <w:rsid w:val="00B21519"/>
    <w:rsid w:val="00B21824"/>
    <w:rsid w:val="00B22217"/>
    <w:rsid w:val="00B229AA"/>
    <w:rsid w:val="00B238B2"/>
    <w:rsid w:val="00B23F18"/>
    <w:rsid w:val="00B2415C"/>
    <w:rsid w:val="00B243C8"/>
    <w:rsid w:val="00B248E5"/>
    <w:rsid w:val="00B25338"/>
    <w:rsid w:val="00B256C2"/>
    <w:rsid w:val="00B268C4"/>
    <w:rsid w:val="00B26986"/>
    <w:rsid w:val="00B26CAC"/>
    <w:rsid w:val="00B300D8"/>
    <w:rsid w:val="00B30C4B"/>
    <w:rsid w:val="00B32CF8"/>
    <w:rsid w:val="00B33BCF"/>
    <w:rsid w:val="00B35ECA"/>
    <w:rsid w:val="00B40A11"/>
    <w:rsid w:val="00B5004E"/>
    <w:rsid w:val="00B50B69"/>
    <w:rsid w:val="00B52A0E"/>
    <w:rsid w:val="00B5517B"/>
    <w:rsid w:val="00B57188"/>
    <w:rsid w:val="00B576E1"/>
    <w:rsid w:val="00B61DC9"/>
    <w:rsid w:val="00B639D1"/>
    <w:rsid w:val="00B6541C"/>
    <w:rsid w:val="00B659E0"/>
    <w:rsid w:val="00B673FE"/>
    <w:rsid w:val="00B705DE"/>
    <w:rsid w:val="00B70736"/>
    <w:rsid w:val="00B72C24"/>
    <w:rsid w:val="00B737DE"/>
    <w:rsid w:val="00B73FBD"/>
    <w:rsid w:val="00B759B7"/>
    <w:rsid w:val="00B75D43"/>
    <w:rsid w:val="00B77244"/>
    <w:rsid w:val="00B81FF3"/>
    <w:rsid w:val="00B83E0C"/>
    <w:rsid w:val="00B84444"/>
    <w:rsid w:val="00B8789D"/>
    <w:rsid w:val="00B87BF4"/>
    <w:rsid w:val="00B90945"/>
    <w:rsid w:val="00B90FB8"/>
    <w:rsid w:val="00B913E0"/>
    <w:rsid w:val="00B91D66"/>
    <w:rsid w:val="00B92012"/>
    <w:rsid w:val="00B936CB"/>
    <w:rsid w:val="00B93A2C"/>
    <w:rsid w:val="00B93AF9"/>
    <w:rsid w:val="00B97852"/>
    <w:rsid w:val="00B979A9"/>
    <w:rsid w:val="00BA00E1"/>
    <w:rsid w:val="00BA0841"/>
    <w:rsid w:val="00BA2747"/>
    <w:rsid w:val="00BA2D3D"/>
    <w:rsid w:val="00BA5D7F"/>
    <w:rsid w:val="00BA6AD0"/>
    <w:rsid w:val="00BB0766"/>
    <w:rsid w:val="00BB13BC"/>
    <w:rsid w:val="00BB2332"/>
    <w:rsid w:val="00BB245F"/>
    <w:rsid w:val="00BB24DB"/>
    <w:rsid w:val="00BB391A"/>
    <w:rsid w:val="00BB5208"/>
    <w:rsid w:val="00BB58FD"/>
    <w:rsid w:val="00BB70BB"/>
    <w:rsid w:val="00BB71CE"/>
    <w:rsid w:val="00BC28B7"/>
    <w:rsid w:val="00BC361C"/>
    <w:rsid w:val="00BC438A"/>
    <w:rsid w:val="00BC4901"/>
    <w:rsid w:val="00BC5EC4"/>
    <w:rsid w:val="00BC6364"/>
    <w:rsid w:val="00BC7984"/>
    <w:rsid w:val="00BD036A"/>
    <w:rsid w:val="00BD090B"/>
    <w:rsid w:val="00BD23F7"/>
    <w:rsid w:val="00BD36AC"/>
    <w:rsid w:val="00BD384F"/>
    <w:rsid w:val="00BD41BE"/>
    <w:rsid w:val="00BD5530"/>
    <w:rsid w:val="00BD628E"/>
    <w:rsid w:val="00BE1336"/>
    <w:rsid w:val="00BE1891"/>
    <w:rsid w:val="00BE4440"/>
    <w:rsid w:val="00BE4FE3"/>
    <w:rsid w:val="00BE52E5"/>
    <w:rsid w:val="00BE6879"/>
    <w:rsid w:val="00BE7413"/>
    <w:rsid w:val="00BF078F"/>
    <w:rsid w:val="00BF57C0"/>
    <w:rsid w:val="00BF6419"/>
    <w:rsid w:val="00BF6BFC"/>
    <w:rsid w:val="00C01F6F"/>
    <w:rsid w:val="00C0598D"/>
    <w:rsid w:val="00C06182"/>
    <w:rsid w:val="00C06454"/>
    <w:rsid w:val="00C07D66"/>
    <w:rsid w:val="00C10A90"/>
    <w:rsid w:val="00C13BD9"/>
    <w:rsid w:val="00C14E6A"/>
    <w:rsid w:val="00C14EDF"/>
    <w:rsid w:val="00C14F6E"/>
    <w:rsid w:val="00C16E77"/>
    <w:rsid w:val="00C17FE5"/>
    <w:rsid w:val="00C20578"/>
    <w:rsid w:val="00C22B30"/>
    <w:rsid w:val="00C279EB"/>
    <w:rsid w:val="00C303BF"/>
    <w:rsid w:val="00C3076E"/>
    <w:rsid w:val="00C30C9C"/>
    <w:rsid w:val="00C30EE8"/>
    <w:rsid w:val="00C3426D"/>
    <w:rsid w:val="00C34D87"/>
    <w:rsid w:val="00C35C54"/>
    <w:rsid w:val="00C40C78"/>
    <w:rsid w:val="00C40FC4"/>
    <w:rsid w:val="00C42C6D"/>
    <w:rsid w:val="00C42DEB"/>
    <w:rsid w:val="00C454D6"/>
    <w:rsid w:val="00C4673D"/>
    <w:rsid w:val="00C51600"/>
    <w:rsid w:val="00C51F4B"/>
    <w:rsid w:val="00C55057"/>
    <w:rsid w:val="00C55A97"/>
    <w:rsid w:val="00C55AB0"/>
    <w:rsid w:val="00C56EB5"/>
    <w:rsid w:val="00C57CEB"/>
    <w:rsid w:val="00C57E9C"/>
    <w:rsid w:val="00C6056C"/>
    <w:rsid w:val="00C62E0A"/>
    <w:rsid w:val="00C64237"/>
    <w:rsid w:val="00C645F4"/>
    <w:rsid w:val="00C65005"/>
    <w:rsid w:val="00C65B35"/>
    <w:rsid w:val="00C67043"/>
    <w:rsid w:val="00C6704C"/>
    <w:rsid w:val="00C67E12"/>
    <w:rsid w:val="00C70694"/>
    <w:rsid w:val="00C744BD"/>
    <w:rsid w:val="00C7599D"/>
    <w:rsid w:val="00C765E1"/>
    <w:rsid w:val="00C80134"/>
    <w:rsid w:val="00C827D3"/>
    <w:rsid w:val="00C84645"/>
    <w:rsid w:val="00C848F9"/>
    <w:rsid w:val="00C9001E"/>
    <w:rsid w:val="00C905F1"/>
    <w:rsid w:val="00C90DBA"/>
    <w:rsid w:val="00C91048"/>
    <w:rsid w:val="00C938A4"/>
    <w:rsid w:val="00C94616"/>
    <w:rsid w:val="00C96DD5"/>
    <w:rsid w:val="00C971A3"/>
    <w:rsid w:val="00C97A04"/>
    <w:rsid w:val="00CA045D"/>
    <w:rsid w:val="00CA0E24"/>
    <w:rsid w:val="00CA2685"/>
    <w:rsid w:val="00CA443C"/>
    <w:rsid w:val="00CA45F5"/>
    <w:rsid w:val="00CA51A6"/>
    <w:rsid w:val="00CA5B92"/>
    <w:rsid w:val="00CA6E88"/>
    <w:rsid w:val="00CA74F2"/>
    <w:rsid w:val="00CA7D60"/>
    <w:rsid w:val="00CB1759"/>
    <w:rsid w:val="00CB20E4"/>
    <w:rsid w:val="00CB7C5D"/>
    <w:rsid w:val="00CB7E46"/>
    <w:rsid w:val="00CC018E"/>
    <w:rsid w:val="00CC07C0"/>
    <w:rsid w:val="00CC2581"/>
    <w:rsid w:val="00CC279C"/>
    <w:rsid w:val="00CC38FC"/>
    <w:rsid w:val="00CC4D13"/>
    <w:rsid w:val="00CC5161"/>
    <w:rsid w:val="00CC6AC8"/>
    <w:rsid w:val="00CD00B7"/>
    <w:rsid w:val="00CD16CC"/>
    <w:rsid w:val="00CD2E5F"/>
    <w:rsid w:val="00CD2FBD"/>
    <w:rsid w:val="00CD33C8"/>
    <w:rsid w:val="00CD3844"/>
    <w:rsid w:val="00CD70C0"/>
    <w:rsid w:val="00CE0B05"/>
    <w:rsid w:val="00CE3626"/>
    <w:rsid w:val="00CE3F35"/>
    <w:rsid w:val="00CE65E0"/>
    <w:rsid w:val="00CE6FF4"/>
    <w:rsid w:val="00CF01F2"/>
    <w:rsid w:val="00CF04CF"/>
    <w:rsid w:val="00CF0558"/>
    <w:rsid w:val="00CF0820"/>
    <w:rsid w:val="00CF0E98"/>
    <w:rsid w:val="00CF30D8"/>
    <w:rsid w:val="00CF4503"/>
    <w:rsid w:val="00CF4BDB"/>
    <w:rsid w:val="00CF52E0"/>
    <w:rsid w:val="00CF55E4"/>
    <w:rsid w:val="00CF5A48"/>
    <w:rsid w:val="00D00C84"/>
    <w:rsid w:val="00D017C7"/>
    <w:rsid w:val="00D02004"/>
    <w:rsid w:val="00D02C39"/>
    <w:rsid w:val="00D03A2D"/>
    <w:rsid w:val="00D041B4"/>
    <w:rsid w:val="00D053C5"/>
    <w:rsid w:val="00D070D8"/>
    <w:rsid w:val="00D11BBE"/>
    <w:rsid w:val="00D1232D"/>
    <w:rsid w:val="00D135D9"/>
    <w:rsid w:val="00D15477"/>
    <w:rsid w:val="00D160BA"/>
    <w:rsid w:val="00D171BC"/>
    <w:rsid w:val="00D17E4A"/>
    <w:rsid w:val="00D2050F"/>
    <w:rsid w:val="00D20C7F"/>
    <w:rsid w:val="00D21075"/>
    <w:rsid w:val="00D2171D"/>
    <w:rsid w:val="00D22533"/>
    <w:rsid w:val="00D2269D"/>
    <w:rsid w:val="00D228EE"/>
    <w:rsid w:val="00D25B2B"/>
    <w:rsid w:val="00D26933"/>
    <w:rsid w:val="00D27C31"/>
    <w:rsid w:val="00D27CC2"/>
    <w:rsid w:val="00D306DC"/>
    <w:rsid w:val="00D3084C"/>
    <w:rsid w:val="00D31401"/>
    <w:rsid w:val="00D3312C"/>
    <w:rsid w:val="00D34755"/>
    <w:rsid w:val="00D347AA"/>
    <w:rsid w:val="00D34EBE"/>
    <w:rsid w:val="00D359B6"/>
    <w:rsid w:val="00D35B61"/>
    <w:rsid w:val="00D35B9D"/>
    <w:rsid w:val="00D37D49"/>
    <w:rsid w:val="00D37D66"/>
    <w:rsid w:val="00D40062"/>
    <w:rsid w:val="00D406BA"/>
    <w:rsid w:val="00D41B7D"/>
    <w:rsid w:val="00D4284F"/>
    <w:rsid w:val="00D42B42"/>
    <w:rsid w:val="00D43803"/>
    <w:rsid w:val="00D44991"/>
    <w:rsid w:val="00D44A89"/>
    <w:rsid w:val="00D44F72"/>
    <w:rsid w:val="00D45BE1"/>
    <w:rsid w:val="00D47073"/>
    <w:rsid w:val="00D505F5"/>
    <w:rsid w:val="00D50641"/>
    <w:rsid w:val="00D50685"/>
    <w:rsid w:val="00D52A34"/>
    <w:rsid w:val="00D534EA"/>
    <w:rsid w:val="00D550BC"/>
    <w:rsid w:val="00D56C1F"/>
    <w:rsid w:val="00D57EF6"/>
    <w:rsid w:val="00D611F7"/>
    <w:rsid w:val="00D64A33"/>
    <w:rsid w:val="00D65635"/>
    <w:rsid w:val="00D65CEE"/>
    <w:rsid w:val="00D66464"/>
    <w:rsid w:val="00D66508"/>
    <w:rsid w:val="00D66E22"/>
    <w:rsid w:val="00D67014"/>
    <w:rsid w:val="00D6709F"/>
    <w:rsid w:val="00D6785E"/>
    <w:rsid w:val="00D71FE0"/>
    <w:rsid w:val="00D72047"/>
    <w:rsid w:val="00D72F37"/>
    <w:rsid w:val="00D739FF"/>
    <w:rsid w:val="00D74DD1"/>
    <w:rsid w:val="00D76549"/>
    <w:rsid w:val="00D769AB"/>
    <w:rsid w:val="00D81DD9"/>
    <w:rsid w:val="00D828FA"/>
    <w:rsid w:val="00D83325"/>
    <w:rsid w:val="00D83C29"/>
    <w:rsid w:val="00D84AC7"/>
    <w:rsid w:val="00D84FA3"/>
    <w:rsid w:val="00D8612F"/>
    <w:rsid w:val="00D86575"/>
    <w:rsid w:val="00D867B0"/>
    <w:rsid w:val="00D90FB8"/>
    <w:rsid w:val="00D91F08"/>
    <w:rsid w:val="00D97060"/>
    <w:rsid w:val="00DA0D6D"/>
    <w:rsid w:val="00DA1BE1"/>
    <w:rsid w:val="00DA2F5F"/>
    <w:rsid w:val="00DA393E"/>
    <w:rsid w:val="00DA3BB0"/>
    <w:rsid w:val="00DA49D1"/>
    <w:rsid w:val="00DA4BA5"/>
    <w:rsid w:val="00DA5685"/>
    <w:rsid w:val="00DA6EB4"/>
    <w:rsid w:val="00DA7500"/>
    <w:rsid w:val="00DB14A7"/>
    <w:rsid w:val="00DB2687"/>
    <w:rsid w:val="00DB3F4F"/>
    <w:rsid w:val="00DB56A1"/>
    <w:rsid w:val="00DB5F4A"/>
    <w:rsid w:val="00DB7D3E"/>
    <w:rsid w:val="00DC097C"/>
    <w:rsid w:val="00DC1CA9"/>
    <w:rsid w:val="00DC2447"/>
    <w:rsid w:val="00DC34C4"/>
    <w:rsid w:val="00DC35E2"/>
    <w:rsid w:val="00DC4681"/>
    <w:rsid w:val="00DC50CA"/>
    <w:rsid w:val="00DC6C94"/>
    <w:rsid w:val="00DC7471"/>
    <w:rsid w:val="00DD0DC4"/>
    <w:rsid w:val="00DD2137"/>
    <w:rsid w:val="00DD3206"/>
    <w:rsid w:val="00DD3C7F"/>
    <w:rsid w:val="00DD4E86"/>
    <w:rsid w:val="00DD6614"/>
    <w:rsid w:val="00DD741E"/>
    <w:rsid w:val="00DE19E2"/>
    <w:rsid w:val="00DE1AA1"/>
    <w:rsid w:val="00DE1D4E"/>
    <w:rsid w:val="00DE2ECD"/>
    <w:rsid w:val="00DE3F66"/>
    <w:rsid w:val="00DE5FF3"/>
    <w:rsid w:val="00DE65A4"/>
    <w:rsid w:val="00DE7448"/>
    <w:rsid w:val="00DE7531"/>
    <w:rsid w:val="00DF0059"/>
    <w:rsid w:val="00DF0092"/>
    <w:rsid w:val="00DF1D65"/>
    <w:rsid w:val="00DF34FD"/>
    <w:rsid w:val="00DF38B2"/>
    <w:rsid w:val="00DF4E8C"/>
    <w:rsid w:val="00DF520F"/>
    <w:rsid w:val="00DF5BC6"/>
    <w:rsid w:val="00DF6E1B"/>
    <w:rsid w:val="00DF7352"/>
    <w:rsid w:val="00E009A3"/>
    <w:rsid w:val="00E01627"/>
    <w:rsid w:val="00E01E34"/>
    <w:rsid w:val="00E052DD"/>
    <w:rsid w:val="00E068D4"/>
    <w:rsid w:val="00E06E0C"/>
    <w:rsid w:val="00E10D29"/>
    <w:rsid w:val="00E118BB"/>
    <w:rsid w:val="00E11BE8"/>
    <w:rsid w:val="00E11E10"/>
    <w:rsid w:val="00E11FC2"/>
    <w:rsid w:val="00E13459"/>
    <w:rsid w:val="00E157AF"/>
    <w:rsid w:val="00E16436"/>
    <w:rsid w:val="00E165DF"/>
    <w:rsid w:val="00E16ED4"/>
    <w:rsid w:val="00E17C3E"/>
    <w:rsid w:val="00E17FDF"/>
    <w:rsid w:val="00E20199"/>
    <w:rsid w:val="00E23C93"/>
    <w:rsid w:val="00E2563D"/>
    <w:rsid w:val="00E25DFF"/>
    <w:rsid w:val="00E25E56"/>
    <w:rsid w:val="00E314EF"/>
    <w:rsid w:val="00E316C1"/>
    <w:rsid w:val="00E31AFC"/>
    <w:rsid w:val="00E322DF"/>
    <w:rsid w:val="00E32AA2"/>
    <w:rsid w:val="00E32D2F"/>
    <w:rsid w:val="00E34BBB"/>
    <w:rsid w:val="00E35456"/>
    <w:rsid w:val="00E35A5F"/>
    <w:rsid w:val="00E35F9F"/>
    <w:rsid w:val="00E363B5"/>
    <w:rsid w:val="00E40047"/>
    <w:rsid w:val="00E40707"/>
    <w:rsid w:val="00E409B4"/>
    <w:rsid w:val="00E40D86"/>
    <w:rsid w:val="00E440E9"/>
    <w:rsid w:val="00E4467B"/>
    <w:rsid w:val="00E44B3B"/>
    <w:rsid w:val="00E44D88"/>
    <w:rsid w:val="00E513C5"/>
    <w:rsid w:val="00E526CC"/>
    <w:rsid w:val="00E534A0"/>
    <w:rsid w:val="00E53703"/>
    <w:rsid w:val="00E54032"/>
    <w:rsid w:val="00E550B0"/>
    <w:rsid w:val="00E55AEF"/>
    <w:rsid w:val="00E57716"/>
    <w:rsid w:val="00E57893"/>
    <w:rsid w:val="00E57CD5"/>
    <w:rsid w:val="00E57DC5"/>
    <w:rsid w:val="00E60F27"/>
    <w:rsid w:val="00E65940"/>
    <w:rsid w:val="00E65BB4"/>
    <w:rsid w:val="00E676CE"/>
    <w:rsid w:val="00E67DD6"/>
    <w:rsid w:val="00E71C38"/>
    <w:rsid w:val="00E72148"/>
    <w:rsid w:val="00E723A5"/>
    <w:rsid w:val="00E7555C"/>
    <w:rsid w:val="00E76455"/>
    <w:rsid w:val="00E77A79"/>
    <w:rsid w:val="00E80432"/>
    <w:rsid w:val="00E814FB"/>
    <w:rsid w:val="00E82580"/>
    <w:rsid w:val="00E82D4A"/>
    <w:rsid w:val="00E849AE"/>
    <w:rsid w:val="00E8728A"/>
    <w:rsid w:val="00E87A35"/>
    <w:rsid w:val="00E90D09"/>
    <w:rsid w:val="00E94585"/>
    <w:rsid w:val="00E94BBF"/>
    <w:rsid w:val="00E95B6A"/>
    <w:rsid w:val="00E9691D"/>
    <w:rsid w:val="00E979FE"/>
    <w:rsid w:val="00EA2315"/>
    <w:rsid w:val="00EA624D"/>
    <w:rsid w:val="00EA642F"/>
    <w:rsid w:val="00EA6D45"/>
    <w:rsid w:val="00EA78D8"/>
    <w:rsid w:val="00EB0CA1"/>
    <w:rsid w:val="00EB20FF"/>
    <w:rsid w:val="00EB2B46"/>
    <w:rsid w:val="00EB417D"/>
    <w:rsid w:val="00EB4979"/>
    <w:rsid w:val="00EB5267"/>
    <w:rsid w:val="00EB5AD0"/>
    <w:rsid w:val="00EC04E1"/>
    <w:rsid w:val="00EC0AF7"/>
    <w:rsid w:val="00EC1FAE"/>
    <w:rsid w:val="00EC444F"/>
    <w:rsid w:val="00EC4E59"/>
    <w:rsid w:val="00ED0FFC"/>
    <w:rsid w:val="00ED5A2F"/>
    <w:rsid w:val="00ED5BF5"/>
    <w:rsid w:val="00ED5F85"/>
    <w:rsid w:val="00ED6F6F"/>
    <w:rsid w:val="00ED7FB0"/>
    <w:rsid w:val="00EE0288"/>
    <w:rsid w:val="00EE2D53"/>
    <w:rsid w:val="00EE4458"/>
    <w:rsid w:val="00EE4520"/>
    <w:rsid w:val="00EE47F7"/>
    <w:rsid w:val="00EE4DA6"/>
    <w:rsid w:val="00EE5860"/>
    <w:rsid w:val="00EE620D"/>
    <w:rsid w:val="00EE6732"/>
    <w:rsid w:val="00EF097B"/>
    <w:rsid w:val="00EF2CE3"/>
    <w:rsid w:val="00EF4338"/>
    <w:rsid w:val="00EF445E"/>
    <w:rsid w:val="00EF5508"/>
    <w:rsid w:val="00EF59B6"/>
    <w:rsid w:val="00EF6150"/>
    <w:rsid w:val="00EF6159"/>
    <w:rsid w:val="00EF6600"/>
    <w:rsid w:val="00EF7A2F"/>
    <w:rsid w:val="00F04F5C"/>
    <w:rsid w:val="00F055D7"/>
    <w:rsid w:val="00F05801"/>
    <w:rsid w:val="00F05E09"/>
    <w:rsid w:val="00F060F4"/>
    <w:rsid w:val="00F0751B"/>
    <w:rsid w:val="00F11E46"/>
    <w:rsid w:val="00F13611"/>
    <w:rsid w:val="00F20AD8"/>
    <w:rsid w:val="00F21A81"/>
    <w:rsid w:val="00F22B9D"/>
    <w:rsid w:val="00F24CF7"/>
    <w:rsid w:val="00F26BEB"/>
    <w:rsid w:val="00F277DE"/>
    <w:rsid w:val="00F326F9"/>
    <w:rsid w:val="00F3292D"/>
    <w:rsid w:val="00F33658"/>
    <w:rsid w:val="00F35BEC"/>
    <w:rsid w:val="00F36DA2"/>
    <w:rsid w:val="00F40C70"/>
    <w:rsid w:val="00F40DEE"/>
    <w:rsid w:val="00F411F7"/>
    <w:rsid w:val="00F412EE"/>
    <w:rsid w:val="00F448B8"/>
    <w:rsid w:val="00F44DC6"/>
    <w:rsid w:val="00F52AE8"/>
    <w:rsid w:val="00F52FFD"/>
    <w:rsid w:val="00F537A4"/>
    <w:rsid w:val="00F53890"/>
    <w:rsid w:val="00F557BB"/>
    <w:rsid w:val="00F55E12"/>
    <w:rsid w:val="00F56F91"/>
    <w:rsid w:val="00F578BC"/>
    <w:rsid w:val="00F57ED3"/>
    <w:rsid w:val="00F57F4B"/>
    <w:rsid w:val="00F6049F"/>
    <w:rsid w:val="00F609AB"/>
    <w:rsid w:val="00F61245"/>
    <w:rsid w:val="00F61771"/>
    <w:rsid w:val="00F6278E"/>
    <w:rsid w:val="00F62DDF"/>
    <w:rsid w:val="00F6467B"/>
    <w:rsid w:val="00F64BF3"/>
    <w:rsid w:val="00F656CF"/>
    <w:rsid w:val="00F66F8C"/>
    <w:rsid w:val="00F67A23"/>
    <w:rsid w:val="00F7057D"/>
    <w:rsid w:val="00F70810"/>
    <w:rsid w:val="00F71401"/>
    <w:rsid w:val="00F7153C"/>
    <w:rsid w:val="00F72A09"/>
    <w:rsid w:val="00F72C7E"/>
    <w:rsid w:val="00F73398"/>
    <w:rsid w:val="00F7791C"/>
    <w:rsid w:val="00F77EB9"/>
    <w:rsid w:val="00F77F61"/>
    <w:rsid w:val="00F821FD"/>
    <w:rsid w:val="00F82367"/>
    <w:rsid w:val="00F82E23"/>
    <w:rsid w:val="00F8303C"/>
    <w:rsid w:val="00F83D91"/>
    <w:rsid w:val="00F841AF"/>
    <w:rsid w:val="00F85CB7"/>
    <w:rsid w:val="00F86553"/>
    <w:rsid w:val="00F9136D"/>
    <w:rsid w:val="00F914C0"/>
    <w:rsid w:val="00F93EBB"/>
    <w:rsid w:val="00F940C0"/>
    <w:rsid w:val="00F96B64"/>
    <w:rsid w:val="00F9741D"/>
    <w:rsid w:val="00FA0D2F"/>
    <w:rsid w:val="00FA18BF"/>
    <w:rsid w:val="00FA2384"/>
    <w:rsid w:val="00FA3C44"/>
    <w:rsid w:val="00FA4849"/>
    <w:rsid w:val="00FA525D"/>
    <w:rsid w:val="00FB2007"/>
    <w:rsid w:val="00FB2013"/>
    <w:rsid w:val="00FB3453"/>
    <w:rsid w:val="00FB49C5"/>
    <w:rsid w:val="00FB4CF0"/>
    <w:rsid w:val="00FB5157"/>
    <w:rsid w:val="00FB5570"/>
    <w:rsid w:val="00FB7718"/>
    <w:rsid w:val="00FB7BD1"/>
    <w:rsid w:val="00FC085D"/>
    <w:rsid w:val="00FC0C56"/>
    <w:rsid w:val="00FC349A"/>
    <w:rsid w:val="00FC4D89"/>
    <w:rsid w:val="00FC531E"/>
    <w:rsid w:val="00FC68EF"/>
    <w:rsid w:val="00FC71F7"/>
    <w:rsid w:val="00FC7BD5"/>
    <w:rsid w:val="00FD2AC3"/>
    <w:rsid w:val="00FD45BA"/>
    <w:rsid w:val="00FD6F16"/>
    <w:rsid w:val="00FD7AF6"/>
    <w:rsid w:val="00FD7DA2"/>
    <w:rsid w:val="00FE237C"/>
    <w:rsid w:val="00FE2793"/>
    <w:rsid w:val="00FE3CDE"/>
    <w:rsid w:val="00FE5072"/>
    <w:rsid w:val="00FE516D"/>
    <w:rsid w:val="00FE535A"/>
    <w:rsid w:val="00FE5D0D"/>
    <w:rsid w:val="00FE6A98"/>
    <w:rsid w:val="00FE6CEC"/>
    <w:rsid w:val="00FE7E95"/>
    <w:rsid w:val="00FF38DD"/>
    <w:rsid w:val="00FF3DBC"/>
    <w:rsid w:val="00FF41B9"/>
    <w:rsid w:val="00FF438F"/>
    <w:rsid w:val="00FF4E4E"/>
    <w:rsid w:val="00FF5F14"/>
    <w:rsid w:val="00FF7970"/>
    <w:rsid w:val="00FF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white"/>
    </o:shapedefaults>
    <o:shapelayout v:ext="edit">
      <o:idmap v:ext="edit" data="2"/>
    </o:shapelayout>
  </w:shapeDefaults>
  <w:decimalSymbol w:val="."/>
  <w:listSeparator w:val=","/>
  <w14:docId w14:val="160605E1"/>
  <w15:docId w15:val="{51F4FFEC-94D5-492E-9BBC-2CADA037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321"/>
  </w:style>
  <w:style w:type="paragraph" w:styleId="1">
    <w:name w:val="heading 1"/>
    <w:basedOn w:val="a"/>
    <w:next w:val="a"/>
    <w:link w:val="10"/>
    <w:uiPriority w:val="9"/>
    <w:qFormat/>
    <w:rsid w:val="00B96C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96CD7"/>
    <w:pPr>
      <w:keepNext/>
      <w:keepLines/>
      <w:spacing w:before="40" w:after="0"/>
      <w:outlineLvl w:val="1"/>
    </w:pPr>
    <w:rPr>
      <w:rFonts w:ascii="Garamond" w:eastAsiaTheme="majorEastAsia" w:hAnsi="Garamond" w:cstheme="majorBidi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6C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2F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כותרת 1 תו"/>
    <w:basedOn w:val="a0"/>
    <w:link w:val="1"/>
    <w:uiPriority w:val="9"/>
    <w:rsid w:val="00B96C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B96CD7"/>
    <w:rPr>
      <w:rFonts w:ascii="Garamond" w:eastAsiaTheme="majorEastAsia" w:hAnsi="Garamond" w:cstheme="majorBidi"/>
      <w:sz w:val="26"/>
      <w:szCs w:val="26"/>
    </w:rPr>
  </w:style>
  <w:style w:type="character" w:customStyle="1" w:styleId="30">
    <w:name w:val="כותרת 3 תו"/>
    <w:basedOn w:val="a0"/>
    <w:link w:val="3"/>
    <w:uiPriority w:val="9"/>
    <w:semiHidden/>
    <w:rsid w:val="00B96CD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List Paragraph"/>
    <w:basedOn w:val="a"/>
    <w:uiPriority w:val="34"/>
    <w:qFormat/>
    <w:rsid w:val="00B96CD7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B96CD7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B96CD7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rsid w:val="00B96CD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96CD7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B96CD7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B96CD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c">
    <w:name w:val="טקסט בלונים תו"/>
    <w:basedOn w:val="a0"/>
    <w:link w:val="ab"/>
    <w:uiPriority w:val="99"/>
    <w:semiHidden/>
    <w:rsid w:val="00B96CD7"/>
    <w:rPr>
      <w:rFonts w:ascii="Tahoma" w:hAnsi="Tahoma" w:cs="Tahoma"/>
      <w:sz w:val="18"/>
      <w:szCs w:val="18"/>
    </w:rPr>
  </w:style>
  <w:style w:type="character" w:styleId="ad">
    <w:name w:val="Placeholder Text"/>
    <w:basedOn w:val="a0"/>
    <w:uiPriority w:val="99"/>
    <w:semiHidden/>
    <w:rsid w:val="00B96CD7"/>
    <w:rPr>
      <w:color w:val="808080"/>
    </w:rPr>
  </w:style>
  <w:style w:type="paragraph" w:styleId="ae">
    <w:name w:val="footnote text"/>
    <w:basedOn w:val="a"/>
    <w:link w:val="af"/>
    <w:uiPriority w:val="99"/>
    <w:unhideWhenUsed/>
    <w:rsid w:val="00B96CD7"/>
    <w:pPr>
      <w:spacing w:after="0" w:line="240" w:lineRule="auto"/>
    </w:pPr>
    <w:rPr>
      <w:sz w:val="20"/>
      <w:szCs w:val="20"/>
    </w:rPr>
  </w:style>
  <w:style w:type="character" w:customStyle="1" w:styleId="af">
    <w:name w:val="טקסט הערת שוליים תו"/>
    <w:basedOn w:val="a0"/>
    <w:link w:val="ae"/>
    <w:uiPriority w:val="99"/>
    <w:rsid w:val="00B96CD7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96CD7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B96CD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2">
    <w:name w:val="כותרת עליונה תו"/>
    <w:basedOn w:val="a0"/>
    <w:link w:val="af1"/>
    <w:uiPriority w:val="99"/>
    <w:rsid w:val="00B96CD7"/>
  </w:style>
  <w:style w:type="paragraph" w:styleId="af3">
    <w:name w:val="footer"/>
    <w:basedOn w:val="a"/>
    <w:link w:val="af4"/>
    <w:uiPriority w:val="99"/>
    <w:unhideWhenUsed/>
    <w:rsid w:val="00B96CD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4">
    <w:name w:val="כותרת תחתונה תו"/>
    <w:basedOn w:val="a0"/>
    <w:link w:val="af3"/>
    <w:uiPriority w:val="99"/>
    <w:rsid w:val="00B96CD7"/>
  </w:style>
  <w:style w:type="paragraph" w:styleId="af5">
    <w:name w:val="endnote text"/>
    <w:basedOn w:val="a"/>
    <w:link w:val="af6"/>
    <w:uiPriority w:val="99"/>
    <w:semiHidden/>
    <w:unhideWhenUsed/>
    <w:rsid w:val="00B96CD7"/>
    <w:pPr>
      <w:spacing w:after="0" w:line="240" w:lineRule="auto"/>
    </w:pPr>
    <w:rPr>
      <w:sz w:val="20"/>
      <w:szCs w:val="20"/>
    </w:rPr>
  </w:style>
  <w:style w:type="character" w:customStyle="1" w:styleId="af6">
    <w:name w:val="טקסט הערת סיום תו"/>
    <w:basedOn w:val="a0"/>
    <w:link w:val="af5"/>
    <w:uiPriority w:val="99"/>
    <w:semiHidden/>
    <w:rsid w:val="00B96CD7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B96CD7"/>
    <w:rPr>
      <w:vertAlign w:val="superscript"/>
    </w:rPr>
  </w:style>
  <w:style w:type="paragraph" w:styleId="af8">
    <w:name w:val="Bibliography"/>
    <w:basedOn w:val="a"/>
    <w:next w:val="a"/>
    <w:uiPriority w:val="37"/>
    <w:unhideWhenUsed/>
    <w:rsid w:val="00B96CD7"/>
  </w:style>
  <w:style w:type="paragraph" w:styleId="NormalWeb">
    <w:name w:val="Normal (Web)"/>
    <w:basedOn w:val="a"/>
    <w:uiPriority w:val="99"/>
    <w:unhideWhenUsed/>
    <w:rsid w:val="00B96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B96CD7"/>
    <w:rPr>
      <w:color w:val="0563C1" w:themeColor="hyperlink"/>
      <w:u w:val="single"/>
    </w:rPr>
  </w:style>
  <w:style w:type="paragraph" w:styleId="af9">
    <w:name w:val="Plain Text"/>
    <w:basedOn w:val="a"/>
    <w:link w:val="afa"/>
    <w:uiPriority w:val="99"/>
    <w:unhideWhenUsed/>
    <w:rsid w:val="00B96CD7"/>
    <w:pPr>
      <w:spacing w:after="0" w:line="240" w:lineRule="auto"/>
    </w:pPr>
    <w:rPr>
      <w:szCs w:val="21"/>
    </w:rPr>
  </w:style>
  <w:style w:type="character" w:customStyle="1" w:styleId="afa">
    <w:name w:val="טקסט רגיל תו"/>
    <w:basedOn w:val="a0"/>
    <w:link w:val="af9"/>
    <w:uiPriority w:val="99"/>
    <w:rsid w:val="00B96CD7"/>
    <w:rPr>
      <w:rFonts w:ascii="Calibri" w:hAnsi="Calibri"/>
      <w:szCs w:val="21"/>
    </w:rPr>
  </w:style>
  <w:style w:type="paragraph" w:styleId="afb">
    <w:name w:val="Revision"/>
    <w:hidden/>
    <w:uiPriority w:val="99"/>
    <w:semiHidden/>
    <w:rsid w:val="00B96CD7"/>
    <w:pPr>
      <w:spacing w:after="0" w:line="240" w:lineRule="auto"/>
    </w:pPr>
  </w:style>
  <w:style w:type="character" w:styleId="afc">
    <w:name w:val="Strong"/>
    <w:basedOn w:val="a0"/>
    <w:uiPriority w:val="22"/>
    <w:qFormat/>
    <w:rsid w:val="00B96CD7"/>
    <w:rPr>
      <w:b/>
      <w:bCs/>
    </w:rPr>
  </w:style>
  <w:style w:type="character" w:customStyle="1" w:styleId="title-text">
    <w:name w:val="title-text"/>
    <w:basedOn w:val="a0"/>
    <w:rsid w:val="00B96CD7"/>
  </w:style>
  <w:style w:type="character" w:styleId="afd">
    <w:name w:val="Emphasis"/>
    <w:basedOn w:val="a0"/>
    <w:uiPriority w:val="20"/>
    <w:qFormat/>
    <w:rsid w:val="00B96CD7"/>
    <w:rPr>
      <w:i/>
      <w:iCs/>
    </w:rPr>
  </w:style>
  <w:style w:type="character" w:customStyle="1" w:styleId="mixed-citation">
    <w:name w:val="mixed-citation"/>
    <w:basedOn w:val="a0"/>
    <w:rsid w:val="00B96CD7"/>
  </w:style>
  <w:style w:type="character" w:customStyle="1" w:styleId="ref-journal">
    <w:name w:val="ref-journal"/>
    <w:basedOn w:val="a0"/>
    <w:rsid w:val="00B96CD7"/>
  </w:style>
  <w:style w:type="character" w:customStyle="1" w:styleId="ref-vol">
    <w:name w:val="ref-vol"/>
    <w:basedOn w:val="a0"/>
    <w:rsid w:val="00B96CD7"/>
  </w:style>
  <w:style w:type="character" w:customStyle="1" w:styleId="nowrap">
    <w:name w:val="nowrap"/>
    <w:basedOn w:val="a0"/>
    <w:rsid w:val="00B96CD7"/>
  </w:style>
  <w:style w:type="character" w:customStyle="1" w:styleId="cit">
    <w:name w:val="cit"/>
    <w:basedOn w:val="a0"/>
    <w:rsid w:val="00B96CD7"/>
  </w:style>
  <w:style w:type="character" w:customStyle="1" w:styleId="fm-vol-iss-date">
    <w:name w:val="fm-vol-iss-date"/>
    <w:basedOn w:val="a0"/>
    <w:rsid w:val="00B96CD7"/>
  </w:style>
  <w:style w:type="character" w:customStyle="1" w:styleId="doi">
    <w:name w:val="doi"/>
    <w:basedOn w:val="a0"/>
    <w:rsid w:val="00B96CD7"/>
  </w:style>
  <w:style w:type="character" w:customStyle="1" w:styleId="fm-citation-ids-label">
    <w:name w:val="fm-citation-ids-label"/>
    <w:basedOn w:val="a0"/>
    <w:rsid w:val="00B96CD7"/>
  </w:style>
  <w:style w:type="character" w:customStyle="1" w:styleId="il">
    <w:name w:val="il"/>
    <w:basedOn w:val="a0"/>
    <w:rsid w:val="00B96CD7"/>
  </w:style>
  <w:style w:type="table" w:styleId="afe">
    <w:name w:val="Table Grid"/>
    <w:basedOn w:val="a1"/>
    <w:uiPriority w:val="39"/>
    <w:rsid w:val="009F5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line number"/>
    <w:basedOn w:val="a0"/>
    <w:uiPriority w:val="99"/>
    <w:semiHidden/>
    <w:unhideWhenUsed/>
    <w:rsid w:val="001F6AAA"/>
  </w:style>
  <w:style w:type="character" w:customStyle="1" w:styleId="40">
    <w:name w:val="כותרת 4 תו"/>
    <w:basedOn w:val="a0"/>
    <w:link w:val="4"/>
    <w:uiPriority w:val="9"/>
    <w:semiHidden/>
    <w:rsid w:val="00AC2FF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FollowedHyperlink">
    <w:name w:val="FollowedHyperlink"/>
    <w:basedOn w:val="a0"/>
    <w:uiPriority w:val="99"/>
    <w:semiHidden/>
    <w:unhideWhenUsed/>
    <w:rsid w:val="00AD6121"/>
    <w:rPr>
      <w:color w:val="954F72" w:themeColor="followedHyperlink"/>
      <w:u w:val="single"/>
    </w:rPr>
  </w:style>
  <w:style w:type="paragraph" w:styleId="aff0">
    <w:name w:val="No Spacing"/>
    <w:uiPriority w:val="1"/>
    <w:qFormat/>
    <w:rsid w:val="008766D9"/>
    <w:pPr>
      <w:spacing w:after="0" w:line="240" w:lineRule="auto"/>
    </w:pPr>
  </w:style>
  <w:style w:type="paragraph" w:customStyle="1" w:styleId="EndNoteBibliographyTitle">
    <w:name w:val="EndNote Bibliography Title"/>
    <w:basedOn w:val="a"/>
    <w:rsid w:val="008E381B"/>
    <w:pPr>
      <w:spacing w:after="0"/>
      <w:jc w:val="center"/>
    </w:pPr>
  </w:style>
  <w:style w:type="paragraph" w:customStyle="1" w:styleId="EndNoteBibliography">
    <w:name w:val="EndNote Bibliography"/>
    <w:basedOn w:val="a"/>
    <w:rsid w:val="008E381B"/>
    <w:pPr>
      <w:spacing w:line="240" w:lineRule="auto"/>
    </w:pPr>
  </w:style>
  <w:style w:type="paragraph" w:styleId="aff1">
    <w:name w:val="Subtitle"/>
    <w:basedOn w:val="a"/>
    <w:next w:val="a"/>
    <w:link w:val="aff2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1">
    <w:name w:val="3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12">
    <w:name w:val="אזכור לא מזוהה1"/>
    <w:basedOn w:val="a0"/>
    <w:uiPriority w:val="99"/>
    <w:semiHidden/>
    <w:unhideWhenUsed/>
    <w:rsid w:val="00CA45F5"/>
    <w:rPr>
      <w:color w:val="605E5C"/>
      <w:shd w:val="clear" w:color="auto" w:fill="E1DFDD"/>
    </w:rPr>
  </w:style>
  <w:style w:type="character" w:customStyle="1" w:styleId="50">
    <w:name w:val="כותרת 5 תו"/>
    <w:basedOn w:val="a0"/>
    <w:link w:val="5"/>
    <w:uiPriority w:val="9"/>
    <w:semiHidden/>
    <w:rsid w:val="007438FA"/>
    <w:rPr>
      <w:b/>
    </w:rPr>
  </w:style>
  <w:style w:type="character" w:customStyle="1" w:styleId="60">
    <w:name w:val="כותרת 6 תו"/>
    <w:basedOn w:val="a0"/>
    <w:link w:val="6"/>
    <w:uiPriority w:val="9"/>
    <w:semiHidden/>
    <w:rsid w:val="007438FA"/>
    <w:rPr>
      <w:b/>
      <w:sz w:val="20"/>
      <w:szCs w:val="20"/>
    </w:rPr>
  </w:style>
  <w:style w:type="character" w:customStyle="1" w:styleId="a4">
    <w:name w:val="כותרת טקסט תו"/>
    <w:basedOn w:val="a0"/>
    <w:link w:val="a3"/>
    <w:uiPriority w:val="10"/>
    <w:rsid w:val="007438FA"/>
    <w:rPr>
      <w:b/>
      <w:sz w:val="72"/>
      <w:szCs w:val="72"/>
    </w:rPr>
  </w:style>
  <w:style w:type="character" w:customStyle="1" w:styleId="aff2">
    <w:name w:val="כותרת משנה תו"/>
    <w:basedOn w:val="a0"/>
    <w:link w:val="aff1"/>
    <w:uiPriority w:val="11"/>
    <w:rsid w:val="007438FA"/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95434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95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45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3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65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66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0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11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52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4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up671QmgTbcLFTWZzf6dKqRDpw==">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</go:docsCustomData>
</go:gDocsCustomXmlDataStorage>
</file>

<file path=customXml/itemProps1.xml><?xml version="1.0" encoding="utf-8"?>
<ds:datastoreItem xmlns:ds="http://schemas.openxmlformats.org/officeDocument/2006/customXml" ds:itemID="{9F1DB9F4-6E08-404E-B966-F98BBD6E56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3052</Words>
  <Characters>15264</Characters>
  <Application>Microsoft Office Word</Application>
  <DocSecurity>0</DocSecurity>
  <Lines>127</Lines>
  <Paragraphs>36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daniel_bernstein</dc:creator>
  <cp:keywords/>
  <dc:description/>
  <cp:lastModifiedBy>daniel bernstein</cp:lastModifiedBy>
  <cp:revision>3</cp:revision>
  <cp:lastPrinted>2023-02-05T19:45:00Z</cp:lastPrinted>
  <dcterms:created xsi:type="dcterms:W3CDTF">2026-09-27T08:08:00Z</dcterms:created>
  <dcterms:modified xsi:type="dcterms:W3CDTF">2026-09-27T08:08:00Z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6cab9c6c-81a1-31fc-b255-d5d08e3bf777</vt:lpwstr>
  </property>
  <property fmtid="{D5CDD505-2E9C-101B-9397-08002B2CF9AE}" pid="4" name="Mendeley Citation Style_1">
    <vt:lpwstr>http://www.zotero.org/styles/vancouver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7th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 6th edition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10th edition - Harvard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8th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  <property fmtid="{D5CDD505-2E9C-101B-9397-08002B2CF9AE}" pid="25" name="GrammarlyDocumentId">
    <vt:lpwstr>4037ee200d43e5270680cd078927e4d6fe3a8ac990b29a5d30c282ebbd63e355</vt:lpwstr>
  </property>
</Properties>
</file>