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533C" w:rsidRPr="00654D26" w:rsidRDefault="00F134FB" w:rsidP="008E21DE">
      <w:pPr>
        <w:rPr>
          <w:sz w:val="24"/>
          <w:szCs w:val="24"/>
        </w:rPr>
      </w:pPr>
      <w:bookmarkStart w:id="0" w:name="_GoBack"/>
      <w:bookmarkEnd w:id="0"/>
      <w:r w:rsidRPr="00654D26">
        <w:rPr>
          <w:rFonts w:asciiTheme="majorBidi" w:hAnsiTheme="majorBidi" w:cstheme="majorBidi"/>
          <w:b/>
          <w:bCs/>
          <w:sz w:val="24"/>
          <w:szCs w:val="24"/>
        </w:rPr>
        <w:t xml:space="preserve">Appendix1: </w:t>
      </w:r>
      <w:r w:rsidR="008E21DE" w:rsidRPr="00654D26">
        <w:rPr>
          <w:rFonts w:asciiTheme="majorBidi" w:hAnsiTheme="majorBidi" w:cstheme="majorBidi"/>
          <w:b/>
          <w:bCs/>
          <w:sz w:val="24"/>
          <w:szCs w:val="24"/>
        </w:rPr>
        <w:t>Key Appropriateness Criteria for Chest CT Prescription Based on the Iranian National COVID-19 Guidelines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0F369F" w:rsidRPr="00654D26" w:rsidTr="000F369F">
        <w:tc>
          <w:tcPr>
            <w:tcW w:w="3116" w:type="dxa"/>
          </w:tcPr>
          <w:p w:rsidR="000F369F" w:rsidRPr="00654D26" w:rsidRDefault="000F369F" w:rsidP="000F369F">
            <w:pPr>
              <w:rPr>
                <w:rFonts w:asciiTheme="majorBidi" w:hAnsiTheme="majorBidi" w:cstheme="majorBidi"/>
                <w:b/>
                <w:bCs/>
                <w:color w:val="0F1115"/>
                <w:sz w:val="24"/>
                <w:szCs w:val="24"/>
              </w:rPr>
            </w:pPr>
            <w:r w:rsidRPr="00654D26">
              <w:rPr>
                <w:rFonts w:asciiTheme="majorBidi" w:hAnsiTheme="majorBidi" w:cstheme="majorBidi"/>
                <w:b/>
                <w:bCs/>
                <w:color w:val="0F1115"/>
                <w:sz w:val="24"/>
                <w:szCs w:val="24"/>
              </w:rPr>
              <w:t>Guideline Version</w:t>
            </w:r>
          </w:p>
          <w:p w:rsidR="000F369F" w:rsidRPr="00654D26" w:rsidRDefault="000F369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:rsidR="000F369F" w:rsidRPr="00654D26" w:rsidRDefault="000F369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54D2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Period Applied</w:t>
            </w:r>
          </w:p>
        </w:tc>
        <w:tc>
          <w:tcPr>
            <w:tcW w:w="3117" w:type="dxa"/>
          </w:tcPr>
          <w:p w:rsidR="000F369F" w:rsidRPr="00654D26" w:rsidRDefault="000F369F">
            <w:pPr>
              <w:rPr>
                <w:sz w:val="24"/>
                <w:szCs w:val="24"/>
              </w:rPr>
            </w:pPr>
            <w:r w:rsidRPr="00654D2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Key Appropriateness Criteria for </w:t>
            </w:r>
            <w:r w:rsidR="008E21DE" w:rsidRPr="00654D2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Chest </w:t>
            </w:r>
            <w:r w:rsidRPr="00654D2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CT Prescription</w:t>
            </w:r>
          </w:p>
        </w:tc>
      </w:tr>
      <w:tr w:rsidR="000F369F" w:rsidRPr="00654D26" w:rsidTr="000F369F">
        <w:tc>
          <w:tcPr>
            <w:tcW w:w="3116" w:type="dxa"/>
          </w:tcPr>
          <w:p w:rsidR="000F369F" w:rsidRPr="00654D26" w:rsidRDefault="000F369F" w:rsidP="000F369F">
            <w:pPr>
              <w:rPr>
                <w:rFonts w:asciiTheme="majorBidi" w:hAnsiTheme="majorBidi" w:cstheme="majorBidi"/>
                <w:color w:val="0F1115"/>
                <w:sz w:val="24"/>
                <w:szCs w:val="24"/>
              </w:rPr>
            </w:pPr>
            <w:r w:rsidRPr="00654D26">
              <w:rPr>
                <w:rFonts w:asciiTheme="majorBidi" w:hAnsiTheme="majorBidi" w:cstheme="majorBidi"/>
                <w:color w:val="0F1115"/>
                <w:sz w:val="24"/>
                <w:szCs w:val="24"/>
              </w:rPr>
              <w:t>Version 7</w:t>
            </w:r>
          </w:p>
          <w:p w:rsidR="000F369F" w:rsidRPr="00654D26" w:rsidRDefault="000F369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117" w:type="dxa"/>
          </w:tcPr>
          <w:p w:rsidR="000F369F" w:rsidRPr="00654D26" w:rsidRDefault="00F134F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54D26">
              <w:rPr>
                <w:rFonts w:asciiTheme="majorBidi" w:hAnsiTheme="majorBidi" w:cstheme="majorBidi"/>
                <w:sz w:val="24"/>
                <w:szCs w:val="24"/>
              </w:rPr>
              <w:t>from27 June 2020</w:t>
            </w:r>
          </w:p>
        </w:tc>
        <w:tc>
          <w:tcPr>
            <w:tcW w:w="3117" w:type="dxa"/>
          </w:tcPr>
          <w:p w:rsidR="000F369F" w:rsidRPr="00654D26" w:rsidRDefault="005E1472">
            <w:pPr>
              <w:rPr>
                <w:sz w:val="24"/>
                <w:szCs w:val="24"/>
              </w:rPr>
            </w:pPr>
            <w:r w:rsidRPr="00654D26">
              <w:rPr>
                <w:rFonts w:asciiTheme="majorBidi" w:hAnsiTheme="majorBidi" w:cstheme="majorBidi"/>
                <w:sz w:val="24"/>
                <w:szCs w:val="24"/>
              </w:rPr>
              <w:t>Chest CT was recommended only when clinically indicated, particularly for hospitalized patients, high-risk individuals, or when imaging findings were expected to influence diagnosis or clinical management.</w:t>
            </w:r>
          </w:p>
        </w:tc>
      </w:tr>
      <w:tr w:rsidR="000F369F" w:rsidRPr="00654D26" w:rsidTr="000F369F">
        <w:tc>
          <w:tcPr>
            <w:tcW w:w="3116" w:type="dxa"/>
          </w:tcPr>
          <w:p w:rsidR="000F369F" w:rsidRPr="00654D26" w:rsidRDefault="000F369F" w:rsidP="000F369F">
            <w:pPr>
              <w:rPr>
                <w:rFonts w:asciiTheme="majorBidi" w:hAnsiTheme="majorBidi" w:cstheme="majorBidi"/>
                <w:color w:val="0F1115"/>
                <w:sz w:val="24"/>
                <w:szCs w:val="24"/>
              </w:rPr>
            </w:pPr>
            <w:r w:rsidRPr="00654D26">
              <w:rPr>
                <w:rFonts w:asciiTheme="majorBidi" w:hAnsiTheme="majorBidi" w:cstheme="majorBidi"/>
                <w:color w:val="0F1115"/>
                <w:sz w:val="24"/>
                <w:szCs w:val="24"/>
              </w:rPr>
              <w:t>Version 8</w:t>
            </w:r>
          </w:p>
          <w:p w:rsidR="000F369F" w:rsidRPr="00654D26" w:rsidRDefault="000F369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117" w:type="dxa"/>
          </w:tcPr>
          <w:p w:rsidR="000F369F" w:rsidRPr="00654D26" w:rsidRDefault="00F134F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54D26">
              <w:rPr>
                <w:rFonts w:asciiTheme="majorBidi" w:hAnsiTheme="majorBidi" w:cstheme="majorBidi"/>
                <w:sz w:val="24"/>
                <w:szCs w:val="24"/>
              </w:rPr>
              <w:t xml:space="preserve"> from September 2020</w:t>
            </w:r>
          </w:p>
        </w:tc>
        <w:tc>
          <w:tcPr>
            <w:tcW w:w="3117" w:type="dxa"/>
          </w:tcPr>
          <w:p w:rsidR="000F369F" w:rsidRPr="00654D26" w:rsidRDefault="005E1472" w:rsidP="005E1472">
            <w:pPr>
              <w:rPr>
                <w:sz w:val="24"/>
                <w:szCs w:val="24"/>
              </w:rPr>
            </w:pPr>
            <w:r w:rsidRPr="00654D26">
              <w:rPr>
                <w:rFonts w:asciiTheme="majorBidi" w:hAnsiTheme="majorBidi" w:cstheme="majorBidi"/>
                <w:sz w:val="24"/>
                <w:szCs w:val="24"/>
              </w:rPr>
              <w:t>Chest CT remained indication-based and was reserved for patients in whom imaging findings could influence clinical management.</w:t>
            </w:r>
          </w:p>
        </w:tc>
      </w:tr>
      <w:tr w:rsidR="000F369F" w:rsidRPr="00654D26" w:rsidTr="000F369F">
        <w:tc>
          <w:tcPr>
            <w:tcW w:w="3116" w:type="dxa"/>
          </w:tcPr>
          <w:p w:rsidR="000F369F" w:rsidRPr="00654D26" w:rsidRDefault="000F369F" w:rsidP="000F369F">
            <w:pPr>
              <w:rPr>
                <w:rFonts w:asciiTheme="majorBidi" w:hAnsiTheme="majorBidi" w:cstheme="majorBidi"/>
                <w:color w:val="0F1115"/>
                <w:sz w:val="24"/>
                <w:szCs w:val="24"/>
              </w:rPr>
            </w:pPr>
            <w:r w:rsidRPr="00654D26">
              <w:rPr>
                <w:rFonts w:asciiTheme="majorBidi" w:hAnsiTheme="majorBidi" w:cstheme="majorBidi"/>
                <w:color w:val="0F1115"/>
                <w:sz w:val="24"/>
                <w:szCs w:val="24"/>
              </w:rPr>
              <w:t>Version 9</w:t>
            </w:r>
          </w:p>
          <w:p w:rsidR="000F369F" w:rsidRPr="00654D26" w:rsidRDefault="000F369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117" w:type="dxa"/>
          </w:tcPr>
          <w:p w:rsidR="000F369F" w:rsidRPr="00654D26" w:rsidRDefault="00F134F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54D26">
              <w:rPr>
                <w:rFonts w:asciiTheme="majorBidi" w:hAnsiTheme="majorBidi" w:cstheme="majorBidi"/>
                <w:sz w:val="24"/>
                <w:szCs w:val="24"/>
              </w:rPr>
              <w:t>from December 2020</w:t>
            </w:r>
          </w:p>
        </w:tc>
        <w:tc>
          <w:tcPr>
            <w:tcW w:w="3117" w:type="dxa"/>
          </w:tcPr>
          <w:p w:rsidR="000F369F" w:rsidRPr="00654D26" w:rsidRDefault="00AF415C" w:rsidP="00094007">
            <w:pPr>
              <w:rPr>
                <w:sz w:val="24"/>
                <w:szCs w:val="24"/>
              </w:rPr>
            </w:pPr>
            <w:r w:rsidRPr="00654D26">
              <w:rPr>
                <w:rFonts w:asciiTheme="majorBidi" w:hAnsiTheme="majorBidi" w:cstheme="majorBidi"/>
                <w:sz w:val="24"/>
                <w:szCs w:val="24"/>
              </w:rPr>
              <w:t>Chest CT continued to be recommended only for selected patients with clinical indications, including disease progression or suspected pulmonary involvement.</w:t>
            </w:r>
          </w:p>
        </w:tc>
      </w:tr>
    </w:tbl>
    <w:p w:rsidR="000F369F" w:rsidRPr="00654D26" w:rsidRDefault="000F369F" w:rsidP="007554D0">
      <w:pPr>
        <w:rPr>
          <w:sz w:val="24"/>
          <w:szCs w:val="24"/>
        </w:rPr>
      </w:pPr>
    </w:p>
    <w:p w:rsidR="007554D0" w:rsidRPr="00654D26" w:rsidRDefault="007554D0" w:rsidP="00AF415C">
      <w:pPr>
        <w:rPr>
          <w:rFonts w:asciiTheme="majorBidi" w:hAnsiTheme="majorBidi" w:cstheme="majorBidi"/>
          <w:sz w:val="24"/>
          <w:szCs w:val="24"/>
        </w:rPr>
      </w:pPr>
      <w:r w:rsidRPr="00654D26">
        <w:rPr>
          <w:rFonts w:asciiTheme="majorBidi" w:hAnsiTheme="majorBidi" w:cstheme="majorBidi"/>
          <w:sz w:val="24"/>
          <w:szCs w:val="24"/>
        </w:rPr>
        <w:t xml:space="preserve">Note: Recommendations were summarized from versions 7-9 of </w:t>
      </w:r>
      <w:r w:rsidR="00AF415C" w:rsidRPr="00654D26">
        <w:rPr>
          <w:rFonts w:asciiTheme="majorBidi" w:hAnsiTheme="majorBidi" w:cstheme="majorBidi"/>
          <w:sz w:val="24"/>
          <w:szCs w:val="24"/>
        </w:rPr>
        <w:t xml:space="preserve">the </w:t>
      </w:r>
      <w:r w:rsidRPr="00654D26">
        <w:rPr>
          <w:rFonts w:asciiTheme="majorBidi" w:hAnsiTheme="majorBidi" w:cstheme="majorBidi"/>
          <w:sz w:val="24"/>
          <w:szCs w:val="24"/>
        </w:rPr>
        <w:t xml:space="preserve">Iranian National Guideline for </w:t>
      </w:r>
      <w:r w:rsidR="00AF415C" w:rsidRPr="00654D26">
        <w:rPr>
          <w:rFonts w:asciiTheme="majorBidi" w:hAnsiTheme="majorBidi" w:cstheme="majorBidi"/>
          <w:sz w:val="24"/>
          <w:szCs w:val="24"/>
        </w:rPr>
        <w:t>the D</w:t>
      </w:r>
      <w:r w:rsidRPr="00654D26">
        <w:rPr>
          <w:rFonts w:asciiTheme="majorBidi" w:hAnsiTheme="majorBidi" w:cstheme="majorBidi"/>
          <w:sz w:val="24"/>
          <w:szCs w:val="24"/>
        </w:rPr>
        <w:t xml:space="preserve">iagnosis and </w:t>
      </w:r>
      <w:r w:rsidR="00AF415C" w:rsidRPr="00654D26">
        <w:rPr>
          <w:rFonts w:asciiTheme="majorBidi" w:hAnsiTheme="majorBidi" w:cstheme="majorBidi"/>
          <w:sz w:val="24"/>
          <w:szCs w:val="24"/>
        </w:rPr>
        <w:t>M</w:t>
      </w:r>
      <w:r w:rsidRPr="00654D26">
        <w:rPr>
          <w:rFonts w:asciiTheme="majorBidi" w:hAnsiTheme="majorBidi" w:cstheme="majorBidi"/>
          <w:sz w:val="24"/>
          <w:szCs w:val="24"/>
        </w:rPr>
        <w:t xml:space="preserve">anagement of COVID-19 in </w:t>
      </w:r>
      <w:r w:rsidR="00AF415C" w:rsidRPr="00654D26">
        <w:rPr>
          <w:rFonts w:asciiTheme="majorBidi" w:hAnsiTheme="majorBidi" w:cstheme="majorBidi"/>
          <w:sz w:val="24"/>
          <w:szCs w:val="24"/>
        </w:rPr>
        <w:t>O</w:t>
      </w:r>
      <w:r w:rsidRPr="00654D26">
        <w:rPr>
          <w:rFonts w:asciiTheme="majorBidi" w:hAnsiTheme="majorBidi" w:cstheme="majorBidi"/>
          <w:sz w:val="24"/>
          <w:szCs w:val="24"/>
        </w:rPr>
        <w:t xml:space="preserve">utpatient and </w:t>
      </w:r>
      <w:r w:rsidR="00AF415C" w:rsidRPr="00654D26">
        <w:rPr>
          <w:rFonts w:asciiTheme="majorBidi" w:hAnsiTheme="majorBidi" w:cstheme="majorBidi"/>
          <w:sz w:val="24"/>
          <w:szCs w:val="24"/>
        </w:rPr>
        <w:t>I</w:t>
      </w:r>
      <w:r w:rsidRPr="00654D26">
        <w:rPr>
          <w:rFonts w:asciiTheme="majorBidi" w:hAnsiTheme="majorBidi" w:cstheme="majorBidi"/>
          <w:sz w:val="24"/>
          <w:szCs w:val="24"/>
        </w:rPr>
        <w:t xml:space="preserve">npatient </w:t>
      </w:r>
      <w:r w:rsidR="00AF415C" w:rsidRPr="00654D26">
        <w:rPr>
          <w:rFonts w:asciiTheme="majorBidi" w:hAnsiTheme="majorBidi" w:cstheme="majorBidi"/>
          <w:sz w:val="24"/>
          <w:szCs w:val="24"/>
        </w:rPr>
        <w:t>C</w:t>
      </w:r>
      <w:r w:rsidRPr="00654D26">
        <w:rPr>
          <w:rFonts w:asciiTheme="majorBidi" w:hAnsiTheme="majorBidi" w:cstheme="majorBidi"/>
          <w:sz w:val="24"/>
          <w:szCs w:val="24"/>
        </w:rPr>
        <w:t xml:space="preserve">are </w:t>
      </w:r>
      <w:r w:rsidR="00AF415C" w:rsidRPr="00654D26">
        <w:rPr>
          <w:rFonts w:asciiTheme="majorBidi" w:hAnsiTheme="majorBidi" w:cstheme="majorBidi"/>
          <w:sz w:val="24"/>
          <w:szCs w:val="24"/>
        </w:rPr>
        <w:t>S</w:t>
      </w:r>
      <w:r w:rsidRPr="00654D26">
        <w:rPr>
          <w:rFonts w:asciiTheme="majorBidi" w:hAnsiTheme="majorBidi" w:cstheme="majorBidi"/>
          <w:sz w:val="24"/>
          <w:szCs w:val="24"/>
        </w:rPr>
        <w:t>etting. Only key recommendation</w:t>
      </w:r>
      <w:r w:rsidR="008E21DE" w:rsidRPr="00654D26">
        <w:rPr>
          <w:rFonts w:asciiTheme="majorBidi" w:hAnsiTheme="majorBidi" w:cstheme="majorBidi"/>
          <w:sz w:val="24"/>
          <w:szCs w:val="24"/>
        </w:rPr>
        <w:t>s</w:t>
      </w:r>
      <w:r w:rsidRPr="00654D26">
        <w:rPr>
          <w:rFonts w:asciiTheme="majorBidi" w:hAnsiTheme="majorBidi" w:cstheme="majorBidi"/>
          <w:sz w:val="24"/>
          <w:szCs w:val="24"/>
        </w:rPr>
        <w:t xml:space="preserve"> regarding chest CT utilization are presented.</w:t>
      </w:r>
    </w:p>
    <w:sectPr w:rsidR="007554D0" w:rsidRPr="00654D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E50"/>
    <w:rsid w:val="00094007"/>
    <w:rsid w:val="000F369F"/>
    <w:rsid w:val="00131E50"/>
    <w:rsid w:val="0014531C"/>
    <w:rsid w:val="005E1472"/>
    <w:rsid w:val="00654D26"/>
    <w:rsid w:val="006A64A6"/>
    <w:rsid w:val="0070533C"/>
    <w:rsid w:val="007554D0"/>
    <w:rsid w:val="008E21DE"/>
    <w:rsid w:val="00AF415C"/>
    <w:rsid w:val="00F13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29A600-DEE7-4930-9B93-C64926DA9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F36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98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9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HyperDigital</dc:creator>
  <cp:keywords/>
  <dc:description/>
  <cp:lastModifiedBy>HyperDigital</cp:lastModifiedBy>
  <cp:revision>10</cp:revision>
  <dcterms:created xsi:type="dcterms:W3CDTF">2026-09-03T06:52:00Z</dcterms:created>
  <dcterms:modified xsi:type="dcterms:W3CDTF">2026-09-12T21:59:00Z</dcterms:modified>
</cp:coreProperties>
</file>