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62AF1">
      <w:pPr>
        <w:spacing w:line="480" w:lineRule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Pairwise Comparisons of Adjusted BMD Changes Across Non-TDF Intervention Regimens at Week 48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</w:p>
    <w:tbl>
      <w:tblPr>
        <w:tblStyle w:val="4"/>
        <w:tblpPr w:leftFromText="180" w:rightFromText="180" w:vertAnchor="text" w:horzAnchor="page" w:tblpX="1513" w:tblpY="634"/>
        <w:tblOverlap w:val="never"/>
        <w:tblW w:w="13987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2693"/>
        <w:gridCol w:w="990"/>
        <w:gridCol w:w="240"/>
        <w:gridCol w:w="2700"/>
        <w:gridCol w:w="1012"/>
        <w:gridCol w:w="240"/>
        <w:gridCol w:w="2850"/>
        <w:gridCol w:w="1065"/>
      </w:tblGrid>
      <w:tr w14:paraId="15C4848E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4DDA4FA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bidi="ar"/>
              </w:rPr>
              <w:t>Variable</w:t>
            </w:r>
          </w:p>
        </w:tc>
        <w:tc>
          <w:tcPr>
            <w:tcW w:w="36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1ABBF1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  <w:p w14:paraId="1404273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(Demographic)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AC389E0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1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D1447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2 </w:t>
            </w:r>
          </w:p>
          <w:p w14:paraId="34E36E9B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(Primary clinical model)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08781EA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29EF01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3</w:t>
            </w:r>
          </w:p>
          <w:p w14:paraId="453C68F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(Sensitivity / Bone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arkers)</w:t>
            </w:r>
          </w:p>
        </w:tc>
      </w:tr>
      <w:tr w14:paraId="012E2B73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0E088C0B">
            <w:pPr>
              <w:spacing w:line="48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ABFC3D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ean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ifference </w:t>
            </w:r>
          </w:p>
          <w:p w14:paraId="1E3CF291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(95%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BCa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CI)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B983C54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BF1406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E1BE9B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ean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ifference </w:t>
            </w:r>
          </w:p>
          <w:p w14:paraId="5A298E91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(95%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BCa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CI)</w:t>
            </w: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35DA5C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240C340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F17A5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ean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ifference </w:t>
            </w:r>
          </w:p>
          <w:p w14:paraId="6502547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(95%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BCa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CI)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5F94A4D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14:paraId="695DE1C5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7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577321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N</w:t>
            </w:r>
          </w:p>
        </w:tc>
      </w:tr>
      <w:tr w14:paraId="13D4F65D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03460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14:paraId="59F7A49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vs. BIC/FTC/TAF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299D0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3EE31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0CA001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4CCB51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2A5D24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CF1BE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6B2FA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4AAAC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307</w:t>
            </w:r>
          </w:p>
        </w:tc>
      </w:tr>
      <w:tr w14:paraId="2C101430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895303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14:paraId="2641E2A3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vs.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DTG/3TC group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5D9345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55AC0E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C088F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01D0FE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6D3027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858C9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E7AE6F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D59A4F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</w:tr>
      <w:tr w14:paraId="27C351EE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384D5D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BIC/FTC/TAF </w:t>
            </w:r>
          </w:p>
          <w:p w14:paraId="6F0D83E1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vs.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DTG/3TC group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CEE89E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BA53D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0.989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4337A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D01169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1182E2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0.919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03C38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7B3E5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5F6138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920</w:t>
            </w:r>
          </w:p>
        </w:tc>
      </w:tr>
      <w:tr w14:paraId="0594C03A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CB870D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H</w:t>
            </w:r>
          </w:p>
        </w:tc>
      </w:tr>
      <w:tr w14:paraId="7342F283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2ACFF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14:paraId="22F6C4A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vs. BIC/FTC/TAF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F4E67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-0.02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to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0.04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82B0B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564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6326B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5A7B5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-0.02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to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0.04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9213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361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7F751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5DE7A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-0.02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to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0.04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7A2C2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507</w:t>
            </w:r>
          </w:p>
        </w:tc>
      </w:tr>
      <w:tr w14:paraId="59AAFB47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20B97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14:paraId="50904D3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vs.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DTG/3TC group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58029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AE96F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57D60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3472A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02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D4474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3788C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4C92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02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7EEC3A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</w:tr>
      <w:tr w14:paraId="7D87B534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DFCBF6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BIC/FTC/TAF </w:t>
            </w:r>
          </w:p>
          <w:p w14:paraId="59512C10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vs.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DTG/3TC group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650FA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2CB91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4840B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4F6F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B6E1C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833B3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357D11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01E1DB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</w:tr>
      <w:tr w14:paraId="13CA6CCB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E53ED8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S</w:t>
            </w:r>
          </w:p>
        </w:tc>
      </w:tr>
      <w:tr w14:paraId="6871C9AB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327CA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14:paraId="27F6F52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vs. BIC/FTC/TAF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AA523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-0.02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to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736A02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0.33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C247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315D3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-0.01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to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5A4AB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1B21A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6C17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-0.02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to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463E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301</w:t>
            </w:r>
          </w:p>
        </w:tc>
      </w:tr>
      <w:tr w14:paraId="4986C150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5B0C1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14:paraId="4D3CDD5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vs.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DTG/3TC group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740864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-0.06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844CC0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BC738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35E1FF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032E8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EC2E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D1441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-0.02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-0.05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52E00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463</w:t>
            </w:r>
          </w:p>
        </w:tc>
      </w:tr>
      <w:tr w14:paraId="23BEEBBE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C924FB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BIC/FTC/TAF </w:t>
            </w:r>
          </w:p>
          <w:p w14:paraId="3C1FB9E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right="0" w:rightChars="0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vs.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DTG/3TC group 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82BF404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-0.08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393D0529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078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4FBC93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A631C38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-0.08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73E771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096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26AC894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59DA3D8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 xml:space="preserve">8 to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1)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BA35349">
            <w:pPr>
              <w:widowControl/>
              <w:spacing w:line="48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095</w:t>
            </w:r>
          </w:p>
        </w:tc>
      </w:tr>
    </w:tbl>
    <w:p w14:paraId="7E3E0AE4">
      <w:pPr>
        <w:autoSpaceDE w:val="0"/>
        <w:autoSpaceDN w:val="0"/>
        <w:adjustRightInd w:val="0"/>
        <w:spacing w:after="0" w:line="480" w:lineRule="auto"/>
        <w:jc w:val="both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Sample sizes for all multivariable models were n =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33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for TDF+ZOL group, n =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55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for BIC/FTC/TAF group, and n =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57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for DTG/3TC group.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Adjusted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ean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ifferences and 95% CIs were estimated using Bootstrap ANCOVA models (2,000 resamples, BCa 95% CI).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eastAsia="zh-CN"/>
        </w:rPr>
        <w:t>P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-values were adjusted for multiple comparisons using the Bonferroni correction. Model 1 : Adjusted for baseline BMD at the corresponding site, age, and BMI. Model 2: Further adjusted for baseline CD4 count, TDF duration, eGFR, serum calcium, serum phosphate, current smoking status, and alcohol consumption. Model 3: Further adjusted for baseline bone turnover markers (baseline </w:t>
      </w:r>
      <w:r>
        <w:rPr>
          <w:rFonts w:ascii="Times New Roman" w:hAnsi="Times New Roman" w:cs="Times New Roman"/>
          <w:sz w:val="24"/>
          <w:szCs w:val="24"/>
          <w:lang w:eastAsia="zh-CN"/>
        </w:rPr>
        <w:t>β-CTX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and baseline P1NP) in addition to Model 2 covariates. Abbreviations: BMD, bone mineral density; CI, confidence interval; FN, femoral neck；TH, total hip; LS, lumbar spine;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TDF, tenofovir disoproxil fumarate; ZOL, zoledronic acid; BIC/FTC/TAF, bictegravir/emtricitabine/tenofovir alafenamide; DTG/3TC, dolutegravir/lamivudine;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β-CTX, β-C-terminal telopeptide of type 1 collagen; P1NP, procollagen type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N-terminal propeptide.</w:t>
      </w:r>
    </w:p>
    <w:p w14:paraId="17E2090B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688A2A28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194B506F"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17F355B">
      <w:pPr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Sensitivity analysis of multivariable-adjusted absolute differences in BMD change from baseline to week 48 across treatment groups using multiple imputation.</w:t>
      </w:r>
    </w:p>
    <w:tbl>
      <w:tblPr>
        <w:tblStyle w:val="4"/>
        <w:tblW w:w="1299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2175"/>
        <w:gridCol w:w="1023"/>
        <w:gridCol w:w="240"/>
        <w:gridCol w:w="2085"/>
        <w:gridCol w:w="1075"/>
        <w:gridCol w:w="240"/>
        <w:gridCol w:w="2087"/>
        <w:gridCol w:w="1022"/>
      </w:tblGrid>
      <w:tr w14:paraId="586D6E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0688AC1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31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7A37EF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  <w:p w14:paraId="45873DA1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(Demographic)</w:t>
            </w:r>
          </w:p>
        </w:tc>
        <w:tc>
          <w:tcPr>
            <w:tcW w:w="24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B9C366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rPr>
                <w:rFonts w:hint="default"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CEA6ED5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2 </w:t>
            </w:r>
          </w:p>
          <w:p w14:paraId="3B62830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(Primary clinical model)</w:t>
            </w:r>
          </w:p>
        </w:tc>
        <w:tc>
          <w:tcPr>
            <w:tcW w:w="24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26A7D3E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rPr>
                <w:rFonts w:hint="default"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1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7742839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3</w:t>
            </w:r>
          </w:p>
          <w:p w14:paraId="0B13A7CB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(Sensitivity / Bone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arkers)</w:t>
            </w:r>
          </w:p>
        </w:tc>
      </w:tr>
      <w:tr w14:paraId="7CFF2E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654B5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eastAsia="等线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AE05A6D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ean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ifference (95%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BCa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CI)</w:t>
            </w:r>
          </w:p>
        </w:tc>
        <w:tc>
          <w:tcPr>
            <w:tcW w:w="10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781523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24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56DA03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eastAsia="等线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B944A8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ean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ifference </w:t>
            </w:r>
          </w:p>
          <w:p w14:paraId="633E4B5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(95%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BCa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CI)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D40584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24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357863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eastAsia="等线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950C5B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ean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ifference </w:t>
            </w:r>
          </w:p>
          <w:p w14:paraId="7711803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(95%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BCa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CI)</w:t>
            </w: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FB543E0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14:paraId="574593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67C6D3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N</w:t>
            </w:r>
          </w:p>
        </w:tc>
      </w:tr>
      <w:tr w14:paraId="6D0ABC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929E34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(n=48)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CFD70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FF48B0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4E3241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28A91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B9E27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5FA4D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872CD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72B19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 w:bidi="ar-SA"/>
              </w:rPr>
              <w:t>-</w:t>
            </w:r>
          </w:p>
        </w:tc>
      </w:tr>
      <w:tr w14:paraId="567878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</w:tcPr>
          <w:p w14:paraId="1F0F49C7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(n=37)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E3E0C3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9B5FBE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A5941C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C96377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8D9F1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023ABD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B81FF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F5952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14:paraId="279784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</w:tcPr>
          <w:p w14:paraId="038D27F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BIC/FTC/TAF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(n=70)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434C4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5D325C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05DFEA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FFADC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B99176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90E5F9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7615A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2A3DF4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14:paraId="3F7FE8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</w:tcPr>
          <w:p w14:paraId="1F425F8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DTG/3TC group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(n=68)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D7995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A30CCE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F0388A7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96321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879747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CFE376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11BF5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F3D36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14:paraId="1C0AE6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2C857E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H</w:t>
            </w:r>
          </w:p>
        </w:tc>
      </w:tr>
      <w:tr w14:paraId="0ECC62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EBB61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(n=48)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AF0164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4E683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FA2417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293FF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303F2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9FB83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AED9C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FD350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 w:bidi="ar-SA"/>
              </w:rPr>
              <w:t>-</w:t>
            </w:r>
          </w:p>
        </w:tc>
      </w:tr>
      <w:tr w14:paraId="2D5076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EC73E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(n=37)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DE06F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0.08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22A97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9BA17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EBF88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0.08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04A9E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5941C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5BE026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0.08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3DCA3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14:paraId="545D90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0C9994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BIC/FTC/TAF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(n=70)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B9E9F1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 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15F2E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91519D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22063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83874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F11203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EE7F6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958A36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14:paraId="5E9A8A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B1A2B3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DTG/3TC group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(n=68)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624E7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 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81EDD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156B9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04A19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F22E67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EBA28D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09921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9D937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14:paraId="5CBED3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D5D2E17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S</w:t>
            </w:r>
          </w:p>
        </w:tc>
      </w:tr>
      <w:tr w14:paraId="112F22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F5642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(n=48)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F0A98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4CFF6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095CD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085D0F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4D43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94491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80A0E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67AB99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 w:bidi="ar-SA"/>
              </w:rPr>
              <w:t>-</w:t>
            </w:r>
          </w:p>
        </w:tc>
      </w:tr>
      <w:tr w14:paraId="64898E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F83D17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TDF+ZOL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(n=37)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16FAA1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 0.08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F40EDC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A4E10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F2DF2B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0.09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2A2EF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09AD1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1D4556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 to 0.08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AF181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14:paraId="3BD321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AE586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BIC/FTC/TAF group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(n=70)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6AF242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 to 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6BDCF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1E19D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14E5C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0.04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BBDDB4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970DB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74F65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0.04 to 0.06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9F568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14:paraId="7BC931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F68F4A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DTG/3TC group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(n=68)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419DB90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0.09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0.09 to 0.10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4D369CA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B5157DD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5CD8C61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0.09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0.08 to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CF59688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13EDE75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D53C450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0.09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0.08 to 0.10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C9AE61E">
            <w:pPr>
              <w:keepNext w:val="0"/>
              <w:keepLines w:val="0"/>
              <w:widowControl/>
              <w:suppressLineNumbers w:val="0"/>
              <w:spacing w:before="0" w:beforeAutospacing="0" w:afterAutospacing="0" w:line="480" w:lineRule="auto"/>
              <w:ind w:left="0" w:leftChars="0" w:right="0" w:rightChars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</w:tbl>
    <w:p w14:paraId="13DD414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Sensitivity analysis was performed on 20 imputed datasets created by Multiple Imputation by Chained Equations (MICE). Estimates were pooled using Rubin’s rules based on single-factor analysis of covariance (ANCOVA).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Model 1 : Adjusted for baseline BMD at the corresponding site, age, and BMI. Model 2: Further adjusted for baseline CD4 count, TDF duration, eGFR, serum calcium, serum phosphate, current smoking status, and alcohol consumption. Model 3: Further adjusted for baseline bone turnover markers (baseline </w:t>
      </w:r>
      <w:r>
        <w:rPr>
          <w:rFonts w:ascii="Times New Roman" w:hAnsi="Times New Roman" w:cs="Times New Roman"/>
          <w:sz w:val="24"/>
          <w:szCs w:val="24"/>
          <w:lang w:eastAsia="zh-CN"/>
        </w:rPr>
        <w:t>β-CTX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and baseline P1NP) in addition to Model 2 covariates. Abbreviations: BMD, bone mineral density; CI, confidence interval; FN, femoral neck；TH, total hip; LS, lumbar spine;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TDF, tenofovir disoproxil fumarate; ZOL, zoledronic acid; BIC/FTC/TAF, bictegravir/emtricitabine/tenofovir alafenamide; DTG/3TC, dolutegravir/lamivudine;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β-CTX, β-C-terminal telopeptide of type 1 collagen; P1NP, procollagen type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N-terminal propeptide.</w:t>
      </w:r>
    </w:p>
    <w:p w14:paraId="7AA80D63"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0EE27AA"/>
    <w:rsid w:val="009D2BC6"/>
    <w:rsid w:val="009E177A"/>
    <w:rsid w:val="00D15A65"/>
    <w:rsid w:val="00EE27AA"/>
    <w:rsid w:val="02B42411"/>
    <w:rsid w:val="051F19A7"/>
    <w:rsid w:val="06876A53"/>
    <w:rsid w:val="079F032A"/>
    <w:rsid w:val="0998577A"/>
    <w:rsid w:val="0DA1063B"/>
    <w:rsid w:val="166938A9"/>
    <w:rsid w:val="180E0E3D"/>
    <w:rsid w:val="18242AEC"/>
    <w:rsid w:val="18404E5A"/>
    <w:rsid w:val="19954284"/>
    <w:rsid w:val="19AC217C"/>
    <w:rsid w:val="1C8E4DD0"/>
    <w:rsid w:val="1DF77DC1"/>
    <w:rsid w:val="22F9408B"/>
    <w:rsid w:val="254867B0"/>
    <w:rsid w:val="27F74EFE"/>
    <w:rsid w:val="284A76E7"/>
    <w:rsid w:val="2C017F9A"/>
    <w:rsid w:val="2C1136BA"/>
    <w:rsid w:val="2C2B47D1"/>
    <w:rsid w:val="33CC137A"/>
    <w:rsid w:val="34866895"/>
    <w:rsid w:val="35655942"/>
    <w:rsid w:val="3F871C1D"/>
    <w:rsid w:val="40DA6139"/>
    <w:rsid w:val="46741CBB"/>
    <w:rsid w:val="499B3055"/>
    <w:rsid w:val="4A8A3813"/>
    <w:rsid w:val="512F4777"/>
    <w:rsid w:val="576508E6"/>
    <w:rsid w:val="57F21722"/>
    <w:rsid w:val="57FC6AB1"/>
    <w:rsid w:val="580B1533"/>
    <w:rsid w:val="5834109E"/>
    <w:rsid w:val="583E147B"/>
    <w:rsid w:val="5E910FB6"/>
    <w:rsid w:val="60D84646"/>
    <w:rsid w:val="64A33A41"/>
    <w:rsid w:val="66582EDD"/>
    <w:rsid w:val="67762CFD"/>
    <w:rsid w:val="68743605"/>
    <w:rsid w:val="6F9D0CA2"/>
    <w:rsid w:val="6FC60B61"/>
    <w:rsid w:val="702819B0"/>
    <w:rsid w:val="726C0DD9"/>
    <w:rsid w:val="731808B4"/>
    <w:rsid w:val="74B73857"/>
    <w:rsid w:val="7B766933"/>
    <w:rsid w:val="7B864D55"/>
    <w:rsid w:val="7C61163B"/>
    <w:rsid w:val="7CB705DE"/>
    <w:rsid w:val="7E16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738</Words>
  <Characters>4102</Characters>
  <Lines>268</Lines>
  <Paragraphs>191</Paragraphs>
  <TotalTime>0</TotalTime>
  <ScaleCrop>false</ScaleCrop>
  <LinksUpToDate>false</LinksUpToDate>
  <CharactersWithSpaces>4672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2024-11-18T14:11:00Z</dcterms:created>
  <dc:creator>梁雪蕾</dc:creator>
  <cp:lastModifiedBy>小米兔</cp:lastModifiedBy>
  <dcterms:modified xsi:type="dcterms:W3CDTF">2026-10-04T16:08:47Z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6ADDDAE77C114950A3E6C82FA0FACE4F_12</vt:lpwstr>
  </property>
  <property fmtid="{D5CDD505-2E9C-101B-9397-08002B2CF9AE}" pid="4" name="KSOTemplateDocerSaveRecord">
    <vt:lpwstr>eyJoZGlkIjoiM2FiZDIzMjBhYjY3YjcwYmIxYWI1NjM4YzVmYjEyMDMiLCJ1c2VySWQiOiI0MzY2NDQ5ODAifQ==</vt:lpwstr>
  </property>
</Properties>
</file>