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67180" w14:textId="77777777" w:rsidR="00CA3518" w:rsidRPr="00D978D5" w:rsidRDefault="00E80D6A" w:rsidP="00D978D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978D5">
        <w:rPr>
          <w:rFonts w:ascii="Times New Roman" w:hAnsi="Times New Roman" w:cs="Times New Roman"/>
          <w:b/>
          <w:bCs/>
          <w:sz w:val="24"/>
          <w:szCs w:val="24"/>
        </w:rPr>
        <w:t>Additional file 2. TRIPOD+AI Checklist</w:t>
      </w:r>
    </w:p>
    <w:p w14:paraId="2BBE2AAC" w14:textId="4C75DF5B" w:rsidR="00933832" w:rsidRPr="00D978D5" w:rsidRDefault="00E80D6A" w:rsidP="00D978D5">
      <w:pPr>
        <w:rPr>
          <w:rFonts w:ascii="Times New Roman" w:hAnsi="Times New Roman" w:cs="Times New Roman"/>
          <w:sz w:val="22"/>
        </w:rPr>
      </w:pPr>
      <w:r w:rsidRPr="00D978D5">
        <w:rPr>
          <w:rFonts w:ascii="Times New Roman" w:hAnsi="Times New Roman" w:cs="Times New Roman"/>
          <w:sz w:val="22"/>
        </w:rPr>
        <w:t>Based on TRIPOD+AI (Collins GS, Moons KGM, Dhiman P, et al. BMJ 2024;</w:t>
      </w:r>
      <w:proofErr w:type="gramStart"/>
      <w:r w:rsidRPr="00D978D5">
        <w:rPr>
          <w:rFonts w:ascii="Times New Roman" w:hAnsi="Times New Roman" w:cs="Times New Roman"/>
          <w:sz w:val="22"/>
        </w:rPr>
        <w:t>385:e</w:t>
      </w:r>
      <w:proofErr w:type="gramEnd"/>
      <w:r w:rsidRPr="00D978D5">
        <w:rPr>
          <w:rFonts w:ascii="Times New Roman" w:hAnsi="Times New Roman" w:cs="Times New Roman"/>
          <w:sz w:val="22"/>
        </w:rPr>
        <w:t xml:space="preserve">078378). D = development; E = evaluation; </w:t>
      </w:r>
      <w:proofErr w:type="gramStart"/>
      <w:r w:rsidRPr="00D978D5">
        <w:rPr>
          <w:rFonts w:ascii="Times New Roman" w:hAnsi="Times New Roman" w:cs="Times New Roman"/>
          <w:sz w:val="22"/>
        </w:rPr>
        <w:t>D;E</w:t>
      </w:r>
      <w:proofErr w:type="gramEnd"/>
      <w:r w:rsidRPr="00D978D5">
        <w:rPr>
          <w:rFonts w:ascii="Times New Roman" w:hAnsi="Times New Roman" w:cs="Times New Roman"/>
          <w:sz w:val="22"/>
        </w:rPr>
        <w:t xml:space="preserve"> = applicable to both.</w:t>
      </w:r>
    </w:p>
    <w:tbl>
      <w:tblPr>
        <w:tblStyle w:val="aff1"/>
        <w:tblW w:w="0" w:type="auto"/>
        <w:tblLook w:val="04A0" w:firstRow="1" w:lastRow="0" w:firstColumn="1" w:lastColumn="0" w:noHBand="0" w:noVBand="1"/>
      </w:tblPr>
      <w:tblGrid>
        <w:gridCol w:w="1701"/>
        <w:gridCol w:w="680"/>
        <w:gridCol w:w="737"/>
        <w:gridCol w:w="6520"/>
        <w:gridCol w:w="3402"/>
      </w:tblGrid>
      <w:tr w:rsidR="00933832" w:rsidRPr="00B369EE" w14:paraId="1EA06D3B" w14:textId="77777777" w:rsidTr="00B7177E">
        <w:trPr>
          <w:cantSplit/>
          <w:tblHeader/>
        </w:trPr>
        <w:tc>
          <w:tcPr>
            <w:tcW w:w="1701" w:type="dxa"/>
          </w:tcPr>
          <w:p w14:paraId="3977DA0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Section/Topic</w:t>
            </w:r>
          </w:p>
        </w:tc>
        <w:tc>
          <w:tcPr>
            <w:tcW w:w="680" w:type="dxa"/>
          </w:tcPr>
          <w:p w14:paraId="45F34A2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Item</w:t>
            </w:r>
          </w:p>
        </w:tc>
        <w:tc>
          <w:tcPr>
            <w:tcW w:w="737" w:type="dxa"/>
          </w:tcPr>
          <w:p w14:paraId="21719D2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D/E</w:t>
            </w:r>
          </w:p>
        </w:tc>
        <w:tc>
          <w:tcPr>
            <w:tcW w:w="6520" w:type="dxa"/>
          </w:tcPr>
          <w:p w14:paraId="1EA7B8B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Checklist item</w:t>
            </w:r>
          </w:p>
        </w:tc>
        <w:tc>
          <w:tcPr>
            <w:tcW w:w="3402" w:type="dxa"/>
          </w:tcPr>
          <w:p w14:paraId="2366178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Reported in section</w:t>
            </w:r>
          </w:p>
        </w:tc>
      </w:tr>
      <w:tr w:rsidR="00933832" w:rsidRPr="00B369EE" w14:paraId="785160BF" w14:textId="77777777" w:rsidTr="00C41233">
        <w:trPr>
          <w:cantSplit/>
        </w:trPr>
        <w:tc>
          <w:tcPr>
            <w:tcW w:w="3402" w:type="dxa"/>
            <w:gridSpan w:val="5"/>
          </w:tcPr>
          <w:p w14:paraId="0B8B413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TITLE</w:t>
            </w:r>
          </w:p>
        </w:tc>
      </w:tr>
      <w:tr w:rsidR="00933832" w:rsidRPr="00B369EE" w14:paraId="26E30353" w14:textId="77777777">
        <w:trPr>
          <w:cantSplit/>
        </w:trPr>
        <w:tc>
          <w:tcPr>
            <w:tcW w:w="1701" w:type="dxa"/>
          </w:tcPr>
          <w:p w14:paraId="64F97F1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Title</w:t>
            </w:r>
          </w:p>
        </w:tc>
        <w:tc>
          <w:tcPr>
            <w:tcW w:w="680" w:type="dxa"/>
          </w:tcPr>
          <w:p w14:paraId="528C766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737" w:type="dxa"/>
          </w:tcPr>
          <w:p w14:paraId="71A8503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6119802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Identify the study as developing or evaluating the performance of a multivariable prediction model, the target population, and the outcome to be predicted</w:t>
            </w:r>
          </w:p>
        </w:tc>
        <w:tc>
          <w:tcPr>
            <w:tcW w:w="3402" w:type="dxa"/>
          </w:tcPr>
          <w:p w14:paraId="2A55567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Title</w:t>
            </w:r>
          </w:p>
        </w:tc>
      </w:tr>
      <w:tr w:rsidR="00933832" w:rsidRPr="00B369EE" w14:paraId="1125D389" w14:textId="77777777" w:rsidTr="00C41233">
        <w:trPr>
          <w:cantSplit/>
        </w:trPr>
        <w:tc>
          <w:tcPr>
            <w:tcW w:w="3402" w:type="dxa"/>
            <w:gridSpan w:val="5"/>
          </w:tcPr>
          <w:p w14:paraId="6E0356C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ABSTRACT</w:t>
            </w:r>
          </w:p>
        </w:tc>
      </w:tr>
      <w:tr w:rsidR="00933832" w:rsidRPr="00B369EE" w14:paraId="4F36CCEB" w14:textId="77777777">
        <w:trPr>
          <w:cantSplit/>
        </w:trPr>
        <w:tc>
          <w:tcPr>
            <w:tcW w:w="1701" w:type="dxa"/>
          </w:tcPr>
          <w:p w14:paraId="7330F95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Abstract</w:t>
            </w:r>
          </w:p>
        </w:tc>
        <w:tc>
          <w:tcPr>
            <w:tcW w:w="680" w:type="dxa"/>
          </w:tcPr>
          <w:p w14:paraId="38D9B4B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737" w:type="dxa"/>
          </w:tcPr>
          <w:p w14:paraId="12F719D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2CA61D0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See TRIPOD+AI for Abstracts checklist</w:t>
            </w:r>
          </w:p>
        </w:tc>
        <w:tc>
          <w:tcPr>
            <w:tcW w:w="3402" w:type="dxa"/>
          </w:tcPr>
          <w:p w14:paraId="7BB44E8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Abstract</w:t>
            </w:r>
          </w:p>
        </w:tc>
      </w:tr>
      <w:tr w:rsidR="00933832" w:rsidRPr="00B369EE" w14:paraId="78ECBFB3" w14:textId="77777777" w:rsidTr="00C41233">
        <w:trPr>
          <w:cantSplit/>
        </w:trPr>
        <w:tc>
          <w:tcPr>
            <w:tcW w:w="3402" w:type="dxa"/>
            <w:gridSpan w:val="5"/>
          </w:tcPr>
          <w:p w14:paraId="04602EB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INTRODUCTION</w:t>
            </w:r>
          </w:p>
        </w:tc>
      </w:tr>
      <w:tr w:rsidR="00933832" w:rsidRPr="00B369EE" w14:paraId="08A1E6AC" w14:textId="77777777">
        <w:trPr>
          <w:cantSplit/>
        </w:trPr>
        <w:tc>
          <w:tcPr>
            <w:tcW w:w="1701" w:type="dxa"/>
          </w:tcPr>
          <w:p w14:paraId="2D83301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Background</w:t>
            </w:r>
          </w:p>
        </w:tc>
        <w:tc>
          <w:tcPr>
            <w:tcW w:w="680" w:type="dxa"/>
          </w:tcPr>
          <w:p w14:paraId="1CD891C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3a</w:t>
            </w:r>
          </w:p>
        </w:tc>
        <w:tc>
          <w:tcPr>
            <w:tcW w:w="737" w:type="dxa"/>
          </w:tcPr>
          <w:p w14:paraId="3B5DA50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12911C0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Explain the healthcare context and rationale for developing or evaluating the prediction model, including references to existing models</w:t>
            </w:r>
          </w:p>
        </w:tc>
        <w:tc>
          <w:tcPr>
            <w:tcW w:w="3402" w:type="dxa"/>
          </w:tcPr>
          <w:p w14:paraId="63ECA5C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Background</w:t>
            </w:r>
          </w:p>
        </w:tc>
      </w:tr>
      <w:tr w:rsidR="00933832" w:rsidRPr="00B369EE" w14:paraId="3C5527DE" w14:textId="77777777">
        <w:trPr>
          <w:cantSplit/>
        </w:trPr>
        <w:tc>
          <w:tcPr>
            <w:tcW w:w="1701" w:type="dxa"/>
          </w:tcPr>
          <w:p w14:paraId="461AFA40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13FF31B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3b</w:t>
            </w:r>
          </w:p>
        </w:tc>
        <w:tc>
          <w:tcPr>
            <w:tcW w:w="737" w:type="dxa"/>
          </w:tcPr>
          <w:p w14:paraId="4022B90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0F213E4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the target population and the intended purpose of the prediction model in the context of the care pathway, including its intended users</w:t>
            </w:r>
          </w:p>
        </w:tc>
        <w:tc>
          <w:tcPr>
            <w:tcW w:w="3402" w:type="dxa"/>
          </w:tcPr>
          <w:p w14:paraId="095FD40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Background</w:t>
            </w:r>
          </w:p>
        </w:tc>
      </w:tr>
      <w:tr w:rsidR="00933832" w:rsidRPr="00B369EE" w14:paraId="1D26DAB8" w14:textId="77777777">
        <w:trPr>
          <w:cantSplit/>
        </w:trPr>
        <w:tc>
          <w:tcPr>
            <w:tcW w:w="1701" w:type="dxa"/>
          </w:tcPr>
          <w:p w14:paraId="29E75301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2A6821A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3c</w:t>
            </w:r>
          </w:p>
        </w:tc>
        <w:tc>
          <w:tcPr>
            <w:tcW w:w="737" w:type="dxa"/>
          </w:tcPr>
          <w:p w14:paraId="77E0112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69FE1CC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any known health inequalities between sociodemographic groups</w:t>
            </w:r>
          </w:p>
        </w:tc>
        <w:tc>
          <w:tcPr>
            <w:tcW w:w="3402" w:type="dxa"/>
          </w:tcPr>
          <w:p w14:paraId="54A370A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Background (age-stratified rationale); no separate analysis of sociodemographic health inequalities was undertaken</w:t>
            </w:r>
          </w:p>
        </w:tc>
      </w:tr>
      <w:tr w:rsidR="00933832" w:rsidRPr="00B369EE" w14:paraId="07A9ADA3" w14:textId="77777777">
        <w:trPr>
          <w:cantSplit/>
        </w:trPr>
        <w:tc>
          <w:tcPr>
            <w:tcW w:w="1701" w:type="dxa"/>
          </w:tcPr>
          <w:p w14:paraId="76A182F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Objectives</w:t>
            </w:r>
          </w:p>
        </w:tc>
        <w:tc>
          <w:tcPr>
            <w:tcW w:w="680" w:type="dxa"/>
          </w:tcPr>
          <w:p w14:paraId="2D29E11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737" w:type="dxa"/>
          </w:tcPr>
          <w:p w14:paraId="3AAD4BB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253F21F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Specify the study objectives, including whether the study describes the development or validation of a prediction model (or both)</w:t>
            </w:r>
          </w:p>
        </w:tc>
        <w:tc>
          <w:tcPr>
            <w:tcW w:w="3402" w:type="dxa"/>
          </w:tcPr>
          <w:p w14:paraId="0207FE0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Background (final paragraph)</w:t>
            </w:r>
          </w:p>
        </w:tc>
      </w:tr>
      <w:tr w:rsidR="00933832" w:rsidRPr="00B369EE" w14:paraId="57025C35" w14:textId="77777777" w:rsidTr="00C41233">
        <w:trPr>
          <w:cantSplit/>
        </w:trPr>
        <w:tc>
          <w:tcPr>
            <w:tcW w:w="3402" w:type="dxa"/>
            <w:gridSpan w:val="5"/>
          </w:tcPr>
          <w:p w14:paraId="1376FE3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</w:t>
            </w:r>
          </w:p>
        </w:tc>
      </w:tr>
      <w:tr w:rsidR="00933832" w:rsidRPr="00B369EE" w14:paraId="69C9DAD5" w14:textId="77777777">
        <w:trPr>
          <w:cantSplit/>
        </w:trPr>
        <w:tc>
          <w:tcPr>
            <w:tcW w:w="1701" w:type="dxa"/>
          </w:tcPr>
          <w:p w14:paraId="1098339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Data</w:t>
            </w:r>
          </w:p>
        </w:tc>
        <w:tc>
          <w:tcPr>
            <w:tcW w:w="680" w:type="dxa"/>
          </w:tcPr>
          <w:p w14:paraId="3A00BB7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5a</w:t>
            </w:r>
          </w:p>
        </w:tc>
        <w:tc>
          <w:tcPr>
            <w:tcW w:w="737" w:type="dxa"/>
          </w:tcPr>
          <w:p w14:paraId="4923BAB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7ABFB29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the sources of data separately for the development and evaluation datasets, the rationale for using these data, and representativeness of the data</w:t>
            </w:r>
          </w:p>
        </w:tc>
        <w:tc>
          <w:tcPr>
            <w:tcW w:w="3402" w:type="dxa"/>
          </w:tcPr>
          <w:p w14:paraId="2732FAB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Sources (single sentinel hospital; development and evaluation data come from the same source and are separated chronologically)</w:t>
            </w:r>
          </w:p>
        </w:tc>
      </w:tr>
      <w:tr w:rsidR="00933832" w:rsidRPr="00B369EE" w14:paraId="008BE96F" w14:textId="77777777">
        <w:trPr>
          <w:cantSplit/>
        </w:trPr>
        <w:tc>
          <w:tcPr>
            <w:tcW w:w="1701" w:type="dxa"/>
          </w:tcPr>
          <w:p w14:paraId="7FDD03BA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5CE4FB6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5b</w:t>
            </w:r>
          </w:p>
        </w:tc>
        <w:tc>
          <w:tcPr>
            <w:tcW w:w="737" w:type="dxa"/>
          </w:tcPr>
          <w:p w14:paraId="578E13A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0095016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Specify the dates of the collected participant data, including start and end of participant accrual</w:t>
            </w:r>
          </w:p>
        </w:tc>
        <w:tc>
          <w:tcPr>
            <w:tcW w:w="3402" w:type="dxa"/>
          </w:tcPr>
          <w:p w14:paraId="6F6493E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Sources (November 1, 2023 to July 31, 2026; 1004 consecutive days)</w:t>
            </w:r>
          </w:p>
        </w:tc>
      </w:tr>
      <w:tr w:rsidR="00933832" w:rsidRPr="00B369EE" w14:paraId="7D8F5AA3" w14:textId="77777777">
        <w:trPr>
          <w:cantSplit/>
        </w:trPr>
        <w:tc>
          <w:tcPr>
            <w:tcW w:w="1701" w:type="dxa"/>
          </w:tcPr>
          <w:p w14:paraId="1286E96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Participants</w:t>
            </w:r>
          </w:p>
        </w:tc>
        <w:tc>
          <w:tcPr>
            <w:tcW w:w="680" w:type="dxa"/>
          </w:tcPr>
          <w:p w14:paraId="5CB57A2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6a</w:t>
            </w:r>
          </w:p>
        </w:tc>
        <w:tc>
          <w:tcPr>
            <w:tcW w:w="737" w:type="dxa"/>
          </w:tcPr>
          <w:p w14:paraId="391BE5B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7E47D6B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Specify key elements of the study setting including the number and location of centres</w:t>
            </w:r>
          </w:p>
        </w:tc>
        <w:tc>
          <w:tcPr>
            <w:tcW w:w="3402" w:type="dxa"/>
          </w:tcPr>
          <w:p w14:paraId="25064B9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Sources (single sentinel hospital, Guangzhou)</w:t>
            </w:r>
          </w:p>
        </w:tc>
      </w:tr>
      <w:tr w:rsidR="00933832" w:rsidRPr="00B369EE" w14:paraId="01C81559" w14:textId="77777777">
        <w:trPr>
          <w:cantSplit/>
        </w:trPr>
        <w:tc>
          <w:tcPr>
            <w:tcW w:w="1701" w:type="dxa"/>
          </w:tcPr>
          <w:p w14:paraId="7F951D8A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169B40E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6b</w:t>
            </w:r>
          </w:p>
        </w:tc>
        <w:tc>
          <w:tcPr>
            <w:tcW w:w="737" w:type="dxa"/>
          </w:tcPr>
          <w:p w14:paraId="5D169F6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47EF4F4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the eligibility criteria for study participants</w:t>
            </w:r>
          </w:p>
        </w:tc>
        <w:tc>
          <w:tcPr>
            <w:tcW w:w="3402" w:type="dxa"/>
          </w:tcPr>
          <w:p w14:paraId="42C1042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Sources (FRI syndrome / fever-clinic definition)</w:t>
            </w:r>
          </w:p>
        </w:tc>
      </w:tr>
      <w:tr w:rsidR="00933832" w:rsidRPr="00B369EE" w14:paraId="023C6AD4" w14:textId="77777777">
        <w:trPr>
          <w:cantSplit/>
        </w:trPr>
        <w:tc>
          <w:tcPr>
            <w:tcW w:w="1701" w:type="dxa"/>
          </w:tcPr>
          <w:p w14:paraId="73E7A303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1865A65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6c</w:t>
            </w:r>
          </w:p>
        </w:tc>
        <w:tc>
          <w:tcPr>
            <w:tcW w:w="737" w:type="dxa"/>
          </w:tcPr>
          <w:p w14:paraId="0EAA8ED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40370CB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Give details of any treatments received, and how they were handled during model development or evaluation, if relevant</w:t>
            </w:r>
          </w:p>
        </w:tc>
        <w:tc>
          <w:tcPr>
            <w:tcW w:w="3402" w:type="dxa"/>
          </w:tcPr>
          <w:p w14:paraId="1AEFF2A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Not applicable: surveillance forecasting study, no treatment exposure</w:t>
            </w:r>
          </w:p>
        </w:tc>
      </w:tr>
      <w:tr w:rsidR="00933832" w:rsidRPr="00B369EE" w14:paraId="13DAF7D2" w14:textId="77777777">
        <w:trPr>
          <w:cantSplit/>
        </w:trPr>
        <w:tc>
          <w:tcPr>
            <w:tcW w:w="1701" w:type="dxa"/>
          </w:tcPr>
          <w:p w14:paraId="62DAF40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lastRenderedPageBreak/>
              <w:t>Data preparation</w:t>
            </w:r>
          </w:p>
        </w:tc>
        <w:tc>
          <w:tcPr>
            <w:tcW w:w="680" w:type="dxa"/>
          </w:tcPr>
          <w:p w14:paraId="04D1509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7</w:t>
            </w:r>
          </w:p>
        </w:tc>
        <w:tc>
          <w:tcPr>
            <w:tcW w:w="737" w:type="dxa"/>
          </w:tcPr>
          <w:p w14:paraId="6D0CC43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1DD016E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any data pre-processing and quality checking, including whether this was similar across relevant sociodemographic groups</w:t>
            </w:r>
          </w:p>
        </w:tc>
        <w:tc>
          <w:tcPr>
            <w:tcW w:w="3402" w:type="dxa"/>
          </w:tcPr>
          <w:p w14:paraId="530C245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Sources and Data Preprocessing (1004 consecutive days); chronological split and evaluation-window definition</w:t>
            </w:r>
          </w:p>
        </w:tc>
      </w:tr>
      <w:tr w:rsidR="00933832" w:rsidRPr="00B369EE" w14:paraId="52E39326" w14:textId="77777777">
        <w:trPr>
          <w:cantSplit/>
        </w:trPr>
        <w:tc>
          <w:tcPr>
            <w:tcW w:w="1701" w:type="dxa"/>
          </w:tcPr>
          <w:p w14:paraId="5262017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Outcome</w:t>
            </w:r>
          </w:p>
        </w:tc>
        <w:tc>
          <w:tcPr>
            <w:tcW w:w="680" w:type="dxa"/>
          </w:tcPr>
          <w:p w14:paraId="14DE10D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8a</w:t>
            </w:r>
          </w:p>
        </w:tc>
        <w:tc>
          <w:tcPr>
            <w:tcW w:w="737" w:type="dxa"/>
          </w:tcPr>
          <w:p w14:paraId="2638B1D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680B659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Clearly define the outcome that is being predicted and the time horizon, including how and when assessed, and the rationale for choosing this outcome</w:t>
            </w:r>
          </w:p>
        </w:tc>
        <w:tc>
          <w:tcPr>
            <w:tcW w:w="3402" w:type="dxa"/>
          </w:tcPr>
          <w:p w14:paraId="1846101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Sources; Dynamic Feature Engineering (difference target, forecast horizon of 7 days)</w:t>
            </w:r>
          </w:p>
        </w:tc>
      </w:tr>
      <w:tr w:rsidR="00933832" w:rsidRPr="00B369EE" w14:paraId="2C01F885" w14:textId="77777777">
        <w:trPr>
          <w:cantSplit/>
        </w:trPr>
        <w:tc>
          <w:tcPr>
            <w:tcW w:w="1701" w:type="dxa"/>
          </w:tcPr>
          <w:p w14:paraId="7F91085F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79FB101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8b</w:t>
            </w:r>
          </w:p>
        </w:tc>
        <w:tc>
          <w:tcPr>
            <w:tcW w:w="737" w:type="dxa"/>
          </w:tcPr>
          <w:p w14:paraId="2FA5D5B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0804BBB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If outcome assessment requires subjective interpretation, describe the qualifications and demographic characteristics of the outcome assessors</w:t>
            </w:r>
          </w:p>
        </w:tc>
        <w:tc>
          <w:tcPr>
            <w:tcW w:w="3402" w:type="dxa"/>
          </w:tcPr>
          <w:p w14:paraId="38A1A34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Sources. A case is counted when the treating physician recorded a respiratory infection diagnosis or a positive laboratory test supported one; the hospital information system does not retain a field separating the two routes, which is stated in Discussion (limitations)</w:t>
            </w:r>
          </w:p>
        </w:tc>
      </w:tr>
      <w:tr w:rsidR="00933832" w:rsidRPr="00B369EE" w14:paraId="625B5801" w14:textId="77777777">
        <w:trPr>
          <w:cantSplit/>
        </w:trPr>
        <w:tc>
          <w:tcPr>
            <w:tcW w:w="1701" w:type="dxa"/>
          </w:tcPr>
          <w:p w14:paraId="62A7C75A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5997BB0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8c</w:t>
            </w:r>
          </w:p>
        </w:tc>
        <w:tc>
          <w:tcPr>
            <w:tcW w:w="737" w:type="dxa"/>
          </w:tcPr>
          <w:p w14:paraId="2CEE2A7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47E0294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Report any actions to blind assessment of the outcome to be predicted</w:t>
            </w:r>
          </w:p>
        </w:tc>
        <w:tc>
          <w:tcPr>
            <w:tcW w:w="3402" w:type="dxa"/>
          </w:tcPr>
          <w:p w14:paraId="7D9BF03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Not applicable: the outcome is extracted retrospectively from routine hospital information system records, with no outcome assessor involved in the study</w:t>
            </w:r>
          </w:p>
        </w:tc>
      </w:tr>
      <w:tr w:rsidR="00933832" w:rsidRPr="00B369EE" w14:paraId="3B1A1006" w14:textId="77777777">
        <w:trPr>
          <w:cantSplit/>
        </w:trPr>
        <w:tc>
          <w:tcPr>
            <w:tcW w:w="1701" w:type="dxa"/>
          </w:tcPr>
          <w:p w14:paraId="654BF91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Predictors</w:t>
            </w:r>
          </w:p>
        </w:tc>
        <w:tc>
          <w:tcPr>
            <w:tcW w:w="680" w:type="dxa"/>
          </w:tcPr>
          <w:p w14:paraId="2EA0330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9a</w:t>
            </w:r>
          </w:p>
        </w:tc>
        <w:tc>
          <w:tcPr>
            <w:tcW w:w="737" w:type="dxa"/>
          </w:tcPr>
          <w:p w14:paraId="52D1C86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6520" w:type="dxa"/>
          </w:tcPr>
          <w:p w14:paraId="5501770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the choice of initial predictors and any pre-selection of predictors before model building</w:t>
            </w:r>
          </w:p>
        </w:tc>
        <w:tc>
          <w:tcPr>
            <w:tcW w:w="3402" w:type="dxa"/>
          </w:tcPr>
          <w:p w14:paraId="3440F59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Dynamic Feature Engineering; Additional file 1, Table S1</w:t>
            </w:r>
          </w:p>
        </w:tc>
      </w:tr>
      <w:tr w:rsidR="00933832" w:rsidRPr="00B369EE" w14:paraId="2DEEDE6B" w14:textId="77777777">
        <w:trPr>
          <w:cantSplit/>
        </w:trPr>
        <w:tc>
          <w:tcPr>
            <w:tcW w:w="1701" w:type="dxa"/>
          </w:tcPr>
          <w:p w14:paraId="71E5872D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0D7FB0C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9b</w:t>
            </w:r>
          </w:p>
        </w:tc>
        <w:tc>
          <w:tcPr>
            <w:tcW w:w="737" w:type="dxa"/>
          </w:tcPr>
          <w:p w14:paraId="76AC82B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531EFBC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Clearly define all predictors, including how and when they were measured</w:t>
            </w:r>
          </w:p>
        </w:tc>
        <w:tc>
          <w:tcPr>
            <w:tcW w:w="3402" w:type="dxa"/>
          </w:tcPr>
          <w:p w14:paraId="66ADA06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Dynamic Feature Engineering; Additional file 1, Table S1</w:t>
            </w:r>
          </w:p>
        </w:tc>
      </w:tr>
      <w:tr w:rsidR="00933832" w:rsidRPr="00B369EE" w14:paraId="0FD1118F" w14:textId="77777777">
        <w:trPr>
          <w:cantSplit/>
        </w:trPr>
        <w:tc>
          <w:tcPr>
            <w:tcW w:w="1701" w:type="dxa"/>
          </w:tcPr>
          <w:p w14:paraId="3FD76A4A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4615744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9c</w:t>
            </w:r>
          </w:p>
        </w:tc>
        <w:tc>
          <w:tcPr>
            <w:tcW w:w="737" w:type="dxa"/>
          </w:tcPr>
          <w:p w14:paraId="401B522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732BE4D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If predictor measurement requires subjective interpretation, describe the qualifications and demographic characteristics of the predictor assessors</w:t>
            </w:r>
          </w:p>
        </w:tc>
        <w:tc>
          <w:tcPr>
            <w:tcW w:w="3402" w:type="dxa"/>
          </w:tcPr>
          <w:p w14:paraId="75F6957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Not applicable: predictors are objective counts/meteorological measurements</w:t>
            </w:r>
          </w:p>
        </w:tc>
      </w:tr>
      <w:tr w:rsidR="00933832" w:rsidRPr="00B369EE" w14:paraId="3D24ADF2" w14:textId="77777777">
        <w:trPr>
          <w:cantSplit/>
        </w:trPr>
        <w:tc>
          <w:tcPr>
            <w:tcW w:w="1701" w:type="dxa"/>
          </w:tcPr>
          <w:p w14:paraId="629B634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Sample size</w:t>
            </w:r>
          </w:p>
        </w:tc>
        <w:tc>
          <w:tcPr>
            <w:tcW w:w="680" w:type="dxa"/>
          </w:tcPr>
          <w:p w14:paraId="7E3B995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737" w:type="dxa"/>
          </w:tcPr>
          <w:p w14:paraId="4F75970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6D31042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Explain how the study size was arrived at, and justify that the study size was sufficient. Include details of any sample size calculation</w:t>
            </w:r>
          </w:p>
        </w:tc>
        <w:tc>
          <w:tcPr>
            <w:tcW w:w="3402" w:type="dxa"/>
          </w:tcPr>
          <w:p w14:paraId="0C79F12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Preprocessing (sample size determined by the available surveillance period; no a priori sample-size calculation); Discussion (limited study duration and external validity)</w:t>
            </w:r>
          </w:p>
        </w:tc>
      </w:tr>
      <w:tr w:rsidR="00933832" w:rsidRPr="00B369EE" w14:paraId="6EC4A48F" w14:textId="77777777">
        <w:trPr>
          <w:cantSplit/>
        </w:trPr>
        <w:tc>
          <w:tcPr>
            <w:tcW w:w="1701" w:type="dxa"/>
          </w:tcPr>
          <w:p w14:paraId="4331FBC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lastRenderedPageBreak/>
              <w:t>Missing data</w:t>
            </w:r>
          </w:p>
        </w:tc>
        <w:tc>
          <w:tcPr>
            <w:tcW w:w="680" w:type="dxa"/>
          </w:tcPr>
          <w:p w14:paraId="6F94B31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11</w:t>
            </w:r>
          </w:p>
        </w:tc>
        <w:tc>
          <w:tcPr>
            <w:tcW w:w="737" w:type="dxa"/>
          </w:tcPr>
          <w:p w14:paraId="36A87E1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78F9D2F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how missing data were handled. Provide reasons for omitting any data</w:t>
            </w:r>
          </w:p>
        </w:tc>
        <w:tc>
          <w:tcPr>
            <w:tcW w:w="3402" w:type="dxa"/>
          </w:tcPr>
          <w:p w14:paraId="231EC6F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Preprocessing (1004 consecutive daily records, no missing values and no imputation); Additional file 1, Table S15 (one COVID-19 feature-construction exclusion)</w:t>
            </w:r>
          </w:p>
        </w:tc>
      </w:tr>
      <w:tr w:rsidR="00933832" w:rsidRPr="00B369EE" w14:paraId="1531F78D" w14:textId="77777777">
        <w:trPr>
          <w:cantSplit/>
        </w:trPr>
        <w:tc>
          <w:tcPr>
            <w:tcW w:w="1701" w:type="dxa"/>
          </w:tcPr>
          <w:p w14:paraId="08E9FB3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Analytical methods</w:t>
            </w:r>
          </w:p>
        </w:tc>
        <w:tc>
          <w:tcPr>
            <w:tcW w:w="680" w:type="dxa"/>
          </w:tcPr>
          <w:p w14:paraId="1356100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12a</w:t>
            </w:r>
          </w:p>
        </w:tc>
        <w:tc>
          <w:tcPr>
            <w:tcW w:w="737" w:type="dxa"/>
          </w:tcPr>
          <w:p w14:paraId="67B1506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6520" w:type="dxa"/>
          </w:tcPr>
          <w:p w14:paraId="18666F4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how the data were used in the analysis, including whether the data were partitioned</w:t>
            </w:r>
          </w:p>
        </w:tc>
        <w:tc>
          <w:tcPr>
            <w:tcW w:w="3402" w:type="dxa"/>
          </w:tcPr>
          <w:p w14:paraId="2CC824A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Preprocessing (633 development days and 363 scored evaluation days); Model Selection and Evaluation Metrics</w:t>
            </w:r>
          </w:p>
        </w:tc>
      </w:tr>
      <w:tr w:rsidR="00933832" w:rsidRPr="00B369EE" w14:paraId="225A7F7F" w14:textId="77777777">
        <w:trPr>
          <w:cantSplit/>
        </w:trPr>
        <w:tc>
          <w:tcPr>
            <w:tcW w:w="1701" w:type="dxa"/>
          </w:tcPr>
          <w:p w14:paraId="38F2A581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4FC4121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12b</w:t>
            </w:r>
          </w:p>
        </w:tc>
        <w:tc>
          <w:tcPr>
            <w:tcW w:w="737" w:type="dxa"/>
          </w:tcPr>
          <w:p w14:paraId="2FF5E59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6520" w:type="dxa"/>
          </w:tcPr>
          <w:p w14:paraId="07760D1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Depending on the type of model, describe how predictors were handled in the analyses (functional form, rescaling, transformation, or standardisation)</w:t>
            </w:r>
          </w:p>
        </w:tc>
        <w:tc>
          <w:tcPr>
            <w:tcW w:w="3402" w:type="dxa"/>
          </w:tcPr>
          <w:p w14:paraId="56E1753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Dynamic Feature Engineering (scale-normalized count-derived predictors and ratios, with the latest observable count retained as a level anchor); Benchmark Models (standardization for sequence models)</w:t>
            </w:r>
          </w:p>
        </w:tc>
      </w:tr>
      <w:tr w:rsidR="00933832" w:rsidRPr="00B369EE" w14:paraId="5E8AE08C" w14:textId="77777777">
        <w:trPr>
          <w:cantSplit/>
        </w:trPr>
        <w:tc>
          <w:tcPr>
            <w:tcW w:w="1701" w:type="dxa"/>
          </w:tcPr>
          <w:p w14:paraId="04D9EDAD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377FC4B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12c</w:t>
            </w:r>
          </w:p>
        </w:tc>
        <w:tc>
          <w:tcPr>
            <w:tcW w:w="737" w:type="dxa"/>
          </w:tcPr>
          <w:p w14:paraId="3BAA632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6520" w:type="dxa"/>
          </w:tcPr>
          <w:p w14:paraId="12AB356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Specify the type of model, rationale, all model-building steps, including any hyperparameter tuning, and method for internal validation</w:t>
            </w:r>
          </w:p>
        </w:tc>
        <w:tc>
          <w:tcPr>
            <w:tcW w:w="3402" w:type="dxa"/>
          </w:tcPr>
          <w:p w14:paraId="4D2D510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Extreme Gradient Boosting (XGBoost) Model; Benchmark Models; Forecast Calibration and Ensemble Construction; Additional file 1, Tables S2-S4</w:t>
            </w:r>
          </w:p>
        </w:tc>
      </w:tr>
      <w:tr w:rsidR="00933832" w:rsidRPr="00B369EE" w14:paraId="01B4EFD1" w14:textId="77777777">
        <w:trPr>
          <w:cantSplit/>
        </w:trPr>
        <w:tc>
          <w:tcPr>
            <w:tcW w:w="1701" w:type="dxa"/>
          </w:tcPr>
          <w:p w14:paraId="10D534A0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5E50A8D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12d</w:t>
            </w:r>
          </w:p>
        </w:tc>
        <w:tc>
          <w:tcPr>
            <w:tcW w:w="737" w:type="dxa"/>
          </w:tcPr>
          <w:p w14:paraId="5769AA8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0BBFCAE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if and how any heterogeneity in estimates of model parameter values and model performance was handled and quantified across clusters</w:t>
            </w:r>
          </w:p>
        </w:tc>
        <w:tc>
          <w:tcPr>
            <w:tcW w:w="3402" w:type="dxa"/>
          </w:tcPr>
          <w:p w14:paraId="57D7827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Not applicable: single-center study, no multi-site clustering</w:t>
            </w:r>
          </w:p>
        </w:tc>
      </w:tr>
      <w:tr w:rsidR="00933832" w:rsidRPr="00B369EE" w14:paraId="7C062727" w14:textId="77777777">
        <w:trPr>
          <w:cantSplit/>
        </w:trPr>
        <w:tc>
          <w:tcPr>
            <w:tcW w:w="1701" w:type="dxa"/>
          </w:tcPr>
          <w:p w14:paraId="1560DD93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4021102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12e</w:t>
            </w:r>
          </w:p>
        </w:tc>
        <w:tc>
          <w:tcPr>
            <w:tcW w:w="737" w:type="dxa"/>
          </w:tcPr>
          <w:p w14:paraId="4F76223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020B03E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Specify all measures and plots used to evaluate model performance and, if relevant, to compare multiple models</w:t>
            </w:r>
          </w:p>
        </w:tc>
        <w:tc>
          <w:tcPr>
            <w:tcW w:w="3402" w:type="dxa"/>
          </w:tcPr>
          <w:p w14:paraId="7BA174A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Model Selection and Evaluation Metrics; Results (Tables 2–4); Additional file 1, Table S6 (Diebold-Mariano tests)</w:t>
            </w:r>
          </w:p>
        </w:tc>
      </w:tr>
      <w:tr w:rsidR="00933832" w:rsidRPr="00B369EE" w14:paraId="649906A1" w14:textId="77777777">
        <w:trPr>
          <w:cantSplit/>
        </w:trPr>
        <w:tc>
          <w:tcPr>
            <w:tcW w:w="1701" w:type="dxa"/>
          </w:tcPr>
          <w:p w14:paraId="13190253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417AE71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12f</w:t>
            </w:r>
          </w:p>
        </w:tc>
        <w:tc>
          <w:tcPr>
            <w:tcW w:w="737" w:type="dxa"/>
          </w:tcPr>
          <w:p w14:paraId="22FF6AD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E</w:t>
            </w:r>
          </w:p>
        </w:tc>
        <w:tc>
          <w:tcPr>
            <w:tcW w:w="6520" w:type="dxa"/>
          </w:tcPr>
          <w:p w14:paraId="3BB38B8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any model updating arising from the model evaluation, either overall or for particular sociodemographic groups or settings</w:t>
            </w:r>
          </w:p>
        </w:tc>
        <w:tc>
          <w:tcPr>
            <w:tcW w:w="3402" w:type="dxa"/>
          </w:tcPr>
          <w:p w14:paraId="71FBD14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Benchmark Models; Forecast Calibration and Ensemble Construction; Model Selection and Evaluation Metrics. During evaluation, point-forecast model parameters, shrinkage factors and ensemble weights remained fixed. SARIMA and SARIMAX states were updated with newly observable data without re-estimating parameters; prediction intervals were updated online by adaptive conformal inference.</w:t>
            </w:r>
          </w:p>
        </w:tc>
      </w:tr>
      <w:tr w:rsidR="00933832" w:rsidRPr="00B369EE" w14:paraId="1AAC168E" w14:textId="77777777">
        <w:trPr>
          <w:cantSplit/>
        </w:trPr>
        <w:tc>
          <w:tcPr>
            <w:tcW w:w="1701" w:type="dxa"/>
          </w:tcPr>
          <w:p w14:paraId="5DA04D57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69C3F04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12g</w:t>
            </w:r>
          </w:p>
        </w:tc>
        <w:tc>
          <w:tcPr>
            <w:tcW w:w="737" w:type="dxa"/>
          </w:tcPr>
          <w:p w14:paraId="1CE690D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E</w:t>
            </w:r>
          </w:p>
        </w:tc>
        <w:tc>
          <w:tcPr>
            <w:tcW w:w="6520" w:type="dxa"/>
          </w:tcPr>
          <w:p w14:paraId="544E696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For model evaluation, describe how the model predictions were calculated (e.g., formula, code, object, application programming interface)</w:t>
            </w:r>
          </w:p>
        </w:tc>
        <w:tc>
          <w:tcPr>
            <w:tcW w:w="3402" w:type="dxa"/>
          </w:tcPr>
          <w:p w14:paraId="5F2E9F8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Dynamic Feature Engineering; Forecast Calibration and Ensemble Construction; Declarations – Availability of data and materials (code repository)</w:t>
            </w:r>
          </w:p>
        </w:tc>
      </w:tr>
      <w:tr w:rsidR="00933832" w:rsidRPr="00B369EE" w14:paraId="0C56781E" w14:textId="77777777">
        <w:trPr>
          <w:cantSplit/>
        </w:trPr>
        <w:tc>
          <w:tcPr>
            <w:tcW w:w="1701" w:type="dxa"/>
          </w:tcPr>
          <w:p w14:paraId="56EA04C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Class imbalance</w:t>
            </w:r>
          </w:p>
        </w:tc>
        <w:tc>
          <w:tcPr>
            <w:tcW w:w="680" w:type="dxa"/>
          </w:tcPr>
          <w:p w14:paraId="6AC5184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13</w:t>
            </w:r>
          </w:p>
        </w:tc>
        <w:tc>
          <w:tcPr>
            <w:tcW w:w="737" w:type="dxa"/>
          </w:tcPr>
          <w:p w14:paraId="2642716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5E04789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If class imbalance methods were used, state why and how this was done, and any subsequent methods to recalibrate the model or the model predictions</w:t>
            </w:r>
          </w:p>
        </w:tc>
        <w:tc>
          <w:tcPr>
            <w:tcW w:w="3402" w:type="dxa"/>
          </w:tcPr>
          <w:p w14:paraId="6C94323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Not applicable (continuous count outcome). The consequences of the low pediatric daily counts are reported in Results and addressed in Discussion (limitations)</w:t>
            </w:r>
          </w:p>
        </w:tc>
      </w:tr>
      <w:tr w:rsidR="00933832" w:rsidRPr="00B369EE" w14:paraId="58B75957" w14:textId="77777777">
        <w:trPr>
          <w:cantSplit/>
        </w:trPr>
        <w:tc>
          <w:tcPr>
            <w:tcW w:w="1701" w:type="dxa"/>
          </w:tcPr>
          <w:p w14:paraId="6C4AC32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Fairness</w:t>
            </w:r>
          </w:p>
        </w:tc>
        <w:tc>
          <w:tcPr>
            <w:tcW w:w="680" w:type="dxa"/>
          </w:tcPr>
          <w:p w14:paraId="0B2EA2F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14</w:t>
            </w:r>
          </w:p>
        </w:tc>
        <w:tc>
          <w:tcPr>
            <w:tcW w:w="737" w:type="dxa"/>
          </w:tcPr>
          <w:p w14:paraId="172E9CE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7245DBC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any approaches that were used to address model fairness and their rationale</w:t>
            </w:r>
          </w:p>
        </w:tc>
        <w:tc>
          <w:tcPr>
            <w:tcW w:w="3402" w:type="dxa"/>
          </w:tcPr>
          <w:p w14:paraId="7D0C376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age-stratified modelling; no formal fairness analysis was undertaken</w:t>
            </w:r>
          </w:p>
        </w:tc>
      </w:tr>
      <w:tr w:rsidR="00933832" w:rsidRPr="00B369EE" w14:paraId="358550DB" w14:textId="77777777">
        <w:trPr>
          <w:cantSplit/>
        </w:trPr>
        <w:tc>
          <w:tcPr>
            <w:tcW w:w="1701" w:type="dxa"/>
          </w:tcPr>
          <w:p w14:paraId="0CEB4B7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Model output</w:t>
            </w:r>
          </w:p>
        </w:tc>
        <w:tc>
          <w:tcPr>
            <w:tcW w:w="680" w:type="dxa"/>
          </w:tcPr>
          <w:p w14:paraId="39BB5E3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15</w:t>
            </w:r>
          </w:p>
        </w:tc>
        <w:tc>
          <w:tcPr>
            <w:tcW w:w="737" w:type="dxa"/>
          </w:tcPr>
          <w:p w14:paraId="641B189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6520" w:type="dxa"/>
          </w:tcPr>
          <w:p w14:paraId="7E8BF95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Specify the output of the prediction model. Provide details and rationale for any classification and how the thresholds were identified</w:t>
            </w:r>
          </w:p>
        </w:tc>
        <w:tc>
          <w:tcPr>
            <w:tcW w:w="3402" w:type="dxa"/>
          </w:tcPr>
          <w:p w14:paraId="5AE8F17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Dynamic Feature Engineering (continuous case-count forecast); Model Selection and Evaluation Metrics (alert evaluation at counts reaching or exceeding 1.5 and 2 times the development-period median)</w:t>
            </w:r>
          </w:p>
        </w:tc>
      </w:tr>
      <w:tr w:rsidR="00933832" w:rsidRPr="00B369EE" w14:paraId="69524091" w14:textId="77777777">
        <w:trPr>
          <w:cantSplit/>
        </w:trPr>
        <w:tc>
          <w:tcPr>
            <w:tcW w:w="1701" w:type="dxa"/>
          </w:tcPr>
          <w:p w14:paraId="567BB27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lastRenderedPageBreak/>
              <w:t>Training versus evaluation</w:t>
            </w:r>
          </w:p>
        </w:tc>
        <w:tc>
          <w:tcPr>
            <w:tcW w:w="680" w:type="dxa"/>
          </w:tcPr>
          <w:p w14:paraId="627AF91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16</w:t>
            </w:r>
          </w:p>
        </w:tc>
        <w:tc>
          <w:tcPr>
            <w:tcW w:w="737" w:type="dxa"/>
          </w:tcPr>
          <w:p w14:paraId="22B3C4F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65984C7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Identify any differences between the development and evaluation data in healthcare setting, eligibility criteria, outcome, and predictors</w:t>
            </w:r>
          </w:p>
        </w:tc>
        <w:tc>
          <w:tcPr>
            <w:tcW w:w="3402" w:type="dxa"/>
          </w:tcPr>
          <w:p w14:paraId="1EBA3A1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Sources (chronological split; setting, eligibility, outcome and predictors are identical throughout); Results, paragraph describing the shift in the surveillance denominator; Discussion. The development and evaluation periods differ substantially in fever clinic volume, case-to-visit ratio and pathogen composition</w:t>
            </w:r>
          </w:p>
        </w:tc>
      </w:tr>
      <w:tr w:rsidR="00933832" w:rsidRPr="00B369EE" w14:paraId="387C8E57" w14:textId="77777777">
        <w:trPr>
          <w:cantSplit/>
        </w:trPr>
        <w:tc>
          <w:tcPr>
            <w:tcW w:w="1701" w:type="dxa"/>
          </w:tcPr>
          <w:p w14:paraId="1383E2D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Ethical approval</w:t>
            </w:r>
          </w:p>
        </w:tc>
        <w:tc>
          <w:tcPr>
            <w:tcW w:w="680" w:type="dxa"/>
          </w:tcPr>
          <w:p w14:paraId="45A1A4E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17</w:t>
            </w:r>
          </w:p>
        </w:tc>
        <w:tc>
          <w:tcPr>
            <w:tcW w:w="737" w:type="dxa"/>
          </w:tcPr>
          <w:p w14:paraId="6540DDA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048358E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Name the institutional research board or ethics committee that approved the study and describe the participant-informed consent or waiver</w:t>
            </w:r>
          </w:p>
        </w:tc>
        <w:tc>
          <w:tcPr>
            <w:tcW w:w="3402" w:type="dxa"/>
          </w:tcPr>
          <w:p w14:paraId="3DF699F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Declarations – Ethics approval and consent to participate</w:t>
            </w:r>
          </w:p>
        </w:tc>
      </w:tr>
      <w:tr w:rsidR="00933832" w:rsidRPr="00B369EE" w14:paraId="09075C8D" w14:textId="77777777" w:rsidTr="00C41233">
        <w:trPr>
          <w:cantSplit/>
        </w:trPr>
        <w:tc>
          <w:tcPr>
            <w:tcW w:w="3402" w:type="dxa"/>
            <w:gridSpan w:val="5"/>
          </w:tcPr>
          <w:p w14:paraId="1D6D66A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OPEN SCIENCE</w:t>
            </w:r>
          </w:p>
        </w:tc>
      </w:tr>
      <w:tr w:rsidR="00933832" w:rsidRPr="00B369EE" w14:paraId="72531643" w14:textId="77777777">
        <w:trPr>
          <w:cantSplit/>
        </w:trPr>
        <w:tc>
          <w:tcPr>
            <w:tcW w:w="1701" w:type="dxa"/>
          </w:tcPr>
          <w:p w14:paraId="7A763ED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Funding</w:t>
            </w:r>
          </w:p>
        </w:tc>
        <w:tc>
          <w:tcPr>
            <w:tcW w:w="680" w:type="dxa"/>
          </w:tcPr>
          <w:p w14:paraId="255507E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18a</w:t>
            </w:r>
          </w:p>
        </w:tc>
        <w:tc>
          <w:tcPr>
            <w:tcW w:w="737" w:type="dxa"/>
          </w:tcPr>
          <w:p w14:paraId="4A1E293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022061E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Give the source of funding and the role of the funders for the present study</w:t>
            </w:r>
          </w:p>
        </w:tc>
        <w:tc>
          <w:tcPr>
            <w:tcW w:w="3402" w:type="dxa"/>
          </w:tcPr>
          <w:p w14:paraId="2F58878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Declarations – Funding</w:t>
            </w:r>
          </w:p>
        </w:tc>
      </w:tr>
      <w:tr w:rsidR="00933832" w:rsidRPr="00B369EE" w14:paraId="4BF16E3F" w14:textId="77777777">
        <w:trPr>
          <w:cantSplit/>
        </w:trPr>
        <w:tc>
          <w:tcPr>
            <w:tcW w:w="1701" w:type="dxa"/>
          </w:tcPr>
          <w:p w14:paraId="7889F43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Conflicts of interest</w:t>
            </w:r>
          </w:p>
        </w:tc>
        <w:tc>
          <w:tcPr>
            <w:tcW w:w="680" w:type="dxa"/>
          </w:tcPr>
          <w:p w14:paraId="5F6B913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18b</w:t>
            </w:r>
          </w:p>
        </w:tc>
        <w:tc>
          <w:tcPr>
            <w:tcW w:w="737" w:type="dxa"/>
          </w:tcPr>
          <w:p w14:paraId="3CAEC8B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1856F73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Declare any conflicts of interest and financial disclosures for all authors</w:t>
            </w:r>
          </w:p>
        </w:tc>
        <w:tc>
          <w:tcPr>
            <w:tcW w:w="3402" w:type="dxa"/>
          </w:tcPr>
          <w:p w14:paraId="5B57A21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Declarations – Competing interests</w:t>
            </w:r>
          </w:p>
        </w:tc>
      </w:tr>
      <w:tr w:rsidR="00933832" w:rsidRPr="00B369EE" w14:paraId="317CA7F0" w14:textId="77777777">
        <w:trPr>
          <w:cantSplit/>
        </w:trPr>
        <w:tc>
          <w:tcPr>
            <w:tcW w:w="1701" w:type="dxa"/>
          </w:tcPr>
          <w:p w14:paraId="081F3B5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Protocol</w:t>
            </w:r>
          </w:p>
        </w:tc>
        <w:tc>
          <w:tcPr>
            <w:tcW w:w="680" w:type="dxa"/>
          </w:tcPr>
          <w:p w14:paraId="3133FA8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18c</w:t>
            </w:r>
          </w:p>
        </w:tc>
        <w:tc>
          <w:tcPr>
            <w:tcW w:w="737" w:type="dxa"/>
          </w:tcPr>
          <w:p w14:paraId="321FE8C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0D3240A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Indicate where the study protocol can be accessed or state that a protocol was not prepared</w:t>
            </w:r>
          </w:p>
        </w:tc>
        <w:tc>
          <w:tcPr>
            <w:tcW w:w="3402" w:type="dxa"/>
          </w:tcPr>
          <w:p w14:paraId="5BE669FB" w14:textId="77777777" w:rsidR="00375479" w:rsidRPr="00885781" w:rsidRDefault="000E180D">
            <w:pPr>
              <w:rPr>
                <w:rFonts w:ascii="Times New Roman" w:hAnsi="Times New Roman" w:cs="Times New Roman"/>
                <w:sz w:val="22"/>
              </w:rPr>
            </w:pPr>
            <w:r w:rsidRPr="00885781">
              <w:rPr>
                <w:rFonts w:ascii="Times New Roman" w:hAnsi="Times New Roman" w:cs="Times New Roman"/>
                <w:sz w:val="22"/>
              </w:rPr>
              <w:t>Declarations – Ethics approval and consent to participate (no prospective protocol was prepared or made publicly available)</w:t>
            </w:r>
          </w:p>
        </w:tc>
      </w:tr>
      <w:tr w:rsidR="00933832" w:rsidRPr="00B369EE" w14:paraId="08C47D65" w14:textId="77777777">
        <w:trPr>
          <w:cantSplit/>
        </w:trPr>
        <w:tc>
          <w:tcPr>
            <w:tcW w:w="1701" w:type="dxa"/>
          </w:tcPr>
          <w:p w14:paraId="16436F4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Registration</w:t>
            </w:r>
          </w:p>
        </w:tc>
        <w:tc>
          <w:tcPr>
            <w:tcW w:w="680" w:type="dxa"/>
          </w:tcPr>
          <w:p w14:paraId="3411403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18d</w:t>
            </w:r>
          </w:p>
        </w:tc>
        <w:tc>
          <w:tcPr>
            <w:tcW w:w="737" w:type="dxa"/>
          </w:tcPr>
          <w:p w14:paraId="14D8C7F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5B7BDD4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Provide registration information for the study, including register name and registration number, or state that the study was not registered</w:t>
            </w:r>
          </w:p>
        </w:tc>
        <w:tc>
          <w:tcPr>
            <w:tcW w:w="3402" w:type="dxa"/>
          </w:tcPr>
          <w:p w14:paraId="39E45CA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Declarations – Ethics approval and consent to participate</w:t>
            </w:r>
          </w:p>
        </w:tc>
      </w:tr>
      <w:tr w:rsidR="00933832" w:rsidRPr="00B369EE" w14:paraId="6403F5D5" w14:textId="77777777">
        <w:trPr>
          <w:cantSplit/>
        </w:trPr>
        <w:tc>
          <w:tcPr>
            <w:tcW w:w="1701" w:type="dxa"/>
          </w:tcPr>
          <w:p w14:paraId="750B3AA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Data sharing</w:t>
            </w:r>
          </w:p>
        </w:tc>
        <w:tc>
          <w:tcPr>
            <w:tcW w:w="680" w:type="dxa"/>
          </w:tcPr>
          <w:p w14:paraId="4AD6AE0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18e</w:t>
            </w:r>
          </w:p>
        </w:tc>
        <w:tc>
          <w:tcPr>
            <w:tcW w:w="737" w:type="dxa"/>
          </w:tcPr>
          <w:p w14:paraId="28E0135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3753030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Provide details of the availability of the study data</w:t>
            </w:r>
          </w:p>
        </w:tc>
        <w:tc>
          <w:tcPr>
            <w:tcW w:w="3402" w:type="dxa"/>
          </w:tcPr>
          <w:p w14:paraId="06A7877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Declarations – Availability of data and materials</w:t>
            </w:r>
          </w:p>
        </w:tc>
      </w:tr>
      <w:tr w:rsidR="00933832" w:rsidRPr="00B369EE" w14:paraId="1D87FF7C" w14:textId="77777777">
        <w:trPr>
          <w:cantSplit/>
        </w:trPr>
        <w:tc>
          <w:tcPr>
            <w:tcW w:w="1701" w:type="dxa"/>
          </w:tcPr>
          <w:p w14:paraId="06FAC8E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Code sharing</w:t>
            </w:r>
          </w:p>
        </w:tc>
        <w:tc>
          <w:tcPr>
            <w:tcW w:w="680" w:type="dxa"/>
          </w:tcPr>
          <w:p w14:paraId="5DFA9F5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18f</w:t>
            </w:r>
          </w:p>
        </w:tc>
        <w:tc>
          <w:tcPr>
            <w:tcW w:w="737" w:type="dxa"/>
          </w:tcPr>
          <w:p w14:paraId="72C06AE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5AD221F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Provide details of the availability of the analytical code</w:t>
            </w:r>
          </w:p>
        </w:tc>
        <w:tc>
          <w:tcPr>
            <w:tcW w:w="3402" w:type="dxa"/>
          </w:tcPr>
          <w:p w14:paraId="4A6EF3B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Declarations – Availability of data and materials (GitHub repository)</w:t>
            </w:r>
          </w:p>
        </w:tc>
      </w:tr>
      <w:tr w:rsidR="00933832" w:rsidRPr="00B369EE" w14:paraId="71E2093B" w14:textId="77777777" w:rsidTr="00C41233">
        <w:trPr>
          <w:cantSplit/>
        </w:trPr>
        <w:tc>
          <w:tcPr>
            <w:tcW w:w="3402" w:type="dxa"/>
            <w:gridSpan w:val="5"/>
          </w:tcPr>
          <w:p w14:paraId="0560E94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PATIENT &amp; PUBLIC INVOLVEMENT</w:t>
            </w:r>
          </w:p>
        </w:tc>
      </w:tr>
      <w:tr w:rsidR="00933832" w:rsidRPr="00B369EE" w14:paraId="275C7B71" w14:textId="77777777">
        <w:trPr>
          <w:cantSplit/>
        </w:trPr>
        <w:tc>
          <w:tcPr>
            <w:tcW w:w="1701" w:type="dxa"/>
          </w:tcPr>
          <w:p w14:paraId="0788FE5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Patient &amp; Public Involvement</w:t>
            </w:r>
          </w:p>
        </w:tc>
        <w:tc>
          <w:tcPr>
            <w:tcW w:w="680" w:type="dxa"/>
          </w:tcPr>
          <w:p w14:paraId="2D931F3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19</w:t>
            </w:r>
          </w:p>
        </w:tc>
        <w:tc>
          <w:tcPr>
            <w:tcW w:w="737" w:type="dxa"/>
          </w:tcPr>
          <w:p w14:paraId="002123E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126AFAC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Provide details of any patient and public involvement during the design, conduct, reporting, interpretation, or dissemination of the study or state no involvement</w:t>
            </w:r>
          </w:p>
        </w:tc>
        <w:tc>
          <w:tcPr>
            <w:tcW w:w="3402" w:type="dxa"/>
          </w:tcPr>
          <w:p w14:paraId="2D22B3E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Declarations – Ethics approval and consent to participate</w:t>
            </w:r>
          </w:p>
        </w:tc>
      </w:tr>
      <w:tr w:rsidR="00933832" w:rsidRPr="00B369EE" w14:paraId="541C3780" w14:textId="77777777" w:rsidTr="00C41233">
        <w:trPr>
          <w:cantSplit/>
        </w:trPr>
        <w:tc>
          <w:tcPr>
            <w:tcW w:w="3402" w:type="dxa"/>
            <w:gridSpan w:val="5"/>
          </w:tcPr>
          <w:p w14:paraId="21F877E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RESULTS</w:t>
            </w:r>
          </w:p>
        </w:tc>
      </w:tr>
      <w:tr w:rsidR="00933832" w:rsidRPr="00B369EE" w14:paraId="46515F1C" w14:textId="77777777">
        <w:trPr>
          <w:cantSplit/>
        </w:trPr>
        <w:tc>
          <w:tcPr>
            <w:tcW w:w="1701" w:type="dxa"/>
          </w:tcPr>
          <w:p w14:paraId="598A02E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lastRenderedPageBreak/>
              <w:t>Participants</w:t>
            </w:r>
          </w:p>
        </w:tc>
        <w:tc>
          <w:tcPr>
            <w:tcW w:w="680" w:type="dxa"/>
          </w:tcPr>
          <w:p w14:paraId="1E9DB30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20a</w:t>
            </w:r>
          </w:p>
        </w:tc>
        <w:tc>
          <w:tcPr>
            <w:tcW w:w="737" w:type="dxa"/>
          </w:tcPr>
          <w:p w14:paraId="22EAEBD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29666316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the flow of participants through the study, including the number of participants with and without the outcome. A diagram may be helpful</w:t>
            </w:r>
          </w:p>
        </w:tc>
        <w:tc>
          <w:tcPr>
            <w:tcW w:w="3402" w:type="dxa"/>
          </w:tcPr>
          <w:p w14:paraId="57F3FD8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Not applicable: a time-series surveillance study based on daily aggregate case counts rather than individual participant recruitment, so a participant flow diagram does not apply. Data completeness and the modelling sample are described in Methods – Data Sources and Table 1</w:t>
            </w:r>
          </w:p>
        </w:tc>
      </w:tr>
      <w:tr w:rsidR="00933832" w:rsidRPr="00B369EE" w14:paraId="5DC3EC05" w14:textId="77777777">
        <w:trPr>
          <w:cantSplit/>
        </w:trPr>
        <w:tc>
          <w:tcPr>
            <w:tcW w:w="1701" w:type="dxa"/>
          </w:tcPr>
          <w:p w14:paraId="3ABA8AD1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216C3F0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20b</w:t>
            </w:r>
          </w:p>
        </w:tc>
        <w:tc>
          <w:tcPr>
            <w:tcW w:w="737" w:type="dxa"/>
          </w:tcPr>
          <w:p w14:paraId="50B9E35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0653D34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Report the characteristics overall and, where applicable, for each data source or setting</w:t>
            </w:r>
          </w:p>
        </w:tc>
        <w:tc>
          <w:tcPr>
            <w:tcW w:w="3402" w:type="dxa"/>
          </w:tcPr>
          <w:p w14:paraId="58DE287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Results – Table 1 (development period against evaluation period)</w:t>
            </w:r>
          </w:p>
        </w:tc>
      </w:tr>
      <w:tr w:rsidR="00933832" w:rsidRPr="00B369EE" w14:paraId="7DBCBE04" w14:textId="77777777">
        <w:trPr>
          <w:cantSplit/>
        </w:trPr>
        <w:tc>
          <w:tcPr>
            <w:tcW w:w="1701" w:type="dxa"/>
          </w:tcPr>
          <w:p w14:paraId="404266E4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4E7201F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20c</w:t>
            </w:r>
          </w:p>
        </w:tc>
        <w:tc>
          <w:tcPr>
            <w:tcW w:w="737" w:type="dxa"/>
          </w:tcPr>
          <w:p w14:paraId="06C1F8A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E</w:t>
            </w:r>
          </w:p>
        </w:tc>
        <w:tc>
          <w:tcPr>
            <w:tcW w:w="6520" w:type="dxa"/>
          </w:tcPr>
          <w:p w14:paraId="5A6C368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For model evaluation, show a comparison with the development data of the distribution of important predictors</w:t>
            </w:r>
          </w:p>
        </w:tc>
        <w:tc>
          <w:tcPr>
            <w:tcW w:w="3402" w:type="dxa"/>
          </w:tcPr>
          <w:p w14:paraId="047453BA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Results – Table 1; Results, paragraph describing the shift in the surveillance denominator; Additional file 1, Fig. S1</w:t>
            </w:r>
          </w:p>
        </w:tc>
      </w:tr>
      <w:tr w:rsidR="00933832" w:rsidRPr="00B369EE" w14:paraId="049392FA" w14:textId="77777777">
        <w:trPr>
          <w:cantSplit/>
        </w:trPr>
        <w:tc>
          <w:tcPr>
            <w:tcW w:w="1701" w:type="dxa"/>
          </w:tcPr>
          <w:p w14:paraId="4CD2892D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Model development</w:t>
            </w:r>
          </w:p>
        </w:tc>
        <w:tc>
          <w:tcPr>
            <w:tcW w:w="680" w:type="dxa"/>
          </w:tcPr>
          <w:p w14:paraId="43E5689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21</w:t>
            </w:r>
          </w:p>
        </w:tc>
        <w:tc>
          <w:tcPr>
            <w:tcW w:w="737" w:type="dxa"/>
          </w:tcPr>
          <w:p w14:paraId="52E9B87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6B5606F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Specify the number of participants and outcome events in each analysis</w:t>
            </w:r>
          </w:p>
        </w:tc>
        <w:tc>
          <w:tcPr>
            <w:tcW w:w="3402" w:type="dxa"/>
          </w:tcPr>
          <w:p w14:paraId="5E552C5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Preprocessing (633 calendar development days, 617 eligible records for each primary XGBoost model, 363 scored evaluation days); Results – Table 1; Additional file 1 (analysis-specific samples)</w:t>
            </w:r>
          </w:p>
        </w:tc>
      </w:tr>
      <w:tr w:rsidR="00933832" w:rsidRPr="00B369EE" w14:paraId="5827EC75" w14:textId="77777777">
        <w:trPr>
          <w:cantSplit/>
        </w:trPr>
        <w:tc>
          <w:tcPr>
            <w:tcW w:w="1701" w:type="dxa"/>
          </w:tcPr>
          <w:p w14:paraId="2C7A343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Model specification</w:t>
            </w:r>
          </w:p>
        </w:tc>
        <w:tc>
          <w:tcPr>
            <w:tcW w:w="680" w:type="dxa"/>
          </w:tcPr>
          <w:p w14:paraId="6732396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22</w:t>
            </w:r>
          </w:p>
        </w:tc>
        <w:tc>
          <w:tcPr>
            <w:tcW w:w="737" w:type="dxa"/>
          </w:tcPr>
          <w:p w14:paraId="0CD14EA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6520" w:type="dxa"/>
          </w:tcPr>
          <w:p w14:paraId="54C350E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Provide details of the full prediction model to allow predictions in new individuals and to enable third-party evaluation and implementation</w:t>
            </w:r>
          </w:p>
        </w:tc>
        <w:tc>
          <w:tcPr>
            <w:tcW w:w="3402" w:type="dxa"/>
          </w:tcPr>
          <w:p w14:paraId="6402BD6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Dynamic Feature Engineering; Extreme Gradient Boosting (XGBoost) Model; Forecast Calibration and Ensemble Construction; Additional file 1, Tables S1-S3; Declarations – Availability of data and materials (code repository)</w:t>
            </w:r>
          </w:p>
        </w:tc>
      </w:tr>
      <w:tr w:rsidR="00933832" w:rsidRPr="00B369EE" w14:paraId="23BBB505" w14:textId="77777777">
        <w:trPr>
          <w:cantSplit/>
        </w:trPr>
        <w:tc>
          <w:tcPr>
            <w:tcW w:w="1701" w:type="dxa"/>
          </w:tcPr>
          <w:p w14:paraId="0EA7238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lastRenderedPageBreak/>
              <w:t>Model performance</w:t>
            </w:r>
          </w:p>
        </w:tc>
        <w:tc>
          <w:tcPr>
            <w:tcW w:w="680" w:type="dxa"/>
          </w:tcPr>
          <w:p w14:paraId="3D0A3EB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23a</w:t>
            </w:r>
          </w:p>
        </w:tc>
        <w:tc>
          <w:tcPr>
            <w:tcW w:w="737" w:type="dxa"/>
          </w:tcPr>
          <w:p w14:paraId="4D14E26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353F315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Report model performance estimates with confidence intervals, including for any key subgroups. Consider plots to aid presentation</w:t>
            </w:r>
          </w:p>
        </w:tc>
        <w:tc>
          <w:tcPr>
            <w:tcW w:w="3402" w:type="dxa"/>
          </w:tcPr>
          <w:p w14:paraId="54538900" w14:textId="77777777" w:rsidR="00375479" w:rsidRPr="00BE30E7" w:rsidRDefault="000E180D">
            <w:pPr>
              <w:rPr>
                <w:rFonts w:ascii="Times New Roman" w:hAnsi="Times New Roman" w:cs="Times New Roman"/>
                <w:sz w:val="22"/>
              </w:rPr>
            </w:pPr>
            <w:r w:rsidRPr="00BE30E7">
              <w:rPr>
                <w:rFonts w:ascii="Times New Roman" w:hAnsi="Times New Roman" w:cs="Times New Roman"/>
                <w:sz w:val="22"/>
              </w:rPr>
              <w:t>Results (Tables 2–4; Figures 2–3); Additional file 1, Tables S5-S15 and Fig. S3 (prediction-interval coverage). Formal confidence intervals for point metrics were not estimated because the daily evaluation observations were serially dependent and the primary objective was fixed-horizon temporal evaluation; uncertainty in model comparisons was assessed using Diebold-Mariano tests.</w:t>
            </w:r>
          </w:p>
        </w:tc>
      </w:tr>
      <w:tr w:rsidR="00933832" w:rsidRPr="00B369EE" w14:paraId="4731B92A" w14:textId="77777777">
        <w:trPr>
          <w:cantSplit/>
        </w:trPr>
        <w:tc>
          <w:tcPr>
            <w:tcW w:w="1701" w:type="dxa"/>
          </w:tcPr>
          <w:p w14:paraId="731C497E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1F3C6E52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23b</w:t>
            </w:r>
          </w:p>
        </w:tc>
        <w:tc>
          <w:tcPr>
            <w:tcW w:w="737" w:type="dxa"/>
          </w:tcPr>
          <w:p w14:paraId="6C6109E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61C5625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If examined, report results of any heterogeneity in model performance across clusters</w:t>
            </w:r>
          </w:p>
        </w:tc>
        <w:tc>
          <w:tcPr>
            <w:tcW w:w="3402" w:type="dxa"/>
          </w:tcPr>
          <w:p w14:paraId="6C59AC3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Not applicable: single-center study, no multi-site clustering</w:t>
            </w:r>
          </w:p>
        </w:tc>
      </w:tr>
      <w:tr w:rsidR="00933832" w:rsidRPr="00B369EE" w14:paraId="12E93A45" w14:textId="77777777">
        <w:trPr>
          <w:cantSplit/>
        </w:trPr>
        <w:tc>
          <w:tcPr>
            <w:tcW w:w="1701" w:type="dxa"/>
          </w:tcPr>
          <w:p w14:paraId="599956C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Model updating</w:t>
            </w:r>
          </w:p>
        </w:tc>
        <w:tc>
          <w:tcPr>
            <w:tcW w:w="680" w:type="dxa"/>
          </w:tcPr>
          <w:p w14:paraId="6AA3C87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737" w:type="dxa"/>
          </w:tcPr>
          <w:p w14:paraId="284D8C5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E</w:t>
            </w:r>
          </w:p>
        </w:tc>
        <w:tc>
          <w:tcPr>
            <w:tcW w:w="6520" w:type="dxa"/>
          </w:tcPr>
          <w:p w14:paraId="420CBD2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Report the results from any model updating, including the updated model and subsequent performance</w:t>
            </w:r>
          </w:p>
        </w:tc>
        <w:tc>
          <w:tcPr>
            <w:tcW w:w="3402" w:type="dxa"/>
          </w:tcPr>
          <w:p w14:paraId="7DC1E7D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No refitting of point-forecast model parameters or re-estimation of shrinkage factors or ensemble weights was performed during evaluation. Rolling state updates for SARIMA and SARIMAX are described in Methods – Benchmark Models. Results of online prediction-interval updating by adaptive conformal inference are reported in Results (Table 4) and Additional file 1, Fig. S3.</w:t>
            </w:r>
          </w:p>
        </w:tc>
      </w:tr>
      <w:tr w:rsidR="00933832" w:rsidRPr="00B369EE" w14:paraId="2D264F95" w14:textId="77777777" w:rsidTr="00C41233">
        <w:trPr>
          <w:cantSplit/>
        </w:trPr>
        <w:tc>
          <w:tcPr>
            <w:tcW w:w="3402" w:type="dxa"/>
            <w:gridSpan w:val="5"/>
          </w:tcPr>
          <w:p w14:paraId="186D1E0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DISCUSSION</w:t>
            </w:r>
          </w:p>
        </w:tc>
      </w:tr>
      <w:tr w:rsidR="00933832" w:rsidRPr="00B369EE" w14:paraId="6C6BEC58" w14:textId="77777777">
        <w:trPr>
          <w:cantSplit/>
        </w:trPr>
        <w:tc>
          <w:tcPr>
            <w:tcW w:w="1701" w:type="dxa"/>
          </w:tcPr>
          <w:p w14:paraId="31C7DAD3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Interpretation</w:t>
            </w:r>
          </w:p>
        </w:tc>
        <w:tc>
          <w:tcPr>
            <w:tcW w:w="680" w:type="dxa"/>
          </w:tcPr>
          <w:p w14:paraId="5B22A65E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25</w:t>
            </w:r>
          </w:p>
        </w:tc>
        <w:tc>
          <w:tcPr>
            <w:tcW w:w="737" w:type="dxa"/>
          </w:tcPr>
          <w:p w14:paraId="5B555C8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74CCAFD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Give an overall interpretation of the main results, including issues of fairness in the context of the objectives and previous studies</w:t>
            </w:r>
          </w:p>
        </w:tc>
        <w:tc>
          <w:tcPr>
            <w:tcW w:w="3402" w:type="dxa"/>
          </w:tcPr>
          <w:p w14:paraId="6B81C4E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Discussion (opening paragraphs)</w:t>
            </w:r>
          </w:p>
        </w:tc>
      </w:tr>
      <w:tr w:rsidR="00933832" w:rsidRPr="00B369EE" w14:paraId="50948D9C" w14:textId="77777777">
        <w:trPr>
          <w:cantSplit/>
        </w:trPr>
        <w:tc>
          <w:tcPr>
            <w:tcW w:w="1701" w:type="dxa"/>
          </w:tcPr>
          <w:p w14:paraId="0356D3C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Limitations</w:t>
            </w:r>
          </w:p>
        </w:tc>
        <w:tc>
          <w:tcPr>
            <w:tcW w:w="680" w:type="dxa"/>
          </w:tcPr>
          <w:p w14:paraId="35060FE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26</w:t>
            </w:r>
          </w:p>
        </w:tc>
        <w:tc>
          <w:tcPr>
            <w:tcW w:w="737" w:type="dxa"/>
          </w:tcPr>
          <w:p w14:paraId="449C7EE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42BE804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Discuss any limitations of the study and their effects on any biases, statistical uncertainty, and generalizability</w:t>
            </w:r>
          </w:p>
        </w:tc>
        <w:tc>
          <w:tcPr>
            <w:tcW w:w="3402" w:type="dxa"/>
          </w:tcPr>
          <w:p w14:paraId="214AE08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Discussion (limitations paragraphs)</w:t>
            </w:r>
          </w:p>
        </w:tc>
      </w:tr>
      <w:tr w:rsidR="00933832" w:rsidRPr="00B369EE" w14:paraId="15067F88" w14:textId="77777777">
        <w:trPr>
          <w:cantSplit/>
        </w:trPr>
        <w:tc>
          <w:tcPr>
            <w:tcW w:w="1701" w:type="dxa"/>
          </w:tcPr>
          <w:p w14:paraId="6E096918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Usability of the model in the context of current care</w:t>
            </w:r>
          </w:p>
        </w:tc>
        <w:tc>
          <w:tcPr>
            <w:tcW w:w="680" w:type="dxa"/>
          </w:tcPr>
          <w:p w14:paraId="7A11AC3C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27a</w:t>
            </w:r>
          </w:p>
        </w:tc>
        <w:tc>
          <w:tcPr>
            <w:tcW w:w="737" w:type="dxa"/>
          </w:tcPr>
          <w:p w14:paraId="1309770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6520" w:type="dxa"/>
          </w:tcPr>
          <w:p w14:paraId="6D2728EB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Describe how poor quality or unavailable input data should be assessed and handled when implementing the prediction model</w:t>
            </w:r>
          </w:p>
        </w:tc>
        <w:tc>
          <w:tcPr>
            <w:tcW w:w="3402" w:type="dxa"/>
          </w:tcPr>
          <w:p w14:paraId="1259AB1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Data Sources and Dynamic Feature Engineering; Discussion (limitations and future operational integration). Automated input-quality checks and implementation procedures were not evaluated.</w:t>
            </w:r>
          </w:p>
        </w:tc>
      </w:tr>
      <w:tr w:rsidR="00933832" w:rsidRPr="00B369EE" w14:paraId="4C5D59C4" w14:textId="77777777">
        <w:trPr>
          <w:cantSplit/>
        </w:trPr>
        <w:tc>
          <w:tcPr>
            <w:tcW w:w="1701" w:type="dxa"/>
          </w:tcPr>
          <w:p w14:paraId="355751E2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71ED1DE5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27b</w:t>
            </w:r>
          </w:p>
        </w:tc>
        <w:tc>
          <w:tcPr>
            <w:tcW w:w="737" w:type="dxa"/>
          </w:tcPr>
          <w:p w14:paraId="30A0CF61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</w:t>
            </w:r>
          </w:p>
        </w:tc>
        <w:tc>
          <w:tcPr>
            <w:tcW w:w="6520" w:type="dxa"/>
          </w:tcPr>
          <w:p w14:paraId="24409960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Specify whether users will be required to interact in the handling of the input data or use of the model, and what level of expertise is required of users</w:t>
            </w:r>
          </w:p>
        </w:tc>
        <w:tc>
          <w:tcPr>
            <w:tcW w:w="3402" w:type="dxa"/>
          </w:tcPr>
          <w:p w14:paraId="5D48C93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Methods – Interpretability Analysis; Discussion (operational interpretation of the forecasts)</w:t>
            </w:r>
          </w:p>
        </w:tc>
      </w:tr>
      <w:tr w:rsidR="00933832" w:rsidRPr="00B369EE" w14:paraId="0235861C" w14:textId="77777777">
        <w:trPr>
          <w:cantSplit/>
        </w:trPr>
        <w:tc>
          <w:tcPr>
            <w:tcW w:w="1701" w:type="dxa"/>
          </w:tcPr>
          <w:p w14:paraId="344992EA" w14:textId="77777777" w:rsidR="00CE1F5E" w:rsidRPr="00CA3518" w:rsidRDefault="00CE1F5E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" w:type="dxa"/>
          </w:tcPr>
          <w:p w14:paraId="0595E544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27c</w:t>
            </w:r>
          </w:p>
        </w:tc>
        <w:tc>
          <w:tcPr>
            <w:tcW w:w="737" w:type="dxa"/>
          </w:tcPr>
          <w:p w14:paraId="62891567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proofErr w:type="gramStart"/>
            <w:r w:rsidRPr="00CA3518">
              <w:rPr>
                <w:rFonts w:ascii="Times New Roman" w:hAnsi="Times New Roman" w:cs="Times New Roman"/>
                <w:sz w:val="22"/>
              </w:rPr>
              <w:t>D;E</w:t>
            </w:r>
            <w:proofErr w:type="gramEnd"/>
          </w:p>
        </w:tc>
        <w:tc>
          <w:tcPr>
            <w:tcW w:w="6520" w:type="dxa"/>
          </w:tcPr>
          <w:p w14:paraId="4006F6FF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Discuss any next steps for future research, with a specific view to applicability and generalizability of the model</w:t>
            </w:r>
          </w:p>
        </w:tc>
        <w:tc>
          <w:tcPr>
            <w:tcW w:w="3402" w:type="dxa"/>
          </w:tcPr>
          <w:p w14:paraId="663E61A9" w14:textId="77777777" w:rsidR="00CE1F5E" w:rsidRPr="00CA3518" w:rsidRDefault="00B369EE">
            <w:pPr>
              <w:rPr>
                <w:rFonts w:ascii="Times New Roman" w:hAnsi="Times New Roman" w:cs="Times New Roman"/>
                <w:sz w:val="22"/>
              </w:rPr>
            </w:pPr>
            <w:r w:rsidRPr="00CA3518">
              <w:rPr>
                <w:rFonts w:ascii="Times New Roman" w:hAnsi="Times New Roman" w:cs="Times New Roman"/>
                <w:sz w:val="22"/>
              </w:rPr>
              <w:t>Discussion (closing paragraphs); Conclusions</w:t>
            </w:r>
          </w:p>
        </w:tc>
      </w:tr>
    </w:tbl>
    <w:p w14:paraId="5A66A15C" w14:textId="77777777" w:rsidR="00E80D6A" w:rsidRPr="00E65D54" w:rsidRDefault="00E80D6A">
      <w:pPr>
        <w:rPr>
          <w:rFonts w:ascii="Times New Roman" w:hAnsi="Times New Roman" w:cs="Times New Roman"/>
        </w:rPr>
      </w:pPr>
    </w:p>
    <w:sectPr w:rsidR="00E80D6A" w:rsidRPr="00E65D54" w:rsidSect="00034616">
      <w:pgSz w:w="15840" w:h="12240" w:orient="landscape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02F15" w14:textId="77777777" w:rsidR="006F613E" w:rsidRDefault="006F613E" w:rsidP="00CA3518">
      <w:pPr>
        <w:spacing w:after="0" w:line="240" w:lineRule="auto"/>
      </w:pPr>
      <w:r>
        <w:separator/>
      </w:r>
    </w:p>
  </w:endnote>
  <w:endnote w:type="continuationSeparator" w:id="0">
    <w:p w14:paraId="5E065752" w14:textId="77777777" w:rsidR="006F613E" w:rsidRDefault="006F613E" w:rsidP="00CA3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85C143" w14:textId="77777777" w:rsidR="006F613E" w:rsidRDefault="006F613E" w:rsidP="00CA3518">
      <w:pPr>
        <w:spacing w:after="0" w:line="240" w:lineRule="auto"/>
      </w:pPr>
      <w:r>
        <w:separator/>
      </w:r>
    </w:p>
  </w:footnote>
  <w:footnote w:type="continuationSeparator" w:id="0">
    <w:p w14:paraId="067EAAB9" w14:textId="77777777" w:rsidR="006F613E" w:rsidRDefault="006F613E" w:rsidP="00CA3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D2B2A"/>
    <w:rsid w:val="000E180D"/>
    <w:rsid w:val="0015074B"/>
    <w:rsid w:val="0029639D"/>
    <w:rsid w:val="00326F90"/>
    <w:rsid w:val="00375479"/>
    <w:rsid w:val="006F613E"/>
    <w:rsid w:val="008064CA"/>
    <w:rsid w:val="00885781"/>
    <w:rsid w:val="009135A3"/>
    <w:rsid w:val="00933832"/>
    <w:rsid w:val="00AA1D8D"/>
    <w:rsid w:val="00AD151B"/>
    <w:rsid w:val="00B369EE"/>
    <w:rsid w:val="00B47730"/>
    <w:rsid w:val="00B7177E"/>
    <w:rsid w:val="00BE30E7"/>
    <w:rsid w:val="00C41233"/>
    <w:rsid w:val="00CA3518"/>
    <w:rsid w:val="00CB0664"/>
    <w:rsid w:val="00CE1F5E"/>
    <w:rsid w:val="00D210D2"/>
    <w:rsid w:val="00D43CAD"/>
    <w:rsid w:val="00D978D5"/>
    <w:rsid w:val="00E65D54"/>
    <w:rsid w:val="00E80D6A"/>
    <w:rsid w:val="00F12FBE"/>
    <w:rsid w:val="00FA23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6E335A"/>
  <w14:defaultImageDpi w14:val="300"/>
  <w15:docId w15:val="{0F4A19B6-32AE-465F-B5AB-F1AE022F3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2036</Words>
  <Characters>11610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13619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zhiheng luo</dc:creator>
  <cp:keywords/>
  <cp:lastModifiedBy>zhiheng luo</cp:lastModifiedBy>
  <cp:revision>17</cp:revision>
  <dcterms:created xsi:type="dcterms:W3CDTF">2013-12-23T23:15:00Z</dcterms:created>
  <dcterms:modified xsi:type="dcterms:W3CDTF">2026-09-18T06:43:00Z</dcterms:modified>
  <cp:category/>
</cp:coreProperties>
</file>