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EE4" w:rsidRDefault="000B21D5">
      <w:pPr>
        <w:rPr>
          <w:rFonts w:hint="eastAsia"/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Additional file 2: </w:t>
      </w:r>
      <w:r>
        <w:rPr>
          <w:b/>
          <w:sz w:val="28"/>
          <w:szCs w:val="28"/>
        </w:rPr>
        <w:t>Table S</w:t>
      </w:r>
      <w:r>
        <w:rPr>
          <w:b/>
          <w:sz w:val="28"/>
          <w:szCs w:val="28"/>
        </w:rPr>
        <w:t>2</w:t>
      </w:r>
    </w:p>
    <w:p w:rsidR="00E35EE4" w:rsidRDefault="00E35EE4">
      <w:pPr>
        <w:rPr>
          <w:rFonts w:hint="eastAsia"/>
        </w:rPr>
      </w:pPr>
    </w:p>
    <w:p w:rsidR="00E35EE4" w:rsidRDefault="00E35EE4">
      <w:pPr>
        <w:rPr>
          <w:rFonts w:hint="eastAsia"/>
        </w:rPr>
      </w:pPr>
    </w:p>
    <w:tbl>
      <w:tblPr>
        <w:tblStyle w:val="Gitternetztabelle1hell1"/>
        <w:tblW w:w="5003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59"/>
        <w:gridCol w:w="2055"/>
        <w:gridCol w:w="2474"/>
        <w:gridCol w:w="2474"/>
      </w:tblGrid>
      <w:tr w:rsidR="00E35EE4" w:rsidTr="00E35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Baseline characteristics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Study cohort (n = 28)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Comparison group (n = 200)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i/>
                <w:iCs/>
                <w:sz w:val="18"/>
                <w:szCs w:val="20"/>
                <w:lang w:val="en-US"/>
              </w:rPr>
              <w:t>P</w:t>
            </w:r>
            <w:r>
              <w:rPr>
                <w:sz w:val="18"/>
                <w:szCs w:val="20"/>
                <w:lang w:val="en-US"/>
              </w:rPr>
              <w:t>-Value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jc w:val="center"/>
              <w:rPr>
                <w:rFonts w:hint="eastAsia"/>
                <w:i/>
                <w:sz w:val="18"/>
                <w:szCs w:val="20"/>
                <w:lang w:val="en-US"/>
              </w:rPr>
            </w:pPr>
            <w:r>
              <w:rPr>
                <w:b w:val="0"/>
                <w:i/>
                <w:sz w:val="18"/>
                <w:szCs w:val="20"/>
                <w:lang w:val="en-US"/>
              </w:rPr>
              <w:t xml:space="preserve">                                    Clinical parameters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sz w:val="18"/>
                <w:szCs w:val="20"/>
                <w:lang w:val="en-US"/>
              </w:rPr>
            </w:pP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tcBorders>
              <w:top w:val="single" w:sz="4" w:space="0" w:color="auto"/>
            </w:tcBorders>
          </w:tcPr>
          <w:p w:rsidR="00E35EE4" w:rsidRDefault="000B21D5">
            <w:pPr>
              <w:spacing w:before="40" w:after="40"/>
              <w:rPr>
                <w:rFonts w:hint="eastAsia"/>
                <w:b w:val="0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Age [years], median (IQR)</w:t>
            </w:r>
          </w:p>
        </w:tc>
        <w:tc>
          <w:tcPr>
            <w:tcW w:w="1194" w:type="pct"/>
            <w:gridSpan w:val="2"/>
            <w:tcBorders>
              <w:top w:val="single" w:sz="4" w:space="0" w:color="auto"/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  <w:lang w:val="en-US"/>
              </w:rPr>
            </w:pPr>
            <w:r>
              <w:rPr>
                <w:color w:val="000000" w:themeColor="text1"/>
                <w:sz w:val="18"/>
                <w:szCs w:val="20"/>
                <w:lang w:val="en-US"/>
              </w:rPr>
              <w:t>76.5 (66.5-80.5)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  <w:lang w:val="en-US"/>
              </w:rPr>
            </w:pPr>
            <w:r>
              <w:rPr>
                <w:color w:val="000000" w:themeColor="text1"/>
                <w:sz w:val="18"/>
                <w:szCs w:val="20"/>
                <w:lang w:val="en-US"/>
              </w:rPr>
              <w:t>72 (58.75-80.0)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  <w:lang w:val="en-US"/>
              </w:rPr>
            </w:pPr>
            <w:r>
              <w:rPr>
                <w:color w:val="000000" w:themeColor="text1"/>
                <w:sz w:val="18"/>
                <w:szCs w:val="20"/>
                <w:lang w:val="en-US"/>
              </w:rPr>
              <w:t>0.34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b w:val="0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Female, n (%)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15 (53.6)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113 (65.5)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0.31</w:t>
            </w:r>
          </w:p>
        </w:tc>
      </w:tr>
      <w:tr w:rsidR="00E35EE4" w:rsidTr="00E35EE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b w:val="0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Hypertension, n (%)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20 (71.4)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61 (81.5)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0.84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b w:val="0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Diabetes mellitus, n (%)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3 (10.7)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33 (16.5)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0.58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GCS score, median (IQR)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15 (13-15)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12 (6.5-14)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0.001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Anticoagulation Treatment, n (%)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 (14.3)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57 (28.5)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0.16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Antiplatelet Treatment, n (%)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8</w:t>
            </w:r>
            <w:r>
              <w:rPr>
                <w:color w:val="000000" w:themeColor="text1"/>
                <w:sz w:val="18"/>
                <w:szCs w:val="20"/>
              </w:rPr>
              <w:t xml:space="preserve"> (28.6)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38 (19)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0.16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NIHHS admission, median (IQR)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5 (2-11)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10 (4-13)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0.26</w:t>
            </w:r>
          </w:p>
        </w:tc>
      </w:tr>
      <w:tr w:rsidR="00E35EE4" w:rsidTr="00E35EE4">
        <w:trPr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NIHSS discharge, median (IQR)</w:t>
            </w:r>
          </w:p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  <w:lang w:val="en-US"/>
              </w:rPr>
            </w:pPr>
            <w:proofErr w:type="spellStart"/>
            <w:r>
              <w:rPr>
                <w:rFonts w:hint="eastAsia"/>
                <w:sz w:val="18"/>
                <w:szCs w:val="20"/>
                <w:lang w:val="en-US"/>
              </w:rPr>
              <w:t>mRS</w:t>
            </w:r>
            <w:proofErr w:type="spellEnd"/>
            <w:r>
              <w:rPr>
                <w:sz w:val="18"/>
                <w:szCs w:val="20"/>
                <w:lang w:val="en-US"/>
              </w:rPr>
              <w:t xml:space="preserve"> discharge</w:t>
            </w:r>
            <w:r>
              <w:rPr>
                <w:rFonts w:hint="eastAsia"/>
                <w:sz w:val="18"/>
                <w:szCs w:val="20"/>
                <w:lang w:val="en-US"/>
              </w:rPr>
              <w:t>, median (IQR)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 (0-8)</w:t>
            </w:r>
          </w:p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 (1-4)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5 (1-12)</w:t>
            </w:r>
          </w:p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5 (4-5.5)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0.15</w:t>
            </w:r>
          </w:p>
          <w:p w:rsidR="00E35EE4" w:rsidRDefault="00E35EE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0.007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jc w:val="center"/>
              <w:rPr>
                <w:rFonts w:hint="eastAsia"/>
                <w:i/>
                <w:color w:val="000000" w:themeColor="text1"/>
                <w:sz w:val="18"/>
                <w:szCs w:val="20"/>
              </w:rPr>
            </w:pPr>
            <w:r>
              <w:rPr>
                <w:b w:val="0"/>
                <w:i/>
                <w:color w:val="000000" w:themeColor="text1"/>
                <w:sz w:val="18"/>
                <w:szCs w:val="20"/>
              </w:rPr>
              <w:t xml:space="preserve">                              CT parameters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</w:tcPr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color w:val="000000" w:themeColor="text1"/>
                <w:sz w:val="18"/>
                <w:szCs w:val="20"/>
              </w:rPr>
            </w:pP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tcBorders>
              <w:top w:val="single" w:sz="4" w:space="0" w:color="auto"/>
            </w:tcBorders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Bleeding location, </w:t>
            </w:r>
          </w:p>
          <w:p w:rsidR="00E35EE4" w:rsidRDefault="000B21D5">
            <w:pPr>
              <w:spacing w:before="40" w:after="40"/>
              <w:rPr>
                <w:rFonts w:hint="eastAsia"/>
                <w:b w:val="0"/>
                <w:bCs w:val="0"/>
                <w:sz w:val="18"/>
                <w:szCs w:val="20"/>
              </w:rPr>
            </w:pPr>
            <w:r>
              <w:rPr>
                <w:sz w:val="18"/>
                <w:szCs w:val="20"/>
              </w:rPr>
              <w:t>n (%)</w:t>
            </w:r>
          </w:p>
          <w:p w:rsidR="00E35EE4" w:rsidRDefault="000B21D5">
            <w:pPr>
              <w:pStyle w:val="ListParagraph"/>
              <w:numPr>
                <w:ilvl w:val="0"/>
                <w:numId w:val="1"/>
              </w:numPr>
              <w:spacing w:before="40" w:after="40"/>
              <w:ind w:left="572" w:hanging="141"/>
              <w:contextualSpacing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Lobar</w:t>
            </w:r>
          </w:p>
          <w:p w:rsidR="00E35EE4" w:rsidRDefault="000B21D5">
            <w:pPr>
              <w:pStyle w:val="ListParagraph"/>
              <w:numPr>
                <w:ilvl w:val="0"/>
                <w:numId w:val="1"/>
              </w:numPr>
              <w:spacing w:before="40" w:after="40"/>
              <w:ind w:left="572" w:hanging="141"/>
              <w:contextualSpacing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Basal Ganglia</w:t>
            </w:r>
          </w:p>
          <w:p w:rsidR="00E35EE4" w:rsidRDefault="000B21D5">
            <w:pPr>
              <w:pStyle w:val="ListParagraph"/>
              <w:numPr>
                <w:ilvl w:val="0"/>
                <w:numId w:val="1"/>
              </w:numPr>
              <w:spacing w:before="40" w:after="40"/>
              <w:ind w:left="572" w:hanging="141"/>
              <w:contextualSpacing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Thalamus</w:t>
            </w:r>
          </w:p>
          <w:p w:rsidR="00E35EE4" w:rsidRDefault="000B21D5">
            <w:pPr>
              <w:pStyle w:val="ListParagraph"/>
              <w:numPr>
                <w:ilvl w:val="0"/>
                <w:numId w:val="1"/>
              </w:numPr>
              <w:spacing w:before="40" w:after="40"/>
              <w:ind w:left="572" w:hanging="141"/>
              <w:contextualSpacing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Brainstem/Pons</w:t>
            </w:r>
          </w:p>
          <w:p w:rsidR="00E35EE4" w:rsidRDefault="000B21D5">
            <w:pPr>
              <w:pStyle w:val="ListParagraph"/>
              <w:numPr>
                <w:ilvl w:val="0"/>
                <w:numId w:val="1"/>
              </w:numPr>
              <w:spacing w:before="40" w:after="40"/>
              <w:ind w:left="572" w:hanging="141"/>
              <w:contextualSpacing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Cerebellar</w:t>
            </w:r>
          </w:p>
        </w:tc>
        <w:tc>
          <w:tcPr>
            <w:tcW w:w="1194" w:type="pct"/>
            <w:gridSpan w:val="2"/>
            <w:tcBorders>
              <w:top w:val="single" w:sz="4" w:space="0" w:color="auto"/>
              <w:left w:val="nil"/>
            </w:tcBorders>
          </w:tcPr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15 (53.6)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6 (21.4)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 (14.3)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 (0.0)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3 (10.7)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</w:tcBorders>
          </w:tcPr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E35EE4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86 (43)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68 (34)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14 (7)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11 (5.5)</w:t>
            </w:r>
          </w:p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18 (9)</w:t>
            </w:r>
          </w:p>
        </w:tc>
        <w:tc>
          <w:tcPr>
            <w:tcW w:w="1378" w:type="pct"/>
            <w:tcBorders>
              <w:top w:val="single" w:sz="4" w:space="0" w:color="auto"/>
              <w:left w:val="nil"/>
            </w:tcBorders>
          </w:tcPr>
          <w:p w:rsidR="00E35EE4" w:rsidRDefault="00E35EE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E35EE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</w:p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0.32</w:t>
            </w:r>
          </w:p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0.17</w:t>
            </w:r>
          </w:p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0.012</w:t>
            </w:r>
          </w:p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0.35</w:t>
            </w:r>
          </w:p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0.21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</w:tcPr>
          <w:p w:rsidR="00E35EE4" w:rsidRDefault="000B21D5">
            <w:pPr>
              <w:spacing w:before="40" w:after="40"/>
              <w:rPr>
                <w:rFonts w:hint="eastAsia"/>
                <w:b w:val="0"/>
                <w:sz w:val="18"/>
                <w:szCs w:val="20"/>
              </w:rPr>
            </w:pPr>
            <w:r>
              <w:rPr>
                <w:sz w:val="18"/>
                <w:szCs w:val="20"/>
              </w:rPr>
              <w:t>Intraventricular hemorrhage, n (%)</w:t>
            </w:r>
          </w:p>
        </w:tc>
        <w:tc>
          <w:tcPr>
            <w:tcW w:w="1194" w:type="pct"/>
            <w:gridSpan w:val="2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8 (28.6)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87 (43.5)</w:t>
            </w:r>
          </w:p>
        </w:tc>
        <w:tc>
          <w:tcPr>
            <w:tcW w:w="1378" w:type="pct"/>
            <w:tcBorders>
              <w:left w:val="nil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0.44</w:t>
            </w:r>
          </w:p>
        </w:tc>
      </w:tr>
      <w:tr w:rsidR="00E35EE4" w:rsidTr="00E35E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tcBorders>
              <w:bottom w:val="single" w:sz="4" w:space="0" w:color="auto"/>
            </w:tcBorders>
          </w:tcPr>
          <w:p w:rsidR="00E35EE4" w:rsidRDefault="000B21D5">
            <w:pPr>
              <w:spacing w:before="40" w:after="40"/>
              <w:rPr>
                <w:rFonts w:hint="eastAsia"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Midlineshift </w:t>
            </w:r>
            <w:r>
              <w:rPr>
                <w:sz w:val="18"/>
                <w:szCs w:val="20"/>
                <w:lang w:val="en-US"/>
              </w:rPr>
              <w:t xml:space="preserve">[mm], </w:t>
            </w:r>
            <w:r>
              <w:rPr>
                <w:sz w:val="18"/>
                <w:szCs w:val="20"/>
                <w:lang w:val="en-US"/>
              </w:rPr>
              <w:t>median (IQR)</w:t>
            </w:r>
          </w:p>
        </w:tc>
        <w:tc>
          <w:tcPr>
            <w:tcW w:w="1194" w:type="pct"/>
            <w:gridSpan w:val="2"/>
            <w:tcBorders>
              <w:left w:val="nil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0.0 (0.0-3.0)</w:t>
            </w:r>
          </w:p>
        </w:tc>
        <w:tc>
          <w:tcPr>
            <w:tcW w:w="1378" w:type="pct"/>
            <w:tcBorders>
              <w:left w:val="nil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2 (0.0-6.0)</w:t>
            </w:r>
          </w:p>
        </w:tc>
        <w:tc>
          <w:tcPr>
            <w:tcW w:w="1378" w:type="pct"/>
            <w:tcBorders>
              <w:left w:val="nil"/>
              <w:bottom w:val="single" w:sz="4" w:space="0" w:color="auto"/>
            </w:tcBorders>
          </w:tcPr>
          <w:p w:rsidR="00E35EE4" w:rsidRDefault="000B21D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0.018</w:t>
            </w:r>
          </w:p>
        </w:tc>
      </w:tr>
    </w:tbl>
    <w:p w:rsidR="00E35EE4" w:rsidRDefault="00E35EE4">
      <w:pPr>
        <w:spacing w:line="360" w:lineRule="auto"/>
        <w:jc w:val="both"/>
        <w:rPr>
          <w:rFonts w:hint="eastAsia"/>
          <w:bCs/>
          <w:i/>
          <w:sz w:val="22"/>
          <w:szCs w:val="22"/>
          <w:u w:val="single"/>
          <w:lang w:val="en-US"/>
        </w:rPr>
      </w:pPr>
    </w:p>
    <w:p w:rsidR="00E35EE4" w:rsidRDefault="00E35EE4">
      <w:pPr>
        <w:spacing w:line="360" w:lineRule="auto"/>
        <w:jc w:val="both"/>
        <w:rPr>
          <w:rFonts w:hint="eastAsia"/>
          <w:bCs/>
          <w:i/>
          <w:sz w:val="22"/>
          <w:szCs w:val="22"/>
          <w:u w:val="single"/>
          <w:lang w:val="en-US"/>
        </w:rPr>
      </w:pPr>
    </w:p>
    <w:p w:rsidR="00E35EE4" w:rsidRDefault="000B21D5">
      <w:pPr>
        <w:spacing w:line="360" w:lineRule="auto"/>
        <w:jc w:val="both"/>
        <w:rPr>
          <w:rFonts w:hint="eastAsia"/>
          <w:sz w:val="22"/>
          <w:szCs w:val="22"/>
          <w:lang w:val="en-US"/>
        </w:rPr>
      </w:pPr>
      <w:r>
        <w:rPr>
          <w:bCs/>
          <w:i/>
          <w:sz w:val="22"/>
          <w:szCs w:val="22"/>
          <w:u w:val="single"/>
          <w:lang w:val="en-US"/>
        </w:rPr>
        <w:t>Legend</w:t>
      </w:r>
      <w:r>
        <w:rPr>
          <w:bCs/>
          <w:sz w:val="22"/>
          <w:szCs w:val="22"/>
          <w:u w:val="single"/>
          <w:lang w:val="en-US"/>
        </w:rPr>
        <w:t>:</w:t>
      </w:r>
      <w:r>
        <w:rPr>
          <w:b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Comparison of baseline demographic, clinical and radiological characteristics in patients with acute intracerebral hemorrhage (ICH; study cohort vs. comparison group). EVD indicates </w:t>
      </w:r>
      <w:proofErr w:type="spellStart"/>
      <w:r>
        <w:rPr>
          <w:sz w:val="22"/>
          <w:szCs w:val="22"/>
          <w:lang w:val="en-US"/>
        </w:rPr>
        <w:t>extraventricula</w:t>
      </w:r>
      <w:r>
        <w:rPr>
          <w:rFonts w:hint="eastAsia"/>
          <w:sz w:val="22"/>
          <w:szCs w:val="22"/>
          <w:lang w:val="en-US"/>
        </w:rPr>
        <w:t>r</w:t>
      </w:r>
      <w:proofErr w:type="spellEnd"/>
      <w:r>
        <w:rPr>
          <w:sz w:val="22"/>
          <w:szCs w:val="22"/>
          <w:lang w:val="en-US"/>
        </w:rPr>
        <w:t xml:space="preserve"> drainage; GCS, Glasgow Coma Scale; </w:t>
      </w:r>
      <w:proofErr w:type="spellStart"/>
      <w:r>
        <w:rPr>
          <w:sz w:val="22"/>
          <w:szCs w:val="22"/>
          <w:lang w:val="en-US"/>
        </w:rPr>
        <w:t>mRS</w:t>
      </w:r>
      <w:proofErr w:type="spellEnd"/>
      <w:r>
        <w:rPr>
          <w:sz w:val="22"/>
          <w:szCs w:val="22"/>
          <w:lang w:val="en-US"/>
        </w:rPr>
        <w:t xml:space="preserve"> modified Rankin Scale; NIHSS </w:t>
      </w:r>
      <w:r>
        <w:rPr>
          <w:rFonts w:hint="eastAsia"/>
          <w:sz w:val="22"/>
          <w:szCs w:val="22"/>
          <w:lang w:val="en-US"/>
        </w:rPr>
        <w:t>National Institutes of Health Stroke Scale</w:t>
      </w:r>
      <w:r>
        <w:rPr>
          <w:sz w:val="22"/>
          <w:szCs w:val="22"/>
          <w:lang w:val="en-US"/>
        </w:rPr>
        <w:t>.</w:t>
      </w:r>
    </w:p>
    <w:bookmarkEnd w:id="0"/>
    <w:p w:rsidR="00E35EE4" w:rsidRDefault="00E35EE4">
      <w:pPr>
        <w:rPr>
          <w:rFonts w:hint="eastAsia"/>
          <w:lang w:val="en-US"/>
        </w:rPr>
      </w:pPr>
    </w:p>
    <w:sectPr w:rsidR="00E35EE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560F"/>
    <w:multiLevelType w:val="hybridMultilevel"/>
    <w:tmpl w:val="A6209D3A"/>
    <w:lvl w:ilvl="0" w:tplc="9176E4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E4"/>
    <w:rsid w:val="000B21D5"/>
    <w:rsid w:val="00E3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48ACE3B0-6CBE-1842-86D9-216519A3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it-IT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val="de-DE" w:eastAsia="de-DE" w:bidi="ar-SA"/>
    </w:rPr>
  </w:style>
  <w:style w:type="table" w:customStyle="1" w:styleId="Gitternetztabelle1hell1">
    <w:name w:val="Gitternetztabelle 1 hell1"/>
    <w:basedOn w:val="TableNormal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imes New Roman" w:hAnsi="Times New Roman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SimSun" w:hAnsi="Times New Roman" w:cs="Mangal"/>
      <w:kern w:val="3"/>
      <w:sz w:val="18"/>
      <w:szCs w:val="16"/>
      <w:lang w:val="it-IT"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Liberation Serif" w:eastAsia="SimSun" w:hAnsi="Liberation Serif" w:cs="Mangal"/>
      <w:kern w:val="3"/>
      <w:sz w:val="20"/>
      <w:szCs w:val="18"/>
      <w:lang w:val="it-IT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Liberation Serif" w:eastAsia="SimSun" w:hAnsi="Liberation Serif" w:cs="Mangal"/>
      <w:b/>
      <w:bCs/>
      <w:kern w:val="3"/>
      <w:sz w:val="20"/>
      <w:szCs w:val="18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Jawed Nawabi</dc:creator>
  <cp:keywords/>
  <dc:description/>
  <cp:lastModifiedBy>Yamuna R.</cp:lastModifiedBy>
  <cp:revision>8</cp:revision>
  <dcterms:created xsi:type="dcterms:W3CDTF">2021-06-07T07:47:00Z</dcterms:created>
  <dcterms:modified xsi:type="dcterms:W3CDTF">2022-01-11T07:19:00Z</dcterms:modified>
</cp:coreProperties>
</file>