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0" w:after="40" w:line="240" w:lineRule="auto"/>
        <w:jc w:val="center"/>
        <w:rPr>
          <w:rFonts w:eastAsia="Times New Roman" w:cs="Times New Roman" w:asciiTheme="minorHAnsi" w:hAnsiTheme="minorHAnsi"/>
          <w:b/>
          <w:sz w:val="28"/>
        </w:rPr>
      </w:pPr>
      <w:r>
        <w:rPr>
          <w:rFonts w:eastAsia="Times New Roman" w:cs="Times New Roman" w:asciiTheme="minorHAnsi" w:hAnsiTheme="minorHAnsi"/>
          <w:b/>
          <w:sz w:val="28"/>
        </w:rPr>
        <w:t>CLAIM:  Checklist for Artificial Intelligence in Medical Imaging</w:t>
      </w:r>
    </w:p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rPr>
          <w:rFonts w:ascii="Arial" w:hAnsi="Arial" w:eastAsia="Arial" w:cs="Arial"/>
        </w:rPr>
      </w:pPr>
    </w:p>
    <w:tbl>
      <w:tblPr>
        <w:tblStyle w:val="17"/>
        <w:tblW w:w="9535" w:type="dxa"/>
        <w:jc w:val="center"/>
        <w:tblBorders>
          <w:top w:val="single" w:color="8EAADB" w:sz="4" w:space="0"/>
          <w:left w:val="single" w:color="8EAADB" w:sz="4" w:space="0"/>
          <w:bottom w:val="single" w:color="8EAADB" w:sz="4" w:space="0"/>
          <w:right w:val="single" w:color="8EAADB" w:sz="4" w:space="0"/>
          <w:insideH w:val="single" w:color="8EAADB" w:sz="4" w:space="0"/>
          <w:insideV w:val="single" w:color="8EAAD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540"/>
        <w:gridCol w:w="5650"/>
        <w:gridCol w:w="1460"/>
      </w:tblGrid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85" w:type="dxa"/>
            <w:tcBorders>
              <w:top w:val="single" w:color="4472C4" w:sz="4" w:space="0"/>
              <w:left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Section / Topic</w:t>
            </w:r>
          </w:p>
        </w:tc>
        <w:tc>
          <w:tcPr>
            <w:tcW w:w="54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No.</w:t>
            </w:r>
          </w:p>
        </w:tc>
        <w:tc>
          <w:tcPr>
            <w:tcW w:w="5650" w:type="dxa"/>
            <w:tcBorders>
              <w:top w:val="single" w:color="4472C4" w:sz="4" w:space="0"/>
              <w:bottom w:val="single" w:color="4472C4" w:sz="4" w:space="0"/>
              <w:right w:val="nil"/>
              <w:insideH w:val="single" w:sz="4" w:space="0"/>
              <w:insideV w:val="nil"/>
            </w:tcBorders>
            <w:shd w:val="clear" w:color="auto" w:fill="4472C4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Item</w:t>
            </w:r>
          </w:p>
        </w:tc>
        <w:tc>
          <w:tcPr>
            <w:tcW w:w="1460" w:type="dxa"/>
            <w:tcBorders>
              <w:top w:val="single" w:color="4472C4" w:sz="4" w:space="0"/>
              <w:bottom w:val="single" w:color="4472C4" w:sz="4" w:space="0"/>
              <w:right w:val="single" w:color="4472C4" w:sz="4" w:space="0"/>
              <w:insideH w:val="single" w:sz="4" w:space="0"/>
              <w:insideV w:val="nil"/>
            </w:tcBorders>
            <w:shd w:val="clear" w:color="auto" w:fill="4472C4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  <w:r>
              <w:rPr>
                <w:b/>
                <w:color w:val="2E75B5"/>
                <w:sz w:val="22"/>
                <w:szCs w:val="22"/>
              </w:rPr>
              <w:t xml:space="preserve">TITLE </w:t>
            </w:r>
            <w:r>
              <w:rPr>
                <w:b w:val="0"/>
                <w:color w:val="2E75B5"/>
                <w:sz w:val="22"/>
                <w:szCs w:val="22"/>
              </w:rPr>
              <w:t>/</w:t>
            </w:r>
            <w:r>
              <w:rPr>
                <w:b/>
                <w:color w:val="2E75B5"/>
                <w:sz w:val="22"/>
                <w:szCs w:val="22"/>
              </w:rPr>
              <w:t xml:space="preserve"> ABSTRACT</w:t>
            </w:r>
          </w:p>
        </w:tc>
        <w:tc>
          <w:tcPr>
            <w:tcW w:w="540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650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>
            <w:pPr>
              <w:spacing w:before="100" w:after="0" w:line="240" w:lineRule="auto"/>
              <w:rPr>
                <w:sz w:val="20"/>
                <w:szCs w:val="20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  <w:r>
              <w:rPr>
                <w:sz w:val="22"/>
                <w:szCs w:val="22"/>
              </w:rPr>
              <w:t>(</w:t>
            </w:r>
            <w:r>
              <w:rPr>
                <w:sz w:val="18"/>
                <w:szCs w:val="18"/>
              </w:rPr>
              <w:t>N/A)</w:t>
            </w:r>
          </w:p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Identification as a study of AI methodology, specifying the category of technology used (e.g., deep learning)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Structured summary of study design, methods, results, and conclusions 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  <w:r>
              <w:rPr>
                <w:b/>
                <w:color w:val="2E75B5"/>
                <w:sz w:val="22"/>
                <w:szCs w:val="22"/>
              </w:rPr>
              <w:t>INTRODUCTION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Scientific and clinical background, including the intended use and clinical role of the AI approach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Study objectives and hypotheses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  <w:r>
              <w:rPr>
                <w:b/>
                <w:color w:val="2E75B5"/>
                <w:sz w:val="22"/>
                <w:szCs w:val="22"/>
              </w:rPr>
              <w:t>METHODS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Study Design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Prospective or retrospective study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retrospective study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Study goal, such as model creation, exploratory study, feasibility study, non-inferiority trial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model creation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Data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Data sources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The First Affiliated Hospital of Guangxi Medical University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Eligibility criteria: h</w:t>
            </w:r>
            <w:r>
              <w:rPr>
                <w:color w:val="000000"/>
                <w:sz w:val="22"/>
                <w:szCs w:val="22"/>
              </w:rPr>
              <w:t>ow, where, and when potentially eligible participants</w:t>
            </w:r>
            <w:r>
              <w:rPr>
                <w:sz w:val="22"/>
                <w:szCs w:val="22"/>
              </w:rPr>
              <w:t xml:space="preserve"> or studies</w:t>
            </w:r>
            <w:r>
              <w:rPr>
                <w:color w:val="000000"/>
                <w:sz w:val="22"/>
                <w:szCs w:val="22"/>
              </w:rPr>
              <w:t xml:space="preserve"> were identified (</w:t>
            </w:r>
            <w:r>
              <w:rPr>
                <w:sz w:val="22"/>
                <w:szCs w:val="22"/>
              </w:rPr>
              <w:t xml:space="preserve">e.g., </w:t>
            </w:r>
            <w:r>
              <w:rPr>
                <w:color w:val="000000"/>
                <w:sz w:val="22"/>
                <w:szCs w:val="22"/>
              </w:rPr>
              <w:t xml:space="preserve"> symptoms, results from previous tests, inclusion in registry, patient-care </w:t>
            </w:r>
            <w:r>
              <w:rPr>
                <w:sz w:val="22"/>
                <w:szCs w:val="22"/>
              </w:rPr>
              <w:t>setting, location, dates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50" w:type="dxa"/>
          </w:tcPr>
          <w:p>
            <w:pPr>
              <w:tabs>
                <w:tab w:val="left" w:pos="527"/>
              </w:tabs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Data pre-processing steps 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>
              <w:rPr>
                <w:rFonts w:ascii="Webdings" w:hAnsi="Webdings"/>
                <w:sz w:val="28"/>
                <w:szCs w:val="28"/>
              </w:rPr>
              <w:t>a</w:t>
            </w:r>
            <w:bookmarkEnd w:id="0"/>
            <w:bookmarkEnd w:id="1"/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Selection of data subsets, if applicable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Definitions of data elements, with references to Common Data Elements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De-identification methods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How missing data were handled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bookmarkStart w:id="2" w:name="OLE_LINK4"/>
            <w:bookmarkStart w:id="3" w:name="OLE_LINK3"/>
            <w:r>
              <w:rPr>
                <w:rFonts w:ascii="Webdings" w:hAnsi="Webdings"/>
                <w:sz w:val="28"/>
                <w:szCs w:val="28"/>
              </w:rPr>
              <w:t>a</w:t>
            </w:r>
            <w:bookmarkEnd w:id="2"/>
            <w:bookmarkEnd w:id="3"/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Ground Truth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Definition of ground truth reference standard, in sufficient detail to allow replication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Rationale for choosing the reference standard (if alternatives exist)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Source of ground-truth annotations; qualifications and preparation of annotators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Annotation tools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Measurement of inter- and intrarater variability; methods to mitigate variability and/or resolve discrepancies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Data Partitions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</w:t>
            </w:r>
            <w:r>
              <w:rPr>
                <w:color w:val="000000"/>
                <w:sz w:val="22"/>
                <w:szCs w:val="22"/>
              </w:rPr>
              <w:t xml:space="preserve"> sample size and how it was determined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How data were assigned to partitions; specify proportions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Level at which partitions are disjoint (e.g., image, study, patient, institution)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Model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Detailed description of model, including inputs, outputs, all intermediate layers and connections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Software libraries, frameworks, and packages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Initialization of model parameters (e.g., randomization, transfer learning)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Training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Details of training approach, including data augmentation, hyperparameters, number of models trained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Method of selecting the final model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Ensembling techniques, if applicable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Evaluation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Metrics of model performance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Statistical measures of significance and uncertainty (e.g., confidence intervals)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Robustness or sensitivity analysis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Methods for explainability or interpretability (e.g., saliency maps), and how they were validated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Validation or testing on external data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18"/>
                <w:szCs w:val="18"/>
              </w:rPr>
              <w:t>N/A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2E75B5"/>
                <w:sz w:val="22"/>
                <w:szCs w:val="22"/>
              </w:rPr>
              <w:t>RESULTS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Data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Flow of participants or cases, using a diagram to indicate inclusion and exclusion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Demographic and clinical characteristics of cases in each partition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i/>
                <w:color w:val="2E75B5"/>
                <w:sz w:val="22"/>
                <w:szCs w:val="22"/>
              </w:rPr>
            </w:pPr>
            <w:r>
              <w:rPr>
                <w:b/>
                <w:i/>
                <w:color w:val="2E75B5"/>
                <w:sz w:val="22"/>
                <w:szCs w:val="22"/>
              </w:rPr>
              <w:t>Model performance</w:t>
            </w: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Performance metrics for optimal model(s) on all data partitions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Estimates of diagnostic accuracy and their precision (such as 95% confidence intervals)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Failure analysis of incorrectly classified cases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  <w:r>
              <w:rPr>
                <w:b/>
                <w:color w:val="2E75B5"/>
                <w:sz w:val="22"/>
                <w:szCs w:val="22"/>
              </w:rPr>
              <w:t>DISCUSSION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Study limitations, </w:t>
            </w:r>
            <w:r>
              <w:rPr>
                <w:sz w:val="22"/>
                <w:szCs w:val="22"/>
              </w:rPr>
              <w:t>including</w:t>
            </w:r>
            <w:r>
              <w:rPr>
                <w:color w:val="000000"/>
                <w:sz w:val="22"/>
                <w:szCs w:val="22"/>
              </w:rPr>
              <w:t xml:space="preserve"> potential bias, statistical uncertainty, and generalizability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Implications for practice, including the intended use and/or clinical role 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b/>
                <w:color w:val="2E75B5"/>
                <w:sz w:val="22"/>
                <w:szCs w:val="22"/>
              </w:rPr>
            </w:pPr>
            <w:r>
              <w:rPr>
                <w:b/>
                <w:color w:val="2E75B5"/>
                <w:sz w:val="22"/>
                <w:szCs w:val="22"/>
              </w:rPr>
              <w:t>OTHER INFORMATION</w:t>
            </w:r>
          </w:p>
        </w:tc>
        <w:tc>
          <w:tcPr>
            <w:tcW w:w="54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50" w:type="dxa"/>
            <w:shd w:val="clear" w:color="auto" w:fill="DEEAF6" w:themeFill="accent1" w:themeFillTint="33"/>
          </w:tcPr>
          <w:p>
            <w:pPr>
              <w:spacing w:before="0" w:after="60" w:line="240" w:lineRule="auto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shd w:val="clear" w:color="auto" w:fill="DEEAF6" w:themeFill="accent1" w:themeFillTint="33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Registration number and name of registry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rFonts w:hint="eastAsia"/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eastAsia="zh-CN"/>
              </w:rPr>
              <w:t>N</w:t>
            </w:r>
            <w:r>
              <w:rPr>
                <w:b/>
                <w:sz w:val="22"/>
                <w:szCs w:val="22"/>
                <w:lang w:eastAsia="zh-CN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Where the full study protocol can be accessed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</w:p>
        </w:tc>
      </w:tr>
      <w:tr>
        <w:tblPrEx>
          <w:tblBorders>
            <w:top w:val="single" w:color="8EAADB" w:sz="4" w:space="0"/>
            <w:left w:val="single" w:color="8EAADB" w:sz="4" w:space="0"/>
            <w:bottom w:val="single" w:color="8EAADB" w:sz="4" w:space="0"/>
            <w:right w:val="single" w:color="8EAADB" w:sz="4" w:space="0"/>
            <w:insideH w:val="single" w:color="8EAADB" w:sz="4" w:space="0"/>
            <w:insideV w:val="single" w:color="8EAA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5" w:type="dxa"/>
          </w:tcPr>
          <w:p>
            <w:pPr>
              <w:spacing w:before="0" w:after="6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5650" w:type="dxa"/>
          </w:tcPr>
          <w:p>
            <w:pPr>
              <w:spacing w:before="0" w:after="6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Sources of funding and other support; role of funders</w:t>
            </w:r>
          </w:p>
        </w:tc>
        <w:tc>
          <w:tcPr>
            <w:tcW w:w="1460" w:type="dxa"/>
            <w:vAlign w:val="center"/>
          </w:tcPr>
          <w:p>
            <w:pPr>
              <w:spacing w:before="0" w:after="6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Webdings" w:hAnsi="Webdings"/>
                <w:sz w:val="28"/>
                <w:szCs w:val="28"/>
              </w:rPr>
              <w:t>a</w:t>
            </w:r>
            <w:bookmarkStart w:id="5" w:name="_GoBack"/>
            <w:bookmarkEnd w:id="5"/>
          </w:p>
        </w:tc>
      </w:tr>
    </w:tbl>
    <w:p>
      <w:bookmarkStart w:id="4" w:name="_heading=h.gjdgxs" w:colFirst="0" w:colLast="0"/>
      <w:bookmarkEnd w:id="4"/>
    </w:p>
    <w:p>
      <w:pPr>
        <w:spacing w:after="0" w:line="240" w:lineRule="auto"/>
      </w:pPr>
      <w:r>
        <w:t xml:space="preserve">Mongan J, Moy L, Kahn CE Jr.  Checklist for Artificial Intelligence in Medical Imaging (CLAIM): a guide for authors and reviewers.  Radiol Artif Intell 2020; 2(2):e200029. </w:t>
      </w:r>
      <w:r>
        <w:fldChar w:fldCharType="begin"/>
      </w:r>
      <w:r>
        <w:instrText xml:space="preserve"> HYPERLINK "https://doi.org/10.1148/ryai.2020200029" </w:instrText>
      </w:r>
      <w:r>
        <w:fldChar w:fldCharType="separate"/>
      </w:r>
      <w:r>
        <w:rPr>
          <w:rStyle w:val="13"/>
        </w:rPr>
        <w:t>https://doi.org/10.1148/ryai.2020200029</w:t>
      </w:r>
      <w:r>
        <w:rPr>
          <w:rStyle w:val="13"/>
        </w:rPr>
        <w:fldChar w:fldCharType="end"/>
      </w: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090"/>
    <w:rsid w:val="0004799E"/>
    <w:rsid w:val="00177090"/>
    <w:rsid w:val="005F1A32"/>
    <w:rsid w:val="00667608"/>
    <w:rsid w:val="006C0210"/>
    <w:rsid w:val="007876FA"/>
    <w:rsid w:val="007C515F"/>
    <w:rsid w:val="00841F1D"/>
    <w:rsid w:val="008A7368"/>
    <w:rsid w:val="008B41AE"/>
    <w:rsid w:val="008D2215"/>
    <w:rsid w:val="00951AA7"/>
    <w:rsid w:val="00AF3799"/>
    <w:rsid w:val="00D35A86"/>
    <w:rsid w:val="00ED5D78"/>
    <w:rsid w:val="7C6E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cs="Calibri" w:eastAsiaTheme="minorEastAsia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9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character" w:styleId="12">
    <w:name w:val="FollowedHyperlink"/>
    <w:basedOn w:val="11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EndNote Bibliography"/>
    <w:basedOn w:val="1"/>
    <w:link w:val="15"/>
    <w:qFormat/>
    <w:uiPriority w:val="0"/>
    <w:pPr>
      <w:spacing w:after="0" w:line="480" w:lineRule="auto"/>
      <w:ind w:left="446" w:hanging="446"/>
    </w:pPr>
    <w:rPr>
      <w:rFonts w:ascii="Times New Roman" w:hAnsi="Times New Roman"/>
    </w:rPr>
  </w:style>
  <w:style w:type="character" w:customStyle="1" w:styleId="15">
    <w:name w:val="EndNote Bibliography Char"/>
    <w:basedOn w:val="11"/>
    <w:link w:val="14"/>
    <w:uiPriority w:val="0"/>
    <w:rPr>
      <w:rFonts w:ascii="Times New Roman" w:hAnsi="Times New Roman"/>
    </w:rPr>
  </w:style>
  <w:style w:type="table" w:customStyle="1" w:styleId="16">
    <w:name w:val="Grid Table 4 Accent 5"/>
    <w:basedOn w:val="10"/>
    <w:uiPriority w:val="49"/>
    <w:pPr>
      <w:spacing w:before="100" w:after="0" w:line="240" w:lineRule="auto"/>
    </w:pPr>
    <w:rPr>
      <w:sz w:val="20"/>
      <w:szCs w:val="20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17">
    <w:name w:val="_Style 14"/>
    <w:basedOn w:val="10"/>
    <w:uiPriority w:val="0"/>
    <w:pPr>
      <w:spacing w:before="100" w:after="0" w:line="240" w:lineRule="auto"/>
    </w:pPr>
    <w:rPr>
      <w:sz w:val="20"/>
      <w:szCs w:val="20"/>
    </w:rPr>
    <w:tblStylePr w:type="firstRow">
      <w:rPr>
        <w:b/>
        <w:color w:val="FFFFFF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cPr>
        <w:tcBorders>
          <w:top w:val="single" w:color="4472C4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C42817C12CC418917A357D1ABED8F" ma:contentTypeVersion="9" ma:contentTypeDescription="Create a new document." ma:contentTypeScope="" ma:versionID="bc561b1c8604b57a6ece443eabc74c54">
  <xsd:schema xmlns:xsd="http://www.w3.org/2001/XMLSchema" xmlns:xs="http://www.w3.org/2001/XMLSchema" xmlns:p="http://schemas.microsoft.com/office/2006/metadata/properties" xmlns:ns2="7348cf58-fbe0-4011-b1f6-e25d5a1911e7" targetNamespace="http://schemas.microsoft.com/office/2006/metadata/properties" ma:root="true" ma:fieldsID="a37b4e03c5917ff6e7f72f144e2396d2" ns2:_="">
    <xsd:import namespace="7348cf58-fbe0-4011-b1f6-e25d5a1911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8cf58-fbe0-4011-b1f6-e25d5a191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+N4WUd8ZrTjKOSWUgGt2Cdx2A==">AMUW2mXJSG25vV91qf8A97LCRBi4+wg4q5HmIXJQJYq46mZSuOpeLmBbsUzPut8I2DLzoScgSPLU9K8aet1u3QfQ7+ByqfdlJ77Qz3EvzLhGPkmdaPZFMvJCCZ9UDbTbK8HTnjAVmbaYNdfmQFTQNNGvYRz+vEE+sb6E6cVp++fMFMGJoSQXdmm9eWjF93y8jQyw54mi+fnpJiUI2sep8Ojydu7K178r6YVRatLHbHrcd9kxAS0iws++9oJm2zmDh9FeOiPk95rSQvLa/par7Q059BSrVEjNKS6im8HqDyilY1vjWUu1DjVonj84OXAsKRAdjET1nsFlK2278KhKIadduOyE5UyHvxEO9zv1q2B4fUFBLYIJ9MESEjfEFWEPw3hw0rLUl7qH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FC23CB-0B95-43AD-8773-07649F87EFA5}">
  <ds:schemaRefs/>
</ds:datastoreItem>
</file>

<file path=customXml/itemProps3.xml><?xml version="1.0" encoding="utf-8"?>
<ds:datastoreItem xmlns:ds="http://schemas.openxmlformats.org/officeDocument/2006/customXml" ds:itemID="{60E6EFE4-3A08-4605-8131-197F30EDBD26}">
  <ds:schemaRefs/>
</ds:datastoreItem>
</file>

<file path=customXml/itemProps4.xml><?xml version="1.0" encoding="utf-8"?>
<ds:datastoreItem xmlns:ds="http://schemas.openxmlformats.org/officeDocument/2006/customXml" ds:itemID="{364984FD-DCF9-41D2-8F22-D453516A20C2}">
  <ds:schemaRefs/>
</ds:datastoreItem>
</file>

<file path=customXml/itemProps5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Penn Medicine</Company>
  <Pages>3</Pages>
  <Words>551</Words>
  <Characters>3147</Characters>
  <Lines>26</Lines>
  <Paragraphs>7</Paragraphs>
  <TotalTime>0</TotalTime>
  <ScaleCrop>false</ScaleCrop>
  <LinksUpToDate>false</LinksUpToDate>
  <CharactersWithSpaces>3691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2020-01-12T22:49:00Z</dcterms:created>
  <dc:creator>Kahn, Charles E</dc:creator>
  <cp:lastModifiedBy>马</cp:lastModifiedBy>
  <dcterms:modified xsi:type="dcterms:W3CDTF">2022-03-23T05:25:05Z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0x0101006DBC42817C12CC418917A357D1ABED8F</vt:lpwstr>
  </property>
  <property fmtid="{D5CDD505-2E9C-101B-9397-08002B2CF9AE}" pid="3" name="KSOProductBuildVer">
    <vt:lpwstr>2052-11.1.0.11365</vt:lpwstr>
  </property>
  <property fmtid="{D5CDD505-2E9C-101B-9397-08002B2CF9AE}" pid="4" name="ICV">
    <vt:lpwstr>A7C54D02630843589028C18084A207FE</vt:lpwstr>
  </property>
</Properties>
</file>