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CB4B3" w14:textId="3D9E20A8" w:rsidR="004342E2" w:rsidRDefault="004342E2" w:rsidP="004342E2">
      <w:pPr>
        <w:jc w:val="center"/>
        <w:rPr>
          <w:rFonts w:ascii="Times New Roman" w:eastAsia="宋体" w:hAnsi="Times New Roman" w:cs="Times New Roman"/>
          <w:b/>
          <w:bCs/>
          <w:kern w:val="0"/>
          <w:sz w:val="40"/>
          <w:szCs w:val="44"/>
        </w:rPr>
      </w:pPr>
      <w:r>
        <w:rPr>
          <w:rFonts w:ascii="Times New Roman" w:eastAsia="宋体" w:hAnsi="Times New Roman" w:cs="Times New Roman"/>
          <w:b/>
          <w:bCs/>
          <w:kern w:val="0"/>
          <w:sz w:val="40"/>
          <w:szCs w:val="44"/>
        </w:rPr>
        <w:t xml:space="preserve">Supplemental </w:t>
      </w:r>
      <w:r w:rsidR="003143FC">
        <w:rPr>
          <w:rFonts w:ascii="Times New Roman" w:eastAsia="宋体" w:hAnsi="Times New Roman" w:cs="Times New Roman"/>
          <w:b/>
          <w:bCs/>
          <w:kern w:val="0"/>
          <w:sz w:val="40"/>
          <w:szCs w:val="44"/>
        </w:rPr>
        <w:t>Materials</w:t>
      </w:r>
    </w:p>
    <w:p w14:paraId="29ED32F6" w14:textId="029857D0" w:rsidR="004342E2" w:rsidRPr="000F0526" w:rsidRDefault="003143FC" w:rsidP="004342E2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0F0526">
        <w:rPr>
          <w:rFonts w:ascii="Times New Roman" w:hAnsi="Times New Roman" w:cs="Times New Roman"/>
          <w:b/>
          <w:bCs/>
          <w:sz w:val="28"/>
          <w:szCs w:val="32"/>
        </w:rPr>
        <w:t xml:space="preserve">Supplementary data </w:t>
      </w:r>
    </w:p>
    <w:p w14:paraId="3138A52C" w14:textId="4F73C4CF" w:rsidR="004342E2" w:rsidRPr="000F0526" w:rsidRDefault="004342E2" w:rsidP="004342E2">
      <w:pPr>
        <w:spacing w:line="480" w:lineRule="auto"/>
        <w:ind w:firstLineChars="200" w:firstLine="560"/>
        <w:rPr>
          <w:rFonts w:ascii="Times New Roman" w:hAnsi="Times New Roman" w:cs="Times New Roman"/>
          <w:sz w:val="28"/>
          <w:szCs w:val="32"/>
        </w:rPr>
      </w:pPr>
      <w:r w:rsidRPr="000F0526">
        <w:rPr>
          <w:rFonts w:ascii="Times New Roman" w:hAnsi="Times New Roman" w:cs="Times New Roman"/>
          <w:sz w:val="28"/>
          <w:szCs w:val="32"/>
        </w:rPr>
        <w:t xml:space="preserve">This section contains </w:t>
      </w:r>
      <w:bookmarkStart w:id="0" w:name="_Hlk124341731"/>
      <w:r w:rsidRPr="000F0526">
        <w:rPr>
          <w:rFonts w:ascii="Times New Roman" w:hAnsi="Times New Roman" w:cs="Times New Roman"/>
          <w:sz w:val="28"/>
          <w:szCs w:val="32"/>
        </w:rPr>
        <w:t xml:space="preserve">the definitions of the various features </w:t>
      </w:r>
      <w:bookmarkEnd w:id="0"/>
      <w:r w:rsidRPr="000F0526">
        <w:rPr>
          <w:rFonts w:ascii="Times New Roman" w:hAnsi="Times New Roman" w:cs="Times New Roman"/>
          <w:sz w:val="28"/>
          <w:szCs w:val="32"/>
        </w:rPr>
        <w:t xml:space="preserve">that can be extracted using </w:t>
      </w:r>
      <w:proofErr w:type="spellStart"/>
      <w:r w:rsidRPr="000F0526">
        <w:rPr>
          <w:rFonts w:ascii="Times New Roman" w:hAnsi="Times New Roman" w:cs="Times New Roman"/>
          <w:sz w:val="28"/>
          <w:szCs w:val="32"/>
        </w:rPr>
        <w:t>PyRadiomics</w:t>
      </w:r>
      <w:proofErr w:type="spellEnd"/>
      <w:r w:rsidRPr="000F0526">
        <w:rPr>
          <w:rFonts w:ascii="Times New Roman" w:hAnsi="Times New Roman" w:cs="Times New Roman"/>
          <w:sz w:val="28"/>
          <w:szCs w:val="32"/>
        </w:rPr>
        <w:t>. They are subdivided into the following classes:</w:t>
      </w:r>
    </w:p>
    <w:p w14:paraId="65255FF9" w14:textId="77777777" w:rsidR="004342E2" w:rsidRPr="000F0526" w:rsidRDefault="004342E2" w:rsidP="004342E2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0F0526">
        <w:rPr>
          <w:rFonts w:ascii="Times New Roman" w:hAnsi="Times New Roman" w:cs="Times New Roman"/>
          <w:sz w:val="28"/>
          <w:szCs w:val="32"/>
        </w:rPr>
        <w:t xml:space="preserve">• First Order Statistics (19 features) </w:t>
      </w:r>
    </w:p>
    <w:p w14:paraId="65DFCF3D" w14:textId="77777777" w:rsidR="004342E2" w:rsidRPr="000F0526" w:rsidRDefault="004342E2" w:rsidP="004342E2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0F0526">
        <w:rPr>
          <w:rFonts w:ascii="Times New Roman" w:hAnsi="Times New Roman" w:cs="Times New Roman"/>
          <w:sz w:val="28"/>
          <w:szCs w:val="32"/>
        </w:rPr>
        <w:t xml:space="preserve">• Shape-based (16 features) </w:t>
      </w:r>
    </w:p>
    <w:p w14:paraId="561E33B2" w14:textId="77777777" w:rsidR="004342E2" w:rsidRPr="000F0526" w:rsidRDefault="004342E2" w:rsidP="004342E2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0F0526">
        <w:rPr>
          <w:rFonts w:ascii="Times New Roman" w:hAnsi="Times New Roman" w:cs="Times New Roman"/>
          <w:sz w:val="28"/>
          <w:szCs w:val="32"/>
        </w:rPr>
        <w:t xml:space="preserve">• Gray Level </w:t>
      </w:r>
      <w:proofErr w:type="spellStart"/>
      <w:r w:rsidRPr="000F0526">
        <w:rPr>
          <w:rFonts w:ascii="Times New Roman" w:hAnsi="Times New Roman" w:cs="Times New Roman"/>
          <w:sz w:val="28"/>
          <w:szCs w:val="32"/>
        </w:rPr>
        <w:t>Cooccurence</w:t>
      </w:r>
      <w:proofErr w:type="spellEnd"/>
      <w:r w:rsidRPr="000F0526">
        <w:rPr>
          <w:rFonts w:ascii="Times New Roman" w:hAnsi="Times New Roman" w:cs="Times New Roman"/>
          <w:sz w:val="28"/>
          <w:szCs w:val="32"/>
        </w:rPr>
        <w:t xml:space="preserve"> Matrix (24 features) </w:t>
      </w:r>
    </w:p>
    <w:p w14:paraId="5FB21A04" w14:textId="77777777" w:rsidR="004342E2" w:rsidRPr="000F0526" w:rsidRDefault="004342E2" w:rsidP="004342E2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0F0526">
        <w:rPr>
          <w:rFonts w:ascii="Times New Roman" w:hAnsi="Times New Roman" w:cs="Times New Roman"/>
          <w:sz w:val="28"/>
          <w:szCs w:val="32"/>
        </w:rPr>
        <w:t xml:space="preserve">• Gray Level Run Length Matrix (16 features) </w:t>
      </w:r>
    </w:p>
    <w:p w14:paraId="4E9CE9F0" w14:textId="77777777" w:rsidR="004342E2" w:rsidRPr="000F0526" w:rsidRDefault="004342E2" w:rsidP="004342E2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0F0526">
        <w:rPr>
          <w:rFonts w:ascii="Times New Roman" w:hAnsi="Times New Roman" w:cs="Times New Roman"/>
          <w:sz w:val="28"/>
          <w:szCs w:val="32"/>
        </w:rPr>
        <w:t xml:space="preserve">• Gray Level Size Zone Matrix (16 features) </w:t>
      </w:r>
    </w:p>
    <w:p w14:paraId="74C777E6" w14:textId="77777777" w:rsidR="004342E2" w:rsidRPr="000F0526" w:rsidRDefault="004342E2" w:rsidP="004342E2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0F0526">
        <w:rPr>
          <w:rFonts w:ascii="Times New Roman" w:hAnsi="Times New Roman" w:cs="Times New Roman"/>
          <w:sz w:val="28"/>
          <w:szCs w:val="32"/>
        </w:rPr>
        <w:t xml:space="preserve">• </w:t>
      </w:r>
      <w:proofErr w:type="spellStart"/>
      <w:r w:rsidRPr="000F0526">
        <w:rPr>
          <w:rFonts w:ascii="Times New Roman" w:hAnsi="Times New Roman" w:cs="Times New Roman"/>
          <w:sz w:val="28"/>
          <w:szCs w:val="32"/>
        </w:rPr>
        <w:t>Neigbouring</w:t>
      </w:r>
      <w:proofErr w:type="spellEnd"/>
      <w:r w:rsidRPr="000F0526">
        <w:rPr>
          <w:rFonts w:ascii="Times New Roman" w:hAnsi="Times New Roman" w:cs="Times New Roman"/>
          <w:sz w:val="28"/>
          <w:szCs w:val="32"/>
        </w:rPr>
        <w:t xml:space="preserve"> Gray Tone Difference Matrix (5 features) </w:t>
      </w:r>
    </w:p>
    <w:p w14:paraId="234F98FC" w14:textId="77777777" w:rsidR="004342E2" w:rsidRPr="000F0526" w:rsidRDefault="004342E2" w:rsidP="004342E2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0F0526">
        <w:rPr>
          <w:rFonts w:ascii="Times New Roman" w:hAnsi="Times New Roman" w:cs="Times New Roman"/>
          <w:sz w:val="28"/>
          <w:szCs w:val="32"/>
        </w:rPr>
        <w:t>• Gray Level Dependence Matrix (14 features)</w:t>
      </w:r>
    </w:p>
    <w:p w14:paraId="3FACBAB6" w14:textId="77777777" w:rsidR="004342E2" w:rsidRPr="000F0526" w:rsidRDefault="004342E2" w:rsidP="004342E2">
      <w:pPr>
        <w:spacing w:line="480" w:lineRule="auto"/>
        <w:rPr>
          <w:rFonts w:ascii="Times New Roman" w:hAnsi="Times New Roman" w:cs="Times New Roman"/>
          <w:sz w:val="28"/>
          <w:szCs w:val="32"/>
        </w:rPr>
      </w:pPr>
      <w:r w:rsidRPr="000F0526">
        <w:rPr>
          <w:rFonts w:ascii="Times New Roman" w:hAnsi="Times New Roman" w:cs="Times New Roman"/>
          <w:sz w:val="28"/>
          <w:szCs w:val="32"/>
        </w:rPr>
        <w:t>Specific radiomic features are listed as follows:</w:t>
      </w:r>
    </w:p>
    <w:p w14:paraId="6083B6AD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>•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First Order Statistics (19 features) </w:t>
      </w:r>
    </w:p>
    <w:p w14:paraId="3803ED87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1. Energy</w:t>
      </w:r>
    </w:p>
    <w:p w14:paraId="09BC365A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2. Total Energy</w:t>
      </w:r>
    </w:p>
    <w:p w14:paraId="147DDA2A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3. Entropy</w:t>
      </w:r>
    </w:p>
    <w:p w14:paraId="3B272AF7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4. Minimum</w:t>
      </w:r>
    </w:p>
    <w:p w14:paraId="68A817ED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5. 10th percentile</w:t>
      </w:r>
    </w:p>
    <w:p w14:paraId="13AAC2E8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6. 90th percentile</w:t>
      </w:r>
    </w:p>
    <w:p w14:paraId="1903EFA9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lastRenderedPageBreak/>
        <w:t>7. Maximum</w:t>
      </w:r>
    </w:p>
    <w:p w14:paraId="470DF4C5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8. Mean</w:t>
      </w:r>
    </w:p>
    <w:p w14:paraId="7D740341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9. Median</w:t>
      </w:r>
    </w:p>
    <w:p w14:paraId="66ADBEB6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10. Interquartile Range</w:t>
      </w:r>
    </w:p>
    <w:p w14:paraId="327A2DC0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11. Range</w:t>
      </w:r>
    </w:p>
    <w:p w14:paraId="1439EC3B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12. Mean Absolute Deviation (MAD)</w:t>
      </w:r>
    </w:p>
    <w:p w14:paraId="0D283FDF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13. Robust Mean Absolute Deviation (</w:t>
      </w:r>
      <w:proofErr w:type="spellStart"/>
      <w:r w:rsidRPr="000F0526">
        <w:rPr>
          <w:rFonts w:ascii="Times New Roman" w:eastAsiaTheme="minorEastAsia" w:hAnsi="Times New Roman" w:cs="Times New Roman"/>
          <w:sz w:val="28"/>
          <w:szCs w:val="32"/>
        </w:rPr>
        <w:t>rMAD</w:t>
      </w:r>
      <w:proofErr w:type="spellEnd"/>
      <w:r w:rsidRPr="000F0526">
        <w:rPr>
          <w:rFonts w:ascii="Times New Roman" w:eastAsiaTheme="minorEastAsia" w:hAnsi="Times New Roman" w:cs="Times New Roman"/>
          <w:sz w:val="28"/>
          <w:szCs w:val="32"/>
        </w:rPr>
        <w:t>)</w:t>
      </w:r>
    </w:p>
    <w:p w14:paraId="5C26F679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14. Root Mean Squared (RMS)</w:t>
      </w:r>
    </w:p>
    <w:p w14:paraId="5DCA5D17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15. </w:t>
      </w:r>
      <w:proofErr w:type="spellStart"/>
      <w:r w:rsidRPr="000F0526">
        <w:rPr>
          <w:rFonts w:ascii="Times New Roman" w:eastAsiaTheme="minorEastAsia" w:hAnsi="Times New Roman" w:cs="Times New Roman"/>
          <w:sz w:val="28"/>
          <w:szCs w:val="32"/>
        </w:rPr>
        <w:t>AbsoluteDeviation</w:t>
      </w:r>
      <w:proofErr w:type="spellEnd"/>
    </w:p>
    <w:p w14:paraId="37623317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16. Skewness</w:t>
      </w:r>
    </w:p>
    <w:p w14:paraId="4D4EDD3C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17. Kurtosis</w:t>
      </w:r>
    </w:p>
    <w:p w14:paraId="658A2581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18. Variance</w:t>
      </w:r>
    </w:p>
    <w:p w14:paraId="7FCDB67A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19. Uniformity</w:t>
      </w:r>
    </w:p>
    <w:p w14:paraId="11DE66C0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>•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Shape-based (14 features) </w:t>
      </w:r>
    </w:p>
    <w:p w14:paraId="1C18941E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Flatness</w:t>
      </w:r>
    </w:p>
    <w:p w14:paraId="75F6F77F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Least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Axis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Length</w:t>
      </w:r>
    </w:p>
    <w:p w14:paraId="1E81B09C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Major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Axis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Length</w:t>
      </w:r>
    </w:p>
    <w:p w14:paraId="706112AE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Maximum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2D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proofErr w:type="spellStart"/>
      <w:r w:rsidRPr="000F0526">
        <w:rPr>
          <w:rFonts w:ascii="Times New Roman" w:eastAsiaTheme="minorEastAsia" w:hAnsi="Times New Roman" w:cs="Times New Roman"/>
          <w:sz w:val="28"/>
          <w:szCs w:val="32"/>
        </w:rPr>
        <w:t>DiameterColumn</w:t>
      </w:r>
      <w:proofErr w:type="spellEnd"/>
    </w:p>
    <w:p w14:paraId="57169E63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lastRenderedPageBreak/>
        <w:t>Maximum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2D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proofErr w:type="spellStart"/>
      <w:r w:rsidRPr="000F0526">
        <w:rPr>
          <w:rFonts w:ascii="Times New Roman" w:eastAsiaTheme="minorEastAsia" w:hAnsi="Times New Roman" w:cs="Times New Roman"/>
          <w:sz w:val="28"/>
          <w:szCs w:val="32"/>
        </w:rPr>
        <w:t>DiameterRow</w:t>
      </w:r>
      <w:proofErr w:type="spellEnd"/>
    </w:p>
    <w:p w14:paraId="19C71B80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Maximum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2D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proofErr w:type="spellStart"/>
      <w:r w:rsidRPr="000F0526">
        <w:rPr>
          <w:rFonts w:ascii="Times New Roman" w:eastAsiaTheme="minorEastAsia" w:hAnsi="Times New Roman" w:cs="Times New Roman"/>
          <w:sz w:val="28"/>
          <w:szCs w:val="32"/>
        </w:rPr>
        <w:t>DiameterSlice</w:t>
      </w:r>
      <w:proofErr w:type="spellEnd"/>
    </w:p>
    <w:p w14:paraId="0676C7AF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Maximum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3D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Diameter</w:t>
      </w:r>
    </w:p>
    <w:p w14:paraId="15D7314F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proofErr w:type="spellStart"/>
      <w:r w:rsidRPr="000F0526">
        <w:rPr>
          <w:rFonts w:ascii="Times New Roman" w:eastAsiaTheme="minorEastAsia" w:hAnsi="Times New Roman" w:cs="Times New Roman"/>
          <w:sz w:val="28"/>
          <w:szCs w:val="32"/>
        </w:rPr>
        <w:t>MeshVolume</w:t>
      </w:r>
      <w:proofErr w:type="spellEnd"/>
    </w:p>
    <w:p w14:paraId="7B8B6808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Minor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Axis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Length</w:t>
      </w:r>
    </w:p>
    <w:p w14:paraId="2E22EDEC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Sphericity</w:t>
      </w:r>
    </w:p>
    <w:p w14:paraId="0D0E49AF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</w:t>
      </w:r>
      <w:proofErr w:type="spellStart"/>
      <w:r w:rsidRPr="000F0526">
        <w:rPr>
          <w:rFonts w:ascii="Times New Roman" w:eastAsiaTheme="minorEastAsia" w:hAnsi="Times New Roman" w:cs="Times New Roman"/>
          <w:sz w:val="28"/>
          <w:szCs w:val="32"/>
        </w:rPr>
        <w:t>SurfaceArea</w:t>
      </w:r>
      <w:proofErr w:type="spellEnd"/>
    </w:p>
    <w:p w14:paraId="782D74F8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Surface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Volume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Ratio</w:t>
      </w:r>
    </w:p>
    <w:p w14:paraId="02ED495B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Voxel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r w:rsidRPr="000F0526">
        <w:rPr>
          <w:rFonts w:ascii="Times New Roman" w:eastAsiaTheme="minorEastAsia" w:hAnsi="Times New Roman" w:cs="Times New Roman"/>
          <w:sz w:val="28"/>
          <w:szCs w:val="32"/>
        </w:rPr>
        <w:t>Volume</w:t>
      </w:r>
    </w:p>
    <w:p w14:paraId="6423D3E4" w14:textId="77777777" w:rsidR="004342E2" w:rsidRPr="000F0526" w:rsidRDefault="004342E2" w:rsidP="004342E2">
      <w:pPr>
        <w:pStyle w:val="2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Elongation</w:t>
      </w:r>
    </w:p>
    <w:p w14:paraId="4D84B5A2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>•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Gray Level </w:t>
      </w:r>
      <w:proofErr w:type="spellStart"/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>Cooccurence</w:t>
      </w:r>
      <w:proofErr w:type="spellEnd"/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Matrix (24 features) </w:t>
      </w:r>
    </w:p>
    <w:p w14:paraId="7738F698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Autocorrelation</w:t>
      </w:r>
    </w:p>
    <w:p w14:paraId="5F5910E4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joint Average</w:t>
      </w:r>
    </w:p>
    <w:p w14:paraId="76E9D56A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Cluster Prominence</w:t>
      </w:r>
    </w:p>
    <w:p w14:paraId="03AD3481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Cluster Shade</w:t>
      </w:r>
    </w:p>
    <w:p w14:paraId="26C3E90B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Cluster Tendency</w:t>
      </w:r>
    </w:p>
    <w:p w14:paraId="44D01CF8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Contrast</w:t>
      </w:r>
    </w:p>
    <w:p w14:paraId="7EF424FD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Correlation</w:t>
      </w:r>
    </w:p>
    <w:p w14:paraId="773C0860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lastRenderedPageBreak/>
        <w:t>Difference Entropy</w:t>
      </w:r>
    </w:p>
    <w:p w14:paraId="551A3E7D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Difference Variance</w:t>
      </w:r>
    </w:p>
    <w:p w14:paraId="6ADC25BD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Difference Average</w:t>
      </w:r>
    </w:p>
    <w:p w14:paraId="1AA0A5D2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Joint Energy</w:t>
      </w:r>
    </w:p>
    <w:p w14:paraId="20061AF8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Joint Entropy</w:t>
      </w:r>
    </w:p>
    <w:p w14:paraId="25455FFB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Informational Measure of Correlation (IMC) 1</w:t>
      </w:r>
    </w:p>
    <w:p w14:paraId="717FE963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Informational Measure of Correlation (IMC) 2</w:t>
      </w:r>
    </w:p>
    <w:p w14:paraId="53296690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Inverse Difference Moment (IDM</w:t>
      </w:r>
    </w:p>
    <w:p w14:paraId="765075DB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Maximal Correlation Coefficient (MCC</w:t>
      </w:r>
    </w:p>
    <w:p w14:paraId="07C640B5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Inverse Difference Moment Normalized (IDMN)</w:t>
      </w:r>
    </w:p>
    <w:p w14:paraId="5BAD13D4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Inverse Difference (ID)</w:t>
      </w:r>
    </w:p>
    <w:p w14:paraId="19DE8F13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Inverse Difference Normalized (IDN)</w:t>
      </w:r>
    </w:p>
    <w:p w14:paraId="0A238454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Inverse Variance</w:t>
      </w:r>
    </w:p>
    <w:p w14:paraId="0F983561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Maximum Probability</w:t>
      </w:r>
    </w:p>
    <w:p w14:paraId="5D4479D1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Sum Average</w:t>
      </w:r>
    </w:p>
    <w:p w14:paraId="27022DE1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Sum Entropy</w:t>
      </w:r>
    </w:p>
    <w:p w14:paraId="19A6DA3F" w14:textId="77777777" w:rsidR="004342E2" w:rsidRPr="000F0526" w:rsidRDefault="004342E2" w:rsidP="004342E2">
      <w:pPr>
        <w:pStyle w:val="2"/>
        <w:numPr>
          <w:ilvl w:val="0"/>
          <w:numId w:val="2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Sum of Squares</w:t>
      </w:r>
    </w:p>
    <w:p w14:paraId="310F5DA2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>•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Gray Level Run Length Matrix (16 features) </w:t>
      </w:r>
    </w:p>
    <w:p w14:paraId="3587D2EA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lastRenderedPageBreak/>
        <w:t>Short Run Emphasis (SRE)</w:t>
      </w:r>
    </w:p>
    <w:p w14:paraId="36B3244A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Long Run Emphasis (LRE)</w:t>
      </w:r>
    </w:p>
    <w:p w14:paraId="1183F717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Gray Level Non-Uniformity (GLN)</w:t>
      </w:r>
    </w:p>
    <w:p w14:paraId="0EAAD66B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Gray Level Non-Uniformity Normalized (GLNN)</w:t>
      </w:r>
    </w:p>
    <w:p w14:paraId="4AF08F07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Run Length Non-Uniformity (RLN)</w:t>
      </w:r>
    </w:p>
    <w:p w14:paraId="09ABD650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Run Length Non-Uniformity Normalized (RLNN)</w:t>
      </w:r>
    </w:p>
    <w:p w14:paraId="20497B94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Run Percentage (RP)</w:t>
      </w:r>
    </w:p>
    <w:p w14:paraId="3E169F4D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Gray Level Variance (GLV)</w:t>
      </w:r>
    </w:p>
    <w:p w14:paraId="04EA3234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Run Variance (RV)</w:t>
      </w:r>
    </w:p>
    <w:p w14:paraId="2794B794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Run Entropy (RE)</w:t>
      </w:r>
    </w:p>
    <w:p w14:paraId="0F537592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Low Gray Level Run Emphasis (LGLRE)</w:t>
      </w:r>
    </w:p>
    <w:p w14:paraId="0FD21C7D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High Gray Level Run Emphasis (HGLRE)</w:t>
      </w:r>
    </w:p>
    <w:p w14:paraId="0A9B8E9A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Short Run Low Gray Level Emphasis (SRLGLE)</w:t>
      </w:r>
    </w:p>
    <w:p w14:paraId="0CBA5D59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Short Run High Gray Level Emphasis (SRHGLE)</w:t>
      </w:r>
    </w:p>
    <w:p w14:paraId="649BEA09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Long Run Low Gray Level Emphasis (LRLGLE)</w:t>
      </w:r>
    </w:p>
    <w:p w14:paraId="4C6E38C8" w14:textId="77777777" w:rsidR="004342E2" w:rsidRPr="000F0526" w:rsidRDefault="004342E2" w:rsidP="004342E2">
      <w:pPr>
        <w:pStyle w:val="2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Long Run High Gray Level Emphasis (LRHGLE)</w:t>
      </w:r>
    </w:p>
    <w:p w14:paraId="3B851E82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>•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Gray Level Size Zone Matrix (16 features) </w:t>
      </w:r>
    </w:p>
    <w:p w14:paraId="7CF0307F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Small Area Emphasis (SAE)</w:t>
      </w:r>
    </w:p>
    <w:p w14:paraId="25817F16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lastRenderedPageBreak/>
        <w:t>Large Area Emphasis (LAE)</w:t>
      </w:r>
    </w:p>
    <w:p w14:paraId="73F527B6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Gray Level Non-Uniformity (GLN)</w:t>
      </w:r>
    </w:p>
    <w:p w14:paraId="1F015E37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Gray Level Non-Uniformity Normalized (GLNN)</w:t>
      </w:r>
    </w:p>
    <w:p w14:paraId="12882971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Size-Zone Non-Uniformity (SZN)</w:t>
      </w:r>
    </w:p>
    <w:p w14:paraId="0CAA9624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Size-Zone Non-Uniformity Normalized (SZNN)</w:t>
      </w:r>
    </w:p>
    <w:p w14:paraId="074E9E80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Zone Percentage (ZP</w:t>
      </w:r>
    </w:p>
    <w:p w14:paraId="6E23498C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Gray Level Variance (GLV)</w:t>
      </w:r>
    </w:p>
    <w:p w14:paraId="5AC970C6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Zone Variance (ZV)</w:t>
      </w:r>
    </w:p>
    <w:p w14:paraId="7CF851F0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Zone Entropy (ZE)</w:t>
      </w:r>
    </w:p>
    <w:p w14:paraId="5D6C679C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Low Gray Level Zone Emphasis (LGLZE)</w:t>
      </w:r>
    </w:p>
    <w:p w14:paraId="22CFBC97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High Gray Level Zone Emphasis (HGLZE)</w:t>
      </w:r>
    </w:p>
    <w:p w14:paraId="1682BC6F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Small Area Low Gray Level Emphasis (SALGLE)</w:t>
      </w:r>
    </w:p>
    <w:p w14:paraId="30839E0E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Small Area High Gray Level Emphasis (SAHGLE)</w:t>
      </w:r>
    </w:p>
    <w:p w14:paraId="44534D9C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Large Area Low Gray Level Emphasis (LALGLE)</w:t>
      </w:r>
    </w:p>
    <w:p w14:paraId="4AD5414C" w14:textId="77777777" w:rsidR="004342E2" w:rsidRPr="000F0526" w:rsidRDefault="004342E2" w:rsidP="004342E2">
      <w:pPr>
        <w:pStyle w:val="2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Large Area High Gray Level Emphasis (LAHGLE)</w:t>
      </w:r>
    </w:p>
    <w:p w14:paraId="7236E277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>•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</w:t>
      </w:r>
      <w:proofErr w:type="spellStart"/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>Neigbouring</w:t>
      </w:r>
      <w:proofErr w:type="spellEnd"/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Gray Tone Difference Matrix (5 features) </w:t>
      </w:r>
    </w:p>
    <w:p w14:paraId="3E9AD19D" w14:textId="77777777" w:rsidR="004342E2" w:rsidRPr="000F0526" w:rsidRDefault="004342E2" w:rsidP="004342E2">
      <w:pPr>
        <w:pStyle w:val="2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Busyness</w:t>
      </w:r>
    </w:p>
    <w:p w14:paraId="54683A8B" w14:textId="77777777" w:rsidR="004342E2" w:rsidRPr="000F0526" w:rsidRDefault="004342E2" w:rsidP="004342E2">
      <w:pPr>
        <w:pStyle w:val="2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Coarseness</w:t>
      </w:r>
    </w:p>
    <w:p w14:paraId="3D9ABD6A" w14:textId="77777777" w:rsidR="004342E2" w:rsidRPr="000F0526" w:rsidRDefault="004342E2" w:rsidP="004342E2">
      <w:pPr>
        <w:pStyle w:val="2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lastRenderedPageBreak/>
        <w:t>Complexity</w:t>
      </w:r>
    </w:p>
    <w:p w14:paraId="746159F4" w14:textId="77777777" w:rsidR="004342E2" w:rsidRPr="000F0526" w:rsidRDefault="004342E2" w:rsidP="004342E2">
      <w:pPr>
        <w:pStyle w:val="2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Contrast</w:t>
      </w:r>
    </w:p>
    <w:p w14:paraId="55C4ECA9" w14:textId="77777777" w:rsidR="004342E2" w:rsidRPr="000F0526" w:rsidRDefault="004342E2" w:rsidP="004342E2">
      <w:pPr>
        <w:pStyle w:val="2"/>
        <w:numPr>
          <w:ilvl w:val="0"/>
          <w:numId w:val="5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Strength</w:t>
      </w:r>
    </w:p>
    <w:p w14:paraId="7EB7F585" w14:textId="77777777" w:rsidR="004342E2" w:rsidRPr="000F0526" w:rsidRDefault="004342E2" w:rsidP="004342E2">
      <w:pPr>
        <w:pStyle w:val="2"/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>•</w:t>
      </w:r>
      <w:r w:rsidRPr="000F0526">
        <w:rPr>
          <w:rFonts w:ascii="Times New Roman" w:eastAsiaTheme="minorEastAsia" w:hAnsi="Times New Roman" w:cs="Times New Roman" w:hint="eastAsia"/>
          <w:sz w:val="28"/>
          <w:szCs w:val="32"/>
        </w:rPr>
        <w:t xml:space="preserve"> Gray Level Dependence Matrix (14 features)</w:t>
      </w:r>
    </w:p>
    <w:p w14:paraId="7252DF42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Small Dependence Emphasis (SDE)</w:t>
      </w:r>
    </w:p>
    <w:p w14:paraId="704BCF33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. Large Dependence Emphasis (LDE)</w:t>
      </w:r>
    </w:p>
    <w:p w14:paraId="2758CAD8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Gray Level Non-Uniformity (GLN)</w:t>
      </w:r>
    </w:p>
    <w:p w14:paraId="146A88ED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Dependence Non-Uniformity (DN)</w:t>
      </w:r>
    </w:p>
    <w:p w14:paraId="5613B860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Dependence Non-Uniformity Normalized (DNN)</w:t>
      </w:r>
    </w:p>
    <w:p w14:paraId="4D951144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Gray Level Variance (GLV</w:t>
      </w:r>
    </w:p>
    <w:p w14:paraId="6AC44819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Dependence Variance (DV)</w:t>
      </w:r>
    </w:p>
    <w:p w14:paraId="070EE497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Dependence Entropy (DE)</w:t>
      </w:r>
    </w:p>
    <w:p w14:paraId="616431EC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>Low Gray Level Emphasis (LGLE)</w:t>
      </w:r>
    </w:p>
    <w:p w14:paraId="5BDC05FF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High Gray Level Emphasis (HGLE)</w:t>
      </w:r>
    </w:p>
    <w:p w14:paraId="22DEEA9E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Small Dependence Low Gray Level Emphasis (SDLGLE)</w:t>
      </w:r>
    </w:p>
    <w:p w14:paraId="5CDB8737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Small Dependence High Gray Level Emphasis (SDHGLE)</w:t>
      </w:r>
    </w:p>
    <w:p w14:paraId="6CDF1E52" w14:textId="77777777" w:rsidR="004342E2" w:rsidRPr="000F0526" w:rsidRDefault="004342E2" w:rsidP="004342E2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Large Dependence Low Gray Level Emphasis (LDLGLE)</w:t>
      </w:r>
    </w:p>
    <w:p w14:paraId="0298C492" w14:textId="77D8353E" w:rsidR="00EC7ACB" w:rsidRPr="003914C4" w:rsidRDefault="004342E2" w:rsidP="003914C4">
      <w:pPr>
        <w:pStyle w:val="2"/>
        <w:numPr>
          <w:ilvl w:val="0"/>
          <w:numId w:val="6"/>
        </w:numPr>
        <w:rPr>
          <w:rFonts w:ascii="Times New Roman" w:eastAsiaTheme="minorEastAsia" w:hAnsi="Times New Roman" w:cs="Times New Roman"/>
          <w:sz w:val="28"/>
          <w:szCs w:val="32"/>
        </w:rPr>
      </w:pPr>
      <w:r w:rsidRPr="000F0526">
        <w:rPr>
          <w:rFonts w:ascii="Times New Roman" w:eastAsiaTheme="minorEastAsia" w:hAnsi="Times New Roman" w:cs="Times New Roman"/>
          <w:sz w:val="28"/>
          <w:szCs w:val="32"/>
        </w:rPr>
        <w:t xml:space="preserve"> Large Dependence High Gray Level Emphasis (LDHGLE)</w:t>
      </w:r>
    </w:p>
    <w:sectPr w:rsidR="00EC7ACB" w:rsidRPr="003914C4" w:rsidSect="00521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F858900"/>
    <w:multiLevelType w:val="singleLevel"/>
    <w:tmpl w:val="BF85890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74A5989"/>
    <w:multiLevelType w:val="singleLevel"/>
    <w:tmpl w:val="E74A598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FA96B5D"/>
    <w:multiLevelType w:val="singleLevel"/>
    <w:tmpl w:val="0FA96B5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116DE7AB"/>
    <w:multiLevelType w:val="singleLevel"/>
    <w:tmpl w:val="116DE7A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7502A6A3"/>
    <w:multiLevelType w:val="singleLevel"/>
    <w:tmpl w:val="7502A6A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7914E8FE"/>
    <w:multiLevelType w:val="singleLevel"/>
    <w:tmpl w:val="5058AF6A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ascii="Times New Roman" w:eastAsia="宋体" w:hAnsi="Times New Roman" w:cs="Times New Roman"/>
      </w:rPr>
    </w:lvl>
  </w:abstractNum>
  <w:num w:numId="1" w16cid:durableId="194777310">
    <w:abstractNumId w:val="5"/>
  </w:num>
  <w:num w:numId="2" w16cid:durableId="1030105116">
    <w:abstractNumId w:val="1"/>
  </w:num>
  <w:num w:numId="3" w16cid:durableId="1965383903">
    <w:abstractNumId w:val="2"/>
  </w:num>
  <w:num w:numId="4" w16cid:durableId="496385776">
    <w:abstractNumId w:val="0"/>
  </w:num>
  <w:num w:numId="5" w16cid:durableId="958727385">
    <w:abstractNumId w:val="4"/>
  </w:num>
  <w:num w:numId="6" w16cid:durableId="795411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E2"/>
    <w:rsid w:val="000F0526"/>
    <w:rsid w:val="00227004"/>
    <w:rsid w:val="003143FC"/>
    <w:rsid w:val="003914C4"/>
    <w:rsid w:val="004342E2"/>
    <w:rsid w:val="00521757"/>
    <w:rsid w:val="008636BA"/>
    <w:rsid w:val="008A344D"/>
    <w:rsid w:val="00AE4D17"/>
    <w:rsid w:val="00B138CF"/>
    <w:rsid w:val="00BA7046"/>
    <w:rsid w:val="00D03A8A"/>
    <w:rsid w:val="00D94C60"/>
    <w:rsid w:val="00EC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0B5AD"/>
  <w15:chartTrackingRefBased/>
  <w15:docId w15:val="{9CB3F8A8-93DA-4EAF-B376-E1A90174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2E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2"/>
    <w:qFormat/>
    <w:rsid w:val="004342E2"/>
    <w:pPr>
      <w:spacing w:after="160" w:line="259" w:lineRule="auto"/>
      <w:jc w:val="both"/>
    </w:pPr>
    <w:rPr>
      <w:rFonts w:ascii="Calibri" w:eastAsia="宋体" w:hAnsi="Calibri" w:cs="Calibri"/>
      <w:szCs w:val="21"/>
    </w:rPr>
  </w:style>
  <w:style w:type="paragraph" w:styleId="a3">
    <w:name w:val="List Paragraph"/>
    <w:basedOn w:val="a"/>
    <w:uiPriority w:val="34"/>
    <w:qFormat/>
    <w:rsid w:val="00D03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503DD-C3A1-4495-BC7D-39BF7E3E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579</Words>
  <Characters>3034</Characters>
  <Application>Microsoft Office Word</Application>
  <DocSecurity>0</DocSecurity>
  <Lines>61</Lines>
  <Paragraphs>12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丽萍</dc:creator>
  <cp:keywords/>
  <dc:description/>
  <cp:lastModifiedBy>丽萍 杨</cp:lastModifiedBy>
  <cp:revision>8</cp:revision>
  <dcterms:created xsi:type="dcterms:W3CDTF">2023-01-09T08:27:00Z</dcterms:created>
  <dcterms:modified xsi:type="dcterms:W3CDTF">2024-04-04T09:18:00Z</dcterms:modified>
</cp:coreProperties>
</file>